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2A1B01A9" w:rsidR="00782E5A" w:rsidRDefault="006A4C5F" w:rsidP="00F70E81">
      <w:r>
        <w:rPr>
          <w:noProof/>
        </w:rPr>
        <w:drawing>
          <wp:inline distT="0" distB="0" distL="0" distR="0" wp14:anchorId="691B66CA" wp14:editId="5B434EA3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 w14:anchorId="6C75F89C"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5D3F09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15493DD2" w:rsidR="00654A65" w:rsidRPr="00654A65" w:rsidRDefault="00506012" w:rsidP="000C2420">
      <w:pPr>
        <w:pStyle w:val="Title"/>
      </w:pPr>
      <w:r>
        <w:rPr>
          <w:bCs/>
        </w:rPr>
        <w:t>B</w:t>
      </w:r>
      <w:r w:rsidR="00015156" w:rsidRPr="005006F4">
        <w:rPr>
          <w:bCs/>
        </w:rPr>
        <w:t>argaining and workplace relationships</w:t>
      </w:r>
    </w:p>
    <w:tbl>
      <w:tblPr>
        <w:tblStyle w:val="TableGridLight"/>
        <w:tblpPr w:leftFromText="180" w:rightFromText="180" w:vertAnchor="text" w:horzAnchor="margin" w:tblpY="1255"/>
        <w:tblW w:w="0" w:type="auto"/>
        <w:tblLook w:val="04A0" w:firstRow="1" w:lastRow="0" w:firstColumn="1" w:lastColumn="0" w:noHBand="0" w:noVBand="1"/>
      </w:tblPr>
      <w:tblGrid>
        <w:gridCol w:w="9638"/>
      </w:tblGrid>
      <w:tr w:rsidR="00A30AEF" w14:paraId="5E4A3384" w14:textId="77777777" w:rsidTr="00A30AEF">
        <w:tc>
          <w:tcPr>
            <w:tcW w:w="9638" w:type="dxa"/>
          </w:tcPr>
          <w:p w14:paraId="1A2A27EB" w14:textId="70075E88" w:rsidR="00A30AEF" w:rsidRPr="00A30AEF" w:rsidRDefault="00C21EB0" w:rsidP="00A30AEF">
            <w:pPr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These amendments</w:t>
            </w:r>
            <w:r w:rsidR="00A30AEF" w:rsidRPr="00A30AE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form part of an Australian Government commitment to ensure workers and businesses have flexible options for reaching agreements.</w:t>
            </w:r>
          </w:p>
        </w:tc>
      </w:tr>
    </w:tbl>
    <w:p w14:paraId="7B7DF641" w14:textId="4CCA2660" w:rsidR="00D978FA" w:rsidRDefault="006B2D8D" w:rsidP="009718E4">
      <w:pPr>
        <w:pStyle w:val="Subtitle"/>
        <w:numPr>
          <w:ilvl w:val="0"/>
          <w:numId w:val="0"/>
        </w:numPr>
      </w:pPr>
      <w:r>
        <w:t xml:space="preserve">Removing barriers to </w:t>
      </w:r>
      <w:r w:rsidR="00DB3DE4">
        <w:t xml:space="preserve">the </w:t>
      </w:r>
      <w:r w:rsidR="007E0FE3">
        <w:t>S</w:t>
      </w:r>
      <w:r w:rsidR="00DB3DE4">
        <w:t>i</w:t>
      </w:r>
      <w:r w:rsidR="00730110">
        <w:t xml:space="preserve">ngle </w:t>
      </w:r>
      <w:r w:rsidR="007E0FE3">
        <w:t>I</w:t>
      </w:r>
      <w:r w:rsidR="00730110">
        <w:t xml:space="preserve">nterest </w:t>
      </w:r>
      <w:r w:rsidR="007E0FE3">
        <w:t>B</w:t>
      </w:r>
      <w:r w:rsidR="00DB3DE4">
        <w:t xml:space="preserve">argaining </w:t>
      </w:r>
      <w:r w:rsidR="007E0FE3">
        <w:t>S</w:t>
      </w:r>
      <w:r w:rsidR="00DB3DE4">
        <w:t xml:space="preserve">tream </w:t>
      </w:r>
    </w:p>
    <w:p w14:paraId="1F0824A9" w14:textId="77777777" w:rsidR="00A30AEF" w:rsidRPr="00A30AEF" w:rsidRDefault="00A30AEF" w:rsidP="00A30AEF"/>
    <w:p w14:paraId="5BBFB9BC" w14:textId="2AE1ABDA" w:rsidR="00243E97" w:rsidRDefault="00243E97" w:rsidP="00A30AEF">
      <w:pPr>
        <w:pStyle w:val="Heading1"/>
        <w:spacing w:after="0"/>
        <w:contextualSpacing/>
      </w:pPr>
      <w:r>
        <w:t xml:space="preserve">What </w:t>
      </w:r>
      <w:r w:rsidR="00C21EB0">
        <w:t>has changed</w:t>
      </w:r>
      <w:r>
        <w:t>?</w:t>
      </w:r>
      <w:r w:rsidRPr="00286F3C">
        <w:rPr>
          <w:noProof/>
        </w:rPr>
        <w:t xml:space="preserve"> </w:t>
      </w:r>
    </w:p>
    <w:p w14:paraId="641E113B" w14:textId="4734FBC9" w:rsidR="001A383F" w:rsidRDefault="00731586" w:rsidP="00A30AE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7D1BB1">
        <w:rPr>
          <w:rFonts w:ascii="Calibri" w:eastAsia="Times New Roman" w:hAnsi="Calibri" w:cs="Calibri"/>
          <w:sz w:val="24"/>
          <w:szCs w:val="24"/>
          <w:lang w:eastAsia="en-AU"/>
        </w:rPr>
        <w:t xml:space="preserve">he </w:t>
      </w:r>
      <w:r w:rsidR="007D1BB1" w:rsidRPr="00E357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Legislation Amendment (Secure Jobs, Better Pay) </w:t>
      </w:r>
      <w:r w:rsidRPr="00E357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Act</w:t>
      </w:r>
      <w:r w:rsidR="007D1BB1" w:rsidRPr="00E357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2022</w:t>
      </w:r>
      <w:r w:rsidR="007D1BB1" w:rsidRPr="00E55995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C0510B">
        <w:rPr>
          <w:rFonts w:ascii="Calibri" w:eastAsia="Times New Roman" w:hAnsi="Calibri" w:cs="Calibri"/>
          <w:sz w:val="24"/>
          <w:szCs w:val="24"/>
          <w:lang w:eastAsia="en-AU"/>
        </w:rPr>
        <w:t>amends</w:t>
      </w:r>
      <w:r w:rsidR="007D1BB1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007D1BB1" w:rsidRPr="00E93F8D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Act 2009</w:t>
      </w:r>
      <w:r w:rsidR="00DB57DA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</w:t>
      </w:r>
      <w:r w:rsidR="00DB57DA">
        <w:rPr>
          <w:rFonts w:ascii="Calibri" w:eastAsia="Times New Roman" w:hAnsi="Calibri" w:cs="Calibri"/>
          <w:sz w:val="24"/>
          <w:szCs w:val="24"/>
          <w:lang w:eastAsia="en-AU"/>
        </w:rPr>
        <w:t>(the Act)</w:t>
      </w:r>
      <w:r w:rsidR="007D1BB1">
        <w:rPr>
          <w:rFonts w:ascii="Calibri" w:eastAsia="Times New Roman" w:hAnsi="Calibri" w:cs="Calibri"/>
          <w:sz w:val="24"/>
          <w:szCs w:val="24"/>
          <w:lang w:eastAsia="en-AU"/>
        </w:rPr>
        <w:t xml:space="preserve"> to</w:t>
      </w:r>
      <w:r w:rsidR="007D1BB1" w:rsidRPr="00E55995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6B2D8D" w:rsidRPr="00A30AEF">
        <w:rPr>
          <w:rFonts w:ascii="Calibri" w:hAnsi="Calibri" w:cs="Calibri"/>
          <w:sz w:val="24"/>
          <w:szCs w:val="24"/>
          <w:lang w:eastAsia="en-AU"/>
        </w:rPr>
        <w:t>remov</w:t>
      </w:r>
      <w:r w:rsidR="007D1BB1">
        <w:rPr>
          <w:rFonts w:ascii="Calibri" w:hAnsi="Calibri" w:cs="Calibri"/>
          <w:sz w:val="24"/>
          <w:szCs w:val="24"/>
          <w:lang w:eastAsia="en-AU"/>
        </w:rPr>
        <w:t>e</w:t>
      </w:r>
      <w:r w:rsidR="006B2D8D"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416E87">
        <w:rPr>
          <w:rFonts w:ascii="Calibri" w:hAnsi="Calibri" w:cs="Calibri"/>
          <w:sz w:val="24"/>
          <w:szCs w:val="24"/>
          <w:lang w:eastAsia="en-AU"/>
        </w:rPr>
        <w:t xml:space="preserve">unnecessary </w:t>
      </w:r>
      <w:r w:rsidR="006B2D8D" w:rsidRPr="00A30AEF">
        <w:rPr>
          <w:rFonts w:ascii="Calibri" w:hAnsi="Calibri" w:cs="Calibri"/>
          <w:sz w:val="24"/>
          <w:szCs w:val="24"/>
          <w:lang w:eastAsia="en-AU"/>
        </w:rPr>
        <w:t>barriers to</w:t>
      </w:r>
      <w:r w:rsidR="001A383F" w:rsidRPr="00A30AEF">
        <w:rPr>
          <w:rFonts w:ascii="Calibri" w:hAnsi="Calibri" w:cs="Calibri"/>
          <w:sz w:val="24"/>
          <w:szCs w:val="24"/>
          <w:lang w:eastAsia="en-AU"/>
        </w:rPr>
        <w:t xml:space="preserve"> the </w:t>
      </w:r>
      <w:r w:rsidR="00A61ACD" w:rsidRPr="00A30AEF">
        <w:rPr>
          <w:rFonts w:ascii="Calibri" w:hAnsi="Calibri" w:cs="Calibri"/>
          <w:sz w:val="24"/>
          <w:szCs w:val="24"/>
          <w:lang w:eastAsia="en-AU"/>
        </w:rPr>
        <w:t xml:space="preserve">existing </w:t>
      </w:r>
      <w:r w:rsidR="002776C7" w:rsidRPr="00A30AEF">
        <w:rPr>
          <w:rFonts w:ascii="Calibri" w:hAnsi="Calibri" w:cs="Calibri"/>
          <w:sz w:val="24"/>
          <w:szCs w:val="24"/>
          <w:lang w:eastAsia="en-AU"/>
        </w:rPr>
        <w:t>S</w:t>
      </w:r>
      <w:r w:rsidR="001A383F" w:rsidRPr="00A30AEF">
        <w:rPr>
          <w:rFonts w:ascii="Calibri" w:hAnsi="Calibri" w:cs="Calibri"/>
          <w:sz w:val="24"/>
          <w:szCs w:val="24"/>
          <w:lang w:eastAsia="en-AU"/>
        </w:rPr>
        <w:t xml:space="preserve">ingle </w:t>
      </w:r>
      <w:r w:rsidR="002776C7" w:rsidRPr="00A30AEF">
        <w:rPr>
          <w:rFonts w:ascii="Calibri" w:hAnsi="Calibri" w:cs="Calibri"/>
          <w:sz w:val="24"/>
          <w:szCs w:val="24"/>
          <w:lang w:eastAsia="en-AU"/>
        </w:rPr>
        <w:t>I</w:t>
      </w:r>
      <w:r w:rsidR="001A383F" w:rsidRPr="00A30AEF">
        <w:rPr>
          <w:rFonts w:ascii="Calibri" w:hAnsi="Calibri" w:cs="Calibri"/>
          <w:sz w:val="24"/>
          <w:szCs w:val="24"/>
          <w:lang w:eastAsia="en-AU"/>
        </w:rPr>
        <w:t xml:space="preserve">nterest </w:t>
      </w:r>
      <w:r w:rsidR="002776C7" w:rsidRPr="00A30AEF">
        <w:rPr>
          <w:rFonts w:ascii="Calibri" w:hAnsi="Calibri" w:cs="Calibri"/>
          <w:sz w:val="24"/>
          <w:szCs w:val="24"/>
          <w:lang w:eastAsia="en-AU"/>
        </w:rPr>
        <w:t>B</w:t>
      </w:r>
      <w:r w:rsidR="001A383F" w:rsidRPr="00A30AEF">
        <w:rPr>
          <w:rFonts w:ascii="Calibri" w:hAnsi="Calibri" w:cs="Calibri"/>
          <w:sz w:val="24"/>
          <w:szCs w:val="24"/>
          <w:lang w:eastAsia="en-AU"/>
        </w:rPr>
        <w:t xml:space="preserve">argaining </w:t>
      </w:r>
      <w:r w:rsidR="002776C7" w:rsidRPr="00A30AEF">
        <w:rPr>
          <w:rFonts w:ascii="Calibri" w:hAnsi="Calibri" w:cs="Calibri"/>
          <w:sz w:val="24"/>
          <w:szCs w:val="24"/>
          <w:lang w:eastAsia="en-AU"/>
        </w:rPr>
        <w:t>S</w:t>
      </w:r>
      <w:r w:rsidR="001A383F" w:rsidRPr="00A30AEF">
        <w:rPr>
          <w:rFonts w:ascii="Calibri" w:hAnsi="Calibri" w:cs="Calibri"/>
          <w:sz w:val="24"/>
          <w:szCs w:val="24"/>
          <w:lang w:eastAsia="en-AU"/>
        </w:rPr>
        <w:t>tream</w:t>
      </w:r>
      <w:r w:rsidR="00910C6E" w:rsidRPr="00A30AEF">
        <w:rPr>
          <w:rFonts w:ascii="Calibri" w:hAnsi="Calibri" w:cs="Calibri"/>
          <w:i/>
          <w:iCs/>
          <w:sz w:val="24"/>
          <w:szCs w:val="24"/>
          <w:lang w:eastAsia="en-AU"/>
        </w:rPr>
        <w:t>.</w:t>
      </w:r>
    </w:p>
    <w:p w14:paraId="7F800ECE" w14:textId="77777777" w:rsidR="0092706C" w:rsidRDefault="0092706C" w:rsidP="00A30AE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320F158D" w14:textId="138E0050" w:rsidR="007A64DA" w:rsidRDefault="003E4574" w:rsidP="00A30AE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 xml:space="preserve">Previously,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franchisees and </w:t>
      </w:r>
      <w:r w:rsidR="7D2F9947" w:rsidRPr="00A30AEF">
        <w:rPr>
          <w:rFonts w:ascii="Calibri" w:hAnsi="Calibri" w:cs="Calibri"/>
          <w:sz w:val="24"/>
          <w:szCs w:val="24"/>
          <w:lang w:eastAsia="en-AU"/>
        </w:rPr>
        <w:t xml:space="preserve">employers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with </w:t>
      </w:r>
      <w:r w:rsidR="62B8E175" w:rsidRPr="00A30AEF">
        <w:rPr>
          <w:rFonts w:ascii="Calibri" w:hAnsi="Calibri" w:cs="Calibri"/>
          <w:sz w:val="24"/>
          <w:szCs w:val="24"/>
          <w:lang w:eastAsia="en-AU"/>
        </w:rPr>
        <w:t xml:space="preserve">certain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common interests </w:t>
      </w:r>
      <w:r>
        <w:rPr>
          <w:rFonts w:ascii="Calibri" w:hAnsi="Calibri" w:cs="Calibri"/>
          <w:sz w:val="24"/>
          <w:szCs w:val="24"/>
          <w:lang w:eastAsia="en-AU"/>
        </w:rPr>
        <w:t xml:space="preserve">could </w:t>
      </w:r>
      <w:r w:rsidR="008E25AE">
        <w:rPr>
          <w:rFonts w:ascii="Calibri" w:hAnsi="Calibri" w:cs="Calibri"/>
          <w:sz w:val="24"/>
          <w:szCs w:val="24"/>
          <w:lang w:eastAsia="en-AU"/>
        </w:rPr>
        <w:t>bargain together for</w:t>
      </w:r>
      <w:r w:rsidR="7D2F9947" w:rsidRPr="00A30AEF">
        <w:rPr>
          <w:rFonts w:ascii="Calibri" w:hAnsi="Calibri" w:cs="Calibri"/>
          <w:sz w:val="24"/>
          <w:szCs w:val="24"/>
          <w:lang w:eastAsia="en-AU"/>
        </w:rPr>
        <w:t xml:space="preserve"> a single </w:t>
      </w:r>
      <w:r w:rsidR="1C612C27" w:rsidRPr="00797415">
        <w:rPr>
          <w:rFonts w:ascii="Calibri" w:eastAsia="Times New Roman" w:hAnsi="Calibri" w:cs="Calibri"/>
          <w:sz w:val="24"/>
          <w:szCs w:val="24"/>
          <w:lang w:eastAsia="en-AU"/>
        </w:rPr>
        <w:t>interest</w:t>
      </w:r>
      <w:r w:rsidR="1C612C27"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7D2F9947" w:rsidRPr="00A30AEF">
        <w:rPr>
          <w:rFonts w:ascii="Calibri" w:hAnsi="Calibri" w:cs="Calibri"/>
          <w:sz w:val="24"/>
          <w:szCs w:val="24"/>
          <w:lang w:eastAsia="en-AU"/>
        </w:rPr>
        <w:t xml:space="preserve">enterprise agreement. </w:t>
      </w:r>
      <w:r w:rsidR="35E3E9F2" w:rsidRPr="00A30AEF">
        <w:rPr>
          <w:rFonts w:ascii="Calibri" w:hAnsi="Calibri" w:cs="Calibri"/>
          <w:sz w:val="24"/>
          <w:szCs w:val="24"/>
          <w:lang w:eastAsia="en-AU"/>
        </w:rPr>
        <w:t xml:space="preserve">Before they </w:t>
      </w:r>
      <w:r>
        <w:rPr>
          <w:rFonts w:ascii="Calibri" w:hAnsi="Calibri" w:cs="Calibri"/>
          <w:sz w:val="24"/>
          <w:szCs w:val="24"/>
          <w:lang w:eastAsia="en-AU"/>
        </w:rPr>
        <w:t xml:space="preserve">could </w:t>
      </w:r>
      <w:r w:rsidR="35E3E9F2" w:rsidRPr="00A30AEF">
        <w:rPr>
          <w:rFonts w:ascii="Calibri" w:hAnsi="Calibri" w:cs="Calibri"/>
          <w:sz w:val="24"/>
          <w:szCs w:val="24"/>
          <w:lang w:eastAsia="en-AU"/>
        </w:rPr>
        <w:t>apply to the Fair Work Commission</w:t>
      </w:r>
      <w:r w:rsidR="52767403" w:rsidRPr="00A30AEF">
        <w:rPr>
          <w:rFonts w:ascii="Calibri" w:hAnsi="Calibri" w:cs="Calibri"/>
          <w:sz w:val="24"/>
          <w:szCs w:val="24"/>
          <w:lang w:eastAsia="en-AU"/>
        </w:rPr>
        <w:t xml:space="preserve"> (the Commission)</w:t>
      </w:r>
      <w:r w:rsidR="35E3E9F2" w:rsidRPr="00A30AEF">
        <w:rPr>
          <w:rFonts w:ascii="Calibri" w:hAnsi="Calibri" w:cs="Calibri"/>
          <w:sz w:val="24"/>
          <w:szCs w:val="24"/>
          <w:lang w:eastAsia="en-AU"/>
        </w:rPr>
        <w:t xml:space="preserve"> to bargain together, e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mployers which </w:t>
      </w:r>
      <w:r>
        <w:rPr>
          <w:rFonts w:ascii="Calibri" w:hAnsi="Calibri" w:cs="Calibri"/>
          <w:sz w:val="24"/>
          <w:szCs w:val="24"/>
          <w:lang w:eastAsia="en-AU"/>
        </w:rPr>
        <w:t xml:space="preserve">were </w:t>
      </w:r>
      <w:r w:rsidR="7D2F9947" w:rsidRPr="00A30AEF">
        <w:rPr>
          <w:rFonts w:ascii="Calibri" w:hAnsi="Calibri" w:cs="Calibri"/>
          <w:sz w:val="24"/>
          <w:szCs w:val="24"/>
          <w:lang w:eastAsia="en-AU"/>
        </w:rPr>
        <w:t xml:space="preserve">not franchisees </w:t>
      </w:r>
      <w:r w:rsidR="00DB57DA">
        <w:rPr>
          <w:rFonts w:ascii="Calibri" w:hAnsi="Calibri" w:cs="Calibri"/>
          <w:sz w:val="24"/>
          <w:szCs w:val="24"/>
          <w:lang w:eastAsia="en-AU"/>
        </w:rPr>
        <w:t>needed to</w:t>
      </w:r>
      <w:r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F29A9D5" w:rsidRPr="00A30AEF">
        <w:rPr>
          <w:rFonts w:ascii="Calibri" w:hAnsi="Calibri" w:cs="Calibri"/>
          <w:sz w:val="24"/>
          <w:szCs w:val="24"/>
          <w:lang w:eastAsia="en-AU"/>
        </w:rPr>
        <w:t xml:space="preserve">obtain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a declaration from the </w:t>
      </w:r>
      <w:r w:rsidR="4771344A" w:rsidRPr="00A30AEF">
        <w:rPr>
          <w:rFonts w:ascii="Calibri" w:hAnsi="Calibri" w:cs="Calibri"/>
          <w:sz w:val="24"/>
          <w:szCs w:val="24"/>
          <w:lang w:eastAsia="en-AU"/>
        </w:rPr>
        <w:t xml:space="preserve">Minister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 xml:space="preserve">for </w:t>
      </w:r>
      <w:r w:rsidR="5B92B756" w:rsidRPr="00A30AEF">
        <w:rPr>
          <w:rFonts w:ascii="Calibri" w:hAnsi="Calibri" w:cs="Calibri"/>
          <w:sz w:val="24"/>
          <w:szCs w:val="24"/>
          <w:lang w:eastAsia="en-AU"/>
        </w:rPr>
        <w:t xml:space="preserve">Employment </w:t>
      </w:r>
      <w:r w:rsidR="63924B86" w:rsidRPr="00A30AEF">
        <w:rPr>
          <w:rFonts w:ascii="Calibri" w:hAnsi="Calibri" w:cs="Calibri"/>
          <w:sz w:val="24"/>
          <w:szCs w:val="24"/>
          <w:lang w:eastAsia="en-AU"/>
        </w:rPr>
        <w:t xml:space="preserve">and </w:t>
      </w:r>
      <w:r w:rsidR="0271B69D" w:rsidRPr="00A30AEF">
        <w:rPr>
          <w:rFonts w:ascii="Calibri" w:hAnsi="Calibri" w:cs="Calibri"/>
          <w:sz w:val="24"/>
          <w:szCs w:val="24"/>
          <w:lang w:eastAsia="en-AU"/>
        </w:rPr>
        <w:t>Workplace Relations</w:t>
      </w:r>
      <w:r w:rsidR="7D2F9947" w:rsidRPr="00A30AEF">
        <w:rPr>
          <w:rFonts w:ascii="Calibri" w:hAnsi="Calibri" w:cs="Calibri"/>
          <w:sz w:val="24"/>
          <w:szCs w:val="24"/>
          <w:lang w:eastAsia="en-AU"/>
        </w:rPr>
        <w:t xml:space="preserve">. </w:t>
      </w:r>
      <w:r w:rsidR="440689E5" w:rsidRPr="00A30AEF"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="007327A3">
        <w:rPr>
          <w:rFonts w:ascii="Calibri" w:hAnsi="Calibri" w:cs="Calibri"/>
          <w:sz w:val="24"/>
          <w:szCs w:val="24"/>
          <w:lang w:eastAsia="en-AU"/>
        </w:rPr>
        <w:t xml:space="preserve">previous </w:t>
      </w:r>
      <w:r w:rsidR="440689E5" w:rsidRPr="00A30AEF">
        <w:rPr>
          <w:rFonts w:ascii="Calibri" w:hAnsi="Calibri" w:cs="Calibri"/>
          <w:sz w:val="24"/>
          <w:szCs w:val="24"/>
          <w:lang w:eastAsia="en-AU"/>
        </w:rPr>
        <w:t xml:space="preserve">process </w:t>
      </w:r>
      <w:r w:rsidR="007327A3">
        <w:rPr>
          <w:rFonts w:ascii="Calibri" w:hAnsi="Calibri" w:cs="Calibri"/>
          <w:sz w:val="24"/>
          <w:szCs w:val="24"/>
          <w:lang w:eastAsia="en-AU"/>
        </w:rPr>
        <w:t xml:space="preserve">was </w:t>
      </w:r>
      <w:r w:rsidR="10A07424" w:rsidRPr="00A30AEF">
        <w:rPr>
          <w:rFonts w:ascii="Calibri" w:hAnsi="Calibri" w:cs="Calibri"/>
          <w:sz w:val="24"/>
          <w:szCs w:val="24"/>
          <w:lang w:eastAsia="en-AU"/>
        </w:rPr>
        <w:t xml:space="preserve">detailed </w:t>
      </w:r>
      <w:r w:rsidR="440689E5" w:rsidRPr="00A30AEF">
        <w:rPr>
          <w:rFonts w:ascii="Calibri" w:hAnsi="Calibri" w:cs="Calibri"/>
          <w:sz w:val="24"/>
          <w:szCs w:val="24"/>
          <w:lang w:eastAsia="en-AU"/>
        </w:rPr>
        <w:t xml:space="preserve">and restrictive, and few enterprise agreements </w:t>
      </w:r>
      <w:r w:rsidR="007327A3">
        <w:rPr>
          <w:rFonts w:ascii="Calibri" w:hAnsi="Calibri" w:cs="Calibri"/>
          <w:sz w:val="24"/>
          <w:szCs w:val="24"/>
          <w:lang w:eastAsia="en-AU"/>
        </w:rPr>
        <w:t xml:space="preserve">were </w:t>
      </w:r>
      <w:r w:rsidR="440689E5" w:rsidRPr="00A30AEF">
        <w:rPr>
          <w:rFonts w:ascii="Calibri" w:hAnsi="Calibri" w:cs="Calibri"/>
          <w:sz w:val="24"/>
          <w:szCs w:val="24"/>
          <w:lang w:eastAsia="en-AU"/>
        </w:rPr>
        <w:t>made this way.</w:t>
      </w:r>
    </w:p>
    <w:p w14:paraId="6BA4B8B9" w14:textId="77777777" w:rsidR="00A30AEF" w:rsidRPr="00A30AEF" w:rsidRDefault="00A30AEF" w:rsidP="00A30AE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</w:p>
    <w:p w14:paraId="62FBAE30" w14:textId="7DA8910C" w:rsidR="00C96915" w:rsidRPr="00A30AEF" w:rsidRDefault="00C96915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 w:rsidRPr="00797415">
        <w:rPr>
          <w:rFonts w:ascii="Calibri" w:eastAsia="Times New Roman" w:hAnsi="Calibri" w:cs="Calibri"/>
          <w:sz w:val="24"/>
          <w:szCs w:val="24"/>
          <w:lang w:eastAsia="en-AU"/>
        </w:rPr>
        <w:t>The</w:t>
      </w:r>
      <w:r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CD10B4">
        <w:rPr>
          <w:rFonts w:ascii="Calibri" w:hAnsi="Calibri" w:cs="Calibri"/>
          <w:sz w:val="24"/>
          <w:szCs w:val="24"/>
          <w:lang w:eastAsia="en-AU"/>
        </w:rPr>
        <w:t>amendments</w:t>
      </w:r>
      <w:r w:rsidR="00E160D3">
        <w:rPr>
          <w:rFonts w:ascii="Calibri" w:hAnsi="Calibri" w:cs="Calibri"/>
          <w:sz w:val="24"/>
          <w:szCs w:val="24"/>
          <w:lang w:eastAsia="en-AU"/>
        </w:rPr>
        <w:t xml:space="preserve"> to the Act</w:t>
      </w:r>
      <w:r w:rsidRPr="00A30AEF">
        <w:rPr>
          <w:rFonts w:ascii="Calibri" w:hAnsi="Calibri" w:cs="Calibri"/>
          <w:sz w:val="24"/>
          <w:szCs w:val="24"/>
          <w:lang w:eastAsia="en-AU"/>
        </w:rPr>
        <w:t>:</w:t>
      </w:r>
      <w:r w:rsidR="4E0A91DF"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645382E8" w14:textId="7F8E76E7" w:rsidR="00C96915" w:rsidRDefault="4E0A91DF" w:rsidP="00797415">
      <w:pPr>
        <w:pStyle w:val="ListParagraph"/>
        <w:numPr>
          <w:ilvl w:val="0"/>
          <w:numId w:val="32"/>
        </w:numPr>
        <w:spacing w:after="0"/>
        <w:contextualSpacing w:val="0"/>
        <w:rPr>
          <w:rFonts w:ascii="Calibri" w:hAnsi="Calibri" w:cs="Calibri"/>
          <w:sz w:val="24"/>
          <w:szCs w:val="24"/>
          <w:lang w:eastAsia="en-AU"/>
        </w:rPr>
      </w:pPr>
      <w:r w:rsidRPr="00A30AEF">
        <w:rPr>
          <w:rFonts w:ascii="Calibri" w:hAnsi="Calibri" w:cs="Calibri"/>
          <w:sz w:val="24"/>
          <w:szCs w:val="24"/>
          <w:lang w:eastAsia="en-AU"/>
        </w:rPr>
        <w:t xml:space="preserve">remove </w:t>
      </w:r>
      <w:r w:rsidR="63924B86" w:rsidRPr="00A30AEF">
        <w:rPr>
          <w:rFonts w:ascii="Calibri" w:hAnsi="Calibri" w:cs="Calibri"/>
          <w:sz w:val="24"/>
          <w:szCs w:val="24"/>
          <w:lang w:eastAsia="en-AU"/>
        </w:rPr>
        <w:t>the requirement to</w:t>
      </w:r>
      <w:r w:rsidR="35E3E9F2" w:rsidRPr="00A30AEF">
        <w:rPr>
          <w:rFonts w:ascii="Calibri" w:hAnsi="Calibri" w:cs="Calibri"/>
          <w:sz w:val="24"/>
          <w:szCs w:val="24"/>
          <w:lang w:eastAsia="en-AU"/>
        </w:rPr>
        <w:t xml:space="preserve"> obtain a declaration</w:t>
      </w:r>
      <w:r w:rsidR="00E160D3">
        <w:rPr>
          <w:rFonts w:ascii="Calibri" w:hAnsi="Calibri" w:cs="Calibri"/>
          <w:sz w:val="24"/>
          <w:szCs w:val="24"/>
          <w:lang w:eastAsia="en-AU"/>
        </w:rPr>
        <w:t xml:space="preserve"> from the Minister</w:t>
      </w:r>
      <w:r w:rsidR="00834FE7"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4D02F2" w:rsidRPr="00A30AEF">
        <w:rPr>
          <w:rFonts w:ascii="Calibri" w:hAnsi="Calibri" w:cs="Calibri"/>
          <w:sz w:val="24"/>
          <w:szCs w:val="24"/>
          <w:lang w:eastAsia="en-AU"/>
        </w:rPr>
        <w:t xml:space="preserve">while retaining a key role for the Commission </w:t>
      </w:r>
      <w:r w:rsidR="00434DEF">
        <w:rPr>
          <w:rFonts w:ascii="Calibri" w:hAnsi="Calibri" w:cs="Calibri"/>
          <w:sz w:val="24"/>
          <w:szCs w:val="24"/>
          <w:lang w:eastAsia="en-AU"/>
        </w:rPr>
        <w:t>to determine</w:t>
      </w:r>
      <w:r w:rsidR="004D02F2" w:rsidRPr="00A30AEF">
        <w:rPr>
          <w:rFonts w:ascii="Calibri" w:hAnsi="Calibri" w:cs="Calibri"/>
          <w:sz w:val="24"/>
          <w:szCs w:val="24"/>
          <w:lang w:eastAsia="en-AU"/>
        </w:rPr>
        <w:t xml:space="preserve"> access to the stream</w:t>
      </w:r>
      <w:r w:rsidR="4250ED0A" w:rsidRPr="00A30AEF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2535B240" w14:textId="17748A36" w:rsidR="000E54B2" w:rsidRPr="00A30AEF" w:rsidRDefault="000E54B2" w:rsidP="00797415">
      <w:pPr>
        <w:pStyle w:val="ListParagraph"/>
        <w:numPr>
          <w:ilvl w:val="0"/>
          <w:numId w:val="32"/>
        </w:numPr>
        <w:spacing w:after="0"/>
        <w:contextualSpacing w:val="0"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>require that at least some of the employees that will be covered by the agreement</w:t>
      </w:r>
      <w:r w:rsidR="009454D0">
        <w:rPr>
          <w:rFonts w:ascii="Calibri" w:hAnsi="Calibri" w:cs="Calibri"/>
          <w:sz w:val="24"/>
          <w:szCs w:val="24"/>
          <w:lang w:eastAsia="en-AU"/>
        </w:rPr>
        <w:t xml:space="preserve"> are represe</w:t>
      </w:r>
      <w:r w:rsidR="003A484B">
        <w:rPr>
          <w:rFonts w:ascii="Calibri" w:hAnsi="Calibri" w:cs="Calibri"/>
          <w:sz w:val="24"/>
          <w:szCs w:val="24"/>
          <w:lang w:eastAsia="en-AU"/>
        </w:rPr>
        <w:t xml:space="preserve">nted by a </w:t>
      </w:r>
      <w:r w:rsidR="002709E1">
        <w:rPr>
          <w:rFonts w:ascii="Calibri" w:hAnsi="Calibri" w:cs="Calibri"/>
          <w:sz w:val="24"/>
          <w:szCs w:val="24"/>
          <w:lang w:eastAsia="en-AU"/>
        </w:rPr>
        <w:t>registered employee organisation</w:t>
      </w:r>
      <w:r w:rsidR="003A484B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72BF697C" w14:textId="6A71B50D" w:rsidR="001D7E45" w:rsidRDefault="23A3C6A3" w:rsidP="2F675030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2F675030">
        <w:rPr>
          <w:rFonts w:ascii="Calibri" w:hAnsi="Calibri" w:cs="Calibri"/>
          <w:sz w:val="24"/>
          <w:szCs w:val="24"/>
          <w:lang w:eastAsia="en-AU"/>
        </w:rPr>
        <w:t xml:space="preserve">remove </w:t>
      </w:r>
      <w:r w:rsidR="25B03631" w:rsidRPr="2F675030">
        <w:rPr>
          <w:rFonts w:ascii="Calibri" w:hAnsi="Calibri" w:cs="Calibri"/>
          <w:sz w:val="24"/>
          <w:szCs w:val="24"/>
          <w:lang w:eastAsia="en-AU"/>
        </w:rPr>
        <w:t>unnecessary limitations on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 xml:space="preserve"> eligibility </w:t>
      </w:r>
      <w:r w:rsidR="1722136A" w:rsidRPr="2F675030">
        <w:rPr>
          <w:rFonts w:ascii="Calibri" w:hAnsi="Calibri" w:cs="Calibri"/>
          <w:sz w:val="24"/>
          <w:szCs w:val="24"/>
          <w:lang w:eastAsia="en-AU"/>
        </w:rPr>
        <w:t xml:space="preserve">for common interest employers 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>to bargain for single interest agreement</w:t>
      </w:r>
      <w:r w:rsidR="3FF0A711" w:rsidRPr="2F675030">
        <w:rPr>
          <w:rFonts w:ascii="Calibri" w:hAnsi="Calibri" w:cs="Calibri"/>
          <w:sz w:val="24"/>
          <w:szCs w:val="24"/>
          <w:lang w:eastAsia="en-AU"/>
        </w:rPr>
        <w:t>s</w:t>
      </w:r>
      <w:r w:rsidR="2526F083" w:rsidRPr="2F675030">
        <w:rPr>
          <w:rFonts w:ascii="Calibri" w:hAnsi="Calibri" w:cs="Calibri"/>
          <w:sz w:val="24"/>
          <w:szCs w:val="24"/>
          <w:lang w:eastAsia="en-AU"/>
        </w:rPr>
        <w:t>.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156352CB" w:rsidRPr="2F675030">
        <w:rPr>
          <w:rFonts w:ascii="Calibri" w:hAnsi="Calibri" w:cs="Calibri"/>
          <w:sz w:val="24"/>
          <w:szCs w:val="24"/>
          <w:lang w:eastAsia="en-AU"/>
        </w:rPr>
        <w:t xml:space="preserve">Relevant 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 xml:space="preserve">matters for </w:t>
      </w:r>
      <w:r w:rsidR="6B7091C3" w:rsidRPr="2F675030">
        <w:rPr>
          <w:rFonts w:ascii="Calibri" w:hAnsi="Calibri" w:cs="Calibri"/>
          <w:sz w:val="24"/>
          <w:szCs w:val="24"/>
          <w:lang w:eastAsia="en-AU"/>
        </w:rPr>
        <w:t xml:space="preserve">the Commission to 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>determin</w:t>
      </w:r>
      <w:r w:rsidR="6B7091C3" w:rsidRPr="2F675030">
        <w:rPr>
          <w:rFonts w:ascii="Calibri" w:hAnsi="Calibri" w:cs="Calibri"/>
          <w:sz w:val="24"/>
          <w:szCs w:val="24"/>
          <w:lang w:eastAsia="en-AU"/>
        </w:rPr>
        <w:t>e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 xml:space="preserve"> whether </w:t>
      </w:r>
      <w:r w:rsidR="70971011" w:rsidRPr="2F675030">
        <w:rPr>
          <w:rFonts w:ascii="Calibri" w:hAnsi="Calibri" w:cs="Calibri"/>
          <w:sz w:val="24"/>
          <w:szCs w:val="24"/>
          <w:lang w:eastAsia="en-AU"/>
        </w:rPr>
        <w:t>employers are common interest employers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5B051FFC" w:rsidRPr="2F675030">
        <w:rPr>
          <w:rFonts w:ascii="Calibri" w:hAnsi="Calibri" w:cs="Calibri"/>
          <w:sz w:val="24"/>
          <w:szCs w:val="24"/>
          <w:lang w:eastAsia="en-AU"/>
        </w:rPr>
        <w:t xml:space="preserve">may 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>include</w:t>
      </w:r>
      <w:r w:rsidR="00D40A61">
        <w:rPr>
          <w:rFonts w:ascii="Calibri" w:hAnsi="Calibri" w:cs="Calibri"/>
          <w:sz w:val="24"/>
          <w:szCs w:val="24"/>
          <w:lang w:eastAsia="en-AU"/>
        </w:rPr>
        <w:t>:</w:t>
      </w:r>
      <w:r w:rsidR="52504311" w:rsidRPr="2F675030">
        <w:rPr>
          <w:rFonts w:ascii="Calibri" w:hAnsi="Calibri" w:cs="Calibri"/>
          <w:sz w:val="24"/>
          <w:szCs w:val="24"/>
          <w:lang w:eastAsia="en-AU"/>
        </w:rPr>
        <w:t xml:space="preserve"> the nature of their enterprises and terms a</w:t>
      </w:r>
      <w:r w:rsidR="01FB3846" w:rsidRPr="2F675030">
        <w:rPr>
          <w:rFonts w:ascii="Calibri" w:hAnsi="Calibri" w:cs="Calibri"/>
          <w:sz w:val="24"/>
          <w:szCs w:val="24"/>
          <w:lang w:eastAsia="en-AU"/>
        </w:rPr>
        <w:t>nd</w:t>
      </w:r>
      <w:r w:rsidR="52B6C36A" w:rsidRPr="2F675030">
        <w:rPr>
          <w:rFonts w:ascii="Calibri" w:hAnsi="Calibri" w:cs="Calibri"/>
          <w:sz w:val="24"/>
          <w:szCs w:val="24"/>
          <w:lang w:eastAsia="en-AU"/>
        </w:rPr>
        <w:t> </w:t>
      </w:r>
      <w:r w:rsidR="01FB3846" w:rsidRPr="2F675030">
        <w:rPr>
          <w:rFonts w:ascii="Calibri" w:hAnsi="Calibri" w:cs="Calibri"/>
          <w:sz w:val="24"/>
          <w:szCs w:val="24"/>
          <w:lang w:eastAsia="en-AU"/>
        </w:rPr>
        <w:t>conditions of employment</w:t>
      </w:r>
      <w:r w:rsidR="008E5105">
        <w:rPr>
          <w:rFonts w:ascii="Calibri" w:hAnsi="Calibri" w:cs="Calibri"/>
          <w:sz w:val="24"/>
          <w:szCs w:val="24"/>
          <w:lang w:eastAsia="en-AU"/>
        </w:rPr>
        <w:t xml:space="preserve"> in those enterprises</w:t>
      </w:r>
      <w:r w:rsidR="01FB3846" w:rsidRPr="2F675030">
        <w:rPr>
          <w:rFonts w:ascii="Calibri" w:hAnsi="Calibri" w:cs="Calibri"/>
          <w:sz w:val="24"/>
          <w:szCs w:val="24"/>
          <w:lang w:eastAsia="en-AU"/>
        </w:rPr>
        <w:t xml:space="preserve">, 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>their geographical location</w:t>
      </w:r>
      <w:r w:rsidR="6B4EFB9E" w:rsidRPr="2F675030">
        <w:rPr>
          <w:rFonts w:ascii="Calibri" w:hAnsi="Calibri" w:cs="Calibri"/>
          <w:sz w:val="24"/>
          <w:szCs w:val="24"/>
          <w:lang w:eastAsia="en-AU"/>
        </w:rPr>
        <w:t>,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522AFA5B" w:rsidRPr="2F675030">
        <w:rPr>
          <w:rFonts w:ascii="Calibri" w:hAnsi="Calibri" w:cs="Calibri"/>
          <w:sz w:val="24"/>
          <w:szCs w:val="24"/>
          <w:lang w:eastAsia="en-AU"/>
        </w:rPr>
        <w:t xml:space="preserve">and </w:t>
      </w:r>
      <w:r w:rsidR="01FB3846" w:rsidRPr="2F675030">
        <w:rPr>
          <w:rFonts w:ascii="Calibri" w:hAnsi="Calibri" w:cs="Calibri"/>
          <w:sz w:val="24"/>
          <w:szCs w:val="24"/>
          <w:lang w:eastAsia="en-AU"/>
        </w:rPr>
        <w:t xml:space="preserve">whether they are subject to a common </w:t>
      </w:r>
      <w:r w:rsidR="6C88C695" w:rsidRPr="2F675030">
        <w:rPr>
          <w:rFonts w:ascii="Calibri" w:hAnsi="Calibri" w:cs="Calibri"/>
          <w:sz w:val="24"/>
          <w:szCs w:val="24"/>
          <w:lang w:eastAsia="en-AU"/>
        </w:rPr>
        <w:t>regulatory regime</w:t>
      </w:r>
    </w:p>
    <w:p w14:paraId="214EAE62" w14:textId="274748E6" w:rsidR="00315B51" w:rsidRDefault="00E56D04" w:rsidP="00797415">
      <w:pPr>
        <w:pStyle w:val="ListParagraph"/>
        <w:numPr>
          <w:ilvl w:val="0"/>
          <w:numId w:val="32"/>
        </w:numPr>
        <w:spacing w:after="0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eastAsia="en-AU"/>
        </w:rPr>
        <w:t>ensure</w:t>
      </w:r>
      <w:r w:rsidR="528C38BF" w:rsidRPr="2F675030">
        <w:rPr>
          <w:rFonts w:ascii="Calibri" w:hAnsi="Calibri" w:cs="Calibri"/>
          <w:sz w:val="24"/>
          <w:szCs w:val="24"/>
          <w:lang w:eastAsia="en-AU"/>
        </w:rPr>
        <w:t xml:space="preserve"> that the operations and business activities of common interest employers must be </w:t>
      </w:r>
      <w:r w:rsidR="2632F322" w:rsidRPr="2F675030">
        <w:rPr>
          <w:rFonts w:ascii="Calibri" w:hAnsi="Calibri" w:cs="Calibri"/>
          <w:sz w:val="24"/>
          <w:szCs w:val="24"/>
          <w:lang w:eastAsia="en-AU"/>
        </w:rPr>
        <w:t>‘</w:t>
      </w:r>
      <w:r w:rsidR="528C38BF" w:rsidRPr="2F675030">
        <w:rPr>
          <w:rFonts w:ascii="Calibri" w:hAnsi="Calibri" w:cs="Calibri"/>
          <w:sz w:val="24"/>
          <w:szCs w:val="24"/>
          <w:lang w:eastAsia="en-AU"/>
        </w:rPr>
        <w:t>reasonably comparable</w:t>
      </w:r>
      <w:r w:rsidR="2632F322" w:rsidRPr="2F675030">
        <w:rPr>
          <w:rFonts w:ascii="Calibri" w:hAnsi="Calibri" w:cs="Calibri"/>
          <w:sz w:val="24"/>
          <w:szCs w:val="24"/>
          <w:lang w:eastAsia="en-AU"/>
        </w:rPr>
        <w:t xml:space="preserve">’ </w:t>
      </w:r>
      <w:proofErr w:type="gramStart"/>
      <w:r w:rsidR="6B4EFB9E" w:rsidRPr="2F675030">
        <w:rPr>
          <w:rFonts w:ascii="Calibri" w:hAnsi="Calibri" w:cs="Calibri"/>
          <w:sz w:val="24"/>
          <w:szCs w:val="24"/>
          <w:lang w:eastAsia="en-AU"/>
        </w:rPr>
        <w:t xml:space="preserve">in order </w:t>
      </w:r>
      <w:r w:rsidR="1C9CCC74" w:rsidRPr="2F675030">
        <w:rPr>
          <w:rFonts w:ascii="Calibri" w:hAnsi="Calibri" w:cs="Calibri"/>
          <w:sz w:val="24"/>
          <w:szCs w:val="24"/>
          <w:lang w:eastAsia="en-AU"/>
        </w:rPr>
        <w:t>for</w:t>
      </w:r>
      <w:proofErr w:type="gramEnd"/>
      <w:r w:rsidR="1C9CCC74" w:rsidRPr="2F675030">
        <w:rPr>
          <w:rFonts w:ascii="Calibri" w:hAnsi="Calibri" w:cs="Calibri"/>
          <w:sz w:val="24"/>
          <w:szCs w:val="24"/>
          <w:lang w:eastAsia="en-AU"/>
        </w:rPr>
        <w:t xml:space="preserve"> an employer </w:t>
      </w:r>
      <w:r w:rsidR="528C38BF" w:rsidRPr="2F675030">
        <w:rPr>
          <w:rFonts w:ascii="Calibri" w:hAnsi="Calibri" w:cs="Calibri"/>
          <w:sz w:val="24"/>
          <w:szCs w:val="24"/>
          <w:lang w:eastAsia="en-AU"/>
        </w:rPr>
        <w:t>to be included in</w:t>
      </w:r>
      <w:r w:rsidR="1C9CCC74" w:rsidRPr="2F675030">
        <w:rPr>
          <w:rFonts w:ascii="Calibri" w:hAnsi="Calibri" w:cs="Calibri"/>
          <w:sz w:val="24"/>
          <w:szCs w:val="24"/>
          <w:lang w:eastAsia="en-AU"/>
        </w:rPr>
        <w:t>,</w:t>
      </w:r>
      <w:r w:rsidR="528C38BF" w:rsidRPr="2F675030">
        <w:rPr>
          <w:rFonts w:ascii="Calibri" w:hAnsi="Calibri" w:cs="Calibri"/>
          <w:sz w:val="24"/>
          <w:szCs w:val="24"/>
          <w:lang w:eastAsia="en-AU"/>
        </w:rPr>
        <w:t xml:space="preserve"> or added to</w:t>
      </w:r>
      <w:r w:rsidR="1C9CCC74" w:rsidRPr="2F675030">
        <w:rPr>
          <w:rFonts w:ascii="Calibri" w:hAnsi="Calibri" w:cs="Calibri"/>
          <w:sz w:val="24"/>
          <w:szCs w:val="24"/>
          <w:lang w:eastAsia="en-AU"/>
        </w:rPr>
        <w:t>,</w:t>
      </w:r>
      <w:r w:rsidR="528C38BF" w:rsidRPr="2F675030">
        <w:rPr>
          <w:rFonts w:ascii="Calibri" w:hAnsi="Calibri" w:cs="Calibri"/>
          <w:sz w:val="24"/>
          <w:szCs w:val="24"/>
          <w:lang w:eastAsia="en-AU"/>
        </w:rPr>
        <w:t xml:space="preserve"> a single interest authorisation</w:t>
      </w:r>
      <w:r w:rsidR="68B53DB5" w:rsidRPr="2F675030">
        <w:rPr>
          <w:rFonts w:ascii="Calibri" w:hAnsi="Calibri" w:cs="Calibri"/>
          <w:sz w:val="24"/>
          <w:szCs w:val="24"/>
          <w:lang w:eastAsia="en-AU"/>
        </w:rPr>
        <w:t xml:space="preserve"> or agreement</w:t>
      </w:r>
    </w:p>
    <w:p w14:paraId="2B5F4D63" w14:textId="2AA652F8" w:rsidR="001D7E45" w:rsidRDefault="66FC4F4D" w:rsidP="00797415">
      <w:pPr>
        <w:pStyle w:val="ListParagraph"/>
        <w:numPr>
          <w:ilvl w:val="0"/>
          <w:numId w:val="32"/>
        </w:numPr>
        <w:spacing w:after="0"/>
        <w:contextualSpacing w:val="0"/>
        <w:rPr>
          <w:rFonts w:ascii="Calibri" w:hAnsi="Calibri" w:cs="Calibri"/>
          <w:sz w:val="24"/>
          <w:szCs w:val="24"/>
        </w:rPr>
      </w:pPr>
      <w:r w:rsidRPr="2F675030">
        <w:rPr>
          <w:rFonts w:ascii="Calibri" w:hAnsi="Calibri" w:cs="Calibri"/>
          <w:sz w:val="24"/>
          <w:szCs w:val="24"/>
        </w:rPr>
        <w:t>require that it</w:t>
      </w:r>
      <w:r w:rsidR="20B111AA" w:rsidRPr="2F675030">
        <w:rPr>
          <w:rFonts w:ascii="Calibri" w:hAnsi="Calibri" w:cs="Calibri"/>
          <w:sz w:val="24"/>
          <w:szCs w:val="24"/>
        </w:rPr>
        <w:t xml:space="preserve"> not be </w:t>
      </w:r>
      <w:r w:rsidRPr="2F675030">
        <w:rPr>
          <w:rFonts w:ascii="Calibri" w:hAnsi="Calibri" w:cs="Calibri"/>
          <w:sz w:val="24"/>
          <w:szCs w:val="24"/>
        </w:rPr>
        <w:t xml:space="preserve">contrary to the public interest </w:t>
      </w:r>
      <w:r w:rsidR="008133E1">
        <w:rPr>
          <w:rFonts w:ascii="Calibri" w:hAnsi="Calibri" w:cs="Calibri"/>
          <w:sz w:val="24"/>
          <w:szCs w:val="24"/>
        </w:rPr>
        <w:t>for common interest employers to bargain together</w:t>
      </w:r>
      <w:r w:rsidR="49BA8D4F" w:rsidRPr="2F675030">
        <w:rPr>
          <w:rFonts w:ascii="Calibri" w:hAnsi="Calibri" w:cs="Calibri"/>
          <w:sz w:val="24"/>
          <w:szCs w:val="24"/>
        </w:rPr>
        <w:t xml:space="preserve"> (</w:t>
      </w:r>
      <w:r w:rsidR="49BA8D4F" w:rsidRPr="2F675030">
        <w:rPr>
          <w:sz w:val="24"/>
          <w:szCs w:val="24"/>
        </w:rPr>
        <w:t>f</w:t>
      </w:r>
      <w:r w:rsidR="100CFA0B" w:rsidRPr="2F675030">
        <w:rPr>
          <w:sz w:val="24"/>
          <w:szCs w:val="24"/>
        </w:rPr>
        <w:t>or example, the C</w:t>
      </w:r>
      <w:r w:rsidR="16F94A90" w:rsidRPr="2F675030">
        <w:rPr>
          <w:sz w:val="24"/>
          <w:szCs w:val="24"/>
        </w:rPr>
        <w:t>ommission</w:t>
      </w:r>
      <w:r w:rsidR="100CFA0B" w:rsidRPr="2F675030">
        <w:rPr>
          <w:sz w:val="24"/>
          <w:szCs w:val="24"/>
        </w:rPr>
        <w:t xml:space="preserve"> </w:t>
      </w:r>
      <w:r w:rsidR="140F1D88" w:rsidRPr="2F675030">
        <w:rPr>
          <w:sz w:val="24"/>
          <w:szCs w:val="24"/>
        </w:rPr>
        <w:t xml:space="preserve">may </w:t>
      </w:r>
      <w:r w:rsidR="100CFA0B" w:rsidRPr="2F675030">
        <w:rPr>
          <w:sz w:val="24"/>
          <w:szCs w:val="24"/>
        </w:rPr>
        <w:t xml:space="preserve">consider the broader economic ramifications of including </w:t>
      </w:r>
      <w:r w:rsidR="20B111AA" w:rsidRPr="2F675030">
        <w:rPr>
          <w:sz w:val="24"/>
          <w:szCs w:val="24"/>
        </w:rPr>
        <w:t xml:space="preserve">a </w:t>
      </w:r>
      <w:r w:rsidR="100CFA0B" w:rsidRPr="2F675030">
        <w:rPr>
          <w:sz w:val="24"/>
          <w:szCs w:val="24"/>
        </w:rPr>
        <w:t xml:space="preserve">new employer in </w:t>
      </w:r>
      <w:r w:rsidR="20B111AA" w:rsidRPr="2F675030">
        <w:rPr>
          <w:sz w:val="24"/>
          <w:szCs w:val="24"/>
        </w:rPr>
        <w:t xml:space="preserve">a </w:t>
      </w:r>
      <w:r w:rsidR="100CFA0B" w:rsidRPr="2F675030">
        <w:rPr>
          <w:sz w:val="24"/>
          <w:szCs w:val="24"/>
        </w:rPr>
        <w:t>single interest employer agreement</w:t>
      </w:r>
      <w:r w:rsidR="49BA8D4F" w:rsidRPr="2F675030">
        <w:rPr>
          <w:sz w:val="24"/>
          <w:szCs w:val="24"/>
        </w:rPr>
        <w:t>)</w:t>
      </w:r>
      <w:r w:rsidR="1114F2F6" w:rsidRPr="2F675030">
        <w:rPr>
          <w:rFonts w:ascii="Calibri" w:hAnsi="Calibri" w:cs="Calibri"/>
          <w:sz w:val="24"/>
          <w:szCs w:val="24"/>
        </w:rPr>
        <w:t>, and</w:t>
      </w:r>
    </w:p>
    <w:p w14:paraId="472EB235" w14:textId="1F82F253" w:rsidR="001D7E45" w:rsidRDefault="369B642C" w:rsidP="00797415">
      <w:pPr>
        <w:pStyle w:val="ListParagraph"/>
        <w:numPr>
          <w:ilvl w:val="0"/>
          <w:numId w:val="32"/>
        </w:numPr>
        <w:spacing w:after="0"/>
        <w:contextualSpacing w:val="0"/>
        <w:rPr>
          <w:rFonts w:ascii="Calibri" w:hAnsi="Calibri" w:cs="Calibri"/>
          <w:sz w:val="24"/>
          <w:szCs w:val="24"/>
        </w:rPr>
      </w:pPr>
      <w:r w:rsidRPr="2F675030">
        <w:rPr>
          <w:rFonts w:ascii="Calibri" w:hAnsi="Calibri" w:cs="Calibri"/>
          <w:sz w:val="24"/>
          <w:szCs w:val="24"/>
        </w:rPr>
        <w:t xml:space="preserve">require that employers and </w:t>
      </w:r>
      <w:r w:rsidR="008D0A96" w:rsidRPr="2F675030">
        <w:rPr>
          <w:rFonts w:ascii="Calibri" w:hAnsi="Calibri" w:cs="Calibri"/>
          <w:sz w:val="24"/>
          <w:szCs w:val="24"/>
        </w:rPr>
        <w:t xml:space="preserve">employee </w:t>
      </w:r>
      <w:r w:rsidRPr="2F675030">
        <w:rPr>
          <w:rFonts w:ascii="Calibri" w:hAnsi="Calibri" w:cs="Calibri"/>
          <w:sz w:val="24"/>
          <w:szCs w:val="24"/>
        </w:rPr>
        <w:t xml:space="preserve">bargaining representatives have an opportunity to express their </w:t>
      </w:r>
      <w:r w:rsidR="5F6489AE" w:rsidRPr="2F675030">
        <w:rPr>
          <w:rFonts w:ascii="Calibri" w:hAnsi="Calibri" w:cs="Calibri"/>
          <w:sz w:val="24"/>
          <w:szCs w:val="24"/>
        </w:rPr>
        <w:t>views on whether bargaining in the stream should be authorised.</w:t>
      </w:r>
    </w:p>
    <w:p w14:paraId="15D5C10B" w14:textId="77777777" w:rsidR="00BD5823" w:rsidRDefault="00BD5823" w:rsidP="00797415">
      <w:pPr>
        <w:pStyle w:val="ListParagraph"/>
        <w:spacing w:after="0"/>
        <w:contextualSpacing w:val="0"/>
        <w:rPr>
          <w:rFonts w:ascii="Calibri" w:hAnsi="Calibri" w:cs="Calibri"/>
          <w:sz w:val="24"/>
          <w:szCs w:val="24"/>
        </w:rPr>
      </w:pPr>
    </w:p>
    <w:p w14:paraId="1AB5555C" w14:textId="059C4C59" w:rsidR="004867E7" w:rsidRDefault="004867E7" w:rsidP="004867E7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 xml:space="preserve">The </w:t>
      </w:r>
      <w:r w:rsidRPr="650625DA">
        <w:rPr>
          <w:rFonts w:ascii="Calibri" w:hAnsi="Calibri" w:cs="Calibri"/>
          <w:sz w:val="24"/>
          <w:szCs w:val="24"/>
          <w:lang w:eastAsia="en-AU"/>
        </w:rPr>
        <w:t>amendments provide that</w:t>
      </w:r>
      <w:r w:rsidR="00101C34">
        <w:rPr>
          <w:rFonts w:ascii="Calibri" w:hAnsi="Calibri" w:cs="Calibri"/>
          <w:sz w:val="24"/>
          <w:szCs w:val="24"/>
          <w:lang w:eastAsia="en-AU"/>
        </w:rPr>
        <w:t>,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101C34">
        <w:rPr>
          <w:rFonts w:ascii="Calibri" w:hAnsi="Calibri" w:cs="Calibri"/>
          <w:sz w:val="24"/>
          <w:szCs w:val="24"/>
          <w:lang w:eastAsia="en-AU"/>
        </w:rPr>
        <w:t xml:space="preserve">where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employers and employees </w:t>
      </w:r>
      <w:r w:rsidR="00101C34">
        <w:rPr>
          <w:rFonts w:ascii="Calibri" w:hAnsi="Calibri" w:cs="Calibri"/>
          <w:sz w:val="24"/>
          <w:szCs w:val="24"/>
          <w:lang w:eastAsia="en-AU"/>
        </w:rPr>
        <w:t xml:space="preserve">are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covered by a current enterprise agreement, or </w:t>
      </w:r>
      <w:r w:rsidR="00101C34">
        <w:rPr>
          <w:rFonts w:ascii="Calibri" w:hAnsi="Calibri" w:cs="Calibri"/>
          <w:sz w:val="24"/>
          <w:szCs w:val="24"/>
          <w:lang w:eastAsia="en-AU"/>
        </w:rPr>
        <w:t xml:space="preserve">the employer has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already agreed </w:t>
      </w:r>
      <w:r w:rsidR="00101C34">
        <w:rPr>
          <w:rFonts w:ascii="Calibri" w:hAnsi="Calibri" w:cs="Calibri"/>
          <w:sz w:val="24"/>
          <w:szCs w:val="24"/>
          <w:lang w:eastAsia="en-AU"/>
        </w:rPr>
        <w:t xml:space="preserve">in writing with an employee organisation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to bargain for a replacement single-enterprise agreement, </w:t>
      </w:r>
      <w:r w:rsidR="00067725">
        <w:rPr>
          <w:rFonts w:ascii="Calibri" w:hAnsi="Calibri" w:cs="Calibri"/>
          <w:sz w:val="24"/>
          <w:szCs w:val="24"/>
          <w:lang w:eastAsia="en-AU"/>
        </w:rPr>
        <w:t xml:space="preserve">such employers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cannot be compelled to bargain for a single interest </w:t>
      </w:r>
      <w:r w:rsidR="0068177E">
        <w:rPr>
          <w:rFonts w:ascii="Calibri" w:hAnsi="Calibri" w:cs="Calibri"/>
          <w:sz w:val="24"/>
          <w:szCs w:val="24"/>
          <w:lang w:eastAsia="en-AU"/>
        </w:rPr>
        <w:t xml:space="preserve">employer 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agreement. </w:t>
      </w:r>
      <w:r>
        <w:rPr>
          <w:rFonts w:ascii="Calibri" w:hAnsi="Calibri" w:cs="Calibri"/>
          <w:sz w:val="24"/>
          <w:szCs w:val="24"/>
          <w:lang w:eastAsia="en-AU"/>
        </w:rPr>
        <w:t>T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he Commission </w:t>
      </w:r>
      <w:r>
        <w:rPr>
          <w:rFonts w:ascii="Calibri" w:hAnsi="Calibri" w:cs="Calibri"/>
          <w:sz w:val="24"/>
          <w:szCs w:val="24"/>
          <w:lang w:eastAsia="en-AU"/>
        </w:rPr>
        <w:t xml:space="preserve">also has </w:t>
      </w:r>
      <w:r w:rsidRPr="00101AA6">
        <w:rPr>
          <w:rFonts w:ascii="Calibri" w:eastAsia="Times New Roman" w:hAnsi="Calibri" w:cs="Calibri"/>
          <w:sz w:val="24"/>
          <w:szCs w:val="24"/>
          <w:lang w:eastAsia="en-AU"/>
        </w:rPr>
        <w:t>discretion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 to refuse to </w:t>
      </w:r>
      <w:r w:rsidR="00E367E5">
        <w:rPr>
          <w:rFonts w:ascii="Calibri" w:hAnsi="Calibri" w:cs="Calibri"/>
          <w:sz w:val="24"/>
          <w:szCs w:val="24"/>
          <w:lang w:eastAsia="en-AU"/>
        </w:rPr>
        <w:t>include an employer in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 an authorisation </w:t>
      </w:r>
      <w:r w:rsidR="00E367E5">
        <w:rPr>
          <w:rFonts w:ascii="Calibri" w:hAnsi="Calibri" w:cs="Calibri"/>
          <w:sz w:val="24"/>
          <w:szCs w:val="24"/>
          <w:lang w:eastAsia="en-AU"/>
        </w:rPr>
        <w:t xml:space="preserve">or add the employer to an agreement </w:t>
      </w:r>
      <w:r w:rsidRPr="650625DA">
        <w:rPr>
          <w:rFonts w:ascii="Calibri" w:hAnsi="Calibri" w:cs="Calibri"/>
          <w:sz w:val="24"/>
          <w:szCs w:val="24"/>
          <w:lang w:eastAsia="en-AU"/>
        </w:rPr>
        <w:t>if</w:t>
      </w:r>
      <w:r>
        <w:rPr>
          <w:rFonts w:ascii="Calibri" w:hAnsi="Calibri" w:cs="Calibri"/>
          <w:sz w:val="24"/>
          <w:szCs w:val="24"/>
          <w:lang w:eastAsia="en-AU"/>
        </w:rPr>
        <w:t>:</w:t>
      </w:r>
      <w:r w:rsidRPr="650625DA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39987414" w14:textId="77777777" w:rsidR="004867E7" w:rsidRDefault="004867E7" w:rsidP="004867E7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  <w:lang w:eastAsia="en-AU"/>
        </w:rPr>
      </w:pPr>
      <w:r w:rsidRPr="00797415">
        <w:rPr>
          <w:rFonts w:ascii="Calibri" w:hAnsi="Calibri" w:cs="Calibri"/>
          <w:sz w:val="24"/>
          <w:szCs w:val="24"/>
          <w:lang w:eastAsia="en-AU"/>
        </w:rPr>
        <w:t>good faith bargaining is already occurring</w:t>
      </w:r>
    </w:p>
    <w:p w14:paraId="28A9EBF3" w14:textId="77777777" w:rsidR="004867E7" w:rsidRDefault="004867E7" w:rsidP="004867E7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  <w:lang w:eastAsia="en-AU"/>
        </w:rPr>
      </w:pPr>
      <w:r w:rsidRPr="00797415">
        <w:rPr>
          <w:rFonts w:ascii="Calibri" w:hAnsi="Calibri" w:cs="Calibri"/>
          <w:sz w:val="24"/>
          <w:szCs w:val="24"/>
          <w:lang w:eastAsia="en-AU"/>
        </w:rPr>
        <w:t xml:space="preserve">there is a history of effective bargaining between the parties, and </w:t>
      </w:r>
    </w:p>
    <w:p w14:paraId="19CD8419" w14:textId="5F6E13A5" w:rsidR="004867E7" w:rsidRDefault="004867E7" w:rsidP="004867E7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  <w:lang w:eastAsia="en-AU"/>
        </w:rPr>
      </w:pPr>
      <w:r w:rsidRPr="00797415">
        <w:rPr>
          <w:rFonts w:ascii="Calibri" w:hAnsi="Calibri" w:cs="Calibri"/>
          <w:sz w:val="24"/>
          <w:szCs w:val="24"/>
          <w:lang w:eastAsia="en-AU"/>
        </w:rPr>
        <w:t xml:space="preserve">less than nine months have elapsed since the nominal expiry date of the previous </w:t>
      </w:r>
      <w:r w:rsidR="00A57FDE">
        <w:rPr>
          <w:rFonts w:ascii="Calibri" w:hAnsi="Calibri" w:cs="Calibri"/>
          <w:sz w:val="24"/>
          <w:szCs w:val="24"/>
          <w:lang w:eastAsia="en-AU"/>
        </w:rPr>
        <w:t xml:space="preserve">such </w:t>
      </w:r>
      <w:r w:rsidRPr="00797415">
        <w:rPr>
          <w:rFonts w:ascii="Calibri" w:hAnsi="Calibri" w:cs="Calibri"/>
          <w:sz w:val="24"/>
          <w:szCs w:val="24"/>
          <w:lang w:eastAsia="en-AU"/>
        </w:rPr>
        <w:t xml:space="preserve">agreement. </w:t>
      </w:r>
    </w:p>
    <w:p w14:paraId="7C517D1C" w14:textId="77777777" w:rsidR="004867E7" w:rsidRDefault="004867E7" w:rsidP="004867E7">
      <w:pPr>
        <w:pStyle w:val="ListParagraph"/>
        <w:spacing w:after="0"/>
        <w:rPr>
          <w:rFonts w:ascii="Calibri" w:hAnsi="Calibri" w:cs="Calibri"/>
          <w:sz w:val="24"/>
          <w:szCs w:val="24"/>
          <w:lang w:eastAsia="en-AU"/>
        </w:rPr>
      </w:pPr>
    </w:p>
    <w:p w14:paraId="4ED4EF9B" w14:textId="364A26BE" w:rsidR="00DF4483" w:rsidRPr="00797415" w:rsidRDefault="00DF4483" w:rsidP="00DF4483">
      <w:pPr>
        <w:spacing w:after="0"/>
        <w:contextualSpacing/>
        <w:rPr>
          <w:lang w:eastAsia="en-AU"/>
        </w:rPr>
      </w:pPr>
      <w:r>
        <w:rPr>
          <w:rFonts w:ascii="Calibri" w:hAnsi="Calibri" w:cs="Calibri"/>
          <w:sz w:val="24"/>
          <w:szCs w:val="24"/>
        </w:rPr>
        <w:t>S</w:t>
      </w:r>
      <w:r w:rsidRPr="00A30AEF">
        <w:rPr>
          <w:rFonts w:ascii="Calibri" w:hAnsi="Calibri" w:cs="Calibri"/>
          <w:sz w:val="24"/>
          <w:szCs w:val="24"/>
        </w:rPr>
        <w:t xml:space="preserve">mall </w:t>
      </w:r>
      <w:r w:rsidRPr="00797415">
        <w:rPr>
          <w:rFonts w:ascii="Calibri" w:eastAsia="Times New Roman" w:hAnsi="Calibri" w:cs="Calibri"/>
          <w:sz w:val="24"/>
          <w:szCs w:val="24"/>
          <w:lang w:eastAsia="en-AU"/>
        </w:rPr>
        <w:t>businesses</w:t>
      </w:r>
      <w:r w:rsidRPr="00A30AEF">
        <w:rPr>
          <w:rFonts w:ascii="Calibri" w:hAnsi="Calibri" w:cs="Calibri"/>
          <w:sz w:val="24"/>
          <w:szCs w:val="24"/>
        </w:rPr>
        <w:t xml:space="preserve"> (</w:t>
      </w:r>
      <w:r w:rsidR="00FC08E2">
        <w:rPr>
          <w:rFonts w:ascii="Calibri" w:hAnsi="Calibri" w:cs="Calibri"/>
          <w:sz w:val="24"/>
          <w:szCs w:val="24"/>
        </w:rPr>
        <w:t xml:space="preserve">with </w:t>
      </w:r>
      <w:r w:rsidRPr="00A30AEF">
        <w:rPr>
          <w:rFonts w:ascii="Calibri" w:hAnsi="Calibri" w:cs="Calibri"/>
          <w:sz w:val="24"/>
          <w:szCs w:val="24"/>
        </w:rPr>
        <w:t xml:space="preserve">fewer than </w:t>
      </w:r>
      <w:r>
        <w:rPr>
          <w:rFonts w:ascii="Calibri" w:hAnsi="Calibri" w:cs="Calibri"/>
          <w:sz w:val="24"/>
          <w:szCs w:val="24"/>
        </w:rPr>
        <w:t>20</w:t>
      </w:r>
      <w:r w:rsidRPr="00A30AEF">
        <w:rPr>
          <w:rFonts w:ascii="Calibri" w:hAnsi="Calibri" w:cs="Calibri"/>
          <w:sz w:val="24"/>
          <w:szCs w:val="24"/>
        </w:rPr>
        <w:t xml:space="preserve"> employees) </w:t>
      </w:r>
      <w:r>
        <w:rPr>
          <w:rFonts w:ascii="Calibri" w:hAnsi="Calibri" w:cs="Calibri"/>
          <w:sz w:val="24"/>
          <w:szCs w:val="24"/>
        </w:rPr>
        <w:t xml:space="preserve">cannot </w:t>
      </w:r>
      <w:r w:rsidRPr="00A30AEF">
        <w:rPr>
          <w:rFonts w:ascii="Calibri" w:hAnsi="Calibri" w:cs="Calibri"/>
          <w:sz w:val="24"/>
          <w:szCs w:val="24"/>
        </w:rPr>
        <w:t xml:space="preserve">be required to bargain in this stream and </w:t>
      </w:r>
      <w:r>
        <w:rPr>
          <w:rFonts w:ascii="Calibri" w:hAnsi="Calibri" w:cs="Calibri"/>
          <w:sz w:val="24"/>
          <w:szCs w:val="24"/>
        </w:rPr>
        <w:t xml:space="preserve">can </w:t>
      </w:r>
      <w:r w:rsidRPr="00A30AEF">
        <w:rPr>
          <w:rFonts w:ascii="Calibri" w:hAnsi="Calibri" w:cs="Calibri"/>
          <w:sz w:val="24"/>
          <w:szCs w:val="24"/>
        </w:rPr>
        <w:t>only access this stream by consent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sz w:val="24"/>
          <w:szCs w:val="24"/>
        </w:rPr>
        <w:t>E</w:t>
      </w:r>
      <w:r w:rsidRPr="00C40807">
        <w:rPr>
          <w:sz w:val="24"/>
          <w:szCs w:val="24"/>
        </w:rPr>
        <w:t xml:space="preserve">mployers and employees undertaking defined types of building and construction work </w:t>
      </w:r>
      <w:r>
        <w:rPr>
          <w:sz w:val="24"/>
          <w:szCs w:val="24"/>
        </w:rPr>
        <w:t>are</w:t>
      </w:r>
      <w:r w:rsidRPr="00C40807">
        <w:rPr>
          <w:sz w:val="24"/>
          <w:szCs w:val="24"/>
        </w:rPr>
        <w:t xml:space="preserve"> precluded from being covered by single interest </w:t>
      </w:r>
      <w:r w:rsidR="00FC08E2">
        <w:rPr>
          <w:sz w:val="24"/>
          <w:szCs w:val="24"/>
        </w:rPr>
        <w:t>employer</w:t>
      </w:r>
      <w:r w:rsidRPr="00C40807">
        <w:rPr>
          <w:sz w:val="24"/>
          <w:szCs w:val="24"/>
        </w:rPr>
        <w:t xml:space="preserve"> agreements.</w:t>
      </w:r>
    </w:p>
    <w:p w14:paraId="59F8DB62" w14:textId="77777777" w:rsidR="00DF4483" w:rsidRPr="00A30AEF" w:rsidRDefault="00DF4483" w:rsidP="00DF4483">
      <w:pPr>
        <w:pStyle w:val="ListParagraph"/>
        <w:spacing w:after="0"/>
        <w:contextualSpacing w:val="0"/>
        <w:rPr>
          <w:rFonts w:ascii="Calibri" w:hAnsi="Calibri" w:cs="Calibri"/>
          <w:sz w:val="24"/>
          <w:szCs w:val="24"/>
        </w:rPr>
      </w:pPr>
    </w:p>
    <w:p w14:paraId="622143AB" w14:textId="4F6505A7" w:rsidR="00201259" w:rsidRDefault="00201259" w:rsidP="00201259">
      <w:pPr>
        <w:spacing w:after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A30AEF">
        <w:rPr>
          <w:rFonts w:ascii="Calibri" w:hAnsi="Calibri" w:cs="Calibri"/>
          <w:sz w:val="24"/>
          <w:szCs w:val="24"/>
        </w:rPr>
        <w:t xml:space="preserve">rotected industrial action </w:t>
      </w:r>
      <w:r>
        <w:rPr>
          <w:rFonts w:ascii="Calibri" w:hAnsi="Calibri" w:cs="Calibri"/>
          <w:sz w:val="24"/>
          <w:szCs w:val="24"/>
        </w:rPr>
        <w:t>continues to be</w:t>
      </w:r>
      <w:r w:rsidRPr="00A30AEF">
        <w:rPr>
          <w:rFonts w:ascii="Calibri" w:hAnsi="Calibri" w:cs="Calibri"/>
          <w:sz w:val="24"/>
          <w:szCs w:val="24"/>
        </w:rPr>
        <w:t xml:space="preserve"> available in this stream with </w:t>
      </w:r>
      <w:r w:rsidRPr="00797415">
        <w:rPr>
          <w:rFonts w:ascii="Calibri" w:eastAsia="Times New Roman" w:hAnsi="Calibri" w:cs="Calibri"/>
          <w:sz w:val="24"/>
          <w:szCs w:val="24"/>
          <w:lang w:eastAsia="en-AU"/>
        </w:rPr>
        <w:t>additional</w:t>
      </w:r>
      <w:r w:rsidRPr="00A30AE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measures</w:t>
      </w:r>
      <w:r w:rsidRPr="00A30AEF">
        <w:rPr>
          <w:rFonts w:ascii="Calibri" w:hAnsi="Calibri" w:cs="Calibri"/>
          <w:sz w:val="24"/>
          <w:szCs w:val="24"/>
        </w:rPr>
        <w:t>, including mandatory conciliation and a requirement for 120 hours’ notice. Participants in this stream also have access to the new intractable bargaining process</w:t>
      </w:r>
      <w:r>
        <w:rPr>
          <w:rFonts w:ascii="Calibri" w:hAnsi="Calibri" w:cs="Calibri"/>
          <w:sz w:val="24"/>
          <w:szCs w:val="24"/>
        </w:rPr>
        <w:t xml:space="preserve">, </w:t>
      </w:r>
      <w:r w:rsidRPr="00A30AEF">
        <w:rPr>
          <w:rFonts w:ascii="Calibri" w:hAnsi="Calibri" w:cs="Calibri"/>
          <w:sz w:val="24"/>
          <w:szCs w:val="24"/>
        </w:rPr>
        <w:t>which allow</w:t>
      </w:r>
      <w:r>
        <w:rPr>
          <w:rFonts w:ascii="Calibri" w:hAnsi="Calibri" w:cs="Calibri"/>
          <w:sz w:val="24"/>
          <w:szCs w:val="24"/>
        </w:rPr>
        <w:t>s</w:t>
      </w:r>
      <w:r w:rsidRPr="00A30AEF">
        <w:rPr>
          <w:rFonts w:ascii="Calibri" w:hAnsi="Calibri" w:cs="Calibri"/>
          <w:sz w:val="24"/>
          <w:szCs w:val="24"/>
        </w:rPr>
        <w:t xml:space="preserve"> part</w:t>
      </w:r>
      <w:r>
        <w:rPr>
          <w:rFonts w:ascii="Calibri" w:hAnsi="Calibri" w:cs="Calibri"/>
          <w:sz w:val="24"/>
          <w:szCs w:val="24"/>
        </w:rPr>
        <w:t>ies</w:t>
      </w:r>
      <w:r w:rsidRPr="00A30AEF">
        <w:rPr>
          <w:rFonts w:ascii="Calibri" w:hAnsi="Calibri" w:cs="Calibri"/>
          <w:sz w:val="24"/>
          <w:szCs w:val="24"/>
        </w:rPr>
        <w:t xml:space="preserve"> to seek conciliation and arbitration in certain circumstances.</w:t>
      </w:r>
    </w:p>
    <w:p w14:paraId="42FD9FAE" w14:textId="1BBAA38E" w:rsidR="00201259" w:rsidRDefault="00201259" w:rsidP="00201259">
      <w:pPr>
        <w:spacing w:after="0"/>
        <w:contextualSpacing/>
        <w:rPr>
          <w:rFonts w:ascii="Calibri" w:hAnsi="Calibri" w:cs="Calibri"/>
          <w:sz w:val="24"/>
          <w:szCs w:val="24"/>
        </w:rPr>
      </w:pPr>
      <w:r w:rsidRPr="00A30AEF">
        <w:rPr>
          <w:rFonts w:ascii="Calibri" w:hAnsi="Calibri" w:cs="Calibri"/>
          <w:sz w:val="24"/>
          <w:szCs w:val="24"/>
        </w:rPr>
        <w:t xml:space="preserve"> </w:t>
      </w:r>
    </w:p>
    <w:p w14:paraId="541EF964" w14:textId="14A6FC2E" w:rsidR="006C5EF4" w:rsidRDefault="0092706C" w:rsidP="00797415">
      <w:pPr>
        <w:spacing w:after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eastAsia="en-AU"/>
        </w:rPr>
        <w:t>E</w:t>
      </w:r>
      <w:r w:rsidR="16EB5F49" w:rsidRPr="650625DA">
        <w:rPr>
          <w:rFonts w:ascii="Calibri" w:hAnsi="Calibri" w:cs="Calibri"/>
          <w:sz w:val="24"/>
          <w:szCs w:val="24"/>
          <w:lang w:eastAsia="en-AU"/>
        </w:rPr>
        <w:t xml:space="preserve">mployee bargaining representatives </w:t>
      </w:r>
      <w:r>
        <w:rPr>
          <w:rFonts w:ascii="Calibri" w:hAnsi="Calibri" w:cs="Calibri"/>
          <w:sz w:val="24"/>
          <w:szCs w:val="24"/>
          <w:lang w:eastAsia="en-AU"/>
        </w:rPr>
        <w:t>can</w:t>
      </w:r>
      <w:r w:rsidR="16EB5F49" w:rsidRPr="650625DA">
        <w:rPr>
          <w:rFonts w:ascii="Calibri" w:hAnsi="Calibri" w:cs="Calibri"/>
          <w:sz w:val="24"/>
          <w:szCs w:val="24"/>
          <w:lang w:eastAsia="en-AU"/>
        </w:rPr>
        <w:t xml:space="preserve"> apply for </w:t>
      </w:r>
      <w:r w:rsidR="16EB5F49" w:rsidRPr="650625DA">
        <w:rPr>
          <w:rFonts w:ascii="Calibri" w:hAnsi="Calibri" w:cs="Calibri"/>
          <w:sz w:val="24"/>
          <w:szCs w:val="24"/>
        </w:rPr>
        <w:t xml:space="preserve">a single interest employer authorisation to </w:t>
      </w:r>
      <w:r w:rsidR="16EB5F49" w:rsidRPr="00797415">
        <w:rPr>
          <w:rFonts w:ascii="Calibri" w:eastAsia="Times New Roman" w:hAnsi="Calibri" w:cs="Calibri"/>
          <w:sz w:val="24"/>
          <w:szCs w:val="24"/>
          <w:lang w:eastAsia="en-AU"/>
        </w:rPr>
        <w:t>cover</w:t>
      </w:r>
      <w:r w:rsidR="16EB5F49" w:rsidRPr="650625DA">
        <w:rPr>
          <w:rFonts w:ascii="Calibri" w:hAnsi="Calibri" w:cs="Calibri"/>
          <w:sz w:val="24"/>
          <w:szCs w:val="24"/>
        </w:rPr>
        <w:t xml:space="preserve"> two or more employers</w:t>
      </w:r>
      <w:r w:rsidR="00F443AC">
        <w:rPr>
          <w:rFonts w:ascii="Calibri" w:hAnsi="Calibri" w:cs="Calibri"/>
          <w:sz w:val="24"/>
          <w:szCs w:val="24"/>
        </w:rPr>
        <w:t xml:space="preserve">. The Commission must make the authorisation </w:t>
      </w:r>
      <w:r w:rsidR="00602E0F">
        <w:rPr>
          <w:rFonts w:ascii="Calibri" w:hAnsi="Calibri" w:cs="Calibri"/>
          <w:sz w:val="24"/>
          <w:szCs w:val="24"/>
        </w:rPr>
        <w:t>i</w:t>
      </w:r>
      <w:r w:rsidR="00696599">
        <w:rPr>
          <w:rFonts w:ascii="Calibri" w:hAnsi="Calibri" w:cs="Calibri"/>
          <w:sz w:val="24"/>
          <w:szCs w:val="24"/>
        </w:rPr>
        <w:t>f</w:t>
      </w:r>
      <w:r w:rsidR="00602E0F">
        <w:rPr>
          <w:rFonts w:ascii="Calibri" w:hAnsi="Calibri" w:cs="Calibri"/>
          <w:sz w:val="24"/>
          <w:szCs w:val="24"/>
        </w:rPr>
        <w:t xml:space="preserve"> </w:t>
      </w:r>
      <w:r w:rsidR="00E413D5">
        <w:rPr>
          <w:rFonts w:ascii="Calibri" w:hAnsi="Calibri" w:cs="Calibri"/>
          <w:sz w:val="24"/>
          <w:szCs w:val="24"/>
        </w:rPr>
        <w:t xml:space="preserve">the relevant requirements for making the authorisation are met and the Commission is </w:t>
      </w:r>
      <w:r w:rsidR="00602E0F">
        <w:rPr>
          <w:rFonts w:ascii="Calibri" w:hAnsi="Calibri" w:cs="Calibri"/>
          <w:sz w:val="24"/>
          <w:szCs w:val="24"/>
        </w:rPr>
        <w:t>satis</w:t>
      </w:r>
      <w:r w:rsidR="009A39E3">
        <w:rPr>
          <w:rFonts w:ascii="Calibri" w:hAnsi="Calibri" w:cs="Calibri"/>
          <w:sz w:val="24"/>
          <w:szCs w:val="24"/>
        </w:rPr>
        <w:t>f</w:t>
      </w:r>
      <w:r w:rsidR="00602E0F">
        <w:rPr>
          <w:rFonts w:ascii="Calibri" w:hAnsi="Calibri" w:cs="Calibri"/>
          <w:sz w:val="24"/>
          <w:szCs w:val="24"/>
        </w:rPr>
        <w:t>ied</w:t>
      </w:r>
      <w:r w:rsidR="00DE35C9">
        <w:rPr>
          <w:rFonts w:ascii="Calibri" w:hAnsi="Calibri" w:cs="Calibri"/>
          <w:sz w:val="24"/>
          <w:szCs w:val="24"/>
        </w:rPr>
        <w:t xml:space="preserve"> </w:t>
      </w:r>
      <w:r w:rsidR="00602E0F">
        <w:rPr>
          <w:rFonts w:ascii="Calibri" w:hAnsi="Calibri" w:cs="Calibri"/>
          <w:sz w:val="24"/>
          <w:szCs w:val="24"/>
        </w:rPr>
        <w:t>the</w:t>
      </w:r>
      <w:r w:rsidR="00612228">
        <w:rPr>
          <w:rFonts w:ascii="Calibri" w:hAnsi="Calibri" w:cs="Calibri"/>
          <w:sz w:val="24"/>
          <w:szCs w:val="24"/>
        </w:rPr>
        <w:t xml:space="preserve"> employers consent to the application </w:t>
      </w:r>
      <w:r w:rsidR="00350045">
        <w:rPr>
          <w:rFonts w:ascii="Calibri" w:hAnsi="Calibri" w:cs="Calibri"/>
          <w:sz w:val="24"/>
          <w:szCs w:val="24"/>
        </w:rPr>
        <w:t>o</w:t>
      </w:r>
      <w:r w:rsidR="004120C4">
        <w:rPr>
          <w:rFonts w:ascii="Calibri" w:hAnsi="Calibri" w:cs="Calibri"/>
          <w:sz w:val="24"/>
          <w:szCs w:val="24"/>
        </w:rPr>
        <w:t xml:space="preserve">r there is majority support among </w:t>
      </w:r>
      <w:r w:rsidR="00F85805">
        <w:rPr>
          <w:rFonts w:ascii="Calibri" w:hAnsi="Calibri" w:cs="Calibri"/>
          <w:sz w:val="24"/>
          <w:szCs w:val="24"/>
        </w:rPr>
        <w:t xml:space="preserve">the employees </w:t>
      </w:r>
      <w:r w:rsidR="00B51672">
        <w:rPr>
          <w:rFonts w:ascii="Calibri" w:hAnsi="Calibri" w:cs="Calibri"/>
          <w:sz w:val="24"/>
          <w:szCs w:val="24"/>
        </w:rPr>
        <w:t>of each employer to bargain for the proposed agreement.</w:t>
      </w:r>
    </w:p>
    <w:p w14:paraId="4BAADB11" w14:textId="77777777" w:rsidR="00FE20DC" w:rsidRDefault="00FE20DC" w:rsidP="00E35761">
      <w:pPr>
        <w:spacing w:after="0"/>
        <w:contextualSpacing/>
        <w:rPr>
          <w:rFonts w:ascii="Calibri" w:hAnsi="Calibri" w:cs="Calibri"/>
          <w:sz w:val="24"/>
          <w:szCs w:val="24"/>
        </w:rPr>
      </w:pPr>
    </w:p>
    <w:p w14:paraId="3D3F695F" w14:textId="79E93725" w:rsidR="00375E57" w:rsidRDefault="00DF6830" w:rsidP="00797415">
      <w:pPr>
        <w:spacing w:after="0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234C378E" w:rsidRPr="00A30AEF">
        <w:rPr>
          <w:rFonts w:ascii="Calibri" w:hAnsi="Calibri" w:cs="Calibri"/>
          <w:sz w:val="24"/>
          <w:szCs w:val="24"/>
        </w:rPr>
        <w:t xml:space="preserve">mployers and employee bargaining representatives </w:t>
      </w:r>
      <w:r>
        <w:rPr>
          <w:rFonts w:ascii="Calibri" w:hAnsi="Calibri" w:cs="Calibri"/>
          <w:sz w:val="24"/>
          <w:szCs w:val="24"/>
        </w:rPr>
        <w:t>can</w:t>
      </w:r>
      <w:r w:rsidR="234C378E" w:rsidRPr="00A30AEF">
        <w:rPr>
          <w:rFonts w:ascii="Calibri" w:hAnsi="Calibri" w:cs="Calibri"/>
          <w:sz w:val="24"/>
          <w:szCs w:val="24"/>
        </w:rPr>
        <w:t xml:space="preserve"> apply to the Commission to add or </w:t>
      </w:r>
      <w:r w:rsidR="234C378E" w:rsidRPr="00797415">
        <w:rPr>
          <w:rFonts w:ascii="Calibri" w:eastAsia="Times New Roman" w:hAnsi="Calibri" w:cs="Calibri"/>
          <w:sz w:val="24"/>
          <w:szCs w:val="24"/>
          <w:lang w:eastAsia="en-AU"/>
        </w:rPr>
        <w:t>remove</w:t>
      </w:r>
      <w:r w:rsidR="234C378E" w:rsidRPr="00A30AEF">
        <w:rPr>
          <w:rFonts w:ascii="Calibri" w:hAnsi="Calibri" w:cs="Calibri"/>
          <w:sz w:val="24"/>
          <w:szCs w:val="24"/>
        </w:rPr>
        <w:t xml:space="preserve"> the name of an employer from the authorisation</w:t>
      </w:r>
      <w:r w:rsidR="3B3EB53D" w:rsidRPr="00A30AEF">
        <w:rPr>
          <w:rFonts w:ascii="Calibri" w:hAnsi="Calibri" w:cs="Calibri"/>
          <w:sz w:val="24"/>
          <w:szCs w:val="24"/>
        </w:rPr>
        <w:t xml:space="preserve"> to bargain together</w:t>
      </w:r>
      <w:r w:rsidR="234C378E" w:rsidRPr="00A30AEF">
        <w:rPr>
          <w:rFonts w:ascii="Calibri" w:hAnsi="Calibri" w:cs="Calibri"/>
          <w:sz w:val="24"/>
          <w:szCs w:val="24"/>
        </w:rPr>
        <w:t>, subject to meeting specified requirements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361F4D68" w14:textId="77777777" w:rsidR="00375E57" w:rsidRDefault="00375E57" w:rsidP="00797415">
      <w:pPr>
        <w:spacing w:after="0"/>
        <w:contextualSpacing/>
        <w:rPr>
          <w:rFonts w:ascii="Calibri" w:hAnsi="Calibri" w:cs="Calibri"/>
          <w:sz w:val="24"/>
          <w:szCs w:val="24"/>
        </w:rPr>
      </w:pPr>
    </w:p>
    <w:p w14:paraId="66794614" w14:textId="1BA48E10" w:rsidR="00157225" w:rsidRPr="00A30AEF" w:rsidRDefault="00DF6830" w:rsidP="00797415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="3F4CA083" w:rsidRPr="00E35761">
        <w:rPr>
          <w:rFonts w:ascii="Calibri" w:eastAsia="Times New Roman" w:hAnsi="Calibri" w:cs="Calibri"/>
          <w:sz w:val="24"/>
          <w:szCs w:val="24"/>
          <w:lang w:eastAsia="en-AU"/>
        </w:rPr>
        <w:t>mployers</w:t>
      </w:r>
      <w:r w:rsidR="3F4CA083" w:rsidRPr="00A30AEF">
        <w:rPr>
          <w:rFonts w:ascii="Calibri" w:hAnsi="Calibri" w:cs="Calibri"/>
          <w:sz w:val="24"/>
          <w:szCs w:val="24"/>
        </w:rPr>
        <w:t xml:space="preserve"> and employee organisations </w:t>
      </w:r>
      <w:r w:rsidR="00DE0690"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z w:val="24"/>
          <w:szCs w:val="24"/>
        </w:rPr>
        <w:t xml:space="preserve">also </w:t>
      </w:r>
      <w:r w:rsidR="3F4CA083" w:rsidRPr="00A30AEF">
        <w:rPr>
          <w:rFonts w:ascii="Calibri" w:hAnsi="Calibri" w:cs="Calibri"/>
          <w:sz w:val="24"/>
          <w:szCs w:val="24"/>
        </w:rPr>
        <w:t xml:space="preserve">apply to the </w:t>
      </w:r>
      <w:r w:rsidR="166D447D" w:rsidRPr="00A30AEF">
        <w:rPr>
          <w:rFonts w:ascii="Calibri" w:hAnsi="Calibri" w:cs="Calibri"/>
          <w:sz w:val="24"/>
          <w:szCs w:val="24"/>
        </w:rPr>
        <w:t>Commission</w:t>
      </w:r>
      <w:r w:rsidR="3F4CA083" w:rsidRPr="00A30AE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 w:rsidRPr="00A30AEF">
        <w:rPr>
          <w:rFonts w:ascii="Calibri" w:hAnsi="Calibri" w:cs="Calibri"/>
          <w:sz w:val="24"/>
          <w:szCs w:val="24"/>
        </w:rPr>
        <w:t xml:space="preserve"> </w:t>
      </w:r>
      <w:r w:rsidR="3F4CA083" w:rsidRPr="00A30AEF">
        <w:rPr>
          <w:rFonts w:ascii="Calibri" w:hAnsi="Calibri" w:cs="Calibri"/>
          <w:sz w:val="24"/>
          <w:szCs w:val="24"/>
        </w:rPr>
        <w:t>approv</w:t>
      </w:r>
      <w:r>
        <w:rPr>
          <w:rFonts w:ascii="Calibri" w:hAnsi="Calibri" w:cs="Calibri"/>
          <w:sz w:val="24"/>
          <w:szCs w:val="24"/>
        </w:rPr>
        <w:t>e</w:t>
      </w:r>
      <w:r w:rsidR="3F4CA083" w:rsidRPr="00A30AEF">
        <w:rPr>
          <w:rFonts w:ascii="Calibri" w:hAnsi="Calibri" w:cs="Calibri"/>
          <w:sz w:val="24"/>
          <w:szCs w:val="24"/>
        </w:rPr>
        <w:t xml:space="preserve"> a variation to extend coverage of an existing single interest employer agreement to a new employer and its employees, subject to meeting specified requirements. </w:t>
      </w:r>
    </w:p>
    <w:p w14:paraId="2031DD00" w14:textId="77777777" w:rsidR="00A30AEF" w:rsidRDefault="00A30AEF" w:rsidP="00A30AEF">
      <w:pPr>
        <w:spacing w:after="0"/>
        <w:contextualSpacing/>
        <w:rPr>
          <w:rFonts w:ascii="Calibri" w:hAnsi="Calibri" w:cs="Calibri"/>
          <w:sz w:val="24"/>
          <w:szCs w:val="24"/>
        </w:rPr>
      </w:pPr>
    </w:p>
    <w:p w14:paraId="4CC3ED05" w14:textId="3EDA874C" w:rsidR="00243E97" w:rsidRDefault="007D68AB" w:rsidP="00A30AEF">
      <w:pPr>
        <w:pStyle w:val="Heading1"/>
        <w:spacing w:after="0"/>
        <w:contextualSpacing/>
      </w:pPr>
      <w:r>
        <w:t>Wh</w:t>
      </w:r>
      <w:r w:rsidR="009D3318">
        <w:t xml:space="preserve">at </w:t>
      </w:r>
      <w:r w:rsidR="004C16C4">
        <w:t xml:space="preserve">do these changes </w:t>
      </w:r>
      <w:r w:rsidR="009D3318">
        <w:t>mean</w:t>
      </w:r>
      <w:r>
        <w:t xml:space="preserve">? </w:t>
      </w:r>
    </w:p>
    <w:p w14:paraId="3665DB37" w14:textId="68BEB346" w:rsidR="00375E57" w:rsidRDefault="00806AF0" w:rsidP="00797415">
      <w:pPr>
        <w:spacing w:after="0"/>
        <w:contextualSpacing/>
        <w:rPr>
          <w:rFonts w:eastAsiaTheme="minorEastAsia" w:cs="Calibri"/>
          <w:sz w:val="24"/>
          <w:szCs w:val="24"/>
          <w:lang w:eastAsia="en-AU"/>
        </w:rPr>
      </w:pPr>
      <w:r w:rsidRPr="00A30AEF">
        <w:rPr>
          <w:rFonts w:eastAsiaTheme="minorEastAsia" w:cs="Calibri"/>
          <w:sz w:val="24"/>
          <w:szCs w:val="24"/>
          <w:lang w:eastAsia="en-AU"/>
        </w:rPr>
        <w:t xml:space="preserve">Employers with a common interest often benefit from sharing employment conditions and the costs of </w:t>
      </w:r>
      <w:r w:rsidRPr="008E6F70">
        <w:rPr>
          <w:rFonts w:ascii="Calibri" w:eastAsia="Times New Roman" w:hAnsi="Calibri" w:cs="Calibri"/>
          <w:sz w:val="24"/>
          <w:szCs w:val="24"/>
          <w:lang w:eastAsia="en-AU"/>
        </w:rPr>
        <w:t>bargaining</w:t>
      </w:r>
      <w:r w:rsidRPr="00A30AEF">
        <w:rPr>
          <w:rFonts w:eastAsiaTheme="minorEastAsia" w:cs="Calibri"/>
          <w:sz w:val="24"/>
          <w:szCs w:val="24"/>
          <w:lang w:eastAsia="en-AU"/>
        </w:rPr>
        <w:t xml:space="preserve"> for a</w:t>
      </w:r>
      <w:r w:rsidR="00A742B3">
        <w:rPr>
          <w:rFonts w:eastAsiaTheme="minorEastAsia" w:cs="Calibri"/>
          <w:sz w:val="24"/>
          <w:szCs w:val="24"/>
          <w:lang w:eastAsia="en-AU"/>
        </w:rPr>
        <w:t xml:space="preserve"> </w:t>
      </w:r>
      <w:r w:rsidRPr="00A30AEF">
        <w:rPr>
          <w:rFonts w:eastAsiaTheme="minorEastAsia" w:cs="Calibri"/>
          <w:sz w:val="24"/>
          <w:szCs w:val="24"/>
          <w:lang w:eastAsia="en-AU"/>
        </w:rPr>
        <w:t>n</w:t>
      </w:r>
      <w:r w:rsidR="00A742B3">
        <w:rPr>
          <w:rFonts w:eastAsiaTheme="minorEastAsia" w:cs="Calibri"/>
          <w:sz w:val="24"/>
          <w:szCs w:val="24"/>
          <w:lang w:eastAsia="en-AU"/>
        </w:rPr>
        <w:t>ew enterprise</w:t>
      </w:r>
      <w:r w:rsidRPr="00A30AEF">
        <w:rPr>
          <w:rFonts w:eastAsiaTheme="minorEastAsia" w:cs="Calibri"/>
          <w:sz w:val="24"/>
          <w:szCs w:val="24"/>
          <w:lang w:eastAsia="en-AU"/>
        </w:rPr>
        <w:t xml:space="preserve"> agreement. </w:t>
      </w:r>
      <w:r w:rsidR="004C16C4">
        <w:rPr>
          <w:rFonts w:eastAsiaTheme="minorEastAsia" w:cs="Calibri"/>
          <w:sz w:val="24"/>
          <w:szCs w:val="24"/>
          <w:lang w:eastAsia="en-AU"/>
        </w:rPr>
        <w:t xml:space="preserve">The amendments </w:t>
      </w:r>
      <w:r w:rsidR="000D7C60">
        <w:rPr>
          <w:rFonts w:eastAsiaTheme="minorEastAsia" w:cs="Calibri"/>
          <w:sz w:val="24"/>
          <w:szCs w:val="24"/>
          <w:lang w:eastAsia="en-AU"/>
        </w:rPr>
        <w:t xml:space="preserve">provide access to these benefits and </w:t>
      </w:r>
      <w:r w:rsidR="27D3C467" w:rsidRPr="00A30AEF">
        <w:rPr>
          <w:rFonts w:eastAsiaTheme="minorEastAsia" w:cs="Calibri"/>
          <w:sz w:val="24"/>
          <w:szCs w:val="24"/>
          <w:lang w:eastAsia="en-AU"/>
        </w:rPr>
        <w:t xml:space="preserve">remove </w:t>
      </w:r>
      <w:r w:rsidR="00F4482D">
        <w:rPr>
          <w:rFonts w:eastAsiaTheme="minorEastAsia" w:cs="Calibri"/>
          <w:sz w:val="24"/>
          <w:szCs w:val="24"/>
          <w:lang w:eastAsia="en-AU"/>
        </w:rPr>
        <w:t xml:space="preserve">unnecessary </w:t>
      </w:r>
      <w:r w:rsidR="27D3C467" w:rsidRPr="00A30AEF">
        <w:rPr>
          <w:rFonts w:eastAsiaTheme="minorEastAsia" w:cs="Calibri"/>
          <w:sz w:val="24"/>
          <w:szCs w:val="24"/>
          <w:lang w:eastAsia="en-AU"/>
        </w:rPr>
        <w:t xml:space="preserve">barriers to </w:t>
      </w:r>
      <w:r w:rsidR="2DADC043" w:rsidRPr="00A30AEF">
        <w:rPr>
          <w:rFonts w:eastAsiaTheme="minorEastAsia" w:cs="Calibri"/>
          <w:sz w:val="24"/>
          <w:szCs w:val="24"/>
          <w:lang w:eastAsia="en-AU"/>
        </w:rPr>
        <w:t xml:space="preserve">obtaining </w:t>
      </w:r>
      <w:r w:rsidR="27D3C467" w:rsidRPr="00A30AEF">
        <w:rPr>
          <w:rFonts w:eastAsiaTheme="minorEastAsia" w:cs="Calibri"/>
          <w:sz w:val="24"/>
          <w:szCs w:val="24"/>
          <w:lang w:eastAsia="en-AU"/>
        </w:rPr>
        <w:t>a single</w:t>
      </w:r>
      <w:r w:rsidR="008628ED">
        <w:rPr>
          <w:rFonts w:eastAsiaTheme="minorEastAsia" w:cs="Calibri"/>
          <w:sz w:val="24"/>
          <w:szCs w:val="24"/>
          <w:lang w:eastAsia="en-AU"/>
        </w:rPr>
        <w:t xml:space="preserve"> </w:t>
      </w:r>
      <w:r w:rsidR="27D3C467" w:rsidRPr="00A30AEF">
        <w:rPr>
          <w:rFonts w:eastAsiaTheme="minorEastAsia" w:cs="Calibri"/>
          <w:sz w:val="24"/>
          <w:szCs w:val="24"/>
          <w:lang w:eastAsia="en-AU"/>
        </w:rPr>
        <w:t>interest employer authorisation</w:t>
      </w:r>
      <w:r w:rsidR="2DADC043" w:rsidRPr="00A30AEF">
        <w:rPr>
          <w:rFonts w:eastAsiaTheme="minorEastAsia" w:cs="Calibri"/>
          <w:sz w:val="24"/>
          <w:szCs w:val="24"/>
          <w:lang w:eastAsia="en-AU"/>
        </w:rPr>
        <w:t xml:space="preserve"> for employers to bargain together</w:t>
      </w:r>
      <w:r w:rsidR="00797415">
        <w:rPr>
          <w:rFonts w:eastAsiaTheme="minorEastAsia" w:cs="Calibri"/>
          <w:sz w:val="24"/>
          <w:szCs w:val="24"/>
          <w:lang w:eastAsia="en-AU"/>
        </w:rPr>
        <w:t>, including</w:t>
      </w:r>
      <w:r w:rsidR="00312C11">
        <w:rPr>
          <w:rFonts w:eastAsiaTheme="minorEastAsia" w:cs="Calibri"/>
          <w:sz w:val="24"/>
          <w:szCs w:val="24"/>
          <w:lang w:eastAsia="en-AU"/>
        </w:rPr>
        <w:t xml:space="preserve"> by facilitating b</w:t>
      </w:r>
      <w:r w:rsidR="00F0307A" w:rsidRPr="00A30AEF">
        <w:rPr>
          <w:rFonts w:eastAsiaTheme="minorEastAsia" w:cs="Calibri"/>
          <w:sz w:val="24"/>
          <w:szCs w:val="24"/>
          <w:lang w:eastAsia="en-AU"/>
        </w:rPr>
        <w:t>etter access to</w:t>
      </w:r>
      <w:r w:rsidR="00312C11">
        <w:rPr>
          <w:rFonts w:eastAsiaTheme="minorEastAsia" w:cs="Calibri"/>
          <w:sz w:val="24"/>
          <w:szCs w:val="24"/>
          <w:lang w:eastAsia="en-AU"/>
        </w:rPr>
        <w:t xml:space="preserve"> the</w:t>
      </w:r>
      <w:r w:rsidR="00F0307A" w:rsidRPr="00A30AEF">
        <w:rPr>
          <w:rFonts w:eastAsiaTheme="minorEastAsia" w:cs="Calibri"/>
          <w:sz w:val="24"/>
          <w:szCs w:val="24"/>
          <w:lang w:eastAsia="en-AU"/>
        </w:rPr>
        <w:t xml:space="preserve"> </w:t>
      </w:r>
      <w:r w:rsidR="00312C11">
        <w:rPr>
          <w:rFonts w:eastAsiaTheme="minorEastAsia" w:cs="Calibri"/>
          <w:sz w:val="24"/>
          <w:szCs w:val="24"/>
          <w:lang w:eastAsia="en-AU"/>
        </w:rPr>
        <w:t>stream</w:t>
      </w:r>
      <w:r w:rsidR="00F0307A" w:rsidRPr="00A30AEF">
        <w:rPr>
          <w:rFonts w:eastAsiaTheme="minorEastAsia" w:cs="Calibri"/>
          <w:sz w:val="24"/>
          <w:szCs w:val="24"/>
          <w:lang w:eastAsia="en-AU"/>
        </w:rPr>
        <w:t xml:space="preserve">. </w:t>
      </w:r>
    </w:p>
    <w:p w14:paraId="7BB11A3B" w14:textId="77777777" w:rsidR="0092706C" w:rsidRDefault="0092706C">
      <w:pPr>
        <w:spacing w:after="0"/>
        <w:contextualSpacing/>
        <w:rPr>
          <w:rFonts w:eastAsiaTheme="minorEastAsia" w:cs="Calibri"/>
          <w:sz w:val="24"/>
          <w:szCs w:val="24"/>
          <w:lang w:eastAsia="en-AU"/>
        </w:rPr>
      </w:pPr>
    </w:p>
    <w:p w14:paraId="35C3B138" w14:textId="77777777" w:rsidR="00D431CF" w:rsidRDefault="00D431CF" w:rsidP="00D431CF">
      <w:pPr>
        <w:pStyle w:val="Heading1"/>
        <w:spacing w:after="0"/>
        <w:contextualSpacing/>
        <w:rPr>
          <w:lang w:eastAsia="en-AU"/>
        </w:rPr>
      </w:pPr>
      <w:r>
        <w:t>When will these changes come into effect?</w:t>
      </w:r>
    </w:p>
    <w:p w14:paraId="6E2E4385" w14:textId="1BEF71FC" w:rsidR="00FA31C3" w:rsidRPr="00A30AEF" w:rsidRDefault="00894F92" w:rsidP="00A30AEF">
      <w:pPr>
        <w:spacing w:after="0"/>
        <w:contextualSpacing/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These </w:t>
      </w:r>
      <w:r w:rsidR="00E120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changes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will come into effect on</w:t>
      </w:r>
      <w:r w:rsidR="00733A60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A97AD4">
        <w:rPr>
          <w:rFonts w:ascii="Calibri" w:hAnsi="Calibri" w:cs="Calibri"/>
          <w:sz w:val="24"/>
          <w:szCs w:val="24"/>
          <w:lang w:eastAsia="en-AU"/>
        </w:rPr>
        <w:t>6 June 2023</w:t>
      </w:r>
      <w:r w:rsidR="00602BF0">
        <w:rPr>
          <w:rFonts w:ascii="Calibri" w:hAnsi="Calibri" w:cs="Calibri"/>
          <w:sz w:val="24"/>
          <w:szCs w:val="24"/>
          <w:lang w:eastAsia="en-AU"/>
        </w:rPr>
        <w:t>,</w:t>
      </w:r>
      <w:r w:rsidR="00A97AD4">
        <w:rPr>
          <w:rFonts w:ascii="Calibri" w:hAnsi="Calibri" w:cs="Calibri"/>
          <w:sz w:val="24"/>
          <w:szCs w:val="24"/>
          <w:lang w:eastAsia="en-AU"/>
        </w:rPr>
        <w:t xml:space="preserve"> or an earlier </w:t>
      </w:r>
      <w:r w:rsidR="00733A60">
        <w:rPr>
          <w:rFonts w:ascii="Calibri" w:hAnsi="Calibri" w:cs="Calibri"/>
          <w:sz w:val="24"/>
          <w:szCs w:val="24"/>
          <w:lang w:eastAsia="en-AU"/>
        </w:rPr>
        <w:t>date to be fixed by proclamation</w:t>
      </w:r>
      <w:r w:rsidR="000334E7" w:rsidRPr="00A30AEF">
        <w:rPr>
          <w:rFonts w:ascii="Calibri" w:hAnsi="Calibri" w:cs="Calibri"/>
          <w:sz w:val="24"/>
          <w:szCs w:val="24"/>
          <w:lang w:eastAsia="en-AU"/>
        </w:rPr>
        <w:t>.</w:t>
      </w:r>
    </w:p>
    <w:p w14:paraId="1F7FD4E3" w14:textId="192DCCED" w:rsidR="00646346" w:rsidRDefault="00646346" w:rsidP="00A30AEF">
      <w:pPr>
        <w:pStyle w:val="ListNumber"/>
        <w:spacing w:after="0"/>
        <w:ind w:left="0" w:firstLine="0"/>
      </w:pPr>
    </w:p>
    <w:p w14:paraId="7FFDE28D" w14:textId="77777777" w:rsidR="00A30AEF" w:rsidRDefault="00A30AEF" w:rsidP="00A30AEF">
      <w:pPr>
        <w:pStyle w:val="ListNumber"/>
        <w:spacing w:after="0"/>
        <w:ind w:left="0" w:firstLine="0"/>
      </w:pPr>
    </w:p>
    <w:p w14:paraId="6481BED2" w14:textId="2B99ADB6" w:rsidR="00066A6F" w:rsidRPr="00A30AEF" w:rsidRDefault="00066A6F" w:rsidP="00A30AEF">
      <w:pPr>
        <w:pStyle w:val="Footer"/>
        <w:contextualSpacing/>
        <w:rPr>
          <w:b/>
          <w:bCs/>
          <w:sz w:val="24"/>
          <w:szCs w:val="24"/>
        </w:rPr>
      </w:pPr>
      <w:r w:rsidRPr="00A30AEF">
        <w:rPr>
          <w:b/>
          <w:bCs/>
          <w:sz w:val="24"/>
          <w:szCs w:val="24"/>
          <w:lang w:eastAsia="en-AU"/>
        </w:rPr>
        <w:t xml:space="preserve">For more information on the </w:t>
      </w:r>
      <w:r w:rsidRPr="00A30AEF">
        <w:rPr>
          <w:b/>
          <w:bCs/>
          <w:i/>
          <w:iCs/>
          <w:sz w:val="24"/>
          <w:szCs w:val="24"/>
          <w:lang w:eastAsia="en-AU"/>
        </w:rPr>
        <w:t>Secure Jobs, Better Pay</w:t>
      </w:r>
      <w:r w:rsidRPr="00A30AEF">
        <w:rPr>
          <w:b/>
          <w:bCs/>
          <w:sz w:val="24"/>
          <w:szCs w:val="24"/>
          <w:lang w:eastAsia="en-AU"/>
        </w:rPr>
        <w:t xml:space="preserve"> package visit</w:t>
      </w:r>
      <w:r w:rsidR="00A30AEF">
        <w:rPr>
          <w:b/>
          <w:bCs/>
          <w:sz w:val="24"/>
          <w:szCs w:val="24"/>
          <w:lang w:eastAsia="en-AU"/>
        </w:rPr>
        <w:t xml:space="preserve">: </w:t>
      </w:r>
      <w:hyperlink r:id="rId20" w:history="1">
        <w:r w:rsidR="00A30AEF" w:rsidRPr="00822072">
          <w:rPr>
            <w:rStyle w:val="Hyperlink"/>
            <w:b/>
            <w:bCs/>
            <w:sz w:val="24"/>
            <w:szCs w:val="24"/>
          </w:rPr>
          <w:t>www.dewr.gov.au/workplace-relations</w:t>
        </w:r>
      </w:hyperlink>
      <w:r w:rsidR="00A30AEF">
        <w:rPr>
          <w:b/>
          <w:bCs/>
          <w:sz w:val="24"/>
          <w:szCs w:val="24"/>
        </w:rPr>
        <w:t>.</w:t>
      </w:r>
    </w:p>
    <w:p w14:paraId="0D1B4FE8" w14:textId="031A4983" w:rsidR="00066A6F" w:rsidRDefault="00066A6F" w:rsidP="00A30AEF">
      <w:pPr>
        <w:pStyle w:val="ListNumber"/>
        <w:spacing w:after="0"/>
        <w:ind w:left="0" w:firstLine="0"/>
      </w:pPr>
    </w:p>
    <w:p w14:paraId="2282E096" w14:textId="4977DDB6" w:rsidR="001954D1" w:rsidRDefault="001954D1" w:rsidP="00A30AEF">
      <w:pPr>
        <w:pStyle w:val="ListNumber"/>
        <w:spacing w:after="0"/>
        <w:ind w:left="0" w:firstLine="0"/>
      </w:pPr>
    </w:p>
    <w:sectPr w:rsidR="001954D1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AD50" w14:textId="77777777" w:rsidR="000B4323" w:rsidRDefault="000B4323" w:rsidP="00EE7FDA">
      <w:pPr>
        <w:spacing w:after="0"/>
      </w:pPr>
      <w:r>
        <w:separator/>
      </w:r>
    </w:p>
  </w:endnote>
  <w:endnote w:type="continuationSeparator" w:id="0">
    <w:p w14:paraId="2EF4E371" w14:textId="77777777" w:rsidR="000B4323" w:rsidRDefault="000B4323" w:rsidP="00EE7FDA">
      <w:pPr>
        <w:spacing w:after="0"/>
      </w:pPr>
      <w:r>
        <w:continuationSeparator/>
      </w:r>
    </w:p>
  </w:endnote>
  <w:endnote w:type="continuationNotice" w:id="1">
    <w:p w14:paraId="63608F9B" w14:textId="77777777" w:rsidR="000B4323" w:rsidRDefault="000B43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5091B77" w:rsidR="00105919" w:rsidRDefault="00782E5A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78120BC0" w:rsidR="00105919" w:rsidRDefault="00105919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484F" w14:textId="77777777" w:rsidR="000B4323" w:rsidRDefault="000B4323" w:rsidP="00D105E6">
      <w:pPr>
        <w:spacing w:after="60"/>
      </w:pPr>
      <w:r>
        <w:separator/>
      </w:r>
    </w:p>
  </w:footnote>
  <w:footnote w:type="continuationSeparator" w:id="0">
    <w:p w14:paraId="6A37BBAF" w14:textId="77777777" w:rsidR="000B4323" w:rsidRDefault="000B4323" w:rsidP="00EE7FDA">
      <w:pPr>
        <w:spacing w:after="0"/>
      </w:pPr>
      <w:r>
        <w:continuationSeparator/>
      </w:r>
    </w:p>
  </w:footnote>
  <w:footnote w:type="continuationNotice" w:id="1">
    <w:p w14:paraId="5627E036" w14:textId="77777777" w:rsidR="000B4323" w:rsidRDefault="000B43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41D"/>
    <w:multiLevelType w:val="hybridMultilevel"/>
    <w:tmpl w:val="98602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9AEB1"/>
    <w:multiLevelType w:val="hybridMultilevel"/>
    <w:tmpl w:val="366649DE"/>
    <w:lvl w:ilvl="0" w:tplc="2CBA2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EC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C1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8A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2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0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C6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0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4A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AC4"/>
    <w:multiLevelType w:val="hybridMultilevel"/>
    <w:tmpl w:val="2662E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39D"/>
    <w:multiLevelType w:val="hybridMultilevel"/>
    <w:tmpl w:val="4A147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3ED0"/>
    <w:multiLevelType w:val="hybridMultilevel"/>
    <w:tmpl w:val="05E8D7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224E2"/>
    <w:multiLevelType w:val="multilevel"/>
    <w:tmpl w:val="B10A65AC"/>
    <w:numStyleLink w:val="Style1"/>
  </w:abstractNum>
  <w:abstractNum w:abstractNumId="11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FF488D"/>
    <w:multiLevelType w:val="hybridMultilevel"/>
    <w:tmpl w:val="369C8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E76D9"/>
    <w:multiLevelType w:val="hybridMultilevel"/>
    <w:tmpl w:val="74D23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53EF4"/>
    <w:multiLevelType w:val="multilevel"/>
    <w:tmpl w:val="4C06E666"/>
    <w:numStyleLink w:val="RSCBNumberList1"/>
  </w:abstractNum>
  <w:abstractNum w:abstractNumId="16" w15:restartNumberingAfterBreak="0">
    <w:nsid w:val="3889116C"/>
    <w:multiLevelType w:val="hybridMultilevel"/>
    <w:tmpl w:val="DE420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73806"/>
    <w:multiLevelType w:val="hybridMultilevel"/>
    <w:tmpl w:val="0A968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0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52550"/>
    <w:multiLevelType w:val="hybridMultilevel"/>
    <w:tmpl w:val="7248A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D04F5"/>
    <w:multiLevelType w:val="multilevel"/>
    <w:tmpl w:val="4C06E666"/>
    <w:numStyleLink w:val="RSCBNumberList1"/>
  </w:abstractNum>
  <w:abstractNum w:abstractNumId="25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2C6219"/>
    <w:multiLevelType w:val="hybridMultilevel"/>
    <w:tmpl w:val="66A8A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711DC"/>
    <w:multiLevelType w:val="hybridMultilevel"/>
    <w:tmpl w:val="D2FEE6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30"/>
  </w:num>
  <w:num w:numId="5">
    <w:abstractNumId w:val="10"/>
  </w:num>
  <w:num w:numId="6">
    <w:abstractNumId w:val="3"/>
  </w:num>
  <w:num w:numId="7">
    <w:abstractNumId w:val="11"/>
  </w:num>
  <w:num w:numId="8">
    <w:abstractNumId w:val="4"/>
  </w:num>
  <w:num w:numId="9">
    <w:abstractNumId w:val="12"/>
  </w:num>
  <w:num w:numId="10">
    <w:abstractNumId w:val="15"/>
  </w:num>
  <w:num w:numId="11">
    <w:abstractNumId w:val="32"/>
  </w:num>
  <w:num w:numId="12">
    <w:abstractNumId w:val="31"/>
  </w:num>
  <w:num w:numId="13">
    <w:abstractNumId w:val="27"/>
  </w:num>
  <w:num w:numId="14">
    <w:abstractNumId w:val="0"/>
  </w:num>
  <w:num w:numId="15">
    <w:abstractNumId w:val="25"/>
  </w:num>
  <w:num w:numId="16">
    <w:abstractNumId w:val="29"/>
  </w:num>
  <w:num w:numId="17">
    <w:abstractNumId w:val="28"/>
  </w:num>
  <w:num w:numId="18">
    <w:abstractNumId w:val="23"/>
  </w:num>
  <w:num w:numId="19">
    <w:abstractNumId w:val="26"/>
  </w:num>
  <w:num w:numId="20">
    <w:abstractNumId w:val="9"/>
  </w:num>
  <w:num w:numId="21">
    <w:abstractNumId w:val="21"/>
  </w:num>
  <w:num w:numId="22">
    <w:abstractNumId w:val="8"/>
  </w:num>
  <w:num w:numId="23">
    <w:abstractNumId w:val="17"/>
  </w:num>
  <w:num w:numId="24">
    <w:abstractNumId w:val="20"/>
  </w:num>
  <w:num w:numId="25">
    <w:abstractNumId w:val="1"/>
  </w:num>
  <w:num w:numId="26">
    <w:abstractNumId w:val="13"/>
  </w:num>
  <w:num w:numId="27">
    <w:abstractNumId w:val="22"/>
  </w:num>
  <w:num w:numId="28">
    <w:abstractNumId w:val="34"/>
  </w:num>
  <w:num w:numId="29">
    <w:abstractNumId w:val="33"/>
  </w:num>
  <w:num w:numId="30">
    <w:abstractNumId w:val="6"/>
  </w:num>
  <w:num w:numId="31">
    <w:abstractNumId w:val="14"/>
  </w:num>
  <w:num w:numId="32">
    <w:abstractNumId w:val="5"/>
  </w:num>
  <w:num w:numId="33">
    <w:abstractNumId w:val="18"/>
  </w:num>
  <w:num w:numId="34">
    <w:abstractNumId w:val="16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436F"/>
    <w:rsid w:val="00011BA5"/>
    <w:rsid w:val="0001312B"/>
    <w:rsid w:val="000140CF"/>
    <w:rsid w:val="00015156"/>
    <w:rsid w:val="000237C8"/>
    <w:rsid w:val="000263FA"/>
    <w:rsid w:val="000334E7"/>
    <w:rsid w:val="00036946"/>
    <w:rsid w:val="00037765"/>
    <w:rsid w:val="00040F83"/>
    <w:rsid w:val="00051ECF"/>
    <w:rsid w:val="00052659"/>
    <w:rsid w:val="00052B07"/>
    <w:rsid w:val="00053705"/>
    <w:rsid w:val="0005373D"/>
    <w:rsid w:val="00061BCE"/>
    <w:rsid w:val="00061F26"/>
    <w:rsid w:val="00066369"/>
    <w:rsid w:val="00066A6F"/>
    <w:rsid w:val="00066B4F"/>
    <w:rsid w:val="00067725"/>
    <w:rsid w:val="00070509"/>
    <w:rsid w:val="000705A1"/>
    <w:rsid w:val="00074780"/>
    <w:rsid w:val="00090B52"/>
    <w:rsid w:val="0009541A"/>
    <w:rsid w:val="00097C45"/>
    <w:rsid w:val="000A4490"/>
    <w:rsid w:val="000A522E"/>
    <w:rsid w:val="000A717F"/>
    <w:rsid w:val="000B4323"/>
    <w:rsid w:val="000C0006"/>
    <w:rsid w:val="000C2420"/>
    <w:rsid w:val="000C64CD"/>
    <w:rsid w:val="000C7AB7"/>
    <w:rsid w:val="000D0B6A"/>
    <w:rsid w:val="000D3BF0"/>
    <w:rsid w:val="000D7C60"/>
    <w:rsid w:val="000E13F6"/>
    <w:rsid w:val="000E406E"/>
    <w:rsid w:val="000E4F9C"/>
    <w:rsid w:val="000E54B2"/>
    <w:rsid w:val="000F196D"/>
    <w:rsid w:val="000F47E3"/>
    <w:rsid w:val="00101C34"/>
    <w:rsid w:val="001045D7"/>
    <w:rsid w:val="001045EE"/>
    <w:rsid w:val="00105919"/>
    <w:rsid w:val="001060D5"/>
    <w:rsid w:val="001111ED"/>
    <w:rsid w:val="001125E6"/>
    <w:rsid w:val="001144EA"/>
    <w:rsid w:val="001148F7"/>
    <w:rsid w:val="00121716"/>
    <w:rsid w:val="001302FA"/>
    <w:rsid w:val="00135494"/>
    <w:rsid w:val="0013557F"/>
    <w:rsid w:val="00145A12"/>
    <w:rsid w:val="001508D0"/>
    <w:rsid w:val="00150E54"/>
    <w:rsid w:val="00154654"/>
    <w:rsid w:val="00155F8B"/>
    <w:rsid w:val="00157225"/>
    <w:rsid w:val="00157AA0"/>
    <w:rsid w:val="0016510A"/>
    <w:rsid w:val="00165A2C"/>
    <w:rsid w:val="00170D5A"/>
    <w:rsid w:val="00173467"/>
    <w:rsid w:val="00174C6E"/>
    <w:rsid w:val="00183476"/>
    <w:rsid w:val="00184D6E"/>
    <w:rsid w:val="00187CB5"/>
    <w:rsid w:val="001954D1"/>
    <w:rsid w:val="00195EF0"/>
    <w:rsid w:val="001A383F"/>
    <w:rsid w:val="001B2B7C"/>
    <w:rsid w:val="001B2F95"/>
    <w:rsid w:val="001B6D04"/>
    <w:rsid w:val="001C00E1"/>
    <w:rsid w:val="001C1018"/>
    <w:rsid w:val="001C3C14"/>
    <w:rsid w:val="001C6347"/>
    <w:rsid w:val="001C65BE"/>
    <w:rsid w:val="001C6F58"/>
    <w:rsid w:val="001D0432"/>
    <w:rsid w:val="001D1E8A"/>
    <w:rsid w:val="001D48C5"/>
    <w:rsid w:val="001D7875"/>
    <w:rsid w:val="001D7E45"/>
    <w:rsid w:val="001E0F69"/>
    <w:rsid w:val="001E27AF"/>
    <w:rsid w:val="001E63A0"/>
    <w:rsid w:val="001F444A"/>
    <w:rsid w:val="001F5B56"/>
    <w:rsid w:val="001F7332"/>
    <w:rsid w:val="00201259"/>
    <w:rsid w:val="0020290F"/>
    <w:rsid w:val="00202B9B"/>
    <w:rsid w:val="00212F21"/>
    <w:rsid w:val="00215463"/>
    <w:rsid w:val="00220A7D"/>
    <w:rsid w:val="00231E68"/>
    <w:rsid w:val="00234F39"/>
    <w:rsid w:val="002375F6"/>
    <w:rsid w:val="00243E97"/>
    <w:rsid w:val="00244DD6"/>
    <w:rsid w:val="002455D1"/>
    <w:rsid w:val="002462D7"/>
    <w:rsid w:val="00253AD5"/>
    <w:rsid w:val="00257065"/>
    <w:rsid w:val="00264208"/>
    <w:rsid w:val="002678F4"/>
    <w:rsid w:val="002706CB"/>
    <w:rsid w:val="002709E1"/>
    <w:rsid w:val="00275860"/>
    <w:rsid w:val="00275D69"/>
    <w:rsid w:val="002776C7"/>
    <w:rsid w:val="002861D3"/>
    <w:rsid w:val="00286836"/>
    <w:rsid w:val="00286F3C"/>
    <w:rsid w:val="002901CD"/>
    <w:rsid w:val="00292C35"/>
    <w:rsid w:val="00297572"/>
    <w:rsid w:val="002A0337"/>
    <w:rsid w:val="002C06BB"/>
    <w:rsid w:val="002C452F"/>
    <w:rsid w:val="002E766F"/>
    <w:rsid w:val="002F5414"/>
    <w:rsid w:val="00304DC2"/>
    <w:rsid w:val="00311DD6"/>
    <w:rsid w:val="00312C11"/>
    <w:rsid w:val="00312D5E"/>
    <w:rsid w:val="00312F55"/>
    <w:rsid w:val="0031425C"/>
    <w:rsid w:val="00315B51"/>
    <w:rsid w:val="00316088"/>
    <w:rsid w:val="003267A5"/>
    <w:rsid w:val="003279AF"/>
    <w:rsid w:val="0033070F"/>
    <w:rsid w:val="003324FC"/>
    <w:rsid w:val="003426EE"/>
    <w:rsid w:val="00350045"/>
    <w:rsid w:val="0036131B"/>
    <w:rsid w:val="003634D8"/>
    <w:rsid w:val="00366055"/>
    <w:rsid w:val="003759E8"/>
    <w:rsid w:val="00375E57"/>
    <w:rsid w:val="003820D4"/>
    <w:rsid w:val="003846CB"/>
    <w:rsid w:val="00390602"/>
    <w:rsid w:val="0039290A"/>
    <w:rsid w:val="003950B0"/>
    <w:rsid w:val="003A484B"/>
    <w:rsid w:val="003B13B2"/>
    <w:rsid w:val="003B324D"/>
    <w:rsid w:val="003B3810"/>
    <w:rsid w:val="003B5C52"/>
    <w:rsid w:val="003B735E"/>
    <w:rsid w:val="003C26B9"/>
    <w:rsid w:val="003D5F76"/>
    <w:rsid w:val="003D76DE"/>
    <w:rsid w:val="003E21F8"/>
    <w:rsid w:val="003E2BEA"/>
    <w:rsid w:val="003E44F1"/>
    <w:rsid w:val="003E4574"/>
    <w:rsid w:val="003F0100"/>
    <w:rsid w:val="003F0880"/>
    <w:rsid w:val="00400449"/>
    <w:rsid w:val="004120C4"/>
    <w:rsid w:val="00416770"/>
    <w:rsid w:val="00416E87"/>
    <w:rsid w:val="00421BD4"/>
    <w:rsid w:val="004246D8"/>
    <w:rsid w:val="00426E46"/>
    <w:rsid w:val="00430ADA"/>
    <w:rsid w:val="00433C50"/>
    <w:rsid w:val="00434DEF"/>
    <w:rsid w:val="00440F0C"/>
    <w:rsid w:val="00465AE0"/>
    <w:rsid w:val="0046637C"/>
    <w:rsid w:val="0046677D"/>
    <w:rsid w:val="004724F5"/>
    <w:rsid w:val="0047432C"/>
    <w:rsid w:val="0047619C"/>
    <w:rsid w:val="00483B56"/>
    <w:rsid w:val="004862D8"/>
    <w:rsid w:val="004867E7"/>
    <w:rsid w:val="004937CF"/>
    <w:rsid w:val="00495C08"/>
    <w:rsid w:val="004A35CA"/>
    <w:rsid w:val="004B3876"/>
    <w:rsid w:val="004B48A5"/>
    <w:rsid w:val="004B591B"/>
    <w:rsid w:val="004B5C18"/>
    <w:rsid w:val="004C13EC"/>
    <w:rsid w:val="004C15CD"/>
    <w:rsid w:val="004C16C4"/>
    <w:rsid w:val="004C4404"/>
    <w:rsid w:val="004C4CEF"/>
    <w:rsid w:val="004D00B2"/>
    <w:rsid w:val="004D02F2"/>
    <w:rsid w:val="004E6A59"/>
    <w:rsid w:val="004F2824"/>
    <w:rsid w:val="004F3CE3"/>
    <w:rsid w:val="004F5993"/>
    <w:rsid w:val="005001B0"/>
    <w:rsid w:val="005011B2"/>
    <w:rsid w:val="0050124A"/>
    <w:rsid w:val="00506012"/>
    <w:rsid w:val="00506474"/>
    <w:rsid w:val="00510416"/>
    <w:rsid w:val="00511996"/>
    <w:rsid w:val="00517064"/>
    <w:rsid w:val="00520CA0"/>
    <w:rsid w:val="00522E88"/>
    <w:rsid w:val="00534DC7"/>
    <w:rsid w:val="0054373F"/>
    <w:rsid w:val="00543880"/>
    <w:rsid w:val="0054594C"/>
    <w:rsid w:val="0055244B"/>
    <w:rsid w:val="0055355B"/>
    <w:rsid w:val="005565B8"/>
    <w:rsid w:val="00563129"/>
    <w:rsid w:val="0056338E"/>
    <w:rsid w:val="005656B5"/>
    <w:rsid w:val="00566A2E"/>
    <w:rsid w:val="005725B2"/>
    <w:rsid w:val="00573134"/>
    <w:rsid w:val="00575DFC"/>
    <w:rsid w:val="00577A33"/>
    <w:rsid w:val="005808AC"/>
    <w:rsid w:val="00582D06"/>
    <w:rsid w:val="005839F5"/>
    <w:rsid w:val="00584FCD"/>
    <w:rsid w:val="00586EA4"/>
    <w:rsid w:val="00592590"/>
    <w:rsid w:val="005961DC"/>
    <w:rsid w:val="00596376"/>
    <w:rsid w:val="005A2C56"/>
    <w:rsid w:val="005A6D28"/>
    <w:rsid w:val="005B50FE"/>
    <w:rsid w:val="005B58E3"/>
    <w:rsid w:val="005B7999"/>
    <w:rsid w:val="005C1A5D"/>
    <w:rsid w:val="005C2ABE"/>
    <w:rsid w:val="005C370D"/>
    <w:rsid w:val="005C4F4D"/>
    <w:rsid w:val="005C5ADE"/>
    <w:rsid w:val="005D150B"/>
    <w:rsid w:val="005D2489"/>
    <w:rsid w:val="005E7301"/>
    <w:rsid w:val="005F08A3"/>
    <w:rsid w:val="005F2BD1"/>
    <w:rsid w:val="005F4431"/>
    <w:rsid w:val="00602BF0"/>
    <w:rsid w:val="00602E0F"/>
    <w:rsid w:val="00605E7F"/>
    <w:rsid w:val="00610282"/>
    <w:rsid w:val="00612228"/>
    <w:rsid w:val="00616E51"/>
    <w:rsid w:val="00621902"/>
    <w:rsid w:val="00622E73"/>
    <w:rsid w:val="00623A78"/>
    <w:rsid w:val="0063350D"/>
    <w:rsid w:val="00640DF6"/>
    <w:rsid w:val="0064271B"/>
    <w:rsid w:val="0064304A"/>
    <w:rsid w:val="00645C6F"/>
    <w:rsid w:val="00646346"/>
    <w:rsid w:val="00650257"/>
    <w:rsid w:val="006541E2"/>
    <w:rsid w:val="00654A65"/>
    <w:rsid w:val="00655348"/>
    <w:rsid w:val="006560BD"/>
    <w:rsid w:val="006578DF"/>
    <w:rsid w:val="00657B92"/>
    <w:rsid w:val="00662557"/>
    <w:rsid w:val="00662F0D"/>
    <w:rsid w:val="00664B38"/>
    <w:rsid w:val="00677687"/>
    <w:rsid w:val="0068177E"/>
    <w:rsid w:val="00691F21"/>
    <w:rsid w:val="00696510"/>
    <w:rsid w:val="00696599"/>
    <w:rsid w:val="006A04E1"/>
    <w:rsid w:val="006A353B"/>
    <w:rsid w:val="006A4C5F"/>
    <w:rsid w:val="006A5206"/>
    <w:rsid w:val="006A74F6"/>
    <w:rsid w:val="006A7F82"/>
    <w:rsid w:val="006B206E"/>
    <w:rsid w:val="006B2D8D"/>
    <w:rsid w:val="006B6774"/>
    <w:rsid w:val="006C129A"/>
    <w:rsid w:val="006C185E"/>
    <w:rsid w:val="006C5EF4"/>
    <w:rsid w:val="006C64FC"/>
    <w:rsid w:val="006D0C00"/>
    <w:rsid w:val="006D1C6E"/>
    <w:rsid w:val="006D1E27"/>
    <w:rsid w:val="006D7710"/>
    <w:rsid w:val="006E0A48"/>
    <w:rsid w:val="006E0EBE"/>
    <w:rsid w:val="006E410A"/>
    <w:rsid w:val="006E48C7"/>
    <w:rsid w:val="006F1088"/>
    <w:rsid w:val="006F2229"/>
    <w:rsid w:val="006F3926"/>
    <w:rsid w:val="006F684E"/>
    <w:rsid w:val="00706143"/>
    <w:rsid w:val="00727EA9"/>
    <w:rsid w:val="00730110"/>
    <w:rsid w:val="00730B97"/>
    <w:rsid w:val="00731586"/>
    <w:rsid w:val="007327A3"/>
    <w:rsid w:val="00733A60"/>
    <w:rsid w:val="00736CD9"/>
    <w:rsid w:val="00736EE4"/>
    <w:rsid w:val="00737C1D"/>
    <w:rsid w:val="00742C97"/>
    <w:rsid w:val="007448F5"/>
    <w:rsid w:val="00752013"/>
    <w:rsid w:val="00766FDC"/>
    <w:rsid w:val="00770F4B"/>
    <w:rsid w:val="00774BA7"/>
    <w:rsid w:val="00782E5A"/>
    <w:rsid w:val="0078584C"/>
    <w:rsid w:val="00796603"/>
    <w:rsid w:val="007973F3"/>
    <w:rsid w:val="00797415"/>
    <w:rsid w:val="00797750"/>
    <w:rsid w:val="007A0752"/>
    <w:rsid w:val="007A3566"/>
    <w:rsid w:val="007A64DA"/>
    <w:rsid w:val="007B5246"/>
    <w:rsid w:val="007B6379"/>
    <w:rsid w:val="007B6CC4"/>
    <w:rsid w:val="007C39EE"/>
    <w:rsid w:val="007C3D4E"/>
    <w:rsid w:val="007C6E01"/>
    <w:rsid w:val="007C6E3A"/>
    <w:rsid w:val="007D1BB1"/>
    <w:rsid w:val="007D3811"/>
    <w:rsid w:val="007D4962"/>
    <w:rsid w:val="007D68AB"/>
    <w:rsid w:val="007E0686"/>
    <w:rsid w:val="007E0FE3"/>
    <w:rsid w:val="007E4934"/>
    <w:rsid w:val="007E72DF"/>
    <w:rsid w:val="007F04A7"/>
    <w:rsid w:val="007F63CC"/>
    <w:rsid w:val="00802607"/>
    <w:rsid w:val="0080594C"/>
    <w:rsid w:val="00806AF0"/>
    <w:rsid w:val="00806DD8"/>
    <w:rsid w:val="00807EDE"/>
    <w:rsid w:val="008119C9"/>
    <w:rsid w:val="008133E1"/>
    <w:rsid w:val="00813629"/>
    <w:rsid w:val="00817BD6"/>
    <w:rsid w:val="0082160B"/>
    <w:rsid w:val="00826059"/>
    <w:rsid w:val="0082623D"/>
    <w:rsid w:val="00827678"/>
    <w:rsid w:val="008305A2"/>
    <w:rsid w:val="00832F2D"/>
    <w:rsid w:val="00834133"/>
    <w:rsid w:val="0083422E"/>
    <w:rsid w:val="00834FE7"/>
    <w:rsid w:val="00837C28"/>
    <w:rsid w:val="008447BA"/>
    <w:rsid w:val="00860B17"/>
    <w:rsid w:val="008628ED"/>
    <w:rsid w:val="008676B9"/>
    <w:rsid w:val="00876539"/>
    <w:rsid w:val="00876CB0"/>
    <w:rsid w:val="00881B88"/>
    <w:rsid w:val="00884CEC"/>
    <w:rsid w:val="008873F4"/>
    <w:rsid w:val="008934FA"/>
    <w:rsid w:val="008942D6"/>
    <w:rsid w:val="00894C3D"/>
    <w:rsid w:val="00894F92"/>
    <w:rsid w:val="008A28DA"/>
    <w:rsid w:val="008A29C7"/>
    <w:rsid w:val="008B149E"/>
    <w:rsid w:val="008D0A96"/>
    <w:rsid w:val="008E02D5"/>
    <w:rsid w:val="008E25AE"/>
    <w:rsid w:val="008E5105"/>
    <w:rsid w:val="008E5C93"/>
    <w:rsid w:val="008E7760"/>
    <w:rsid w:val="008F24CE"/>
    <w:rsid w:val="00901219"/>
    <w:rsid w:val="0090731A"/>
    <w:rsid w:val="00910C6E"/>
    <w:rsid w:val="00914CB2"/>
    <w:rsid w:val="00917C35"/>
    <w:rsid w:val="009221C4"/>
    <w:rsid w:val="0092706C"/>
    <w:rsid w:val="00931FEE"/>
    <w:rsid w:val="00932461"/>
    <w:rsid w:val="00940C5A"/>
    <w:rsid w:val="009454D0"/>
    <w:rsid w:val="0095547E"/>
    <w:rsid w:val="00956B33"/>
    <w:rsid w:val="0095718B"/>
    <w:rsid w:val="00957D46"/>
    <w:rsid w:val="00961F5C"/>
    <w:rsid w:val="009718E4"/>
    <w:rsid w:val="00973379"/>
    <w:rsid w:val="00983403"/>
    <w:rsid w:val="0098348B"/>
    <w:rsid w:val="009915B8"/>
    <w:rsid w:val="00992ABA"/>
    <w:rsid w:val="00996070"/>
    <w:rsid w:val="00997BE6"/>
    <w:rsid w:val="009A39E3"/>
    <w:rsid w:val="009A3BC0"/>
    <w:rsid w:val="009A5183"/>
    <w:rsid w:val="009A56D8"/>
    <w:rsid w:val="009C1E11"/>
    <w:rsid w:val="009D079F"/>
    <w:rsid w:val="009D3318"/>
    <w:rsid w:val="009D3B88"/>
    <w:rsid w:val="009D695B"/>
    <w:rsid w:val="009D7870"/>
    <w:rsid w:val="009E38CB"/>
    <w:rsid w:val="009E4A88"/>
    <w:rsid w:val="009F652B"/>
    <w:rsid w:val="009F67A7"/>
    <w:rsid w:val="00A112E2"/>
    <w:rsid w:val="00A12F91"/>
    <w:rsid w:val="00A159E9"/>
    <w:rsid w:val="00A16030"/>
    <w:rsid w:val="00A1654A"/>
    <w:rsid w:val="00A17950"/>
    <w:rsid w:val="00A17EC7"/>
    <w:rsid w:val="00A23D73"/>
    <w:rsid w:val="00A26E2C"/>
    <w:rsid w:val="00A30AEF"/>
    <w:rsid w:val="00A34D39"/>
    <w:rsid w:val="00A368EF"/>
    <w:rsid w:val="00A471F5"/>
    <w:rsid w:val="00A472C9"/>
    <w:rsid w:val="00A513A6"/>
    <w:rsid w:val="00A54363"/>
    <w:rsid w:val="00A57FDE"/>
    <w:rsid w:val="00A61ACD"/>
    <w:rsid w:val="00A62B77"/>
    <w:rsid w:val="00A644AA"/>
    <w:rsid w:val="00A705BF"/>
    <w:rsid w:val="00A70EEB"/>
    <w:rsid w:val="00A713BC"/>
    <w:rsid w:val="00A71FCE"/>
    <w:rsid w:val="00A7243A"/>
    <w:rsid w:val="00A72FE3"/>
    <w:rsid w:val="00A742B3"/>
    <w:rsid w:val="00A74FD2"/>
    <w:rsid w:val="00A81FB9"/>
    <w:rsid w:val="00A82BDB"/>
    <w:rsid w:val="00A834B9"/>
    <w:rsid w:val="00A95FD7"/>
    <w:rsid w:val="00A97AD4"/>
    <w:rsid w:val="00AA03F6"/>
    <w:rsid w:val="00AA2FD8"/>
    <w:rsid w:val="00AA7796"/>
    <w:rsid w:val="00AB48AF"/>
    <w:rsid w:val="00AB49D3"/>
    <w:rsid w:val="00AB6483"/>
    <w:rsid w:val="00AC16B5"/>
    <w:rsid w:val="00AC5D30"/>
    <w:rsid w:val="00AD0DCE"/>
    <w:rsid w:val="00AF126F"/>
    <w:rsid w:val="00AF251E"/>
    <w:rsid w:val="00AF6772"/>
    <w:rsid w:val="00AF6898"/>
    <w:rsid w:val="00B00423"/>
    <w:rsid w:val="00B00D0D"/>
    <w:rsid w:val="00B17204"/>
    <w:rsid w:val="00B226B6"/>
    <w:rsid w:val="00B32248"/>
    <w:rsid w:val="00B36507"/>
    <w:rsid w:val="00B47904"/>
    <w:rsid w:val="00B51672"/>
    <w:rsid w:val="00B550FE"/>
    <w:rsid w:val="00B56267"/>
    <w:rsid w:val="00B6048B"/>
    <w:rsid w:val="00B641E5"/>
    <w:rsid w:val="00B65528"/>
    <w:rsid w:val="00B77F4D"/>
    <w:rsid w:val="00B80933"/>
    <w:rsid w:val="00B81A68"/>
    <w:rsid w:val="00B913E1"/>
    <w:rsid w:val="00B920D8"/>
    <w:rsid w:val="00B95A46"/>
    <w:rsid w:val="00B977C5"/>
    <w:rsid w:val="00BA2CA7"/>
    <w:rsid w:val="00BA3AE2"/>
    <w:rsid w:val="00BA48C8"/>
    <w:rsid w:val="00BA5A1E"/>
    <w:rsid w:val="00BB37A0"/>
    <w:rsid w:val="00BB57FE"/>
    <w:rsid w:val="00BB6C6F"/>
    <w:rsid w:val="00BC7DBC"/>
    <w:rsid w:val="00BD48E2"/>
    <w:rsid w:val="00BD5823"/>
    <w:rsid w:val="00BD6E26"/>
    <w:rsid w:val="00BE133B"/>
    <w:rsid w:val="00BE19F8"/>
    <w:rsid w:val="00BE54EE"/>
    <w:rsid w:val="00BE5F93"/>
    <w:rsid w:val="00BE6D94"/>
    <w:rsid w:val="00BF07B1"/>
    <w:rsid w:val="00BF2EE7"/>
    <w:rsid w:val="00BF41AE"/>
    <w:rsid w:val="00BF7BDF"/>
    <w:rsid w:val="00C00333"/>
    <w:rsid w:val="00C04E0C"/>
    <w:rsid w:val="00C0510B"/>
    <w:rsid w:val="00C0634B"/>
    <w:rsid w:val="00C206A8"/>
    <w:rsid w:val="00C21177"/>
    <w:rsid w:val="00C21EB0"/>
    <w:rsid w:val="00C22A87"/>
    <w:rsid w:val="00C230BC"/>
    <w:rsid w:val="00C27D99"/>
    <w:rsid w:val="00C30A1E"/>
    <w:rsid w:val="00C40591"/>
    <w:rsid w:val="00C40807"/>
    <w:rsid w:val="00C40C2C"/>
    <w:rsid w:val="00C416DB"/>
    <w:rsid w:val="00C418B7"/>
    <w:rsid w:val="00C50AA1"/>
    <w:rsid w:val="00C528F7"/>
    <w:rsid w:val="00C52FE2"/>
    <w:rsid w:val="00C53C89"/>
    <w:rsid w:val="00C55508"/>
    <w:rsid w:val="00C55BEA"/>
    <w:rsid w:val="00C65EDF"/>
    <w:rsid w:val="00C66B71"/>
    <w:rsid w:val="00C67D89"/>
    <w:rsid w:val="00C7116D"/>
    <w:rsid w:val="00C77791"/>
    <w:rsid w:val="00C81E1F"/>
    <w:rsid w:val="00C823AB"/>
    <w:rsid w:val="00C82B50"/>
    <w:rsid w:val="00C8614B"/>
    <w:rsid w:val="00C91D7F"/>
    <w:rsid w:val="00C9378E"/>
    <w:rsid w:val="00C96915"/>
    <w:rsid w:val="00CA58E0"/>
    <w:rsid w:val="00CA5AA1"/>
    <w:rsid w:val="00CB1723"/>
    <w:rsid w:val="00CB5B0D"/>
    <w:rsid w:val="00CC1535"/>
    <w:rsid w:val="00CD10B4"/>
    <w:rsid w:val="00CD16C4"/>
    <w:rsid w:val="00CD38C9"/>
    <w:rsid w:val="00CD5F0D"/>
    <w:rsid w:val="00CF31C4"/>
    <w:rsid w:val="00CF326D"/>
    <w:rsid w:val="00CF6EBF"/>
    <w:rsid w:val="00CF70DB"/>
    <w:rsid w:val="00CF96F4"/>
    <w:rsid w:val="00D0041D"/>
    <w:rsid w:val="00D105E6"/>
    <w:rsid w:val="00D17FDD"/>
    <w:rsid w:val="00D21258"/>
    <w:rsid w:val="00D32A6B"/>
    <w:rsid w:val="00D3714A"/>
    <w:rsid w:val="00D40A61"/>
    <w:rsid w:val="00D431AE"/>
    <w:rsid w:val="00D431CF"/>
    <w:rsid w:val="00D45EB7"/>
    <w:rsid w:val="00D46EE7"/>
    <w:rsid w:val="00D50DDF"/>
    <w:rsid w:val="00D52CA9"/>
    <w:rsid w:val="00D54D58"/>
    <w:rsid w:val="00D60FB3"/>
    <w:rsid w:val="00D6456F"/>
    <w:rsid w:val="00D67964"/>
    <w:rsid w:val="00D73E60"/>
    <w:rsid w:val="00D84DC0"/>
    <w:rsid w:val="00D84F13"/>
    <w:rsid w:val="00D910F9"/>
    <w:rsid w:val="00D9191D"/>
    <w:rsid w:val="00D97626"/>
    <w:rsid w:val="00D978FA"/>
    <w:rsid w:val="00D97ACA"/>
    <w:rsid w:val="00DA1D11"/>
    <w:rsid w:val="00DA3AC9"/>
    <w:rsid w:val="00DA46BB"/>
    <w:rsid w:val="00DA61EC"/>
    <w:rsid w:val="00DB3DE4"/>
    <w:rsid w:val="00DB57DA"/>
    <w:rsid w:val="00DB5852"/>
    <w:rsid w:val="00DB750D"/>
    <w:rsid w:val="00DC1632"/>
    <w:rsid w:val="00DC4503"/>
    <w:rsid w:val="00DC7600"/>
    <w:rsid w:val="00DC7821"/>
    <w:rsid w:val="00DD2FB5"/>
    <w:rsid w:val="00DD4EBE"/>
    <w:rsid w:val="00DD5FE5"/>
    <w:rsid w:val="00DE0690"/>
    <w:rsid w:val="00DE1663"/>
    <w:rsid w:val="00DE3067"/>
    <w:rsid w:val="00DE35C9"/>
    <w:rsid w:val="00DF0B8A"/>
    <w:rsid w:val="00DF41D2"/>
    <w:rsid w:val="00DF4483"/>
    <w:rsid w:val="00DF60E1"/>
    <w:rsid w:val="00DF6830"/>
    <w:rsid w:val="00E00CEB"/>
    <w:rsid w:val="00E02BA1"/>
    <w:rsid w:val="00E0320C"/>
    <w:rsid w:val="00E04579"/>
    <w:rsid w:val="00E10613"/>
    <w:rsid w:val="00E12020"/>
    <w:rsid w:val="00E125C1"/>
    <w:rsid w:val="00E160D3"/>
    <w:rsid w:val="00E21491"/>
    <w:rsid w:val="00E22C95"/>
    <w:rsid w:val="00E2467A"/>
    <w:rsid w:val="00E267C5"/>
    <w:rsid w:val="00E30C80"/>
    <w:rsid w:val="00E31007"/>
    <w:rsid w:val="00E31B96"/>
    <w:rsid w:val="00E33CF2"/>
    <w:rsid w:val="00E35761"/>
    <w:rsid w:val="00E367E5"/>
    <w:rsid w:val="00E4110E"/>
    <w:rsid w:val="00E413D5"/>
    <w:rsid w:val="00E420A4"/>
    <w:rsid w:val="00E540DB"/>
    <w:rsid w:val="00E55470"/>
    <w:rsid w:val="00E560B8"/>
    <w:rsid w:val="00E56D04"/>
    <w:rsid w:val="00E575AE"/>
    <w:rsid w:val="00E63789"/>
    <w:rsid w:val="00E66715"/>
    <w:rsid w:val="00E712AF"/>
    <w:rsid w:val="00E73495"/>
    <w:rsid w:val="00E75475"/>
    <w:rsid w:val="00E75FB6"/>
    <w:rsid w:val="00E814A0"/>
    <w:rsid w:val="00E92F5D"/>
    <w:rsid w:val="00EA0F14"/>
    <w:rsid w:val="00EA19EB"/>
    <w:rsid w:val="00EA4932"/>
    <w:rsid w:val="00EA4D53"/>
    <w:rsid w:val="00EA73AE"/>
    <w:rsid w:val="00EA75E1"/>
    <w:rsid w:val="00EB4550"/>
    <w:rsid w:val="00EB5227"/>
    <w:rsid w:val="00EC0BCB"/>
    <w:rsid w:val="00EC4486"/>
    <w:rsid w:val="00EC63BF"/>
    <w:rsid w:val="00ED0464"/>
    <w:rsid w:val="00ED37CD"/>
    <w:rsid w:val="00ED3F85"/>
    <w:rsid w:val="00ED5B98"/>
    <w:rsid w:val="00ED6545"/>
    <w:rsid w:val="00EE2C4A"/>
    <w:rsid w:val="00EE511B"/>
    <w:rsid w:val="00EE59F7"/>
    <w:rsid w:val="00EE68B6"/>
    <w:rsid w:val="00EE7931"/>
    <w:rsid w:val="00EE7FDA"/>
    <w:rsid w:val="00EF0B67"/>
    <w:rsid w:val="00EF27F0"/>
    <w:rsid w:val="00F026EA"/>
    <w:rsid w:val="00F0307A"/>
    <w:rsid w:val="00F07138"/>
    <w:rsid w:val="00F07F35"/>
    <w:rsid w:val="00F121AC"/>
    <w:rsid w:val="00F127A5"/>
    <w:rsid w:val="00F23048"/>
    <w:rsid w:val="00F230D1"/>
    <w:rsid w:val="00F23C4B"/>
    <w:rsid w:val="00F25A17"/>
    <w:rsid w:val="00F33AA2"/>
    <w:rsid w:val="00F36B35"/>
    <w:rsid w:val="00F37CB9"/>
    <w:rsid w:val="00F402CA"/>
    <w:rsid w:val="00F42FE3"/>
    <w:rsid w:val="00F4419F"/>
    <w:rsid w:val="00F443AC"/>
    <w:rsid w:val="00F4482D"/>
    <w:rsid w:val="00F53C50"/>
    <w:rsid w:val="00F5432E"/>
    <w:rsid w:val="00F54B75"/>
    <w:rsid w:val="00F55BB9"/>
    <w:rsid w:val="00F621E9"/>
    <w:rsid w:val="00F667A4"/>
    <w:rsid w:val="00F679D5"/>
    <w:rsid w:val="00F70E81"/>
    <w:rsid w:val="00F72D2F"/>
    <w:rsid w:val="00F75E41"/>
    <w:rsid w:val="00F85805"/>
    <w:rsid w:val="00F91297"/>
    <w:rsid w:val="00F9175D"/>
    <w:rsid w:val="00F92D4F"/>
    <w:rsid w:val="00FA1736"/>
    <w:rsid w:val="00FA31C3"/>
    <w:rsid w:val="00FB3BBB"/>
    <w:rsid w:val="00FB6FE7"/>
    <w:rsid w:val="00FB71F2"/>
    <w:rsid w:val="00FC08E2"/>
    <w:rsid w:val="00FC0B02"/>
    <w:rsid w:val="00FC3F46"/>
    <w:rsid w:val="00FD2C2B"/>
    <w:rsid w:val="00FD6726"/>
    <w:rsid w:val="00FD6FF6"/>
    <w:rsid w:val="00FE030E"/>
    <w:rsid w:val="00FE0BBC"/>
    <w:rsid w:val="00FE20DC"/>
    <w:rsid w:val="00FE7B7A"/>
    <w:rsid w:val="00FF5068"/>
    <w:rsid w:val="00FF73BA"/>
    <w:rsid w:val="01740ED0"/>
    <w:rsid w:val="01FB3846"/>
    <w:rsid w:val="0212722E"/>
    <w:rsid w:val="0271B69D"/>
    <w:rsid w:val="0280A3AE"/>
    <w:rsid w:val="03F33508"/>
    <w:rsid w:val="049B499F"/>
    <w:rsid w:val="051A0E53"/>
    <w:rsid w:val="052993DE"/>
    <w:rsid w:val="05A935B1"/>
    <w:rsid w:val="05FC0C6F"/>
    <w:rsid w:val="0619AB7B"/>
    <w:rsid w:val="064D0125"/>
    <w:rsid w:val="06830BB3"/>
    <w:rsid w:val="07130881"/>
    <w:rsid w:val="0715C0E4"/>
    <w:rsid w:val="07EAA641"/>
    <w:rsid w:val="086E1C2B"/>
    <w:rsid w:val="0A163777"/>
    <w:rsid w:val="0A35E27C"/>
    <w:rsid w:val="0B389F52"/>
    <w:rsid w:val="0B6987C7"/>
    <w:rsid w:val="0C0DB2D5"/>
    <w:rsid w:val="0D38D0FF"/>
    <w:rsid w:val="0E40EEAC"/>
    <w:rsid w:val="0EFDFFDC"/>
    <w:rsid w:val="0F29A9D5"/>
    <w:rsid w:val="0FD0809C"/>
    <w:rsid w:val="100CFA0B"/>
    <w:rsid w:val="109B2D31"/>
    <w:rsid w:val="10A07424"/>
    <w:rsid w:val="10ABCE0C"/>
    <w:rsid w:val="1114F2F6"/>
    <w:rsid w:val="11C19419"/>
    <w:rsid w:val="11CAB13A"/>
    <w:rsid w:val="12F0CB97"/>
    <w:rsid w:val="140F1D88"/>
    <w:rsid w:val="14191D23"/>
    <w:rsid w:val="14235104"/>
    <w:rsid w:val="1521DC0A"/>
    <w:rsid w:val="156352CB"/>
    <w:rsid w:val="162CDCA3"/>
    <w:rsid w:val="166D447D"/>
    <w:rsid w:val="16EB5F49"/>
    <w:rsid w:val="16F3BC44"/>
    <w:rsid w:val="16F94A90"/>
    <w:rsid w:val="1722136A"/>
    <w:rsid w:val="1A130543"/>
    <w:rsid w:val="1AE91A6D"/>
    <w:rsid w:val="1B00EC24"/>
    <w:rsid w:val="1B30906F"/>
    <w:rsid w:val="1C612C27"/>
    <w:rsid w:val="1C9CCC74"/>
    <w:rsid w:val="1D172A1D"/>
    <w:rsid w:val="1EE83574"/>
    <w:rsid w:val="205D6A2E"/>
    <w:rsid w:val="20B111AA"/>
    <w:rsid w:val="20F52FFD"/>
    <w:rsid w:val="215D635F"/>
    <w:rsid w:val="234C378E"/>
    <w:rsid w:val="23A3C6A3"/>
    <w:rsid w:val="243B547D"/>
    <w:rsid w:val="2526F083"/>
    <w:rsid w:val="2530BA26"/>
    <w:rsid w:val="2532C238"/>
    <w:rsid w:val="25ACC7C5"/>
    <w:rsid w:val="25B03631"/>
    <w:rsid w:val="2632F322"/>
    <w:rsid w:val="2698CBD1"/>
    <w:rsid w:val="2781C429"/>
    <w:rsid w:val="27D3C467"/>
    <w:rsid w:val="28BF70DD"/>
    <w:rsid w:val="28CB44B8"/>
    <w:rsid w:val="2B20635D"/>
    <w:rsid w:val="2BCDE8A4"/>
    <w:rsid w:val="2C480E0E"/>
    <w:rsid w:val="2C97D867"/>
    <w:rsid w:val="2DADC043"/>
    <w:rsid w:val="2F675030"/>
    <w:rsid w:val="30BE7AD2"/>
    <w:rsid w:val="30E23594"/>
    <w:rsid w:val="322E2415"/>
    <w:rsid w:val="32750D0A"/>
    <w:rsid w:val="334550DD"/>
    <w:rsid w:val="3398A091"/>
    <w:rsid w:val="3492D6CC"/>
    <w:rsid w:val="359A335F"/>
    <w:rsid w:val="35E3E9F2"/>
    <w:rsid w:val="36371BC2"/>
    <w:rsid w:val="369B642C"/>
    <w:rsid w:val="382EBA8A"/>
    <w:rsid w:val="38308595"/>
    <w:rsid w:val="38511BEC"/>
    <w:rsid w:val="38A44A36"/>
    <w:rsid w:val="39E4DCCC"/>
    <w:rsid w:val="39EE0FE7"/>
    <w:rsid w:val="3A5B0F82"/>
    <w:rsid w:val="3B3EB53D"/>
    <w:rsid w:val="3BC9E261"/>
    <w:rsid w:val="3C009F08"/>
    <w:rsid w:val="3C2389FE"/>
    <w:rsid w:val="3C260223"/>
    <w:rsid w:val="3CA029B1"/>
    <w:rsid w:val="3E224786"/>
    <w:rsid w:val="3F4CA083"/>
    <w:rsid w:val="3FF0A711"/>
    <w:rsid w:val="41C374C8"/>
    <w:rsid w:val="4250ED0A"/>
    <w:rsid w:val="42ACCA5B"/>
    <w:rsid w:val="43DF8F8E"/>
    <w:rsid w:val="43E0CA71"/>
    <w:rsid w:val="440689E5"/>
    <w:rsid w:val="44AFA5D4"/>
    <w:rsid w:val="44E3C78F"/>
    <w:rsid w:val="4771344A"/>
    <w:rsid w:val="48FA9E60"/>
    <w:rsid w:val="4986F0D5"/>
    <w:rsid w:val="49BA8D4F"/>
    <w:rsid w:val="4A4F9F71"/>
    <w:rsid w:val="4A9E25DA"/>
    <w:rsid w:val="4AA3F8DF"/>
    <w:rsid w:val="4B3F4019"/>
    <w:rsid w:val="4BC90AAE"/>
    <w:rsid w:val="4CA54C34"/>
    <w:rsid w:val="4D46B254"/>
    <w:rsid w:val="4D6EEB9C"/>
    <w:rsid w:val="4D979B1F"/>
    <w:rsid w:val="4E0A91DF"/>
    <w:rsid w:val="4E80FFCD"/>
    <w:rsid w:val="50AE45F0"/>
    <w:rsid w:val="522AFA5B"/>
    <w:rsid w:val="524EFFEA"/>
    <w:rsid w:val="52504311"/>
    <w:rsid w:val="52767403"/>
    <w:rsid w:val="528C38BF"/>
    <w:rsid w:val="52B6C36A"/>
    <w:rsid w:val="56363E9B"/>
    <w:rsid w:val="56546423"/>
    <w:rsid w:val="569AC787"/>
    <w:rsid w:val="56C90EAB"/>
    <w:rsid w:val="5715B784"/>
    <w:rsid w:val="575BAA7D"/>
    <w:rsid w:val="579CBD1F"/>
    <w:rsid w:val="5883D067"/>
    <w:rsid w:val="592E6A9B"/>
    <w:rsid w:val="5B051FFC"/>
    <w:rsid w:val="5B49A9DF"/>
    <w:rsid w:val="5B92B756"/>
    <w:rsid w:val="5CDD00D5"/>
    <w:rsid w:val="5EB3FBC2"/>
    <w:rsid w:val="5F6489AE"/>
    <w:rsid w:val="600ABCDC"/>
    <w:rsid w:val="6018390D"/>
    <w:rsid w:val="60CD2B4A"/>
    <w:rsid w:val="62A9B958"/>
    <w:rsid w:val="62B8E175"/>
    <w:rsid w:val="635C4600"/>
    <w:rsid w:val="63924B86"/>
    <w:rsid w:val="63EB6123"/>
    <w:rsid w:val="650625DA"/>
    <w:rsid w:val="6506A723"/>
    <w:rsid w:val="66447F85"/>
    <w:rsid w:val="66FC4F4D"/>
    <w:rsid w:val="68B53DB5"/>
    <w:rsid w:val="692BE170"/>
    <w:rsid w:val="6A2A1E4F"/>
    <w:rsid w:val="6AEBCB1B"/>
    <w:rsid w:val="6B4EFB9E"/>
    <w:rsid w:val="6B7091C3"/>
    <w:rsid w:val="6BC5EEB0"/>
    <w:rsid w:val="6C88C695"/>
    <w:rsid w:val="6CA98CC1"/>
    <w:rsid w:val="6F1BE2DC"/>
    <w:rsid w:val="7028F5AC"/>
    <w:rsid w:val="70971011"/>
    <w:rsid w:val="7105EB57"/>
    <w:rsid w:val="716FA3D8"/>
    <w:rsid w:val="750FE09A"/>
    <w:rsid w:val="7535C1C7"/>
    <w:rsid w:val="756627A2"/>
    <w:rsid w:val="7590EB3C"/>
    <w:rsid w:val="7655F100"/>
    <w:rsid w:val="767A79DD"/>
    <w:rsid w:val="76E664D9"/>
    <w:rsid w:val="770AB48C"/>
    <w:rsid w:val="780AB013"/>
    <w:rsid w:val="782703EC"/>
    <w:rsid w:val="7850708D"/>
    <w:rsid w:val="78A77BC9"/>
    <w:rsid w:val="7C0A7186"/>
    <w:rsid w:val="7CD14FFC"/>
    <w:rsid w:val="7D2F9947"/>
    <w:rsid w:val="7D6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9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2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5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5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6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7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8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8AB"/>
    <w:rPr>
      <w:b/>
      <w:bCs/>
      <w:sz w:val="20"/>
      <w:szCs w:val="20"/>
    </w:rPr>
  </w:style>
  <w:style w:type="character" w:customStyle="1" w:styleId="TOCLevel2Char">
    <w:name w:val="TOCLevel2 Char"/>
    <w:basedOn w:val="DefaultParagraphFont"/>
    <w:link w:val="TOCLevel2"/>
    <w:uiPriority w:val="98"/>
    <w:locked/>
    <w:rsid w:val="007D68AB"/>
    <w:rPr>
      <w:rFonts w:ascii="Arial" w:eastAsiaTheme="majorEastAsia" w:hAnsi="Arial" w:cstheme="majorBidi"/>
      <w:b/>
      <w:bCs/>
      <w:color w:val="003865"/>
      <w:sz w:val="24"/>
      <w:szCs w:val="28"/>
    </w:rPr>
  </w:style>
  <w:style w:type="paragraph" w:customStyle="1" w:styleId="TOCLevel2">
    <w:name w:val="TOCLevel2"/>
    <w:basedOn w:val="Normal"/>
    <w:link w:val="TOCLevel2Char"/>
    <w:uiPriority w:val="98"/>
    <w:qFormat/>
    <w:rsid w:val="007D68AB"/>
    <w:pPr>
      <w:keepNext/>
      <w:keepLines/>
      <w:tabs>
        <w:tab w:val="left" w:pos="567"/>
      </w:tabs>
      <w:spacing w:before="240" w:after="200" w:line="240" w:lineRule="auto"/>
      <w:jc w:val="center"/>
      <w:outlineLvl w:val="0"/>
    </w:pPr>
    <w:rPr>
      <w:rFonts w:ascii="Arial" w:eastAsiaTheme="majorEastAsia" w:hAnsi="Arial" w:cstheme="majorBidi"/>
      <w:b/>
      <w:bCs/>
      <w:color w:val="003865"/>
      <w:sz w:val="24"/>
      <w:szCs w:val="2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Links>
    <vt:vector size="6" baseType="variant"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http://www.dewr.gov.au/workplace-relations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2022-12-07T05:41:00Z</dcterms:created>
  <dcterms:modified xsi:type="dcterms:W3CDTF">2022-12-07T06:19:00Z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2022-12-07T05:41:55Z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45e95d39-80df-4214-9cc5-59e19174ce1b</vt:lpwstr>
  </property>
  <property fmtid="{D5CDD505-2E9C-101B-9397-08002B2CF9AE}" pid="8" name="MSIP_Label_5f877481-9e35-4b68-b667-876a73c6db41_ContentBits">
    <vt:lpwstr>0</vt:lpwstr>
  </property>
</Properties>
</file>