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27A3A1" w14:textId="75B520C1" w:rsidR="00DF7786" w:rsidRDefault="00DF7786" w:rsidP="00DF7786">
      <w:pPr>
        <w:pStyle w:val="BodyText"/>
        <w:jc w:val="center"/>
        <w:rPr>
          <w:rFonts w:eastAsiaTheme="minorHAnsi"/>
          <w:b/>
          <w:sz w:val="32"/>
          <w:szCs w:val="32"/>
        </w:rPr>
      </w:pPr>
      <w:bookmarkStart w:id="0" w:name="_GoBack"/>
      <w:bookmarkEnd w:id="0"/>
      <w:r>
        <w:rPr>
          <w:rFonts w:eastAsiaTheme="minorHAnsi"/>
          <w:b/>
          <w:noProof/>
          <w:sz w:val="32"/>
          <w:szCs w:val="32"/>
          <w:lang w:eastAsia="en-AU"/>
        </w:rPr>
        <w:drawing>
          <wp:inline distT="0" distB="0" distL="0" distR="0" wp14:anchorId="60673275" wp14:editId="447FCBAA">
            <wp:extent cx="762000" cy="76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pic:spPr>
                </pic:pic>
              </a:graphicData>
            </a:graphic>
          </wp:inline>
        </w:drawing>
      </w:r>
    </w:p>
    <w:p w14:paraId="36DE496A" w14:textId="77777777" w:rsidR="00DF7786" w:rsidRDefault="00DF7786" w:rsidP="005755D8">
      <w:pPr>
        <w:pStyle w:val="BodyText"/>
        <w:spacing w:after="0"/>
        <w:jc w:val="both"/>
        <w:rPr>
          <w:rFonts w:eastAsiaTheme="minorHAnsi"/>
          <w:b/>
          <w:sz w:val="32"/>
          <w:szCs w:val="32"/>
        </w:rPr>
      </w:pPr>
    </w:p>
    <w:p w14:paraId="4F838A19" w14:textId="1FD31CB9" w:rsidR="00DE3B88" w:rsidRDefault="00DF7786" w:rsidP="00DF7786">
      <w:pPr>
        <w:pStyle w:val="BodyText"/>
        <w:jc w:val="center"/>
        <w:rPr>
          <w:rFonts w:eastAsiaTheme="minorHAnsi"/>
          <w:b/>
          <w:sz w:val="32"/>
          <w:szCs w:val="32"/>
        </w:rPr>
      </w:pPr>
      <w:r w:rsidRPr="001647BF">
        <w:rPr>
          <w:rFonts w:eastAsiaTheme="minorHAnsi"/>
          <w:b/>
          <w:sz w:val="32"/>
          <w:szCs w:val="32"/>
        </w:rPr>
        <w:t>Submission</w:t>
      </w:r>
      <w:r>
        <w:rPr>
          <w:rFonts w:eastAsiaTheme="minorHAnsi"/>
          <w:b/>
          <w:sz w:val="32"/>
          <w:szCs w:val="32"/>
        </w:rPr>
        <w:t xml:space="preserve"> of the </w:t>
      </w:r>
      <w:r w:rsidR="00F20279">
        <w:rPr>
          <w:rFonts w:eastAsiaTheme="minorHAnsi"/>
          <w:b/>
          <w:sz w:val="32"/>
          <w:szCs w:val="32"/>
        </w:rPr>
        <w:br/>
      </w:r>
      <w:r w:rsidR="00DE3B88" w:rsidRPr="001647BF">
        <w:rPr>
          <w:rFonts w:eastAsiaTheme="minorHAnsi"/>
          <w:b/>
          <w:sz w:val="32"/>
          <w:szCs w:val="32"/>
        </w:rPr>
        <w:t>Western Australian Government</w:t>
      </w:r>
    </w:p>
    <w:p w14:paraId="0455B5D4" w14:textId="3CB7FD7D" w:rsidR="00DE3B88" w:rsidRDefault="00DE3B88" w:rsidP="00DF7786">
      <w:pPr>
        <w:pStyle w:val="BodyText"/>
        <w:spacing w:after="240" w:line="240" w:lineRule="auto"/>
        <w:jc w:val="center"/>
        <w:rPr>
          <w:rFonts w:eastAsiaTheme="minorHAnsi"/>
          <w:b/>
          <w:iCs/>
        </w:rPr>
      </w:pPr>
      <w:r w:rsidRPr="001647BF">
        <w:rPr>
          <w:rFonts w:eastAsiaTheme="minorHAnsi"/>
          <w:b/>
        </w:rPr>
        <w:t xml:space="preserve">Attorney General’s Department Discussion Paper </w:t>
      </w:r>
      <w:r w:rsidR="00735D24">
        <w:rPr>
          <w:rFonts w:eastAsiaTheme="minorHAnsi"/>
          <w:b/>
        </w:rPr>
        <w:br/>
      </w:r>
      <w:r w:rsidRPr="000C030A">
        <w:rPr>
          <w:rFonts w:eastAsiaTheme="minorHAnsi"/>
          <w:b/>
          <w:iCs/>
        </w:rPr>
        <w:t xml:space="preserve">Improving protections of employees' wages and entitlements: </w:t>
      </w:r>
      <w:r w:rsidR="00DF7786">
        <w:rPr>
          <w:rFonts w:eastAsiaTheme="minorHAnsi"/>
          <w:b/>
          <w:iCs/>
        </w:rPr>
        <w:br/>
      </w:r>
      <w:r w:rsidR="00B6482D">
        <w:rPr>
          <w:rFonts w:eastAsiaTheme="minorHAnsi"/>
          <w:b/>
          <w:iCs/>
        </w:rPr>
        <w:t>s</w:t>
      </w:r>
      <w:r w:rsidRPr="000C030A">
        <w:rPr>
          <w:rFonts w:eastAsiaTheme="minorHAnsi"/>
          <w:b/>
          <w:iCs/>
        </w:rPr>
        <w:t>trengthening penalties for non-compliance</w:t>
      </w:r>
    </w:p>
    <w:p w14:paraId="0958D48D" w14:textId="77777777" w:rsidR="003769B0" w:rsidRPr="003D474F" w:rsidRDefault="003769B0" w:rsidP="00DC1DE4">
      <w:pPr>
        <w:spacing w:before="360" w:after="240" w:line="240" w:lineRule="auto"/>
        <w:jc w:val="both"/>
        <w:rPr>
          <w:rFonts w:eastAsiaTheme="minorHAnsi"/>
          <w:b/>
          <w:bCs/>
        </w:rPr>
      </w:pPr>
      <w:r w:rsidRPr="003D474F">
        <w:rPr>
          <w:rFonts w:eastAsiaTheme="minorHAnsi"/>
          <w:b/>
        </w:rPr>
        <w:t>Introduction</w:t>
      </w:r>
    </w:p>
    <w:p w14:paraId="2FDED002" w14:textId="79004604" w:rsidR="00EF0D0B" w:rsidRDefault="003769B0" w:rsidP="00D34581">
      <w:pPr>
        <w:numPr>
          <w:ilvl w:val="0"/>
          <w:numId w:val="9"/>
        </w:numPr>
        <w:spacing w:after="240" w:line="240" w:lineRule="auto"/>
        <w:ind w:left="567" w:hanging="567"/>
        <w:jc w:val="both"/>
        <w:rPr>
          <w:rFonts w:eastAsiaTheme="minorHAnsi"/>
        </w:rPr>
      </w:pPr>
      <w:r w:rsidRPr="00EF0D0B">
        <w:rPr>
          <w:rFonts w:eastAsiaTheme="minorHAnsi"/>
        </w:rPr>
        <w:t xml:space="preserve">The Western Australian Government </w:t>
      </w:r>
      <w:r w:rsidR="00FD6048">
        <w:rPr>
          <w:rFonts w:eastAsiaTheme="minorHAnsi"/>
        </w:rPr>
        <w:t>welcomes</w:t>
      </w:r>
      <w:r w:rsidRPr="00EF0D0B">
        <w:rPr>
          <w:rFonts w:eastAsiaTheme="minorHAnsi"/>
        </w:rPr>
        <w:t xml:space="preserve"> the opportunity to make a submission </w:t>
      </w:r>
      <w:r w:rsidR="00EF0D0B" w:rsidRPr="00EF0D0B">
        <w:rPr>
          <w:rFonts w:eastAsiaTheme="minorHAnsi"/>
        </w:rPr>
        <w:t>r</w:t>
      </w:r>
      <w:r w:rsidR="00EF0D0B">
        <w:rPr>
          <w:rFonts w:eastAsiaTheme="minorHAnsi"/>
        </w:rPr>
        <w:t xml:space="preserve">egarding </w:t>
      </w:r>
      <w:r w:rsidR="00A505BA">
        <w:rPr>
          <w:rFonts w:eastAsiaTheme="minorHAnsi"/>
        </w:rPr>
        <w:t>the</w:t>
      </w:r>
      <w:r w:rsidR="00825D3A">
        <w:rPr>
          <w:rFonts w:eastAsiaTheme="minorHAnsi"/>
        </w:rPr>
        <w:t xml:space="preserve"> </w:t>
      </w:r>
      <w:r w:rsidR="003C73C0">
        <w:rPr>
          <w:rFonts w:eastAsiaTheme="minorHAnsi"/>
        </w:rPr>
        <w:t xml:space="preserve">Commonwealth Government’s </w:t>
      </w:r>
      <w:r w:rsidR="00A505BA" w:rsidRPr="003C73C0">
        <w:rPr>
          <w:rFonts w:eastAsiaTheme="minorHAnsi"/>
        </w:rPr>
        <w:t xml:space="preserve">proposed </w:t>
      </w:r>
      <w:r w:rsidR="000C78EB" w:rsidRPr="003C73C0">
        <w:rPr>
          <w:rFonts w:eastAsiaTheme="minorHAnsi"/>
        </w:rPr>
        <w:t>introduction of criminal sanctions for the most serious forms of exploitative workplace conduct</w:t>
      </w:r>
      <w:r w:rsidR="00EF0D0B" w:rsidRPr="003C73C0">
        <w:rPr>
          <w:rFonts w:eastAsiaTheme="minorHAnsi"/>
        </w:rPr>
        <w:t xml:space="preserve">. </w:t>
      </w:r>
    </w:p>
    <w:p w14:paraId="08220FD2" w14:textId="00D0B71F" w:rsidR="00834DA6" w:rsidRPr="00834DA6" w:rsidRDefault="00612030" w:rsidP="00D34581">
      <w:pPr>
        <w:numPr>
          <w:ilvl w:val="0"/>
          <w:numId w:val="9"/>
        </w:numPr>
        <w:shd w:val="clear" w:color="auto" w:fill="FFFFFF" w:themeFill="background1"/>
        <w:spacing w:after="240" w:line="240" w:lineRule="auto"/>
        <w:ind w:left="567" w:hanging="567"/>
        <w:jc w:val="both"/>
        <w:rPr>
          <w:rFonts w:eastAsiaTheme="minorHAnsi"/>
        </w:rPr>
      </w:pPr>
      <w:r w:rsidRPr="00834DA6">
        <w:rPr>
          <w:rFonts w:eastAsiaTheme="minorHAnsi"/>
        </w:rPr>
        <w:t>In February 2019 the Western Australian Government commissioned an Inquiry into W</w:t>
      </w:r>
      <w:r w:rsidR="003C73C0" w:rsidRPr="00834DA6">
        <w:rPr>
          <w:rFonts w:eastAsiaTheme="minorHAnsi"/>
        </w:rPr>
        <w:t>age Theft in Western Australia (</w:t>
      </w:r>
      <w:r w:rsidR="00F44041" w:rsidRPr="00834DA6">
        <w:rPr>
          <w:rFonts w:eastAsiaTheme="minorHAnsi"/>
        </w:rPr>
        <w:t xml:space="preserve">the </w:t>
      </w:r>
      <w:r w:rsidRPr="00834DA6">
        <w:rPr>
          <w:rFonts w:eastAsiaTheme="minorHAnsi"/>
        </w:rPr>
        <w:t>Inquiry</w:t>
      </w:r>
      <w:r w:rsidR="003C73C0" w:rsidRPr="00834DA6">
        <w:rPr>
          <w:rFonts w:eastAsiaTheme="minorHAnsi"/>
        </w:rPr>
        <w:t xml:space="preserve"> into Wage Theft</w:t>
      </w:r>
      <w:r w:rsidRPr="00834DA6">
        <w:rPr>
          <w:rFonts w:eastAsiaTheme="minorHAnsi"/>
        </w:rPr>
        <w:t>) to examine whether wage theft was occurring in W</w:t>
      </w:r>
      <w:r w:rsidR="003C73C0" w:rsidRPr="00834DA6">
        <w:rPr>
          <w:rFonts w:eastAsiaTheme="minorHAnsi"/>
        </w:rPr>
        <w:t>estern Australia</w:t>
      </w:r>
      <w:r w:rsidRPr="00834DA6">
        <w:rPr>
          <w:rFonts w:eastAsiaTheme="minorHAnsi"/>
        </w:rPr>
        <w:t xml:space="preserve">, and </w:t>
      </w:r>
      <w:r w:rsidR="001E592B" w:rsidRPr="00834DA6">
        <w:rPr>
          <w:rFonts w:eastAsiaTheme="minorHAnsi"/>
        </w:rPr>
        <w:t xml:space="preserve">to </w:t>
      </w:r>
      <w:r w:rsidRPr="00834DA6">
        <w:rPr>
          <w:rFonts w:eastAsiaTheme="minorHAnsi"/>
        </w:rPr>
        <w:t xml:space="preserve">make recommendations for strategies to assist </w:t>
      </w:r>
      <w:r w:rsidR="001E592B" w:rsidRPr="00834DA6">
        <w:rPr>
          <w:rFonts w:eastAsiaTheme="minorHAnsi"/>
        </w:rPr>
        <w:t>workers and address wage theft.</w:t>
      </w:r>
      <w:r w:rsidR="000C768E" w:rsidRPr="00834DA6">
        <w:rPr>
          <w:rFonts w:eastAsiaTheme="minorHAnsi"/>
        </w:rPr>
        <w:t xml:space="preserve">  The Inquiry Report was finalised in June 2019</w:t>
      </w:r>
      <w:r w:rsidR="008B004D" w:rsidRPr="00834DA6">
        <w:rPr>
          <w:rFonts w:eastAsiaTheme="minorHAnsi"/>
        </w:rPr>
        <w:t xml:space="preserve">.  </w:t>
      </w:r>
    </w:p>
    <w:p w14:paraId="44A528D3" w14:textId="77777777" w:rsidR="00834DA6" w:rsidRPr="00834DA6" w:rsidRDefault="00834DA6" w:rsidP="00D34581">
      <w:pPr>
        <w:numPr>
          <w:ilvl w:val="0"/>
          <w:numId w:val="9"/>
        </w:numPr>
        <w:shd w:val="clear" w:color="auto" w:fill="FFFFFF" w:themeFill="background1"/>
        <w:spacing w:after="240" w:line="240" w:lineRule="auto"/>
        <w:ind w:left="567" w:hanging="567"/>
        <w:jc w:val="both"/>
        <w:rPr>
          <w:rFonts w:eastAsiaTheme="minorHAnsi"/>
        </w:rPr>
      </w:pPr>
      <w:r w:rsidRPr="00834DA6">
        <w:rPr>
          <w:rFonts w:eastAsiaTheme="minorHAnsi"/>
        </w:rPr>
        <w:t xml:space="preserve">This submission highlights issues identified in the Inquiry Report which are relevant to the Commonwealth Government’s present consideration of criminal sanctions for wage theft at the national level.  </w:t>
      </w:r>
    </w:p>
    <w:p w14:paraId="335E6C2F" w14:textId="55AF9755" w:rsidR="00834DA6" w:rsidRPr="00834DA6" w:rsidRDefault="00834DA6" w:rsidP="00D34581">
      <w:pPr>
        <w:numPr>
          <w:ilvl w:val="0"/>
          <w:numId w:val="9"/>
        </w:numPr>
        <w:spacing w:after="240" w:line="240" w:lineRule="auto"/>
        <w:ind w:left="567" w:hanging="567"/>
        <w:jc w:val="both"/>
        <w:rPr>
          <w:rFonts w:eastAsiaTheme="minorHAnsi"/>
        </w:rPr>
      </w:pPr>
      <w:r w:rsidRPr="00834DA6">
        <w:rPr>
          <w:rFonts w:eastAsiaTheme="minorHAnsi"/>
        </w:rPr>
        <w:t xml:space="preserve">The </w:t>
      </w:r>
      <w:r w:rsidR="002748EA" w:rsidRPr="00834DA6">
        <w:rPr>
          <w:rFonts w:eastAsiaTheme="minorHAnsi"/>
        </w:rPr>
        <w:t xml:space="preserve">Western Australian Government </w:t>
      </w:r>
      <w:r w:rsidRPr="00834DA6">
        <w:rPr>
          <w:rFonts w:eastAsiaTheme="minorHAnsi"/>
        </w:rPr>
        <w:t>intends to take action to combat wage theft, consistent with the recommendations of the Inquiry into Wage Theft</w:t>
      </w:r>
      <w:r>
        <w:rPr>
          <w:rFonts w:eastAsiaTheme="minorHAnsi"/>
        </w:rPr>
        <w:t xml:space="preserve"> and th</w:t>
      </w:r>
      <w:r w:rsidRPr="00834DA6">
        <w:rPr>
          <w:rFonts w:eastAsiaTheme="minorHAnsi"/>
        </w:rPr>
        <w:t xml:space="preserve">is submission outlines the proposed </w:t>
      </w:r>
      <w:r>
        <w:rPr>
          <w:rFonts w:eastAsiaTheme="minorHAnsi"/>
        </w:rPr>
        <w:t>Western Australia</w:t>
      </w:r>
      <w:r w:rsidR="00004283">
        <w:rPr>
          <w:rFonts w:eastAsiaTheme="minorHAnsi"/>
        </w:rPr>
        <w:t>n</w:t>
      </w:r>
      <w:r>
        <w:rPr>
          <w:rFonts w:eastAsiaTheme="minorHAnsi"/>
        </w:rPr>
        <w:t xml:space="preserve"> </w:t>
      </w:r>
      <w:r w:rsidRPr="00834DA6">
        <w:rPr>
          <w:rFonts w:eastAsiaTheme="minorHAnsi"/>
        </w:rPr>
        <w:t xml:space="preserve">Government </w:t>
      </w:r>
      <w:r>
        <w:rPr>
          <w:rFonts w:eastAsiaTheme="minorHAnsi"/>
        </w:rPr>
        <w:t>reforms</w:t>
      </w:r>
      <w:r w:rsidRPr="00834DA6">
        <w:rPr>
          <w:rFonts w:eastAsiaTheme="minorHAnsi"/>
        </w:rPr>
        <w:t xml:space="preserve">. </w:t>
      </w:r>
    </w:p>
    <w:p w14:paraId="5FC7F793" w14:textId="7589E7A0" w:rsidR="001E592B" w:rsidRPr="0001579E" w:rsidRDefault="0001579E" w:rsidP="0001579E">
      <w:pPr>
        <w:numPr>
          <w:ilvl w:val="0"/>
          <w:numId w:val="9"/>
        </w:numPr>
        <w:spacing w:after="240" w:line="240" w:lineRule="auto"/>
        <w:ind w:left="567" w:hanging="567"/>
        <w:jc w:val="both"/>
        <w:rPr>
          <w:rFonts w:eastAsiaTheme="minorHAnsi"/>
          <w:iCs/>
        </w:rPr>
      </w:pPr>
      <w:r w:rsidRPr="0001579E">
        <w:rPr>
          <w:rFonts w:eastAsiaTheme="minorHAnsi"/>
          <w:iCs/>
        </w:rPr>
        <w:t xml:space="preserve">The Report of the Inquiry into Wage Theft in Western Australia was released by the </w:t>
      </w:r>
      <w:r>
        <w:rPr>
          <w:rFonts w:eastAsiaTheme="minorHAnsi"/>
          <w:iCs/>
        </w:rPr>
        <w:t>Western Australian</w:t>
      </w:r>
      <w:r w:rsidRPr="0001579E">
        <w:rPr>
          <w:rFonts w:eastAsiaTheme="minorHAnsi"/>
          <w:iCs/>
        </w:rPr>
        <w:t xml:space="preserve"> Government on 6 December 2019. </w:t>
      </w:r>
      <w:r>
        <w:rPr>
          <w:rFonts w:eastAsiaTheme="minorHAnsi"/>
          <w:iCs/>
        </w:rPr>
        <w:t xml:space="preserve"> The Inquiry R</w:t>
      </w:r>
      <w:r w:rsidRPr="0001579E">
        <w:rPr>
          <w:rFonts w:eastAsiaTheme="minorHAnsi"/>
          <w:iCs/>
        </w:rPr>
        <w:t xml:space="preserve">eport </w:t>
      </w:r>
      <w:r>
        <w:rPr>
          <w:rFonts w:eastAsiaTheme="minorHAnsi"/>
          <w:iCs/>
        </w:rPr>
        <w:t xml:space="preserve">and the proposed Government response </w:t>
      </w:r>
      <w:r w:rsidRPr="0001579E">
        <w:rPr>
          <w:rFonts w:eastAsiaTheme="minorHAnsi"/>
          <w:iCs/>
        </w:rPr>
        <w:t xml:space="preserve">is available at </w:t>
      </w:r>
      <w:hyperlink r:id="rId14" w:history="1">
        <w:r w:rsidRPr="0001579E">
          <w:rPr>
            <w:rStyle w:val="Hyperlink"/>
            <w:rFonts w:eastAsiaTheme="minorHAnsi"/>
            <w:iCs/>
          </w:rPr>
          <w:t>www.dmirs.wa.gov.au/wagetheft</w:t>
        </w:r>
      </w:hyperlink>
      <w:r w:rsidRPr="0001579E">
        <w:rPr>
          <w:rFonts w:eastAsiaTheme="minorHAnsi"/>
          <w:iCs/>
          <w:u w:val="single"/>
        </w:rPr>
        <w:t>.</w:t>
      </w:r>
      <w:r w:rsidRPr="0001579E">
        <w:rPr>
          <w:rFonts w:eastAsiaTheme="minorHAnsi"/>
          <w:iCs/>
        </w:rPr>
        <w:t xml:space="preserve"> </w:t>
      </w:r>
    </w:p>
    <w:p w14:paraId="1571A709" w14:textId="77777777" w:rsidR="00316E4E" w:rsidRPr="00947C13" w:rsidRDefault="00947C13" w:rsidP="00B530D6">
      <w:pPr>
        <w:spacing w:before="360" w:after="240" w:line="240" w:lineRule="auto"/>
        <w:jc w:val="both"/>
        <w:rPr>
          <w:rFonts w:eastAsiaTheme="minorHAnsi"/>
          <w:b/>
        </w:rPr>
      </w:pPr>
      <w:r w:rsidRPr="00947C13">
        <w:rPr>
          <w:rFonts w:eastAsiaTheme="minorHAnsi"/>
          <w:b/>
        </w:rPr>
        <w:t>Inquiry into Wage Theft in Western Australia</w:t>
      </w:r>
    </w:p>
    <w:p w14:paraId="4421B593" w14:textId="79A7B5F8" w:rsidR="00E63DD3" w:rsidRDefault="00CE371B" w:rsidP="00D34581">
      <w:pPr>
        <w:numPr>
          <w:ilvl w:val="0"/>
          <w:numId w:val="9"/>
        </w:numPr>
        <w:spacing w:after="240" w:line="240" w:lineRule="auto"/>
        <w:ind w:left="567" w:hanging="567"/>
        <w:jc w:val="both"/>
        <w:rPr>
          <w:rFonts w:eastAsiaTheme="minorHAnsi"/>
        </w:rPr>
      </w:pPr>
      <w:r>
        <w:rPr>
          <w:rFonts w:eastAsiaTheme="minorHAnsi"/>
        </w:rPr>
        <w:t xml:space="preserve">The </w:t>
      </w:r>
      <w:r w:rsidR="003C73C0">
        <w:rPr>
          <w:rFonts w:eastAsiaTheme="minorHAnsi"/>
        </w:rPr>
        <w:t>Inquiry into Wage Theft</w:t>
      </w:r>
      <w:r>
        <w:rPr>
          <w:rFonts w:eastAsiaTheme="minorHAnsi"/>
        </w:rPr>
        <w:t xml:space="preserve"> commenced on 18 February </w:t>
      </w:r>
      <w:r w:rsidR="00E63DD3" w:rsidRPr="004734A3">
        <w:rPr>
          <w:rFonts w:eastAsiaTheme="minorHAnsi"/>
        </w:rPr>
        <w:t xml:space="preserve">2019 and was undertaken by </w:t>
      </w:r>
      <w:r w:rsidR="00E63DD3">
        <w:rPr>
          <w:rFonts w:eastAsiaTheme="minorHAnsi"/>
        </w:rPr>
        <w:t>Mr </w:t>
      </w:r>
      <w:r w:rsidR="00E63DD3" w:rsidRPr="004734A3">
        <w:rPr>
          <w:rFonts w:eastAsiaTheme="minorHAnsi"/>
        </w:rPr>
        <w:t>Tony</w:t>
      </w:r>
      <w:r w:rsidR="00E63DD3">
        <w:rPr>
          <w:rFonts w:eastAsiaTheme="minorHAnsi"/>
        </w:rPr>
        <w:t> </w:t>
      </w:r>
      <w:r w:rsidR="00E63DD3" w:rsidRPr="004734A3">
        <w:rPr>
          <w:rFonts w:eastAsiaTheme="minorHAnsi"/>
        </w:rPr>
        <w:t>Beech, former Chief Commissioner of the Western Australian I</w:t>
      </w:r>
      <w:r w:rsidR="00F44041">
        <w:rPr>
          <w:rFonts w:eastAsiaTheme="minorHAnsi"/>
        </w:rPr>
        <w:t xml:space="preserve">ndustrial Relations Commission (the Inquirer). </w:t>
      </w:r>
    </w:p>
    <w:p w14:paraId="7A2890B8" w14:textId="5216DBD8" w:rsidR="002526A8" w:rsidRDefault="00EF2FEE" w:rsidP="00D34581">
      <w:pPr>
        <w:numPr>
          <w:ilvl w:val="0"/>
          <w:numId w:val="9"/>
        </w:numPr>
        <w:spacing w:after="240" w:line="240" w:lineRule="auto"/>
        <w:ind w:left="567" w:hanging="567"/>
        <w:jc w:val="both"/>
        <w:rPr>
          <w:rFonts w:eastAsiaTheme="minorHAnsi"/>
        </w:rPr>
      </w:pPr>
      <w:r w:rsidRPr="003C73C0">
        <w:rPr>
          <w:rFonts w:eastAsiaTheme="minorHAnsi"/>
        </w:rPr>
        <w:t xml:space="preserve">The Inquiry </w:t>
      </w:r>
      <w:r w:rsidR="003C73C0">
        <w:rPr>
          <w:rFonts w:eastAsiaTheme="minorHAnsi"/>
        </w:rPr>
        <w:t xml:space="preserve">into Wage Theft </w:t>
      </w:r>
      <w:r w:rsidRPr="003C73C0">
        <w:rPr>
          <w:rFonts w:eastAsiaTheme="minorHAnsi"/>
        </w:rPr>
        <w:t xml:space="preserve">had nine Terms of Reference and covered both the State and national industrial relations systems. </w:t>
      </w:r>
      <w:r w:rsidR="003C73C0" w:rsidRPr="003C73C0">
        <w:rPr>
          <w:rFonts w:eastAsiaTheme="minorHAnsi"/>
        </w:rPr>
        <w:t xml:space="preserve"> </w:t>
      </w:r>
      <w:r w:rsidR="003652EA">
        <w:rPr>
          <w:rFonts w:eastAsiaTheme="minorHAnsi"/>
        </w:rPr>
        <w:t xml:space="preserve">The Terms of Reference for the Inquiry into Wage Theft are at Attachment A. </w:t>
      </w:r>
    </w:p>
    <w:p w14:paraId="4C468BA9" w14:textId="5943A428" w:rsidR="003C73C0" w:rsidRDefault="00EE2E62" w:rsidP="00D34581">
      <w:pPr>
        <w:numPr>
          <w:ilvl w:val="0"/>
          <w:numId w:val="9"/>
        </w:numPr>
        <w:spacing w:after="240" w:line="240" w:lineRule="auto"/>
        <w:ind w:left="567" w:hanging="567"/>
        <w:jc w:val="both"/>
        <w:rPr>
          <w:rFonts w:eastAsiaTheme="minorHAnsi"/>
        </w:rPr>
      </w:pPr>
      <w:r w:rsidRPr="003C73C0">
        <w:rPr>
          <w:rFonts w:eastAsiaTheme="minorHAnsi"/>
        </w:rPr>
        <w:t xml:space="preserve">Western Australia has </w:t>
      </w:r>
      <w:r w:rsidR="00EB1DAB">
        <w:rPr>
          <w:rFonts w:eastAsiaTheme="minorHAnsi"/>
        </w:rPr>
        <w:t>retained a private sector S</w:t>
      </w:r>
      <w:r w:rsidR="003C73C0">
        <w:rPr>
          <w:rFonts w:eastAsiaTheme="minorHAnsi"/>
        </w:rPr>
        <w:t>tate industrial relations system</w:t>
      </w:r>
      <w:r w:rsidR="00831207">
        <w:rPr>
          <w:rFonts w:eastAsiaTheme="minorHAnsi"/>
        </w:rPr>
        <w:t xml:space="preserve"> that </w:t>
      </w:r>
      <w:r w:rsidR="003C73C0">
        <w:rPr>
          <w:rFonts w:eastAsiaTheme="minorHAnsi"/>
        </w:rPr>
        <w:t xml:space="preserve">covers those businesses which operate as sole traders, unincorporated </w:t>
      </w:r>
      <w:r w:rsidR="003C73C0">
        <w:rPr>
          <w:rFonts w:eastAsiaTheme="minorHAnsi"/>
        </w:rPr>
        <w:lastRenderedPageBreak/>
        <w:t>partnerships and unincorporated trusts</w:t>
      </w:r>
      <w:r w:rsidR="00831207">
        <w:rPr>
          <w:rFonts w:eastAsiaTheme="minorHAnsi"/>
        </w:rPr>
        <w:t>,</w:t>
      </w:r>
      <w:r w:rsidR="003C73C0">
        <w:rPr>
          <w:rFonts w:eastAsiaTheme="minorHAnsi"/>
        </w:rPr>
        <w:t xml:space="preserve"> as well as other employers that are not </w:t>
      </w:r>
      <w:r w:rsidR="00F44041">
        <w:rPr>
          <w:rFonts w:eastAsiaTheme="minorHAnsi"/>
        </w:rPr>
        <w:t xml:space="preserve">financial or trading corporations. </w:t>
      </w:r>
    </w:p>
    <w:p w14:paraId="08700903" w14:textId="77777777" w:rsidR="000A51B4" w:rsidRDefault="007A3C06" w:rsidP="00D34581">
      <w:pPr>
        <w:numPr>
          <w:ilvl w:val="0"/>
          <w:numId w:val="9"/>
        </w:numPr>
        <w:spacing w:after="240" w:line="240" w:lineRule="auto"/>
        <w:ind w:left="567" w:hanging="567"/>
        <w:jc w:val="both"/>
        <w:rPr>
          <w:rFonts w:eastAsiaTheme="minorHAnsi"/>
        </w:rPr>
      </w:pPr>
      <w:r w:rsidRPr="003C73C0">
        <w:rPr>
          <w:rFonts w:ascii="Arial" w:eastAsia="Calibri" w:hAnsi="Arial" w:cs="Arial"/>
          <w:lang w:val="en-GB"/>
        </w:rPr>
        <w:t>The Terms of Reference for the Inquiry</w:t>
      </w:r>
      <w:r w:rsidR="000C768E">
        <w:rPr>
          <w:rFonts w:ascii="Arial" w:eastAsia="Calibri" w:hAnsi="Arial" w:cs="Arial"/>
          <w:lang w:val="en-GB"/>
        </w:rPr>
        <w:t xml:space="preserve"> into Wage Theft</w:t>
      </w:r>
      <w:r w:rsidRPr="003C73C0">
        <w:rPr>
          <w:rFonts w:ascii="Arial" w:eastAsia="Calibri" w:hAnsi="Arial" w:cs="Arial"/>
          <w:lang w:val="en-GB"/>
        </w:rPr>
        <w:t xml:space="preserve"> defined wage theft as the </w:t>
      </w:r>
      <w:r w:rsidR="00F44041">
        <w:rPr>
          <w:rFonts w:ascii="Arial" w:eastAsia="Calibri" w:hAnsi="Arial" w:cs="Arial"/>
          <w:lang w:val="en-GB"/>
        </w:rPr>
        <w:t>‘</w:t>
      </w:r>
      <w:r w:rsidRPr="003C73C0">
        <w:rPr>
          <w:rFonts w:ascii="Arial" w:eastAsia="Calibri" w:hAnsi="Arial" w:cs="Arial"/>
          <w:lang w:val="en-GB"/>
        </w:rPr>
        <w:t>systematic and deliberate underpayment of wages and entitlements to a worker.</w:t>
      </w:r>
      <w:r w:rsidR="00F44041">
        <w:rPr>
          <w:rFonts w:ascii="Arial" w:eastAsia="Calibri" w:hAnsi="Arial" w:cs="Arial"/>
          <w:lang w:val="en-GB"/>
        </w:rPr>
        <w:t>’</w:t>
      </w:r>
      <w:r w:rsidR="003C73C0" w:rsidRPr="003C73C0">
        <w:rPr>
          <w:rFonts w:ascii="Arial" w:eastAsia="Calibri" w:hAnsi="Arial" w:cs="Arial"/>
          <w:lang w:val="en-GB"/>
        </w:rPr>
        <w:t xml:space="preserve"> </w:t>
      </w:r>
      <w:r w:rsidR="003C73C0">
        <w:rPr>
          <w:rFonts w:ascii="Arial" w:eastAsia="Calibri" w:hAnsi="Arial" w:cs="Arial"/>
          <w:lang w:val="en-GB"/>
        </w:rPr>
        <w:t xml:space="preserve"> </w:t>
      </w:r>
    </w:p>
    <w:p w14:paraId="76FBE24F" w14:textId="3717D917" w:rsidR="000A51B4" w:rsidRPr="000A51B4" w:rsidRDefault="000A51B4" w:rsidP="00D34581">
      <w:pPr>
        <w:numPr>
          <w:ilvl w:val="0"/>
          <w:numId w:val="9"/>
        </w:numPr>
        <w:spacing w:after="240" w:line="240" w:lineRule="auto"/>
        <w:ind w:left="567" w:hanging="567"/>
        <w:jc w:val="both"/>
        <w:rPr>
          <w:rFonts w:eastAsiaTheme="minorHAnsi"/>
        </w:rPr>
      </w:pPr>
      <w:r w:rsidRPr="000A51B4">
        <w:rPr>
          <w:rFonts w:eastAsiaTheme="minorHAnsi"/>
          <w:lang w:val="en-GB"/>
        </w:rPr>
        <w:t>In accordance with the Terms of Reference, t</w:t>
      </w:r>
      <w:r w:rsidRPr="00B10DA4">
        <w:rPr>
          <w:lang w:eastAsia="en-AU"/>
        </w:rPr>
        <w:t>he Inquiry</w:t>
      </w:r>
      <w:r>
        <w:rPr>
          <w:lang w:eastAsia="en-AU"/>
        </w:rPr>
        <w:t xml:space="preserve"> considered</w:t>
      </w:r>
      <w:r w:rsidRPr="00B10DA4">
        <w:rPr>
          <w:lang w:eastAsia="en-AU"/>
        </w:rPr>
        <w:t xml:space="preserve"> whether there is evidence of wage theft occurring in Western</w:t>
      </w:r>
      <w:r>
        <w:rPr>
          <w:lang w:eastAsia="en-AU"/>
        </w:rPr>
        <w:t xml:space="preserve"> </w:t>
      </w:r>
      <w:r w:rsidRPr="00B10DA4">
        <w:rPr>
          <w:lang w:eastAsia="en-AU"/>
        </w:rPr>
        <w:t>Australia, the reasons behind it and the impact on workers, business</w:t>
      </w:r>
      <w:r w:rsidR="003652EA">
        <w:rPr>
          <w:lang w:eastAsia="en-AU"/>
        </w:rPr>
        <w:t>es</w:t>
      </w:r>
      <w:r w:rsidRPr="00B10DA4">
        <w:rPr>
          <w:lang w:eastAsia="en-AU"/>
        </w:rPr>
        <w:t xml:space="preserve"> and the community.  The Inquiry </w:t>
      </w:r>
      <w:r w:rsidRPr="000A51B4">
        <w:rPr>
          <w:rFonts w:eastAsiaTheme="minorHAnsi"/>
          <w:lang w:val="en-GB"/>
        </w:rPr>
        <w:t xml:space="preserve">examined whether the current regulatory framework at the State and federal level is effective in combating wage theft, whether </w:t>
      </w:r>
      <w:r w:rsidRPr="000A51B4">
        <w:rPr>
          <w:rFonts w:eastAsiaTheme="minorHAnsi"/>
        </w:rPr>
        <w:t xml:space="preserve">new laws </w:t>
      </w:r>
      <w:r w:rsidR="00EB1DAB">
        <w:rPr>
          <w:rFonts w:eastAsiaTheme="minorHAnsi"/>
        </w:rPr>
        <w:t>should be introduced in Western </w:t>
      </w:r>
      <w:r w:rsidRPr="000A51B4">
        <w:rPr>
          <w:rFonts w:eastAsiaTheme="minorHAnsi"/>
        </w:rPr>
        <w:t xml:space="preserve">Australia to address wage theft, and if so, whether wage theft should be a criminal offence.  Other strategies that could be implemented by the State Government or stakeholders were also considered. </w:t>
      </w:r>
    </w:p>
    <w:p w14:paraId="5EDA0E61" w14:textId="3320EBDD" w:rsidR="00E96899" w:rsidRPr="003C73C0" w:rsidRDefault="00E96899" w:rsidP="00D34581">
      <w:pPr>
        <w:numPr>
          <w:ilvl w:val="0"/>
          <w:numId w:val="9"/>
        </w:numPr>
        <w:spacing w:after="240" w:line="240" w:lineRule="auto"/>
        <w:ind w:left="567" w:hanging="567"/>
        <w:jc w:val="both"/>
        <w:rPr>
          <w:rFonts w:eastAsiaTheme="minorHAnsi"/>
        </w:rPr>
      </w:pPr>
      <w:r w:rsidRPr="00E96899">
        <w:rPr>
          <w:rFonts w:eastAsiaTheme="minorHAnsi"/>
        </w:rPr>
        <w:t>The Inquiry received 78 submissions, including 47 submissions from or on</w:t>
      </w:r>
      <w:r w:rsidR="00224A06">
        <w:rPr>
          <w:rFonts w:eastAsiaTheme="minorHAnsi"/>
        </w:rPr>
        <w:t xml:space="preserve"> behalf of individual workers. </w:t>
      </w:r>
      <w:r w:rsidRPr="00E96899">
        <w:rPr>
          <w:rFonts w:eastAsiaTheme="minorHAnsi"/>
        </w:rPr>
        <w:t>The Inquiry also conducted an online survey to enable workers to provide details of their experiences of wage theft.</w:t>
      </w:r>
      <w:r w:rsidR="002526A8">
        <w:rPr>
          <w:rStyle w:val="FootnoteReference"/>
          <w:rFonts w:eastAsiaTheme="minorHAnsi"/>
        </w:rPr>
        <w:footnoteReference w:id="1"/>
      </w:r>
      <w:r w:rsidRPr="00E96899">
        <w:rPr>
          <w:rFonts w:eastAsiaTheme="minorHAnsi"/>
        </w:rPr>
        <w:t xml:space="preserve">  </w:t>
      </w:r>
    </w:p>
    <w:p w14:paraId="3265BD84" w14:textId="77630FD6" w:rsidR="00A61652" w:rsidRDefault="00E96899" w:rsidP="00A11530">
      <w:pPr>
        <w:numPr>
          <w:ilvl w:val="0"/>
          <w:numId w:val="9"/>
        </w:numPr>
        <w:spacing w:after="120" w:line="240" w:lineRule="auto"/>
        <w:ind w:left="567" w:hanging="567"/>
        <w:jc w:val="both"/>
        <w:rPr>
          <w:rFonts w:eastAsiaTheme="minorHAnsi"/>
        </w:rPr>
      </w:pPr>
      <w:r w:rsidRPr="00E96899">
        <w:rPr>
          <w:rFonts w:eastAsiaTheme="minorHAnsi"/>
        </w:rPr>
        <w:t xml:space="preserve">The Inquiry </w:t>
      </w:r>
      <w:r>
        <w:rPr>
          <w:rFonts w:eastAsiaTheme="minorHAnsi"/>
        </w:rPr>
        <w:t xml:space="preserve">into Wage Theft </w:t>
      </w:r>
      <w:r w:rsidRPr="00E96899">
        <w:rPr>
          <w:rFonts w:eastAsiaTheme="minorHAnsi"/>
        </w:rPr>
        <w:t xml:space="preserve">found that wage theft is occurring in Western Australia.  </w:t>
      </w:r>
      <w:r w:rsidRPr="00A61652">
        <w:rPr>
          <w:rFonts w:eastAsiaTheme="minorHAnsi"/>
        </w:rPr>
        <w:t xml:space="preserve">The forms of systematic and deliberate underpayments identified in the Inquiry Report </w:t>
      </w:r>
      <w:r w:rsidR="003F2478">
        <w:rPr>
          <w:rFonts w:eastAsiaTheme="minorHAnsi"/>
        </w:rPr>
        <w:t>ar</w:t>
      </w:r>
      <w:r w:rsidR="00224A06">
        <w:rPr>
          <w:rFonts w:eastAsiaTheme="minorHAnsi"/>
        </w:rPr>
        <w:t>e</w:t>
      </w:r>
      <w:r w:rsidR="00831207" w:rsidRPr="00A61652">
        <w:rPr>
          <w:rFonts w:eastAsiaTheme="minorHAnsi"/>
        </w:rPr>
        <w:t xml:space="preserve">: </w:t>
      </w:r>
    </w:p>
    <w:p w14:paraId="7D50B6B1" w14:textId="77777777" w:rsidR="00A61652" w:rsidRDefault="00831207" w:rsidP="00A11530">
      <w:pPr>
        <w:numPr>
          <w:ilvl w:val="0"/>
          <w:numId w:val="15"/>
        </w:numPr>
        <w:spacing w:after="120" w:line="240" w:lineRule="auto"/>
        <w:ind w:left="1276" w:hanging="425"/>
        <w:jc w:val="both"/>
        <w:rPr>
          <w:rFonts w:eastAsiaTheme="minorHAnsi"/>
        </w:rPr>
      </w:pPr>
      <w:r w:rsidRPr="00A61652">
        <w:rPr>
          <w:rFonts w:eastAsiaTheme="minorHAnsi"/>
        </w:rPr>
        <w:t>unpaid hours;</w:t>
      </w:r>
      <w:r w:rsidR="00E96899" w:rsidRPr="00A61652">
        <w:rPr>
          <w:rFonts w:eastAsiaTheme="minorHAnsi"/>
        </w:rPr>
        <w:t xml:space="preserve"> </w:t>
      </w:r>
    </w:p>
    <w:p w14:paraId="413BA5AB" w14:textId="77777777" w:rsidR="00A61652" w:rsidRDefault="00E96899" w:rsidP="00A11530">
      <w:pPr>
        <w:numPr>
          <w:ilvl w:val="0"/>
          <w:numId w:val="15"/>
        </w:numPr>
        <w:spacing w:after="120" w:line="240" w:lineRule="auto"/>
        <w:ind w:left="1276" w:hanging="425"/>
        <w:jc w:val="both"/>
        <w:rPr>
          <w:rFonts w:eastAsiaTheme="minorHAnsi"/>
        </w:rPr>
      </w:pPr>
      <w:r w:rsidRPr="00A61652">
        <w:rPr>
          <w:rFonts w:eastAsiaTheme="minorHAnsi"/>
        </w:rPr>
        <w:t xml:space="preserve">non-payment of any wages or allowances for work performed; </w:t>
      </w:r>
    </w:p>
    <w:p w14:paraId="1CF9E525" w14:textId="39D87CE1" w:rsidR="00A61652" w:rsidRDefault="00E96899" w:rsidP="00A11530">
      <w:pPr>
        <w:numPr>
          <w:ilvl w:val="0"/>
          <w:numId w:val="15"/>
        </w:numPr>
        <w:spacing w:after="120" w:line="240" w:lineRule="auto"/>
        <w:ind w:left="1276" w:hanging="425"/>
        <w:jc w:val="both"/>
        <w:rPr>
          <w:rFonts w:eastAsiaTheme="minorHAnsi"/>
        </w:rPr>
      </w:pPr>
      <w:r w:rsidRPr="00A61652">
        <w:rPr>
          <w:rFonts w:eastAsiaTheme="minorHAnsi"/>
        </w:rPr>
        <w:t xml:space="preserve">underpayment of wages and entitlements; </w:t>
      </w:r>
    </w:p>
    <w:p w14:paraId="0C1A3646" w14:textId="77777777" w:rsidR="00A61652" w:rsidRDefault="00A61652" w:rsidP="00A11530">
      <w:pPr>
        <w:numPr>
          <w:ilvl w:val="0"/>
          <w:numId w:val="15"/>
        </w:numPr>
        <w:spacing w:after="120" w:line="240" w:lineRule="auto"/>
        <w:ind w:left="1276" w:hanging="425"/>
        <w:jc w:val="both"/>
        <w:rPr>
          <w:rFonts w:eastAsiaTheme="minorHAnsi"/>
        </w:rPr>
      </w:pPr>
      <w:r w:rsidRPr="00A61652">
        <w:rPr>
          <w:rFonts w:eastAsiaTheme="minorHAnsi"/>
        </w:rPr>
        <w:t xml:space="preserve">unauthorised or unreasonable deductions; </w:t>
      </w:r>
      <w:r w:rsidR="00E96899" w:rsidRPr="00A61652">
        <w:rPr>
          <w:rFonts w:eastAsiaTheme="minorHAnsi"/>
        </w:rPr>
        <w:t xml:space="preserve">and </w:t>
      </w:r>
    </w:p>
    <w:p w14:paraId="06C15C62" w14:textId="0DCF3A18" w:rsidR="00A61652" w:rsidRDefault="00E96899" w:rsidP="00D34581">
      <w:pPr>
        <w:numPr>
          <w:ilvl w:val="0"/>
          <w:numId w:val="15"/>
        </w:numPr>
        <w:spacing w:after="240" w:line="240" w:lineRule="auto"/>
        <w:ind w:left="1276" w:hanging="425"/>
        <w:jc w:val="both"/>
        <w:rPr>
          <w:rFonts w:eastAsiaTheme="minorHAnsi"/>
        </w:rPr>
      </w:pPr>
      <w:r w:rsidRPr="00A61652">
        <w:rPr>
          <w:rFonts w:eastAsiaTheme="minorHAnsi"/>
        </w:rPr>
        <w:t>non-payment of superannuation.</w:t>
      </w:r>
      <w:r w:rsidR="003652EA">
        <w:rPr>
          <w:rStyle w:val="FootnoteReference"/>
          <w:rFonts w:eastAsiaTheme="minorHAnsi"/>
        </w:rPr>
        <w:footnoteReference w:id="2"/>
      </w:r>
      <w:r w:rsidRPr="00E96899">
        <w:rPr>
          <w:rFonts w:eastAsiaTheme="minorHAnsi"/>
        </w:rPr>
        <w:t xml:space="preserve">  </w:t>
      </w:r>
    </w:p>
    <w:p w14:paraId="62BFC08A" w14:textId="4ED75129" w:rsidR="00FD555A" w:rsidRPr="002526A8" w:rsidRDefault="00E96899" w:rsidP="00D34581">
      <w:pPr>
        <w:numPr>
          <w:ilvl w:val="0"/>
          <w:numId w:val="9"/>
        </w:numPr>
        <w:spacing w:after="240" w:line="240" w:lineRule="auto"/>
        <w:ind w:left="567" w:hanging="567"/>
        <w:jc w:val="both"/>
        <w:rPr>
          <w:rFonts w:eastAsiaTheme="minorHAnsi"/>
        </w:rPr>
      </w:pPr>
      <w:r w:rsidRPr="002526A8">
        <w:rPr>
          <w:rFonts w:eastAsiaTheme="minorHAnsi"/>
        </w:rPr>
        <w:t xml:space="preserve">The hospitality industry, particularly cafes and restaurants, contract cleaning, retail, and horticulture </w:t>
      </w:r>
      <w:r w:rsidR="003F2478">
        <w:rPr>
          <w:rFonts w:eastAsiaTheme="minorHAnsi"/>
        </w:rPr>
        <w:t>a</w:t>
      </w:r>
      <w:r w:rsidR="00224A06">
        <w:rPr>
          <w:rFonts w:eastAsiaTheme="minorHAnsi"/>
        </w:rPr>
        <w:t>re</w:t>
      </w:r>
      <w:r w:rsidRPr="002526A8">
        <w:rPr>
          <w:rFonts w:eastAsiaTheme="minorHAnsi"/>
        </w:rPr>
        <w:t xml:space="preserve"> identified as areas </w:t>
      </w:r>
      <w:r w:rsidRPr="003F2478">
        <w:rPr>
          <w:rFonts w:eastAsiaTheme="minorHAnsi"/>
        </w:rPr>
        <w:t xml:space="preserve">where </w:t>
      </w:r>
      <w:r w:rsidR="00AB3167" w:rsidRPr="003F2478">
        <w:rPr>
          <w:rFonts w:eastAsiaTheme="minorHAnsi"/>
        </w:rPr>
        <w:t xml:space="preserve">the likelihood of </w:t>
      </w:r>
      <w:r w:rsidRPr="003F2478">
        <w:rPr>
          <w:rFonts w:eastAsiaTheme="minorHAnsi"/>
        </w:rPr>
        <w:t>wage theft is</w:t>
      </w:r>
      <w:r w:rsidRPr="002526A8">
        <w:rPr>
          <w:rFonts w:eastAsiaTheme="minorHAnsi"/>
        </w:rPr>
        <w:t xml:space="preserve"> higher.</w:t>
      </w:r>
      <w:r w:rsidR="00DF7786">
        <w:rPr>
          <w:rStyle w:val="FootnoteReference"/>
          <w:rFonts w:eastAsiaTheme="minorHAnsi"/>
        </w:rPr>
        <w:footnoteReference w:id="3"/>
      </w:r>
      <w:r w:rsidR="00A61652" w:rsidRPr="002526A8">
        <w:rPr>
          <w:rFonts w:eastAsiaTheme="minorHAnsi"/>
        </w:rPr>
        <w:t xml:space="preserve"> </w:t>
      </w:r>
      <w:r w:rsidR="002526A8" w:rsidRPr="002526A8">
        <w:rPr>
          <w:rFonts w:eastAsiaTheme="minorHAnsi"/>
        </w:rPr>
        <w:t xml:space="preserve"> </w:t>
      </w:r>
      <w:r w:rsidR="00E00068" w:rsidRPr="002526A8">
        <w:rPr>
          <w:rFonts w:eastAsiaTheme="minorHAnsi"/>
        </w:rPr>
        <w:t>T</w:t>
      </w:r>
      <w:r w:rsidR="00FD555A" w:rsidRPr="002526A8">
        <w:rPr>
          <w:rFonts w:eastAsiaTheme="minorHAnsi"/>
        </w:rPr>
        <w:t>he Inquiry</w:t>
      </w:r>
      <w:r w:rsidR="00F44041" w:rsidRPr="002526A8">
        <w:rPr>
          <w:rFonts w:eastAsiaTheme="minorHAnsi"/>
        </w:rPr>
        <w:t xml:space="preserve"> Report</w:t>
      </w:r>
      <w:r w:rsidR="00FD555A" w:rsidRPr="002526A8">
        <w:rPr>
          <w:rFonts w:eastAsiaTheme="minorHAnsi"/>
        </w:rPr>
        <w:t xml:space="preserve"> also noted that wage theft</w:t>
      </w:r>
      <w:r w:rsidR="00F90FB7" w:rsidRPr="002526A8">
        <w:rPr>
          <w:rFonts w:eastAsiaTheme="minorHAnsi"/>
        </w:rPr>
        <w:t xml:space="preserve"> in Western Australia</w:t>
      </w:r>
      <w:r w:rsidR="00FD555A" w:rsidRPr="002526A8">
        <w:rPr>
          <w:rFonts w:eastAsiaTheme="minorHAnsi"/>
        </w:rPr>
        <w:t xml:space="preserve"> </w:t>
      </w:r>
      <w:r w:rsidR="008D6851" w:rsidRPr="002526A8">
        <w:rPr>
          <w:rFonts w:eastAsiaTheme="minorHAnsi"/>
        </w:rPr>
        <w:t>frequently</w:t>
      </w:r>
      <w:r w:rsidR="00FD555A" w:rsidRPr="002526A8">
        <w:rPr>
          <w:rFonts w:eastAsiaTheme="minorHAnsi"/>
        </w:rPr>
        <w:t xml:space="preserve"> involves </w:t>
      </w:r>
      <w:r w:rsidR="00E00068" w:rsidRPr="002526A8">
        <w:rPr>
          <w:rFonts w:eastAsiaTheme="minorHAnsi"/>
        </w:rPr>
        <w:t xml:space="preserve">permanent </w:t>
      </w:r>
      <w:r w:rsidR="000A51B4">
        <w:rPr>
          <w:rFonts w:eastAsiaTheme="minorHAnsi"/>
        </w:rPr>
        <w:t>or</w:t>
      </w:r>
      <w:r w:rsidR="00E00068" w:rsidRPr="002526A8">
        <w:rPr>
          <w:rFonts w:eastAsiaTheme="minorHAnsi"/>
        </w:rPr>
        <w:t xml:space="preserve"> temporary </w:t>
      </w:r>
      <w:r w:rsidR="00FF1D05" w:rsidRPr="002526A8">
        <w:rPr>
          <w:rFonts w:eastAsiaTheme="minorHAnsi"/>
        </w:rPr>
        <w:t xml:space="preserve">migrant </w:t>
      </w:r>
      <w:r w:rsidR="00FF1D05" w:rsidRPr="009179BA">
        <w:rPr>
          <w:rFonts w:eastAsiaTheme="minorHAnsi"/>
        </w:rPr>
        <w:t>workers</w:t>
      </w:r>
      <w:r w:rsidR="00FF1D05" w:rsidRPr="009179BA">
        <w:rPr>
          <w:rFonts w:eastAsiaTheme="minorHAnsi"/>
          <w:i/>
        </w:rPr>
        <w:t>.</w:t>
      </w:r>
    </w:p>
    <w:p w14:paraId="3CF40790" w14:textId="77777777" w:rsidR="00B645AC" w:rsidRPr="00B645AC" w:rsidRDefault="00B645AC" w:rsidP="00D34581">
      <w:pPr>
        <w:numPr>
          <w:ilvl w:val="0"/>
          <w:numId w:val="9"/>
        </w:numPr>
        <w:spacing w:after="240" w:line="240" w:lineRule="auto"/>
        <w:ind w:left="425" w:hanging="425"/>
        <w:jc w:val="both"/>
        <w:rPr>
          <w:rFonts w:eastAsiaTheme="minorHAnsi"/>
        </w:rPr>
      </w:pPr>
      <w:r w:rsidRPr="00B645AC">
        <w:rPr>
          <w:rFonts w:eastAsiaTheme="minorHAnsi"/>
        </w:rPr>
        <w:t xml:space="preserve">The Inquiry Report </w:t>
      </w:r>
      <w:r w:rsidR="000B6A20">
        <w:rPr>
          <w:rFonts w:eastAsiaTheme="minorHAnsi"/>
        </w:rPr>
        <w:t>makes clear that</w:t>
      </w:r>
      <w:r w:rsidR="000E1E43">
        <w:rPr>
          <w:rFonts w:eastAsiaTheme="minorHAnsi"/>
        </w:rPr>
        <w:t xml:space="preserve"> the impacts of wage theft</w:t>
      </w:r>
      <w:r w:rsidR="000B6A20">
        <w:rPr>
          <w:rFonts w:eastAsiaTheme="minorHAnsi"/>
        </w:rPr>
        <w:t xml:space="preserve"> are significant</w:t>
      </w:r>
      <w:r>
        <w:rPr>
          <w:rFonts w:eastAsiaTheme="minorHAnsi"/>
        </w:rPr>
        <w:t>:</w:t>
      </w:r>
      <w:r w:rsidRPr="00B645AC">
        <w:rPr>
          <w:rFonts w:eastAsiaTheme="minorHAnsi"/>
        </w:rPr>
        <w:t xml:space="preserve"> </w:t>
      </w:r>
    </w:p>
    <w:p w14:paraId="78D305A9" w14:textId="4D166712" w:rsidR="00FD555A" w:rsidRDefault="00FD555A" w:rsidP="009D78E0">
      <w:pPr>
        <w:spacing w:after="240" w:line="240" w:lineRule="auto"/>
        <w:ind w:left="851" w:right="510"/>
        <w:jc w:val="both"/>
        <w:rPr>
          <w:sz w:val="22"/>
          <w:szCs w:val="22"/>
        </w:rPr>
      </w:pPr>
      <w:r w:rsidRPr="00B50FFA">
        <w:rPr>
          <w:sz w:val="22"/>
          <w:szCs w:val="22"/>
        </w:rPr>
        <w:t>Systematic and deliberate underpayment makes it harder for workers to meet day-to-day living expenses, and can affect the individual’s health, and have consequences for the worker’s family. The unfair cost advantage achieved by underpaying businesses can undermine those businesses which are compliant, and this has consequences for the viability of the compliant business, its employees, and in a wider sense for the economy. As a community, we are the poorer because of businesses which systematically and deliberately underpay their employees.</w:t>
      </w:r>
      <w:r w:rsidR="00932A5E">
        <w:rPr>
          <w:rStyle w:val="FootnoteReference"/>
          <w:sz w:val="22"/>
          <w:szCs w:val="22"/>
        </w:rPr>
        <w:footnoteReference w:id="4"/>
      </w:r>
    </w:p>
    <w:p w14:paraId="528D293E" w14:textId="1A8C2DB2" w:rsidR="00984644" w:rsidRPr="00A56C68" w:rsidRDefault="00984644" w:rsidP="00A11530">
      <w:pPr>
        <w:numPr>
          <w:ilvl w:val="0"/>
          <w:numId w:val="9"/>
        </w:numPr>
        <w:spacing w:after="120" w:line="240" w:lineRule="auto"/>
        <w:ind w:left="425" w:hanging="425"/>
        <w:jc w:val="both"/>
        <w:rPr>
          <w:rFonts w:eastAsiaTheme="minorHAnsi"/>
        </w:rPr>
      </w:pPr>
      <w:r w:rsidRPr="00A56C68">
        <w:rPr>
          <w:rFonts w:eastAsiaTheme="minorHAnsi"/>
        </w:rPr>
        <w:lastRenderedPageBreak/>
        <w:t>The Report makes 28 recommendations to address wage theft in Western Australia</w:t>
      </w:r>
      <w:r w:rsidR="002526A8">
        <w:rPr>
          <w:rFonts w:eastAsiaTheme="minorHAnsi"/>
        </w:rPr>
        <w:t>.</w:t>
      </w:r>
      <w:r w:rsidRPr="00A56C68">
        <w:rPr>
          <w:rFonts w:eastAsiaTheme="minorHAnsi"/>
        </w:rPr>
        <w:t xml:space="preserve">  Broadly, the recommendations include strategies which aim to:</w:t>
      </w:r>
    </w:p>
    <w:p w14:paraId="0C740B50" w14:textId="1C1FD067" w:rsidR="00984644" w:rsidRPr="00A56C68" w:rsidRDefault="00984644" w:rsidP="00A11530">
      <w:pPr>
        <w:numPr>
          <w:ilvl w:val="0"/>
          <w:numId w:val="11"/>
        </w:numPr>
        <w:spacing w:after="120" w:line="240" w:lineRule="auto"/>
        <w:ind w:left="1276" w:hanging="425"/>
        <w:jc w:val="both"/>
        <w:rPr>
          <w:rFonts w:eastAsiaTheme="minorHAnsi"/>
        </w:rPr>
      </w:pPr>
      <w:r w:rsidRPr="00A56C68">
        <w:rPr>
          <w:rFonts w:eastAsiaTheme="minorHAnsi"/>
        </w:rPr>
        <w:t>increase awareness of employment rights and obligations in Western</w:t>
      </w:r>
      <w:r w:rsidR="00EB1DAB">
        <w:rPr>
          <w:rFonts w:eastAsiaTheme="minorHAnsi"/>
        </w:rPr>
        <w:t> </w:t>
      </w:r>
      <w:r w:rsidRPr="00A56C68">
        <w:rPr>
          <w:rFonts w:eastAsiaTheme="minorHAnsi"/>
        </w:rPr>
        <w:t>Australia;</w:t>
      </w:r>
    </w:p>
    <w:p w14:paraId="5AE2C318" w14:textId="77777777" w:rsidR="00984644" w:rsidRPr="00A56C68" w:rsidRDefault="00984644" w:rsidP="00A11530">
      <w:pPr>
        <w:numPr>
          <w:ilvl w:val="0"/>
          <w:numId w:val="11"/>
        </w:numPr>
        <w:spacing w:after="120" w:line="240" w:lineRule="auto"/>
        <w:ind w:left="1276" w:hanging="425"/>
        <w:jc w:val="both"/>
        <w:rPr>
          <w:rFonts w:eastAsiaTheme="minorHAnsi"/>
        </w:rPr>
      </w:pPr>
      <w:r w:rsidRPr="00A56C68">
        <w:rPr>
          <w:rFonts w:eastAsiaTheme="minorHAnsi"/>
        </w:rPr>
        <w:t xml:space="preserve">provide a pathway for employees who have been underpaid to </w:t>
      </w:r>
      <w:r w:rsidR="0069289C">
        <w:rPr>
          <w:rFonts w:ascii="Arial" w:eastAsia="Calibri" w:hAnsi="Arial" w:cs="Arial"/>
        </w:rPr>
        <w:t>obtain</w:t>
      </w:r>
      <w:r w:rsidR="0069289C" w:rsidRPr="00AE5834">
        <w:rPr>
          <w:rFonts w:ascii="Arial" w:eastAsia="Calibri" w:hAnsi="Arial" w:cs="Arial"/>
        </w:rPr>
        <w:t xml:space="preserve"> information and to seek redress</w:t>
      </w:r>
      <w:r w:rsidRPr="00A56C68">
        <w:rPr>
          <w:rFonts w:eastAsiaTheme="minorHAnsi"/>
        </w:rPr>
        <w:t xml:space="preserve">; and </w:t>
      </w:r>
    </w:p>
    <w:p w14:paraId="4863510D" w14:textId="77777777" w:rsidR="00984644" w:rsidRPr="00A56C68" w:rsidRDefault="00984644" w:rsidP="00D34581">
      <w:pPr>
        <w:numPr>
          <w:ilvl w:val="0"/>
          <w:numId w:val="11"/>
        </w:numPr>
        <w:spacing w:after="240" w:line="240" w:lineRule="auto"/>
        <w:ind w:left="1276" w:hanging="425"/>
        <w:jc w:val="both"/>
        <w:rPr>
          <w:rFonts w:eastAsiaTheme="minorHAnsi"/>
        </w:rPr>
      </w:pPr>
      <w:r w:rsidRPr="00A56C68">
        <w:rPr>
          <w:rFonts w:eastAsiaTheme="minorHAnsi"/>
        </w:rPr>
        <w:t xml:space="preserve">provide for greater detection of underpayments and enforcement of employment laws.  </w:t>
      </w:r>
    </w:p>
    <w:p w14:paraId="5C508CB0" w14:textId="76A43EDE" w:rsidR="00DC1DE4" w:rsidRDefault="003E08AE" w:rsidP="00D34581">
      <w:pPr>
        <w:numPr>
          <w:ilvl w:val="0"/>
          <w:numId w:val="9"/>
        </w:numPr>
        <w:spacing w:after="240" w:line="240" w:lineRule="auto"/>
        <w:ind w:left="567" w:hanging="567"/>
        <w:jc w:val="both"/>
        <w:rPr>
          <w:rFonts w:eastAsiaTheme="minorHAnsi"/>
        </w:rPr>
      </w:pPr>
      <w:r>
        <w:rPr>
          <w:rFonts w:eastAsiaTheme="minorHAnsi"/>
        </w:rPr>
        <w:t>Those a</w:t>
      </w:r>
      <w:r w:rsidR="00DC1DE4">
        <w:rPr>
          <w:rFonts w:eastAsiaTheme="minorHAnsi"/>
        </w:rPr>
        <w:t xml:space="preserve">spects of the Inquiry Report </w:t>
      </w:r>
      <w:r>
        <w:rPr>
          <w:rFonts w:eastAsiaTheme="minorHAnsi"/>
        </w:rPr>
        <w:t xml:space="preserve">that are </w:t>
      </w:r>
      <w:r w:rsidR="00DC1DE4">
        <w:rPr>
          <w:rFonts w:eastAsiaTheme="minorHAnsi"/>
        </w:rPr>
        <w:t xml:space="preserve">of particular relevance to the Commonwealth Government’s present deliberations are considered below. </w:t>
      </w:r>
    </w:p>
    <w:p w14:paraId="7041B7AB" w14:textId="77777777" w:rsidR="00B02185" w:rsidRPr="00984644" w:rsidRDefault="00B02185" w:rsidP="00B530D6">
      <w:pPr>
        <w:spacing w:before="360" w:after="240" w:line="240" w:lineRule="auto"/>
        <w:jc w:val="both"/>
        <w:rPr>
          <w:rFonts w:eastAsiaTheme="minorHAnsi"/>
          <w:b/>
        </w:rPr>
      </w:pPr>
      <w:r>
        <w:rPr>
          <w:rFonts w:eastAsiaTheme="minorHAnsi"/>
          <w:b/>
        </w:rPr>
        <w:t>The</w:t>
      </w:r>
      <w:r w:rsidRPr="00984644">
        <w:rPr>
          <w:rFonts w:eastAsiaTheme="minorHAnsi"/>
          <w:b/>
        </w:rPr>
        <w:t xml:space="preserve"> proposed addition of criminal sanctions to the current enforcement framework</w:t>
      </w:r>
    </w:p>
    <w:p w14:paraId="24300658" w14:textId="13A096F7" w:rsidR="006D3C07" w:rsidRDefault="006D3C07" w:rsidP="00D34581">
      <w:pPr>
        <w:numPr>
          <w:ilvl w:val="0"/>
          <w:numId w:val="9"/>
        </w:numPr>
        <w:spacing w:after="240" w:line="240" w:lineRule="auto"/>
        <w:ind w:left="567" w:hanging="567"/>
        <w:jc w:val="both"/>
        <w:rPr>
          <w:rFonts w:eastAsiaTheme="minorHAnsi"/>
        </w:rPr>
      </w:pPr>
      <w:r w:rsidRPr="00A56C68">
        <w:rPr>
          <w:rFonts w:eastAsiaTheme="minorHAnsi"/>
        </w:rPr>
        <w:t xml:space="preserve">The </w:t>
      </w:r>
      <w:r w:rsidRPr="004734A3">
        <w:rPr>
          <w:rFonts w:eastAsiaTheme="minorHAnsi"/>
        </w:rPr>
        <w:t xml:space="preserve">Inquiry into Wage Theft </w:t>
      </w:r>
      <w:r w:rsidRPr="00A56C68">
        <w:rPr>
          <w:rFonts w:eastAsiaTheme="minorHAnsi"/>
        </w:rPr>
        <w:t>examined whether the current regulatory framework at the State and federal level is effective in combating wage theft, whether new laws should be introduced in Western Australia to address wage theft, and if so, whether wage theft should be a criminal offence.</w:t>
      </w:r>
    </w:p>
    <w:p w14:paraId="12CC3908" w14:textId="19F1917F" w:rsidR="00E96899" w:rsidRDefault="00E96899" w:rsidP="00D34581">
      <w:pPr>
        <w:numPr>
          <w:ilvl w:val="0"/>
          <w:numId w:val="9"/>
        </w:numPr>
        <w:spacing w:after="240" w:line="240" w:lineRule="auto"/>
        <w:ind w:left="567" w:hanging="567"/>
        <w:jc w:val="both"/>
        <w:rPr>
          <w:rFonts w:eastAsiaTheme="minorHAnsi"/>
        </w:rPr>
      </w:pPr>
      <w:r w:rsidRPr="00E96899">
        <w:rPr>
          <w:rFonts w:eastAsiaTheme="minorHAnsi"/>
        </w:rPr>
        <w:t>With regard to the criminalisation of wage theft, the Inqu</w:t>
      </w:r>
      <w:r w:rsidR="003F2478">
        <w:rPr>
          <w:rFonts w:eastAsiaTheme="minorHAnsi"/>
        </w:rPr>
        <w:t>iry Report notes there was</w:t>
      </w:r>
      <w:r w:rsidRPr="00E96899">
        <w:rPr>
          <w:rFonts w:eastAsiaTheme="minorHAnsi"/>
        </w:rPr>
        <w:t xml:space="preserve"> strong opposition to criminalising wage theft in some submissions to the Inquiry from employer groups, and that submissions from a range of unions and community organisations supported the criminalisation of wage theft.</w:t>
      </w:r>
      <w:r w:rsidR="000C768E">
        <w:rPr>
          <w:rStyle w:val="FootnoteReference"/>
          <w:rFonts w:eastAsiaTheme="minorHAnsi"/>
        </w:rPr>
        <w:footnoteReference w:id="5"/>
      </w:r>
    </w:p>
    <w:p w14:paraId="6170351C" w14:textId="1FF5A58E" w:rsidR="00FA692E" w:rsidRPr="00B46C05" w:rsidRDefault="00FA692E" w:rsidP="00A11530">
      <w:pPr>
        <w:numPr>
          <w:ilvl w:val="0"/>
          <w:numId w:val="9"/>
        </w:numPr>
        <w:spacing w:after="120" w:line="240" w:lineRule="auto"/>
        <w:ind w:left="567" w:hanging="567"/>
        <w:jc w:val="both"/>
        <w:rPr>
          <w:rFonts w:eastAsiaTheme="minorHAnsi"/>
        </w:rPr>
      </w:pPr>
      <w:r>
        <w:rPr>
          <w:rFonts w:eastAsiaTheme="minorHAnsi"/>
        </w:rPr>
        <w:t>In considering the possible criminalisation of wage theft, t</w:t>
      </w:r>
      <w:r w:rsidRPr="00B46C05">
        <w:rPr>
          <w:rFonts w:eastAsiaTheme="minorHAnsi"/>
        </w:rPr>
        <w:t xml:space="preserve">he </w:t>
      </w:r>
      <w:r w:rsidR="00F44041">
        <w:rPr>
          <w:rFonts w:eastAsiaTheme="minorHAnsi"/>
        </w:rPr>
        <w:t xml:space="preserve">Inquiry </w:t>
      </w:r>
      <w:r w:rsidR="00A17EE4">
        <w:rPr>
          <w:rFonts w:eastAsiaTheme="minorHAnsi"/>
        </w:rPr>
        <w:t xml:space="preserve">Report </w:t>
      </w:r>
      <w:r w:rsidRPr="00B46C05">
        <w:rPr>
          <w:rFonts w:eastAsiaTheme="minorHAnsi"/>
        </w:rPr>
        <w:t>identifie</w:t>
      </w:r>
      <w:r w:rsidR="00A17EE4">
        <w:rPr>
          <w:rFonts w:eastAsiaTheme="minorHAnsi"/>
        </w:rPr>
        <w:t>s</w:t>
      </w:r>
      <w:r w:rsidRPr="00B46C05">
        <w:rPr>
          <w:rFonts w:eastAsiaTheme="minorHAnsi"/>
        </w:rPr>
        <w:t xml:space="preserve"> two fundamental issues to be addressed, namely:</w:t>
      </w:r>
    </w:p>
    <w:p w14:paraId="28B25687" w14:textId="77777777" w:rsidR="00FA692E" w:rsidRDefault="00FA692E" w:rsidP="00A11530">
      <w:pPr>
        <w:numPr>
          <w:ilvl w:val="0"/>
          <w:numId w:val="11"/>
        </w:numPr>
        <w:tabs>
          <w:tab w:val="left" w:pos="851"/>
        </w:tabs>
        <w:spacing w:after="120" w:line="240" w:lineRule="auto"/>
        <w:ind w:left="1276" w:hanging="425"/>
        <w:jc w:val="both"/>
        <w:rPr>
          <w:rFonts w:eastAsiaTheme="minorHAnsi"/>
        </w:rPr>
      </w:pPr>
      <w:r w:rsidRPr="002B1E2F">
        <w:rPr>
          <w:rFonts w:eastAsiaTheme="minorHAnsi"/>
        </w:rPr>
        <w:t xml:space="preserve">to try and reduce or prevent systematic and deliberate underpayment of wages and entitlements from occurring; and </w:t>
      </w:r>
    </w:p>
    <w:p w14:paraId="5CAE4D56" w14:textId="680B47DE" w:rsidR="00FA692E" w:rsidRPr="002B1E2F" w:rsidRDefault="00FA692E" w:rsidP="00D34581">
      <w:pPr>
        <w:numPr>
          <w:ilvl w:val="0"/>
          <w:numId w:val="11"/>
        </w:numPr>
        <w:tabs>
          <w:tab w:val="left" w:pos="851"/>
        </w:tabs>
        <w:spacing w:after="240" w:line="240" w:lineRule="auto"/>
        <w:ind w:left="1276" w:hanging="425"/>
        <w:jc w:val="both"/>
        <w:rPr>
          <w:rFonts w:eastAsiaTheme="minorHAnsi"/>
        </w:rPr>
      </w:pPr>
      <w:r w:rsidRPr="002B1E2F">
        <w:rPr>
          <w:rFonts w:eastAsiaTheme="minorHAnsi"/>
        </w:rPr>
        <w:t>to ensure that a worker receives the wages and entitlements which should have been paid to them.</w:t>
      </w:r>
      <w:r w:rsidR="000C768E">
        <w:rPr>
          <w:rStyle w:val="FootnoteReference"/>
          <w:rFonts w:eastAsiaTheme="minorHAnsi"/>
        </w:rPr>
        <w:footnoteReference w:id="6"/>
      </w:r>
      <w:r w:rsidRPr="002B1E2F">
        <w:rPr>
          <w:rFonts w:eastAsiaTheme="minorHAnsi"/>
        </w:rPr>
        <w:t xml:space="preserve"> </w:t>
      </w:r>
    </w:p>
    <w:p w14:paraId="0081A528" w14:textId="77777777" w:rsidR="000C768E" w:rsidRDefault="00A17EE4" w:rsidP="00D34581">
      <w:pPr>
        <w:numPr>
          <w:ilvl w:val="0"/>
          <w:numId w:val="9"/>
        </w:numPr>
        <w:spacing w:after="240" w:line="240" w:lineRule="auto"/>
        <w:ind w:left="567" w:hanging="567"/>
        <w:jc w:val="both"/>
        <w:rPr>
          <w:rFonts w:eastAsiaTheme="minorHAnsi"/>
        </w:rPr>
      </w:pPr>
      <w:r w:rsidRPr="00115747">
        <w:rPr>
          <w:rFonts w:eastAsiaTheme="minorHAnsi"/>
        </w:rPr>
        <w:t>In the Inquirer’s view</w:t>
      </w:r>
      <w:r w:rsidR="00FA692E" w:rsidRPr="00115747">
        <w:rPr>
          <w:rFonts w:eastAsiaTheme="minorHAnsi"/>
        </w:rPr>
        <w:t>, “If making wage theft a criminal offence may assist to address those issues, it deserves to be considered.”</w:t>
      </w:r>
      <w:r w:rsidR="00781D83" w:rsidRPr="00F44041">
        <w:rPr>
          <w:rStyle w:val="FootnoteReference"/>
          <w:rFonts w:eastAsiaTheme="minorHAnsi" w:cstheme="minorHAnsi"/>
        </w:rPr>
        <w:footnoteReference w:id="7"/>
      </w:r>
      <w:r w:rsidR="00F44041">
        <w:rPr>
          <w:rFonts w:eastAsiaTheme="minorHAnsi"/>
        </w:rPr>
        <w:t xml:space="preserve">  </w:t>
      </w:r>
    </w:p>
    <w:p w14:paraId="25D9C358" w14:textId="2220306C" w:rsidR="00115747" w:rsidRDefault="00F44041" w:rsidP="00D34581">
      <w:pPr>
        <w:numPr>
          <w:ilvl w:val="0"/>
          <w:numId w:val="9"/>
        </w:numPr>
        <w:spacing w:after="240" w:line="240" w:lineRule="auto"/>
        <w:ind w:left="567" w:hanging="567"/>
        <w:jc w:val="both"/>
        <w:rPr>
          <w:rFonts w:eastAsiaTheme="minorHAnsi"/>
        </w:rPr>
      </w:pPr>
      <w:r w:rsidRPr="000A51B4">
        <w:rPr>
          <w:rFonts w:eastAsiaTheme="minorHAnsi"/>
        </w:rPr>
        <w:t>While</w:t>
      </w:r>
      <w:r w:rsidR="00115747" w:rsidRPr="000A51B4">
        <w:rPr>
          <w:rFonts w:eastAsiaTheme="minorHAnsi"/>
        </w:rPr>
        <w:t xml:space="preserve"> accepting that criminalisation raises some complex issues, the Inquirer </w:t>
      </w:r>
      <w:r w:rsidR="009D023D" w:rsidRPr="000A51B4">
        <w:rPr>
          <w:rFonts w:eastAsiaTheme="minorHAnsi"/>
        </w:rPr>
        <w:t>observes</w:t>
      </w:r>
      <w:r w:rsidR="00115747" w:rsidRPr="000A51B4">
        <w:rPr>
          <w:rFonts w:eastAsiaTheme="minorHAnsi"/>
        </w:rPr>
        <w:t xml:space="preserve"> </w:t>
      </w:r>
      <w:r w:rsidR="009D023D" w:rsidRPr="000A51B4">
        <w:rPr>
          <w:rFonts w:eastAsiaTheme="minorHAnsi"/>
        </w:rPr>
        <w:t>that</w:t>
      </w:r>
      <w:r w:rsidR="00115747" w:rsidRPr="000A51B4">
        <w:rPr>
          <w:rFonts w:eastAsiaTheme="minorHAnsi"/>
        </w:rPr>
        <w:t xml:space="preserve"> widespread wage theft </w:t>
      </w:r>
      <w:r w:rsidR="009D023D" w:rsidRPr="000A51B4">
        <w:rPr>
          <w:rFonts w:eastAsiaTheme="minorHAnsi"/>
        </w:rPr>
        <w:t xml:space="preserve">is </w:t>
      </w:r>
      <w:r w:rsidR="00115747" w:rsidRPr="000A51B4">
        <w:rPr>
          <w:rFonts w:eastAsiaTheme="minorHAnsi"/>
        </w:rPr>
        <w:t>occurring under current laws</w:t>
      </w:r>
      <w:r w:rsidR="009D023D" w:rsidRPr="000A51B4">
        <w:rPr>
          <w:rFonts w:eastAsiaTheme="minorHAnsi"/>
        </w:rPr>
        <w:t xml:space="preserve"> and </w:t>
      </w:r>
      <w:r w:rsidR="003F2478">
        <w:rPr>
          <w:rFonts w:eastAsiaTheme="minorHAnsi"/>
        </w:rPr>
        <w:t>reasons that</w:t>
      </w:r>
      <w:r w:rsidR="00A61652" w:rsidRPr="000A51B4">
        <w:rPr>
          <w:rFonts w:eastAsiaTheme="minorHAnsi"/>
        </w:rPr>
        <w:t xml:space="preserve"> </w:t>
      </w:r>
      <w:r w:rsidR="009D023D" w:rsidRPr="000A51B4">
        <w:rPr>
          <w:rFonts w:eastAsiaTheme="minorHAnsi"/>
        </w:rPr>
        <w:t>“</w:t>
      </w:r>
      <w:r w:rsidR="00A61652" w:rsidRPr="000A51B4">
        <w:rPr>
          <w:rFonts w:eastAsiaTheme="minorHAnsi"/>
        </w:rPr>
        <w:t>a</w:t>
      </w:r>
      <w:r w:rsidR="009D023D" w:rsidRPr="000A51B4">
        <w:rPr>
          <w:rFonts w:eastAsiaTheme="minorHAnsi"/>
        </w:rPr>
        <w:t>rguably, those laws are not effective in deterring wage theft.”</w:t>
      </w:r>
      <w:r w:rsidR="00115747" w:rsidRPr="000A51B4">
        <w:rPr>
          <w:rStyle w:val="FootnoteReference"/>
          <w:rFonts w:eastAsiaTheme="minorHAnsi"/>
        </w:rPr>
        <w:footnoteReference w:id="8"/>
      </w:r>
    </w:p>
    <w:p w14:paraId="0A46D158" w14:textId="1251751B" w:rsidR="000A51B4" w:rsidRDefault="000A51B4" w:rsidP="000A51B4">
      <w:pPr>
        <w:spacing w:after="240" w:line="240" w:lineRule="auto"/>
        <w:jc w:val="both"/>
        <w:rPr>
          <w:rFonts w:eastAsiaTheme="minorHAnsi"/>
        </w:rPr>
      </w:pPr>
    </w:p>
    <w:p w14:paraId="5A0634D2" w14:textId="77777777" w:rsidR="00A11530" w:rsidRDefault="00A11530" w:rsidP="000A51B4">
      <w:pPr>
        <w:spacing w:after="240" w:line="240" w:lineRule="auto"/>
        <w:jc w:val="both"/>
        <w:rPr>
          <w:rFonts w:eastAsiaTheme="minorHAnsi"/>
        </w:rPr>
      </w:pPr>
    </w:p>
    <w:p w14:paraId="15F8C1C0" w14:textId="77777777" w:rsidR="000A51B4" w:rsidRPr="000A51B4" w:rsidRDefault="000A51B4" w:rsidP="000A51B4">
      <w:pPr>
        <w:spacing w:after="240" w:line="240" w:lineRule="auto"/>
        <w:jc w:val="both"/>
        <w:rPr>
          <w:rFonts w:eastAsiaTheme="minorHAnsi"/>
        </w:rPr>
      </w:pPr>
    </w:p>
    <w:p w14:paraId="2E27DE69" w14:textId="7C833644" w:rsidR="005B517A" w:rsidRPr="005B517A" w:rsidRDefault="00B40816" w:rsidP="00D34581">
      <w:pPr>
        <w:numPr>
          <w:ilvl w:val="0"/>
          <w:numId w:val="9"/>
        </w:numPr>
        <w:spacing w:after="240" w:line="240" w:lineRule="auto"/>
        <w:ind w:left="567" w:hanging="567"/>
        <w:jc w:val="both"/>
        <w:rPr>
          <w:sz w:val="22"/>
          <w:szCs w:val="22"/>
        </w:rPr>
      </w:pPr>
      <w:r>
        <w:rPr>
          <w:rFonts w:eastAsiaTheme="minorHAnsi"/>
        </w:rPr>
        <w:lastRenderedPageBreak/>
        <w:t>The Inquiry Report notes that th</w:t>
      </w:r>
      <w:r w:rsidR="005B517A">
        <w:rPr>
          <w:rFonts w:eastAsiaTheme="minorHAnsi"/>
        </w:rPr>
        <w:t>e evidence considered by the Inquiry demonstrate</w:t>
      </w:r>
      <w:r>
        <w:rPr>
          <w:rFonts w:eastAsiaTheme="minorHAnsi"/>
        </w:rPr>
        <w:t>s</w:t>
      </w:r>
      <w:r w:rsidR="005B517A">
        <w:rPr>
          <w:rFonts w:eastAsiaTheme="minorHAnsi"/>
        </w:rPr>
        <w:t xml:space="preserve"> that: </w:t>
      </w:r>
    </w:p>
    <w:p w14:paraId="4A8C3B02" w14:textId="713518D2" w:rsidR="00BC0D32" w:rsidRDefault="00BC0D32" w:rsidP="009D78E0">
      <w:pPr>
        <w:spacing w:after="240" w:line="240" w:lineRule="auto"/>
        <w:ind w:left="851" w:right="510"/>
        <w:jc w:val="both"/>
        <w:rPr>
          <w:sz w:val="22"/>
          <w:szCs w:val="22"/>
        </w:rPr>
      </w:pPr>
      <w:r>
        <w:rPr>
          <w:sz w:val="22"/>
          <w:szCs w:val="22"/>
        </w:rPr>
        <w:t xml:space="preserve">… </w:t>
      </w:r>
      <w:r w:rsidRPr="00BC0D32">
        <w:rPr>
          <w:sz w:val="22"/>
          <w:szCs w:val="22"/>
        </w:rPr>
        <w:t>some employers do not regard the law requiring them to pay their workers the minimum wages, penalty rates and other entitlements, including superannuation contributions, as applying to them. Those employers who know the law does apply to them, but who still systematically and deliberately underpay, appare</w:t>
      </w:r>
      <w:r w:rsidR="00BD4930">
        <w:rPr>
          <w:sz w:val="22"/>
          <w:szCs w:val="22"/>
        </w:rPr>
        <w:t xml:space="preserve">ntly consider the risk of being </w:t>
      </w:r>
      <w:r w:rsidRPr="00BC0D32">
        <w:rPr>
          <w:sz w:val="22"/>
          <w:szCs w:val="22"/>
        </w:rPr>
        <w:t>caught and brought to account is small enough to disregard the law. Yet it is deliberate law-breaking. In the cases and examples shown, the employer deliberately takes labour for which they have an obligation to pay, without paying for it in accordance with the law.</w:t>
      </w:r>
      <w:r w:rsidR="003B5D55">
        <w:rPr>
          <w:rStyle w:val="FootnoteReference"/>
          <w:sz w:val="22"/>
          <w:szCs w:val="22"/>
        </w:rPr>
        <w:footnoteReference w:id="9"/>
      </w:r>
    </w:p>
    <w:p w14:paraId="00C0A5E7" w14:textId="67C0960B" w:rsidR="00BC0D32" w:rsidRPr="00764DE0" w:rsidRDefault="00B46C05" w:rsidP="00D34581">
      <w:pPr>
        <w:numPr>
          <w:ilvl w:val="0"/>
          <w:numId w:val="9"/>
        </w:numPr>
        <w:spacing w:after="240" w:line="240" w:lineRule="auto"/>
        <w:ind w:left="567" w:hanging="567"/>
        <w:jc w:val="both"/>
        <w:rPr>
          <w:rFonts w:eastAsiaTheme="minorHAnsi"/>
        </w:rPr>
      </w:pPr>
      <w:r w:rsidRPr="00764DE0">
        <w:rPr>
          <w:rFonts w:eastAsiaTheme="minorHAnsi"/>
        </w:rPr>
        <w:t xml:space="preserve">The </w:t>
      </w:r>
      <w:r w:rsidR="003C73C0">
        <w:rPr>
          <w:rFonts w:eastAsiaTheme="minorHAnsi"/>
        </w:rPr>
        <w:t xml:space="preserve">Inquiry </w:t>
      </w:r>
      <w:r w:rsidRPr="00764DE0">
        <w:rPr>
          <w:rFonts w:eastAsiaTheme="minorHAnsi"/>
        </w:rPr>
        <w:t xml:space="preserve">Report </w:t>
      </w:r>
      <w:r w:rsidR="00987FCA">
        <w:rPr>
          <w:rFonts w:eastAsiaTheme="minorHAnsi"/>
        </w:rPr>
        <w:t>argues</w:t>
      </w:r>
      <w:r w:rsidR="00BB3A43">
        <w:rPr>
          <w:rFonts w:eastAsiaTheme="minorHAnsi"/>
        </w:rPr>
        <w:t xml:space="preserve"> that</w:t>
      </w:r>
      <w:r w:rsidR="00764DE0" w:rsidRPr="00764DE0">
        <w:rPr>
          <w:rFonts w:eastAsiaTheme="minorHAnsi"/>
        </w:rPr>
        <w:t xml:space="preserve"> the </w:t>
      </w:r>
      <w:r w:rsidR="00DC6121">
        <w:rPr>
          <w:rFonts w:eastAsiaTheme="minorHAnsi"/>
        </w:rPr>
        <w:t>harmful</w:t>
      </w:r>
      <w:r w:rsidR="00764DE0" w:rsidRPr="00764DE0">
        <w:rPr>
          <w:rFonts w:eastAsiaTheme="minorHAnsi"/>
        </w:rPr>
        <w:t xml:space="preserve"> effects of </w:t>
      </w:r>
      <w:r w:rsidR="00987FCA">
        <w:rPr>
          <w:rFonts w:eastAsiaTheme="minorHAnsi"/>
        </w:rPr>
        <w:t>such practices</w:t>
      </w:r>
      <w:r w:rsidR="00764DE0" w:rsidRPr="00764DE0">
        <w:rPr>
          <w:rFonts w:eastAsiaTheme="minorHAnsi"/>
        </w:rPr>
        <w:t xml:space="preserve"> </w:t>
      </w:r>
      <w:r w:rsidR="00BB3A43">
        <w:rPr>
          <w:rFonts w:eastAsiaTheme="minorHAnsi"/>
        </w:rPr>
        <w:t>are</w:t>
      </w:r>
      <w:r w:rsidR="00764DE0" w:rsidRPr="00764DE0">
        <w:rPr>
          <w:rFonts w:eastAsiaTheme="minorHAnsi"/>
        </w:rPr>
        <w:t xml:space="preserve"> of such significance that </w:t>
      </w:r>
      <w:r w:rsidR="00987FCA">
        <w:rPr>
          <w:rFonts w:eastAsiaTheme="minorHAnsi"/>
        </w:rPr>
        <w:t>stronger measures are required.</w:t>
      </w:r>
      <w:r w:rsidR="00BB3A43">
        <w:rPr>
          <w:rFonts w:eastAsiaTheme="minorHAnsi"/>
        </w:rPr>
        <w:t xml:space="preserve"> </w:t>
      </w:r>
      <w:r w:rsidR="00F44041">
        <w:rPr>
          <w:rFonts w:eastAsiaTheme="minorHAnsi"/>
        </w:rPr>
        <w:t xml:space="preserve"> </w:t>
      </w:r>
      <w:r w:rsidR="00D5117D">
        <w:rPr>
          <w:rFonts w:eastAsiaTheme="minorHAnsi"/>
        </w:rPr>
        <w:t>To this end</w:t>
      </w:r>
      <w:r w:rsidR="00764DE0" w:rsidRPr="00764DE0">
        <w:rPr>
          <w:rFonts w:eastAsiaTheme="minorHAnsi"/>
        </w:rPr>
        <w:t xml:space="preserve">, it </w:t>
      </w:r>
      <w:r w:rsidR="00987FCA">
        <w:rPr>
          <w:rFonts w:eastAsiaTheme="minorHAnsi"/>
        </w:rPr>
        <w:t>is</w:t>
      </w:r>
      <w:r w:rsidR="00764DE0" w:rsidRPr="00764DE0">
        <w:rPr>
          <w:rFonts w:eastAsiaTheme="minorHAnsi"/>
        </w:rPr>
        <w:t xml:space="preserve"> observed that: </w:t>
      </w:r>
      <w:r w:rsidR="00BC0D32" w:rsidRPr="00764DE0">
        <w:rPr>
          <w:rFonts w:eastAsiaTheme="minorHAnsi"/>
        </w:rPr>
        <w:t xml:space="preserve"> </w:t>
      </w:r>
    </w:p>
    <w:p w14:paraId="79A95127" w14:textId="77777777" w:rsidR="00730C6A" w:rsidRDefault="00B46C05" w:rsidP="009D78E0">
      <w:pPr>
        <w:tabs>
          <w:tab w:val="left" w:pos="7371"/>
        </w:tabs>
        <w:spacing w:after="240" w:line="240" w:lineRule="auto"/>
        <w:ind w:left="851" w:right="510"/>
        <w:jc w:val="both"/>
        <w:rPr>
          <w:sz w:val="22"/>
          <w:szCs w:val="22"/>
        </w:rPr>
      </w:pPr>
      <w:r w:rsidRPr="0009489C">
        <w:rPr>
          <w:sz w:val="22"/>
          <w:szCs w:val="22"/>
        </w:rPr>
        <w:t>A criminal offence is more serious and weighty than a civil offence. Making the most serious systematic and deliberate underpayment of wages and entitlements a criminal offence sends a message that it is treated more seriously. I consider it can play a role in more effectively trying to reduce or prevent systematic and deliberate underpayment of wages and entitlements from occurring, which is one of the two fundamental issues I refer to above.</w:t>
      </w:r>
      <w:r w:rsidR="00D04AD1">
        <w:rPr>
          <w:rStyle w:val="FootnoteReference"/>
          <w:sz w:val="22"/>
          <w:szCs w:val="22"/>
        </w:rPr>
        <w:footnoteReference w:id="10"/>
      </w:r>
      <w:r w:rsidR="00730C6A" w:rsidRPr="00730C6A">
        <w:rPr>
          <w:sz w:val="22"/>
          <w:szCs w:val="22"/>
        </w:rPr>
        <w:t xml:space="preserve"> </w:t>
      </w:r>
    </w:p>
    <w:p w14:paraId="3048C740" w14:textId="3221712D" w:rsidR="003974EC" w:rsidRPr="00164D7A" w:rsidRDefault="00074C20" w:rsidP="00D34581">
      <w:pPr>
        <w:pStyle w:val="ListParagraph"/>
        <w:numPr>
          <w:ilvl w:val="0"/>
          <w:numId w:val="9"/>
        </w:numPr>
        <w:spacing w:after="240" w:line="240" w:lineRule="auto"/>
        <w:ind w:left="567" w:hanging="567"/>
        <w:contextualSpacing w:val="0"/>
        <w:jc w:val="both"/>
        <w:rPr>
          <w:rFonts w:eastAsiaTheme="minorHAnsi"/>
        </w:rPr>
      </w:pPr>
      <w:r w:rsidRPr="00164D7A">
        <w:rPr>
          <w:rFonts w:eastAsiaTheme="minorHAnsi"/>
        </w:rPr>
        <w:t>The Inquir</w:t>
      </w:r>
      <w:r w:rsidR="003F2478" w:rsidRPr="00164D7A">
        <w:rPr>
          <w:rFonts w:eastAsiaTheme="minorHAnsi"/>
        </w:rPr>
        <w:t>er</w:t>
      </w:r>
      <w:r w:rsidRPr="00164D7A">
        <w:rPr>
          <w:rFonts w:eastAsiaTheme="minorHAnsi"/>
        </w:rPr>
        <w:t xml:space="preserve"> concluded </w:t>
      </w:r>
      <w:r w:rsidR="00E96899" w:rsidRPr="00164D7A">
        <w:rPr>
          <w:rFonts w:eastAsiaTheme="minorHAnsi"/>
        </w:rPr>
        <w:t xml:space="preserve">with regard to criminalisation that </w:t>
      </w:r>
      <w:r w:rsidRPr="00164D7A">
        <w:rPr>
          <w:rFonts w:eastAsiaTheme="minorHAnsi"/>
        </w:rPr>
        <w:t xml:space="preserve">“I do not accept that </w:t>
      </w:r>
      <w:r w:rsidR="00E96899" w:rsidRPr="00164D7A">
        <w:rPr>
          <w:rFonts w:eastAsiaTheme="minorHAnsi"/>
        </w:rPr>
        <w:t xml:space="preserve">unintentional underpayment of wages and entitlements </w:t>
      </w:r>
      <w:r w:rsidRPr="00164D7A">
        <w:rPr>
          <w:rFonts w:eastAsiaTheme="minorHAnsi"/>
        </w:rPr>
        <w:t xml:space="preserve">as such </w:t>
      </w:r>
      <w:r w:rsidR="00E96899" w:rsidRPr="00164D7A">
        <w:rPr>
          <w:rFonts w:eastAsiaTheme="minorHAnsi"/>
        </w:rPr>
        <w:t>should attract a criminal sanction</w:t>
      </w:r>
      <w:r w:rsidRPr="00164D7A">
        <w:rPr>
          <w:rFonts w:eastAsiaTheme="minorHAnsi"/>
        </w:rPr>
        <w:t>.”</w:t>
      </w:r>
      <w:r w:rsidR="00E96899">
        <w:rPr>
          <w:rStyle w:val="FootnoteReference"/>
          <w:rFonts w:eastAsiaTheme="minorHAnsi"/>
        </w:rPr>
        <w:footnoteReference w:id="11"/>
      </w:r>
      <w:r w:rsidRPr="00164D7A">
        <w:rPr>
          <w:rFonts w:eastAsiaTheme="minorHAnsi"/>
        </w:rPr>
        <w:t xml:space="preserve"> </w:t>
      </w:r>
      <w:r w:rsidR="00E96899" w:rsidRPr="00164D7A">
        <w:rPr>
          <w:rFonts w:eastAsiaTheme="minorHAnsi"/>
        </w:rPr>
        <w:t xml:space="preserve"> </w:t>
      </w:r>
      <w:r w:rsidRPr="00164D7A">
        <w:rPr>
          <w:rFonts w:eastAsiaTheme="minorHAnsi"/>
        </w:rPr>
        <w:t>How</w:t>
      </w:r>
      <w:r w:rsidR="00E96899" w:rsidRPr="00164D7A">
        <w:rPr>
          <w:rFonts w:eastAsiaTheme="minorHAnsi"/>
        </w:rPr>
        <w:t xml:space="preserve">ever </w:t>
      </w:r>
      <w:r w:rsidRPr="00164D7A">
        <w:rPr>
          <w:rFonts w:eastAsiaTheme="minorHAnsi"/>
        </w:rPr>
        <w:t xml:space="preserve">the Inquiry Report </w:t>
      </w:r>
      <w:r w:rsidR="00E96899" w:rsidRPr="00164D7A">
        <w:rPr>
          <w:rFonts w:eastAsiaTheme="minorHAnsi"/>
        </w:rPr>
        <w:t xml:space="preserve">recommends that </w:t>
      </w:r>
      <w:r w:rsidR="00250324" w:rsidRPr="00164D7A">
        <w:rPr>
          <w:rFonts w:eastAsiaTheme="minorHAnsi"/>
        </w:rPr>
        <w:t>“</w:t>
      </w:r>
      <w:r w:rsidR="00E96899" w:rsidRPr="00164D7A">
        <w:rPr>
          <w:rFonts w:eastAsiaTheme="minorHAnsi"/>
        </w:rPr>
        <w:t xml:space="preserve">in principle, a criminal sanction should be considered by the </w:t>
      </w:r>
      <w:r w:rsidR="00250324" w:rsidRPr="00164D7A">
        <w:rPr>
          <w:rFonts w:eastAsiaTheme="minorHAnsi"/>
        </w:rPr>
        <w:t xml:space="preserve">State </w:t>
      </w:r>
      <w:r w:rsidR="00E96899" w:rsidRPr="00164D7A">
        <w:rPr>
          <w:rFonts w:eastAsiaTheme="minorHAnsi"/>
        </w:rPr>
        <w:t>Government for the most serious cases of systematic and deliberate underpayment of wages and entitlements in Western Australia</w:t>
      </w:r>
      <w:r w:rsidRPr="00164D7A">
        <w:rPr>
          <w:rFonts w:eastAsiaTheme="minorHAnsi"/>
        </w:rPr>
        <w:t>.</w:t>
      </w:r>
      <w:r w:rsidR="00250324" w:rsidRPr="00164D7A">
        <w:rPr>
          <w:rFonts w:eastAsiaTheme="minorHAnsi"/>
        </w:rPr>
        <w:t>”</w:t>
      </w:r>
      <w:r w:rsidR="00164D7A" w:rsidRPr="00164D7A">
        <w:rPr>
          <w:rStyle w:val="FootnoteReference"/>
          <w:sz w:val="22"/>
          <w:szCs w:val="22"/>
        </w:rPr>
        <w:t xml:space="preserve"> </w:t>
      </w:r>
      <w:r w:rsidR="00164D7A" w:rsidRPr="00682DFA">
        <w:rPr>
          <w:rStyle w:val="FootnoteReference"/>
          <w:sz w:val="22"/>
          <w:szCs w:val="22"/>
        </w:rPr>
        <w:footnoteReference w:id="12"/>
      </w:r>
      <w:r w:rsidR="00164D7A" w:rsidRPr="00682DFA">
        <w:rPr>
          <w:sz w:val="22"/>
          <w:szCs w:val="22"/>
        </w:rPr>
        <w:t xml:space="preserve"> </w:t>
      </w:r>
      <w:r w:rsidR="00F44041" w:rsidRPr="00164D7A">
        <w:rPr>
          <w:rFonts w:eastAsiaTheme="minorHAnsi"/>
        </w:rPr>
        <w:t xml:space="preserve">Recommendation 21 of the Inquiry Report </w:t>
      </w:r>
      <w:r w:rsidR="00250324" w:rsidRPr="00164D7A">
        <w:rPr>
          <w:rFonts w:eastAsiaTheme="minorHAnsi"/>
        </w:rPr>
        <w:t>states:</w:t>
      </w:r>
    </w:p>
    <w:p w14:paraId="7310B38B" w14:textId="54EEA0DE" w:rsidR="003974EC" w:rsidRPr="00682DFA" w:rsidRDefault="003974EC" w:rsidP="00B6482D">
      <w:pPr>
        <w:spacing w:after="120" w:line="240" w:lineRule="auto"/>
        <w:ind w:left="851" w:right="510"/>
        <w:jc w:val="both"/>
        <w:rPr>
          <w:sz w:val="22"/>
          <w:szCs w:val="22"/>
        </w:rPr>
      </w:pPr>
      <w:r w:rsidRPr="00682DFA">
        <w:rPr>
          <w:sz w:val="22"/>
          <w:szCs w:val="22"/>
        </w:rPr>
        <w:t>I recommend that in principle, a criminal sanction should be considered by the State Government for the most serious cases of systematic and deliberate underpayment of wages and entitlements in Western Australia.</w:t>
      </w:r>
    </w:p>
    <w:p w14:paraId="62C4DEC5" w14:textId="77777777" w:rsidR="003974EC" w:rsidRPr="00682DFA" w:rsidRDefault="003974EC" w:rsidP="00B6482D">
      <w:pPr>
        <w:spacing w:after="120" w:line="240" w:lineRule="auto"/>
        <w:ind w:left="851" w:right="510"/>
        <w:jc w:val="both"/>
        <w:rPr>
          <w:sz w:val="22"/>
          <w:szCs w:val="22"/>
        </w:rPr>
      </w:pPr>
      <w:r w:rsidRPr="00682DFA">
        <w:rPr>
          <w:sz w:val="22"/>
          <w:szCs w:val="22"/>
        </w:rPr>
        <w:t xml:space="preserve">The State Government’s consideration should include: </w:t>
      </w:r>
    </w:p>
    <w:p w14:paraId="35A30E66" w14:textId="77777777" w:rsidR="003974EC" w:rsidRPr="00682DFA" w:rsidRDefault="003974EC" w:rsidP="00D34581">
      <w:pPr>
        <w:pStyle w:val="ListParagraph"/>
        <w:numPr>
          <w:ilvl w:val="0"/>
          <w:numId w:val="14"/>
        </w:numPr>
        <w:spacing w:after="120" w:line="240" w:lineRule="auto"/>
        <w:ind w:left="1276" w:right="510" w:hanging="425"/>
        <w:contextualSpacing w:val="0"/>
        <w:jc w:val="both"/>
        <w:rPr>
          <w:sz w:val="22"/>
          <w:szCs w:val="22"/>
        </w:rPr>
      </w:pPr>
      <w:r w:rsidRPr="00682DFA">
        <w:rPr>
          <w:sz w:val="22"/>
          <w:szCs w:val="22"/>
        </w:rPr>
        <w:t xml:space="preserve">the commitment of the Commonwealth Government to consider the circumstances and vehicle in which criminal penalties will be applied for the most serious forms of deliberate exploitation of workers; </w:t>
      </w:r>
    </w:p>
    <w:p w14:paraId="4B6C28EF" w14:textId="77777777" w:rsidR="003974EC" w:rsidRPr="00682DFA" w:rsidRDefault="003974EC" w:rsidP="00D34581">
      <w:pPr>
        <w:pStyle w:val="ListParagraph"/>
        <w:numPr>
          <w:ilvl w:val="0"/>
          <w:numId w:val="14"/>
        </w:numPr>
        <w:spacing w:after="120" w:line="240" w:lineRule="auto"/>
        <w:ind w:left="1276" w:right="510" w:hanging="425"/>
        <w:contextualSpacing w:val="0"/>
        <w:jc w:val="both"/>
        <w:rPr>
          <w:sz w:val="22"/>
          <w:szCs w:val="22"/>
        </w:rPr>
      </w:pPr>
      <w:r w:rsidRPr="00682DFA">
        <w:rPr>
          <w:sz w:val="22"/>
          <w:szCs w:val="22"/>
        </w:rPr>
        <w:t xml:space="preserve">the constitutional issues arising from the application of a State law criminalising the most serious cases of systematic and deliberate underpayment of wages and entitlements in Western Australia to employment covered by the Commonwealth </w:t>
      </w:r>
      <w:r w:rsidRPr="00682DFA">
        <w:rPr>
          <w:i/>
          <w:sz w:val="22"/>
          <w:szCs w:val="22"/>
        </w:rPr>
        <w:t>Fair Work Act 2009</w:t>
      </w:r>
      <w:r w:rsidRPr="00682DFA">
        <w:rPr>
          <w:sz w:val="22"/>
          <w:szCs w:val="22"/>
        </w:rPr>
        <w:t xml:space="preserve">; </w:t>
      </w:r>
    </w:p>
    <w:p w14:paraId="0F6B366A" w14:textId="77777777" w:rsidR="003974EC" w:rsidRPr="00682DFA" w:rsidRDefault="003974EC" w:rsidP="00D34581">
      <w:pPr>
        <w:pStyle w:val="ListParagraph"/>
        <w:numPr>
          <w:ilvl w:val="0"/>
          <w:numId w:val="14"/>
        </w:numPr>
        <w:spacing w:after="120" w:line="240" w:lineRule="auto"/>
        <w:ind w:left="1276" w:right="510" w:hanging="425"/>
        <w:contextualSpacing w:val="0"/>
        <w:jc w:val="both"/>
        <w:rPr>
          <w:sz w:val="22"/>
          <w:szCs w:val="22"/>
        </w:rPr>
      </w:pPr>
      <w:r w:rsidRPr="00682DFA">
        <w:rPr>
          <w:sz w:val="22"/>
          <w:szCs w:val="22"/>
        </w:rPr>
        <w:t xml:space="preserve">the desirability of an employee being able to pursue, in a timely manner, a civil claim of underpayment of wages and entitlements without it being delayed by a criminal proceeding; and </w:t>
      </w:r>
    </w:p>
    <w:p w14:paraId="1F132EF7" w14:textId="61CD0188" w:rsidR="003974EC" w:rsidRPr="00682DFA" w:rsidRDefault="003974EC" w:rsidP="00D34581">
      <w:pPr>
        <w:pStyle w:val="ListParagraph"/>
        <w:numPr>
          <w:ilvl w:val="0"/>
          <w:numId w:val="14"/>
        </w:numPr>
        <w:spacing w:after="240" w:line="240" w:lineRule="auto"/>
        <w:ind w:left="1276" w:right="510" w:hanging="425"/>
        <w:contextualSpacing w:val="0"/>
        <w:jc w:val="both"/>
        <w:rPr>
          <w:sz w:val="22"/>
          <w:szCs w:val="22"/>
        </w:rPr>
      </w:pPr>
      <w:r w:rsidRPr="00682DFA">
        <w:rPr>
          <w:sz w:val="22"/>
          <w:szCs w:val="22"/>
        </w:rPr>
        <w:t>the need to devote sufficient funding and resources to receive and investigate complaints, and adequately and properly enforce the proposed law.</w:t>
      </w:r>
      <w:r w:rsidR="00E96899" w:rsidRPr="00682DFA">
        <w:rPr>
          <w:rStyle w:val="FootnoteReference"/>
          <w:sz w:val="22"/>
          <w:szCs w:val="22"/>
        </w:rPr>
        <w:footnoteReference w:id="13"/>
      </w:r>
      <w:r w:rsidRPr="00682DFA">
        <w:rPr>
          <w:sz w:val="22"/>
          <w:szCs w:val="22"/>
        </w:rPr>
        <w:t xml:space="preserve"> </w:t>
      </w:r>
    </w:p>
    <w:p w14:paraId="1A53C5B6" w14:textId="1A0405FF" w:rsidR="003974EC" w:rsidRDefault="003974EC" w:rsidP="00923F01">
      <w:pPr>
        <w:spacing w:before="360" w:after="240" w:line="240" w:lineRule="auto"/>
        <w:rPr>
          <w:rFonts w:eastAsiaTheme="minorHAnsi"/>
          <w:b/>
        </w:rPr>
      </w:pPr>
      <w:r w:rsidRPr="003974EC">
        <w:rPr>
          <w:rFonts w:eastAsiaTheme="minorHAnsi"/>
          <w:b/>
        </w:rPr>
        <w:lastRenderedPageBreak/>
        <w:t xml:space="preserve">Possible </w:t>
      </w:r>
      <w:r w:rsidR="00DA7A74">
        <w:rPr>
          <w:rFonts w:eastAsiaTheme="minorHAnsi"/>
          <w:b/>
        </w:rPr>
        <w:t>impact</w:t>
      </w:r>
      <w:r w:rsidR="00A914E8">
        <w:rPr>
          <w:rFonts w:eastAsiaTheme="minorHAnsi"/>
          <w:b/>
        </w:rPr>
        <w:t xml:space="preserve"> on civil proceedings</w:t>
      </w:r>
    </w:p>
    <w:p w14:paraId="1AD4A293" w14:textId="2077A50B" w:rsidR="003974EC" w:rsidRPr="003B4135" w:rsidRDefault="00F44041" w:rsidP="00D34581">
      <w:pPr>
        <w:numPr>
          <w:ilvl w:val="0"/>
          <w:numId w:val="9"/>
        </w:numPr>
        <w:spacing w:after="240" w:line="240" w:lineRule="auto"/>
        <w:ind w:left="567" w:hanging="567"/>
        <w:jc w:val="both"/>
        <w:rPr>
          <w:rFonts w:eastAsiaTheme="minorHAnsi"/>
        </w:rPr>
      </w:pPr>
      <w:r>
        <w:rPr>
          <w:rFonts w:eastAsiaTheme="minorHAnsi"/>
        </w:rPr>
        <w:t xml:space="preserve">The </w:t>
      </w:r>
      <w:r w:rsidR="003974EC" w:rsidRPr="003B4135">
        <w:rPr>
          <w:rFonts w:eastAsiaTheme="minorHAnsi"/>
        </w:rPr>
        <w:t>recommendation</w:t>
      </w:r>
      <w:r>
        <w:rPr>
          <w:rFonts w:eastAsiaTheme="minorHAnsi"/>
        </w:rPr>
        <w:t xml:space="preserve"> of the Inquiry into Wage Theft</w:t>
      </w:r>
      <w:r w:rsidR="003974EC" w:rsidRPr="003B4135">
        <w:rPr>
          <w:rFonts w:eastAsiaTheme="minorHAnsi"/>
        </w:rPr>
        <w:t xml:space="preserve"> that the </w:t>
      </w:r>
      <w:r w:rsidR="004A199A">
        <w:rPr>
          <w:rFonts w:eastAsiaTheme="minorHAnsi"/>
        </w:rPr>
        <w:t>Western Australian</w:t>
      </w:r>
      <w:r w:rsidR="003974EC" w:rsidRPr="003B4135">
        <w:rPr>
          <w:rFonts w:eastAsiaTheme="minorHAnsi"/>
        </w:rPr>
        <w:t xml:space="preserve"> Government consider criminal sanctions for wage theft expressly states that this</w:t>
      </w:r>
      <w:r w:rsidR="00941C75">
        <w:rPr>
          <w:rFonts w:eastAsiaTheme="minorHAnsi"/>
        </w:rPr>
        <w:t xml:space="preserve"> consideration should include “t</w:t>
      </w:r>
      <w:r w:rsidR="003974EC" w:rsidRPr="003B4135">
        <w:rPr>
          <w:rFonts w:eastAsiaTheme="minorHAnsi"/>
        </w:rPr>
        <w:t>he desirability of an employee being able to pursue, in a timely manner, a civil claim of underpayment of wages and entitlements without it being delayed by a criminal proceeding.”</w:t>
      </w:r>
      <w:r w:rsidR="00BC4AEA">
        <w:rPr>
          <w:rStyle w:val="FootnoteReference"/>
          <w:rFonts w:eastAsiaTheme="minorHAnsi"/>
        </w:rPr>
        <w:footnoteReference w:id="14"/>
      </w:r>
    </w:p>
    <w:p w14:paraId="6A6D9181" w14:textId="5CE714AF" w:rsidR="00995FD2" w:rsidRPr="00006E77" w:rsidRDefault="00B0790D" w:rsidP="00D34581">
      <w:pPr>
        <w:numPr>
          <w:ilvl w:val="0"/>
          <w:numId w:val="9"/>
        </w:numPr>
        <w:spacing w:after="240" w:line="240" w:lineRule="auto"/>
        <w:ind w:left="567" w:hanging="567"/>
        <w:jc w:val="both"/>
        <w:rPr>
          <w:rFonts w:eastAsiaTheme="minorHAnsi"/>
        </w:rPr>
      </w:pPr>
      <w:r>
        <w:rPr>
          <w:rFonts w:eastAsiaTheme="minorHAnsi"/>
        </w:rPr>
        <w:t>T</w:t>
      </w:r>
      <w:r w:rsidR="00A15DDA" w:rsidRPr="00A15DDA">
        <w:rPr>
          <w:rFonts w:eastAsiaTheme="minorHAnsi"/>
        </w:rPr>
        <w:t xml:space="preserve">he </w:t>
      </w:r>
      <w:r w:rsidR="00F44041">
        <w:rPr>
          <w:rFonts w:eastAsiaTheme="minorHAnsi"/>
        </w:rPr>
        <w:t xml:space="preserve">Inquiry </w:t>
      </w:r>
      <w:r w:rsidR="004A199A">
        <w:rPr>
          <w:rFonts w:eastAsiaTheme="minorHAnsi"/>
        </w:rPr>
        <w:t xml:space="preserve">Report </w:t>
      </w:r>
      <w:r w:rsidR="00FD6FE7">
        <w:rPr>
          <w:rFonts w:eastAsiaTheme="minorHAnsi"/>
        </w:rPr>
        <w:t>details</w:t>
      </w:r>
      <w:r w:rsidR="00A15DDA" w:rsidRPr="00A15DDA">
        <w:rPr>
          <w:rFonts w:eastAsiaTheme="minorHAnsi"/>
        </w:rPr>
        <w:t xml:space="preserve"> </w:t>
      </w:r>
      <w:r w:rsidR="00006E77">
        <w:rPr>
          <w:rFonts w:eastAsiaTheme="minorHAnsi"/>
        </w:rPr>
        <w:t xml:space="preserve">the Inquirer’s </w:t>
      </w:r>
      <w:r w:rsidR="00A15DDA" w:rsidRPr="00006E77">
        <w:rPr>
          <w:rFonts w:eastAsiaTheme="minorHAnsi"/>
        </w:rPr>
        <w:t>concern</w:t>
      </w:r>
      <w:r w:rsidR="00A9352E" w:rsidRPr="00006E77">
        <w:rPr>
          <w:rFonts w:eastAsiaTheme="minorHAnsi"/>
        </w:rPr>
        <w:t>s</w:t>
      </w:r>
      <w:r w:rsidR="00A15DDA" w:rsidRPr="00006E77">
        <w:rPr>
          <w:rFonts w:eastAsiaTheme="minorHAnsi"/>
        </w:rPr>
        <w:t xml:space="preserve"> </w:t>
      </w:r>
      <w:r w:rsidR="002A6E19" w:rsidRPr="00006E77">
        <w:rPr>
          <w:rFonts w:eastAsiaTheme="minorHAnsi"/>
        </w:rPr>
        <w:t xml:space="preserve">that </w:t>
      </w:r>
      <w:r w:rsidR="009933CB" w:rsidRPr="00006E77">
        <w:rPr>
          <w:rFonts w:eastAsiaTheme="minorHAnsi"/>
        </w:rPr>
        <w:t xml:space="preserve">recovery of </w:t>
      </w:r>
      <w:r w:rsidR="00FB730A" w:rsidRPr="00006E77">
        <w:rPr>
          <w:rFonts w:eastAsiaTheme="minorHAnsi"/>
        </w:rPr>
        <w:t>wages and entitlements</w:t>
      </w:r>
      <w:r w:rsidR="009933CB" w:rsidRPr="00006E77">
        <w:rPr>
          <w:rFonts w:eastAsiaTheme="minorHAnsi"/>
        </w:rPr>
        <w:t xml:space="preserve"> could be delayed if </w:t>
      </w:r>
      <w:r w:rsidR="00735434" w:rsidRPr="00006E77">
        <w:rPr>
          <w:rFonts w:eastAsiaTheme="minorHAnsi"/>
        </w:rPr>
        <w:t xml:space="preserve">a </w:t>
      </w:r>
      <w:r w:rsidR="002A6E19" w:rsidRPr="00006E77">
        <w:rPr>
          <w:rFonts w:eastAsiaTheme="minorHAnsi"/>
        </w:rPr>
        <w:t>civil case to</w:t>
      </w:r>
      <w:r w:rsidR="00A15DDA" w:rsidRPr="00006E77">
        <w:rPr>
          <w:rFonts w:eastAsiaTheme="minorHAnsi"/>
        </w:rPr>
        <w:t xml:space="preserve"> </w:t>
      </w:r>
      <w:r w:rsidR="00995FD2" w:rsidRPr="00006E77">
        <w:rPr>
          <w:rFonts w:eastAsiaTheme="minorHAnsi"/>
        </w:rPr>
        <w:t>recover</w:t>
      </w:r>
      <w:r w:rsidR="00BF7CB0" w:rsidRPr="00006E77">
        <w:rPr>
          <w:rFonts w:eastAsiaTheme="minorHAnsi"/>
        </w:rPr>
        <w:t xml:space="preserve"> an</w:t>
      </w:r>
      <w:r w:rsidR="002A6E19" w:rsidRPr="00006E77">
        <w:rPr>
          <w:rFonts w:eastAsiaTheme="minorHAnsi"/>
        </w:rPr>
        <w:t xml:space="preserve"> </w:t>
      </w:r>
      <w:r w:rsidR="00995FD2" w:rsidRPr="00006E77">
        <w:rPr>
          <w:rFonts w:eastAsiaTheme="minorHAnsi"/>
        </w:rPr>
        <w:t>underpayment</w:t>
      </w:r>
      <w:r w:rsidR="00A15DDA" w:rsidRPr="00006E77">
        <w:rPr>
          <w:rFonts w:eastAsiaTheme="minorHAnsi"/>
        </w:rPr>
        <w:t xml:space="preserve"> </w:t>
      </w:r>
      <w:r w:rsidR="00735434" w:rsidRPr="00006E77">
        <w:rPr>
          <w:rFonts w:eastAsiaTheme="minorHAnsi"/>
        </w:rPr>
        <w:t>was</w:t>
      </w:r>
      <w:r w:rsidR="009933CB" w:rsidRPr="00006E77">
        <w:rPr>
          <w:rFonts w:eastAsiaTheme="minorHAnsi"/>
        </w:rPr>
        <w:t xml:space="preserve"> adjourned</w:t>
      </w:r>
      <w:r w:rsidR="00A15DDA" w:rsidRPr="00006E77">
        <w:rPr>
          <w:rFonts w:eastAsiaTheme="minorHAnsi"/>
        </w:rPr>
        <w:t xml:space="preserve"> pending the outcome of </w:t>
      </w:r>
      <w:r w:rsidR="00F873F7" w:rsidRPr="00006E77">
        <w:rPr>
          <w:rFonts w:eastAsiaTheme="minorHAnsi"/>
        </w:rPr>
        <w:t xml:space="preserve">any </w:t>
      </w:r>
      <w:r w:rsidR="00A15DDA" w:rsidRPr="00006E77">
        <w:rPr>
          <w:rFonts w:eastAsiaTheme="minorHAnsi"/>
        </w:rPr>
        <w:t xml:space="preserve">associated criminal proceedings. </w:t>
      </w:r>
      <w:r w:rsidR="002A6E19" w:rsidRPr="00006E77">
        <w:rPr>
          <w:rFonts w:eastAsiaTheme="minorHAnsi"/>
        </w:rPr>
        <w:t xml:space="preserve"> </w:t>
      </w:r>
      <w:r w:rsidR="00A43AC6">
        <w:rPr>
          <w:rFonts w:eastAsiaTheme="minorHAnsi"/>
        </w:rPr>
        <w:t>The Inquirer</w:t>
      </w:r>
      <w:r w:rsidR="00995FD2" w:rsidRPr="00006E77">
        <w:rPr>
          <w:rFonts w:eastAsiaTheme="minorHAnsi"/>
        </w:rPr>
        <w:t xml:space="preserve"> note</w:t>
      </w:r>
      <w:r w:rsidR="00A43AC6">
        <w:rPr>
          <w:rFonts w:eastAsiaTheme="minorHAnsi"/>
        </w:rPr>
        <w:t>s</w:t>
      </w:r>
      <w:r w:rsidR="00995FD2" w:rsidRPr="00006E77">
        <w:rPr>
          <w:rFonts w:eastAsiaTheme="minorHAnsi"/>
        </w:rPr>
        <w:t xml:space="preserve"> that: </w:t>
      </w:r>
    </w:p>
    <w:p w14:paraId="0873F33C" w14:textId="77777777" w:rsidR="00995FD2" w:rsidRPr="00995FD2" w:rsidRDefault="00995FD2" w:rsidP="009D78E0">
      <w:pPr>
        <w:spacing w:after="240" w:line="240" w:lineRule="auto"/>
        <w:ind w:left="851" w:right="510"/>
        <w:jc w:val="both"/>
        <w:rPr>
          <w:sz w:val="22"/>
          <w:szCs w:val="22"/>
        </w:rPr>
      </w:pPr>
      <w:r w:rsidRPr="00995FD2">
        <w:rPr>
          <w:sz w:val="22"/>
          <w:szCs w:val="22"/>
        </w:rPr>
        <w:t>Criminal offences are required to be proved beyond reasonable doubt, which is a higher standard of proof than in a civil case where the standard is proof on the balance of probabilities. The time and resources needed to bring a criminal case can be more onerous than in a civil case, and the hearing of the criminal case may mean a considerable delay to the civil case. An underpaid employee may wait for some time, perhaps measured in years rather than months, before being able to pursue their lawful wages and entitlements.</w:t>
      </w:r>
      <w:r w:rsidR="00F64C05">
        <w:rPr>
          <w:rStyle w:val="FootnoteReference"/>
          <w:sz w:val="22"/>
          <w:szCs w:val="22"/>
        </w:rPr>
        <w:footnoteReference w:id="15"/>
      </w:r>
    </w:p>
    <w:p w14:paraId="6346F174" w14:textId="06ADE3FF" w:rsidR="00F873F7" w:rsidRDefault="0075371C" w:rsidP="00D34581">
      <w:pPr>
        <w:numPr>
          <w:ilvl w:val="0"/>
          <w:numId w:val="9"/>
        </w:numPr>
        <w:spacing w:after="240" w:line="240" w:lineRule="auto"/>
        <w:ind w:left="567" w:hanging="567"/>
        <w:jc w:val="both"/>
        <w:rPr>
          <w:rFonts w:eastAsiaTheme="minorHAnsi"/>
        </w:rPr>
      </w:pPr>
      <w:r>
        <w:rPr>
          <w:rFonts w:eastAsiaTheme="minorHAnsi"/>
        </w:rPr>
        <w:t xml:space="preserve">The </w:t>
      </w:r>
      <w:r w:rsidR="000C768E">
        <w:rPr>
          <w:rFonts w:eastAsiaTheme="minorHAnsi"/>
        </w:rPr>
        <w:t>Inquirer</w:t>
      </w:r>
      <w:r>
        <w:rPr>
          <w:rFonts w:eastAsiaTheme="minorHAnsi"/>
        </w:rPr>
        <w:t xml:space="preserve"> </w:t>
      </w:r>
      <w:r w:rsidR="00F0261F">
        <w:rPr>
          <w:rFonts w:eastAsiaTheme="minorHAnsi"/>
        </w:rPr>
        <w:t>notes</w:t>
      </w:r>
      <w:r>
        <w:rPr>
          <w:rFonts w:eastAsiaTheme="minorHAnsi"/>
        </w:rPr>
        <w:t xml:space="preserve"> that </w:t>
      </w:r>
      <w:r w:rsidR="004D69F3">
        <w:rPr>
          <w:rFonts w:eastAsiaTheme="minorHAnsi"/>
        </w:rPr>
        <w:t xml:space="preserve">such delays have been </w:t>
      </w:r>
      <w:r w:rsidR="00BF7CB0">
        <w:rPr>
          <w:rFonts w:eastAsiaTheme="minorHAnsi"/>
        </w:rPr>
        <w:t xml:space="preserve">observed in the United Kingdom and </w:t>
      </w:r>
      <w:r w:rsidR="00C14711">
        <w:rPr>
          <w:rFonts w:eastAsiaTheme="minorHAnsi"/>
        </w:rPr>
        <w:t>emphasises</w:t>
      </w:r>
      <w:r w:rsidR="00F873F7">
        <w:rPr>
          <w:rFonts w:eastAsiaTheme="minorHAnsi"/>
        </w:rPr>
        <w:t>:</w:t>
      </w:r>
    </w:p>
    <w:p w14:paraId="33A9D2DF" w14:textId="77777777" w:rsidR="00A15DDA" w:rsidRPr="00F873F7" w:rsidRDefault="00A15DDA" w:rsidP="009D78E0">
      <w:pPr>
        <w:spacing w:after="240" w:line="240" w:lineRule="auto"/>
        <w:ind w:left="851" w:right="510"/>
        <w:jc w:val="both"/>
        <w:rPr>
          <w:sz w:val="22"/>
          <w:szCs w:val="22"/>
        </w:rPr>
      </w:pPr>
      <w:r w:rsidRPr="00F873F7">
        <w:rPr>
          <w:sz w:val="22"/>
          <w:szCs w:val="22"/>
        </w:rPr>
        <w:t>This is a significant issue given the submissions to the Inquiry, which I accept, that most underpaid workers want simply to have the underpayment rectified, and that punishing the employer is not the worker’s objective.</w:t>
      </w:r>
      <w:r w:rsidR="0022267B" w:rsidRPr="001B4333">
        <w:rPr>
          <w:vertAlign w:val="superscript"/>
        </w:rPr>
        <w:footnoteReference w:id="16"/>
      </w:r>
    </w:p>
    <w:p w14:paraId="1BBC9B45" w14:textId="13009DEE" w:rsidR="00675742" w:rsidRPr="00905C76" w:rsidRDefault="00905C76" w:rsidP="009D78E0">
      <w:pPr>
        <w:spacing w:before="360" w:after="240" w:line="240" w:lineRule="auto"/>
        <w:jc w:val="both"/>
        <w:rPr>
          <w:rFonts w:eastAsiaTheme="minorHAnsi"/>
          <w:b/>
        </w:rPr>
      </w:pPr>
      <w:r w:rsidRPr="00905C76">
        <w:rPr>
          <w:rFonts w:eastAsiaTheme="minorHAnsi"/>
          <w:b/>
        </w:rPr>
        <w:t xml:space="preserve">Enforcement considerations </w:t>
      </w:r>
    </w:p>
    <w:p w14:paraId="2D9D6D53" w14:textId="1C626F75" w:rsidR="000B1B52" w:rsidRDefault="000B1B52" w:rsidP="00D34581">
      <w:pPr>
        <w:numPr>
          <w:ilvl w:val="0"/>
          <w:numId w:val="9"/>
        </w:numPr>
        <w:spacing w:after="240" w:line="240" w:lineRule="auto"/>
        <w:ind w:left="567" w:hanging="567"/>
        <w:jc w:val="both"/>
        <w:rPr>
          <w:rFonts w:eastAsiaTheme="minorHAnsi"/>
        </w:rPr>
      </w:pPr>
      <w:r w:rsidRPr="00AA0850">
        <w:rPr>
          <w:rFonts w:eastAsiaTheme="minorHAnsi"/>
        </w:rPr>
        <w:t xml:space="preserve">The </w:t>
      </w:r>
      <w:r w:rsidR="00113ACB">
        <w:rPr>
          <w:rFonts w:eastAsiaTheme="minorHAnsi"/>
        </w:rPr>
        <w:t>r</w:t>
      </w:r>
      <w:r w:rsidR="00113ACB" w:rsidRPr="00AA0850">
        <w:rPr>
          <w:rFonts w:eastAsiaTheme="minorHAnsi"/>
        </w:rPr>
        <w:t xml:space="preserve">ecommendation </w:t>
      </w:r>
      <w:r w:rsidR="00113ACB">
        <w:rPr>
          <w:rFonts w:eastAsiaTheme="minorHAnsi"/>
        </w:rPr>
        <w:t xml:space="preserve">of the </w:t>
      </w:r>
      <w:r>
        <w:rPr>
          <w:rFonts w:eastAsiaTheme="minorHAnsi"/>
        </w:rPr>
        <w:t xml:space="preserve">Inquiry </w:t>
      </w:r>
      <w:r w:rsidR="00A43AC6">
        <w:rPr>
          <w:rFonts w:eastAsiaTheme="minorHAnsi"/>
        </w:rPr>
        <w:t>into Wage Theft</w:t>
      </w:r>
      <w:r>
        <w:rPr>
          <w:rFonts w:eastAsiaTheme="minorHAnsi"/>
        </w:rPr>
        <w:t xml:space="preserve"> </w:t>
      </w:r>
      <w:r w:rsidR="001B3B3F">
        <w:rPr>
          <w:rFonts w:eastAsiaTheme="minorHAnsi"/>
        </w:rPr>
        <w:t>regarding</w:t>
      </w:r>
      <w:r w:rsidRPr="00AA0850">
        <w:rPr>
          <w:rFonts w:eastAsiaTheme="minorHAnsi"/>
        </w:rPr>
        <w:t xml:space="preserve"> criminal sanctions for wage theft </w:t>
      </w:r>
      <w:r w:rsidR="00D50C80">
        <w:rPr>
          <w:rFonts w:eastAsiaTheme="minorHAnsi"/>
        </w:rPr>
        <w:t>in Western Australia explicitly</w:t>
      </w:r>
      <w:r>
        <w:rPr>
          <w:rFonts w:eastAsiaTheme="minorHAnsi"/>
        </w:rPr>
        <w:t xml:space="preserve"> refer</w:t>
      </w:r>
      <w:r w:rsidR="001B3B3F">
        <w:rPr>
          <w:rFonts w:eastAsiaTheme="minorHAnsi"/>
        </w:rPr>
        <w:t>s to “</w:t>
      </w:r>
      <w:r w:rsidRPr="00AA0850">
        <w:rPr>
          <w:rFonts w:eastAsiaTheme="minorHAnsi"/>
        </w:rPr>
        <w:t xml:space="preserve">the need to devote sufficient funding and resources to receive and investigate complaints, and adequately and properly enforce </w:t>
      </w:r>
      <w:r w:rsidR="00A43AC6">
        <w:rPr>
          <w:rFonts w:eastAsiaTheme="minorHAnsi"/>
        </w:rPr>
        <w:t>the</w:t>
      </w:r>
      <w:r w:rsidRPr="00AA0850">
        <w:rPr>
          <w:rFonts w:eastAsiaTheme="minorHAnsi"/>
        </w:rPr>
        <w:t xml:space="preserve"> proposed law.</w:t>
      </w:r>
      <w:r w:rsidR="001B3B3F">
        <w:rPr>
          <w:rFonts w:eastAsiaTheme="minorHAnsi"/>
        </w:rPr>
        <w:t>”</w:t>
      </w:r>
      <w:r w:rsidR="00A424E5">
        <w:rPr>
          <w:rStyle w:val="FootnoteReference"/>
          <w:rFonts w:eastAsiaTheme="minorHAnsi"/>
        </w:rPr>
        <w:footnoteReference w:id="17"/>
      </w:r>
      <w:r w:rsidRPr="00AA0850">
        <w:rPr>
          <w:rFonts w:eastAsiaTheme="minorHAnsi"/>
        </w:rPr>
        <w:t xml:space="preserve"> </w:t>
      </w:r>
    </w:p>
    <w:p w14:paraId="607848D8" w14:textId="032DA058" w:rsidR="001B3B3F" w:rsidRDefault="00905C76" w:rsidP="00D34581">
      <w:pPr>
        <w:numPr>
          <w:ilvl w:val="0"/>
          <w:numId w:val="9"/>
        </w:numPr>
        <w:spacing w:after="240" w:line="240" w:lineRule="auto"/>
        <w:ind w:left="567" w:hanging="567"/>
        <w:jc w:val="both"/>
        <w:rPr>
          <w:rFonts w:eastAsiaTheme="minorHAnsi"/>
        </w:rPr>
      </w:pPr>
      <w:r w:rsidRPr="0012438F">
        <w:rPr>
          <w:rFonts w:eastAsiaTheme="minorHAnsi"/>
        </w:rPr>
        <w:t xml:space="preserve">The importance of </w:t>
      </w:r>
      <w:r w:rsidR="00A91371" w:rsidRPr="0012438F">
        <w:rPr>
          <w:rFonts w:eastAsiaTheme="minorHAnsi"/>
        </w:rPr>
        <w:t>adequate</w:t>
      </w:r>
      <w:r w:rsidRPr="0012438F">
        <w:rPr>
          <w:rFonts w:eastAsiaTheme="minorHAnsi"/>
        </w:rPr>
        <w:t xml:space="preserve"> resourcing for </w:t>
      </w:r>
      <w:r w:rsidR="00DE0FAA" w:rsidRPr="0012438F">
        <w:rPr>
          <w:rFonts w:eastAsiaTheme="minorHAnsi"/>
        </w:rPr>
        <w:t>education and</w:t>
      </w:r>
      <w:r w:rsidRPr="0012438F">
        <w:rPr>
          <w:rFonts w:eastAsiaTheme="minorHAnsi"/>
        </w:rPr>
        <w:t xml:space="preserve"> enforcement is a major them</w:t>
      </w:r>
      <w:r w:rsidR="00C7245E" w:rsidRPr="0012438F">
        <w:rPr>
          <w:rFonts w:eastAsiaTheme="minorHAnsi"/>
        </w:rPr>
        <w:t>e of the Inquiry</w:t>
      </w:r>
      <w:r w:rsidR="00F44041" w:rsidRPr="0012438F">
        <w:rPr>
          <w:rFonts w:eastAsiaTheme="minorHAnsi"/>
        </w:rPr>
        <w:t xml:space="preserve"> into Wage Theft</w:t>
      </w:r>
      <w:r w:rsidR="0012438F" w:rsidRPr="0012438F">
        <w:rPr>
          <w:rFonts w:eastAsiaTheme="minorHAnsi"/>
        </w:rPr>
        <w:t xml:space="preserve">. </w:t>
      </w:r>
      <w:r w:rsidR="000C768E">
        <w:rPr>
          <w:rFonts w:eastAsiaTheme="minorHAnsi"/>
        </w:rPr>
        <w:t xml:space="preserve"> </w:t>
      </w:r>
      <w:r w:rsidR="005A17DF" w:rsidRPr="0012438F">
        <w:rPr>
          <w:rFonts w:eastAsiaTheme="minorHAnsi"/>
        </w:rPr>
        <w:t>Noting</w:t>
      </w:r>
      <w:r w:rsidR="001B3B3F" w:rsidRPr="0012438F">
        <w:rPr>
          <w:rFonts w:eastAsiaTheme="minorHAnsi"/>
        </w:rPr>
        <w:t xml:space="preserve"> that </w:t>
      </w:r>
      <w:r w:rsidR="005A17DF" w:rsidRPr="0012438F">
        <w:rPr>
          <w:rFonts w:eastAsiaTheme="minorHAnsi"/>
        </w:rPr>
        <w:t xml:space="preserve">employee </w:t>
      </w:r>
      <w:r w:rsidR="001B3B3F" w:rsidRPr="0012438F">
        <w:rPr>
          <w:rFonts w:eastAsiaTheme="minorHAnsi"/>
        </w:rPr>
        <w:t xml:space="preserve">underpayments </w:t>
      </w:r>
      <w:r w:rsidR="005A17DF" w:rsidRPr="0012438F">
        <w:rPr>
          <w:rFonts w:eastAsiaTheme="minorHAnsi"/>
        </w:rPr>
        <w:t xml:space="preserve">can </w:t>
      </w:r>
      <w:r w:rsidR="005D30DB" w:rsidRPr="0012438F">
        <w:rPr>
          <w:rFonts w:eastAsiaTheme="minorHAnsi"/>
        </w:rPr>
        <w:t>occur</w:t>
      </w:r>
      <w:r w:rsidR="005A17DF" w:rsidRPr="0012438F">
        <w:rPr>
          <w:rFonts w:eastAsiaTheme="minorHAnsi"/>
        </w:rPr>
        <w:t xml:space="preserve"> for a variety of reasons, </w:t>
      </w:r>
      <w:r w:rsidR="001B3B3F" w:rsidRPr="0012438F">
        <w:rPr>
          <w:rFonts w:eastAsiaTheme="minorHAnsi"/>
        </w:rPr>
        <w:t xml:space="preserve">the </w:t>
      </w:r>
      <w:r w:rsidR="00F44041" w:rsidRPr="0012438F">
        <w:rPr>
          <w:rFonts w:eastAsiaTheme="minorHAnsi"/>
        </w:rPr>
        <w:t xml:space="preserve">Inquiry </w:t>
      </w:r>
      <w:r w:rsidR="001B3B3F" w:rsidRPr="0012438F">
        <w:rPr>
          <w:rFonts w:eastAsiaTheme="minorHAnsi"/>
        </w:rPr>
        <w:t xml:space="preserve">Report states:    </w:t>
      </w:r>
    </w:p>
    <w:p w14:paraId="018F6F99" w14:textId="66C040C8" w:rsidR="00113ACB" w:rsidRDefault="001B3B3F" w:rsidP="009D78E0">
      <w:pPr>
        <w:spacing w:after="240" w:line="240" w:lineRule="auto"/>
        <w:ind w:left="851" w:right="510"/>
        <w:jc w:val="both"/>
        <w:rPr>
          <w:rFonts w:eastAsiaTheme="minorHAnsi"/>
          <w:sz w:val="22"/>
          <w:szCs w:val="22"/>
        </w:rPr>
      </w:pPr>
      <w:r w:rsidRPr="000F4ACB">
        <w:rPr>
          <w:rFonts w:eastAsiaTheme="minorHAnsi"/>
          <w:sz w:val="22"/>
          <w:szCs w:val="22"/>
        </w:rPr>
        <w:t>Except in a case of serious systematic and deliberate underpayment of wages and entitlements, the significant resources which would be required to successfully prosecute a criminal charge would, in my view, be better devoted to making the current civil framework operate more effectively.</w:t>
      </w:r>
      <w:r w:rsidR="00A424E5">
        <w:rPr>
          <w:rStyle w:val="FootnoteReference"/>
          <w:rFonts w:eastAsiaTheme="minorHAnsi"/>
          <w:sz w:val="22"/>
          <w:szCs w:val="22"/>
        </w:rPr>
        <w:footnoteReference w:id="18"/>
      </w:r>
    </w:p>
    <w:p w14:paraId="78823449" w14:textId="77777777" w:rsidR="00113ACB" w:rsidRDefault="00113ACB">
      <w:pPr>
        <w:spacing w:after="200"/>
        <w:rPr>
          <w:rFonts w:eastAsiaTheme="minorHAnsi"/>
          <w:sz w:val="22"/>
          <w:szCs w:val="22"/>
        </w:rPr>
      </w:pPr>
      <w:r>
        <w:rPr>
          <w:rFonts w:eastAsiaTheme="minorHAnsi"/>
          <w:sz w:val="22"/>
          <w:szCs w:val="22"/>
        </w:rPr>
        <w:br w:type="page"/>
      </w:r>
    </w:p>
    <w:p w14:paraId="2F8EDF99" w14:textId="2950578A" w:rsidR="00121E17" w:rsidRPr="000C768E" w:rsidRDefault="000B6988" w:rsidP="00D34581">
      <w:pPr>
        <w:numPr>
          <w:ilvl w:val="0"/>
          <w:numId w:val="9"/>
        </w:numPr>
        <w:spacing w:after="240" w:line="240" w:lineRule="auto"/>
        <w:ind w:left="567" w:hanging="567"/>
        <w:jc w:val="both"/>
        <w:rPr>
          <w:rFonts w:eastAsiaTheme="minorHAnsi"/>
        </w:rPr>
      </w:pPr>
      <w:r w:rsidRPr="000C768E">
        <w:rPr>
          <w:rFonts w:eastAsiaTheme="minorHAnsi"/>
        </w:rPr>
        <w:lastRenderedPageBreak/>
        <w:t>Elsewhere in</w:t>
      </w:r>
      <w:r w:rsidR="00795B9A" w:rsidRPr="000C768E">
        <w:rPr>
          <w:rFonts w:eastAsiaTheme="minorHAnsi"/>
        </w:rPr>
        <w:t xml:space="preserve"> t</w:t>
      </w:r>
      <w:r w:rsidR="00D10595" w:rsidRPr="000C768E">
        <w:rPr>
          <w:rFonts w:eastAsiaTheme="minorHAnsi"/>
        </w:rPr>
        <w:t xml:space="preserve">he </w:t>
      </w:r>
      <w:r w:rsidR="00F44041" w:rsidRPr="000C768E">
        <w:rPr>
          <w:rFonts w:eastAsiaTheme="minorHAnsi"/>
        </w:rPr>
        <w:t xml:space="preserve">Inquiry </w:t>
      </w:r>
      <w:r w:rsidR="00D10595" w:rsidRPr="000C768E">
        <w:rPr>
          <w:rFonts w:eastAsiaTheme="minorHAnsi"/>
        </w:rPr>
        <w:t>Report</w:t>
      </w:r>
      <w:r w:rsidRPr="000C768E">
        <w:rPr>
          <w:rFonts w:eastAsiaTheme="minorHAnsi"/>
        </w:rPr>
        <w:t xml:space="preserve">, </w:t>
      </w:r>
      <w:r w:rsidR="00414EC8" w:rsidRPr="000C768E">
        <w:rPr>
          <w:rFonts w:eastAsiaTheme="minorHAnsi"/>
        </w:rPr>
        <w:t xml:space="preserve">the Inquirer </w:t>
      </w:r>
      <w:r w:rsidR="008221FE" w:rsidRPr="000C768E">
        <w:rPr>
          <w:rFonts w:eastAsiaTheme="minorHAnsi"/>
        </w:rPr>
        <w:t>concludes that “one of the reasons, perhaps the most significant single reason, why wage theft is occurring is the lack of detection of non-compliance and of enforcement”</w:t>
      </w:r>
      <w:r w:rsidR="000C768E" w:rsidRPr="00DC58F5">
        <w:rPr>
          <w:rStyle w:val="FootnoteReference"/>
          <w:rFonts w:eastAsiaTheme="minorHAnsi"/>
        </w:rPr>
        <w:footnoteReference w:id="19"/>
      </w:r>
      <w:r w:rsidR="008221FE" w:rsidRPr="000C768E">
        <w:rPr>
          <w:rFonts w:eastAsiaTheme="minorHAnsi"/>
        </w:rPr>
        <w:t xml:space="preserve"> and </w:t>
      </w:r>
      <w:r w:rsidR="00414EC8" w:rsidRPr="000C768E">
        <w:rPr>
          <w:rFonts w:eastAsiaTheme="minorHAnsi"/>
        </w:rPr>
        <w:t xml:space="preserve">describes </w:t>
      </w:r>
      <w:r w:rsidR="00D8512F" w:rsidRPr="000C768E">
        <w:rPr>
          <w:rFonts w:eastAsiaTheme="minorHAnsi"/>
        </w:rPr>
        <w:t>I</w:t>
      </w:r>
      <w:r w:rsidR="00513378" w:rsidRPr="000C768E">
        <w:rPr>
          <w:rFonts w:eastAsiaTheme="minorHAnsi"/>
        </w:rPr>
        <w:t xml:space="preserve">ndustrial </w:t>
      </w:r>
      <w:r w:rsidR="00D8512F" w:rsidRPr="000C768E">
        <w:rPr>
          <w:rFonts w:eastAsiaTheme="minorHAnsi"/>
        </w:rPr>
        <w:t>I</w:t>
      </w:r>
      <w:r w:rsidR="00D10595" w:rsidRPr="000C768E">
        <w:rPr>
          <w:rFonts w:eastAsiaTheme="minorHAnsi"/>
        </w:rPr>
        <w:t>nspectors as “the single most important factor in the effective regulatory response to wage theft.”</w:t>
      </w:r>
      <w:r w:rsidR="00D10595" w:rsidRPr="00DC58F5">
        <w:rPr>
          <w:rFonts w:eastAsiaTheme="minorHAnsi"/>
          <w:vertAlign w:val="superscript"/>
        </w:rPr>
        <w:footnoteReference w:id="20"/>
      </w:r>
      <w:r w:rsidR="00D10595" w:rsidRPr="000C768E">
        <w:rPr>
          <w:rFonts w:eastAsiaTheme="minorHAnsi"/>
          <w:vertAlign w:val="superscript"/>
        </w:rPr>
        <w:t xml:space="preserve"> </w:t>
      </w:r>
      <w:r w:rsidR="000C768E" w:rsidRPr="000C768E">
        <w:rPr>
          <w:rFonts w:eastAsiaTheme="minorHAnsi"/>
          <w:vertAlign w:val="superscript"/>
        </w:rPr>
        <w:t xml:space="preserve"> </w:t>
      </w:r>
      <w:r w:rsidR="000075F2" w:rsidRPr="000C768E">
        <w:rPr>
          <w:rFonts w:eastAsiaTheme="minorHAnsi"/>
        </w:rPr>
        <w:t>In the view of the Inquirer, “a visit from an Industrial Inspector or a Fair Work Inspector is the only current practical means for detecting [wage theft]”.</w:t>
      </w:r>
      <w:r w:rsidR="003F56A2" w:rsidRPr="00DC58F5">
        <w:rPr>
          <w:rStyle w:val="FootnoteReference"/>
          <w:rFonts w:eastAsiaTheme="minorHAnsi"/>
        </w:rPr>
        <w:footnoteReference w:id="21"/>
      </w:r>
      <w:r w:rsidR="003F56A2" w:rsidRPr="000C768E">
        <w:rPr>
          <w:rFonts w:eastAsiaTheme="minorHAnsi"/>
        </w:rPr>
        <w:t xml:space="preserve"> </w:t>
      </w:r>
      <w:r w:rsidR="00F44041" w:rsidRPr="000C768E">
        <w:rPr>
          <w:rFonts w:eastAsiaTheme="minorHAnsi"/>
        </w:rPr>
        <w:t xml:space="preserve"> </w:t>
      </w:r>
    </w:p>
    <w:p w14:paraId="3648AAAB" w14:textId="0449E6DC" w:rsidR="002526A8" w:rsidRPr="00726A23" w:rsidRDefault="000265AC" w:rsidP="00D34581">
      <w:pPr>
        <w:numPr>
          <w:ilvl w:val="0"/>
          <w:numId w:val="9"/>
        </w:numPr>
        <w:spacing w:after="240" w:line="240" w:lineRule="auto"/>
        <w:ind w:left="567" w:hanging="567"/>
        <w:jc w:val="both"/>
        <w:rPr>
          <w:rFonts w:eastAsiaTheme="minorHAnsi"/>
        </w:rPr>
      </w:pPr>
      <w:r w:rsidRPr="00726A23">
        <w:rPr>
          <w:rFonts w:eastAsiaTheme="minorHAnsi"/>
        </w:rPr>
        <w:t>The Inquiry Report notes that one</w:t>
      </w:r>
      <w:r w:rsidR="00B23530" w:rsidRPr="00726A23">
        <w:rPr>
          <w:rFonts w:eastAsiaTheme="minorHAnsi"/>
        </w:rPr>
        <w:t xml:space="preserve"> common theme among submissions to the Inquiry</w:t>
      </w:r>
      <w:r w:rsidR="00B91D41" w:rsidRPr="00726A23">
        <w:rPr>
          <w:rFonts w:eastAsiaTheme="minorHAnsi"/>
        </w:rPr>
        <w:t xml:space="preserve"> into Wage Theft</w:t>
      </w:r>
      <w:r w:rsidR="00B23530" w:rsidRPr="00726A23">
        <w:rPr>
          <w:rFonts w:eastAsiaTheme="minorHAnsi"/>
        </w:rPr>
        <w:t xml:space="preserve"> from both employer and employee organisations was that the </w:t>
      </w:r>
      <w:r w:rsidRPr="00726A23">
        <w:rPr>
          <w:rFonts w:eastAsiaTheme="minorHAnsi"/>
        </w:rPr>
        <w:t>Fair Work Ombudsman (</w:t>
      </w:r>
      <w:r w:rsidR="00B23530" w:rsidRPr="00726A23">
        <w:rPr>
          <w:rFonts w:eastAsiaTheme="minorHAnsi"/>
        </w:rPr>
        <w:t>FWO</w:t>
      </w:r>
      <w:r w:rsidR="00D31196" w:rsidRPr="00726A23">
        <w:rPr>
          <w:rFonts w:eastAsiaTheme="minorHAnsi"/>
        </w:rPr>
        <w:t>)</w:t>
      </w:r>
      <w:r w:rsidR="00B23530" w:rsidRPr="00726A23">
        <w:rPr>
          <w:rFonts w:eastAsiaTheme="minorHAnsi"/>
        </w:rPr>
        <w:t xml:space="preserve"> should be given increased funding and resources for its work in W</w:t>
      </w:r>
      <w:r w:rsidRPr="00726A23">
        <w:rPr>
          <w:rFonts w:eastAsiaTheme="minorHAnsi"/>
        </w:rPr>
        <w:t>estern Australia.</w:t>
      </w:r>
      <w:r w:rsidR="00B23530" w:rsidRPr="00D82A3A">
        <w:rPr>
          <w:rFonts w:eastAsiaTheme="minorHAnsi"/>
          <w:vertAlign w:val="superscript"/>
        </w:rPr>
        <w:footnoteReference w:id="22"/>
      </w:r>
      <w:r w:rsidR="00B23530" w:rsidRPr="00726A23">
        <w:rPr>
          <w:rFonts w:eastAsiaTheme="minorHAnsi"/>
        </w:rPr>
        <w:t xml:space="preserve"> </w:t>
      </w:r>
      <w:r w:rsidR="00D31196" w:rsidRPr="00726A23">
        <w:rPr>
          <w:rFonts w:eastAsiaTheme="minorHAnsi"/>
        </w:rPr>
        <w:t xml:space="preserve"> </w:t>
      </w:r>
      <w:r w:rsidR="00B23530" w:rsidRPr="00726A23">
        <w:rPr>
          <w:rFonts w:eastAsiaTheme="minorHAnsi"/>
        </w:rPr>
        <w:t>The Inquirer expresses agreement with those submissions</w:t>
      </w:r>
      <w:r w:rsidRPr="00726A23">
        <w:rPr>
          <w:rFonts w:eastAsiaTheme="minorHAnsi"/>
        </w:rPr>
        <w:t xml:space="preserve">. </w:t>
      </w:r>
      <w:r w:rsidR="002526A8" w:rsidRPr="00726A23">
        <w:rPr>
          <w:rFonts w:eastAsiaTheme="minorHAnsi"/>
        </w:rPr>
        <w:t xml:space="preserve">The Inquirer states: </w:t>
      </w:r>
    </w:p>
    <w:p w14:paraId="1CC83DD6" w14:textId="77777777" w:rsidR="002526A8" w:rsidRPr="00BB08D7" w:rsidRDefault="002526A8" w:rsidP="002526A8">
      <w:pPr>
        <w:spacing w:after="240" w:line="240" w:lineRule="auto"/>
        <w:ind w:left="851" w:right="510"/>
        <w:jc w:val="both"/>
        <w:rPr>
          <w:rFonts w:eastAsiaTheme="minorHAnsi"/>
          <w:sz w:val="22"/>
          <w:szCs w:val="22"/>
        </w:rPr>
      </w:pPr>
      <w:r w:rsidRPr="00BB08D7">
        <w:rPr>
          <w:rFonts w:eastAsiaTheme="minorHAnsi"/>
          <w:sz w:val="22"/>
          <w:szCs w:val="22"/>
        </w:rPr>
        <w:t>In my opinion, a visit from a Fair Work Inspector is one of the most effective ways to counter wage theft; it is entirely consistent with my opinion that the number of Fair Work Inspectors in WA should be increased</w:t>
      </w:r>
      <w:r>
        <w:rPr>
          <w:rFonts w:eastAsiaTheme="minorHAnsi"/>
          <w:sz w:val="22"/>
          <w:szCs w:val="22"/>
        </w:rPr>
        <w:t xml:space="preserve"> …</w:t>
      </w:r>
      <w:r w:rsidRPr="00BB08D7">
        <w:rPr>
          <w:rFonts w:eastAsiaTheme="minorHAnsi"/>
          <w:sz w:val="22"/>
          <w:szCs w:val="22"/>
        </w:rPr>
        <w:t xml:space="preserve"> This does not reflect upon the work the FWO already undertakes in WA; it recognises the size of the State and the inherent difficulties in having inspectors visit businesses throughout the State.</w:t>
      </w:r>
      <w:r>
        <w:rPr>
          <w:rStyle w:val="FootnoteReference"/>
          <w:rFonts w:eastAsiaTheme="minorHAnsi"/>
          <w:sz w:val="22"/>
          <w:szCs w:val="22"/>
        </w:rPr>
        <w:footnoteReference w:id="23"/>
      </w:r>
    </w:p>
    <w:p w14:paraId="36C4CF72" w14:textId="096A625B" w:rsidR="002526A8" w:rsidRDefault="00113ACB" w:rsidP="00D34581">
      <w:pPr>
        <w:numPr>
          <w:ilvl w:val="0"/>
          <w:numId w:val="9"/>
        </w:numPr>
        <w:spacing w:after="240" w:line="240" w:lineRule="auto"/>
        <w:ind w:left="567" w:hanging="567"/>
        <w:jc w:val="both"/>
        <w:rPr>
          <w:rFonts w:eastAsiaTheme="minorHAnsi"/>
        </w:rPr>
      </w:pPr>
      <w:r>
        <w:rPr>
          <w:rFonts w:eastAsiaTheme="minorHAnsi"/>
        </w:rPr>
        <w:t>Recommendation 26</w:t>
      </w:r>
      <w:r w:rsidR="002526A8">
        <w:rPr>
          <w:rFonts w:eastAsiaTheme="minorHAnsi"/>
        </w:rPr>
        <w:t xml:space="preserve">(1) of the </w:t>
      </w:r>
      <w:r w:rsidR="00D31196" w:rsidRPr="00D31196">
        <w:rPr>
          <w:rFonts w:eastAsiaTheme="minorHAnsi"/>
        </w:rPr>
        <w:t xml:space="preserve">Inquiry </w:t>
      </w:r>
      <w:r w:rsidR="002526A8">
        <w:rPr>
          <w:rFonts w:eastAsiaTheme="minorHAnsi"/>
        </w:rPr>
        <w:t>into Wage Theft</w:t>
      </w:r>
      <w:r w:rsidR="005A659B" w:rsidRPr="00D31196">
        <w:rPr>
          <w:rFonts w:eastAsiaTheme="minorHAnsi"/>
        </w:rPr>
        <w:t xml:space="preserve"> </w:t>
      </w:r>
      <w:r w:rsidR="002526A8">
        <w:rPr>
          <w:rFonts w:eastAsiaTheme="minorHAnsi"/>
        </w:rPr>
        <w:t xml:space="preserve">is that the </w:t>
      </w:r>
      <w:r w:rsidR="005A659B" w:rsidRPr="00D31196">
        <w:rPr>
          <w:rFonts w:eastAsiaTheme="minorHAnsi"/>
        </w:rPr>
        <w:t xml:space="preserve">Western Australian Government </w:t>
      </w:r>
      <w:r w:rsidR="002526A8">
        <w:rPr>
          <w:rFonts w:eastAsiaTheme="minorHAnsi"/>
        </w:rPr>
        <w:t xml:space="preserve">recommend to the </w:t>
      </w:r>
      <w:r w:rsidR="005A659B" w:rsidRPr="00D31196">
        <w:rPr>
          <w:rFonts w:eastAsiaTheme="minorHAnsi"/>
        </w:rPr>
        <w:t xml:space="preserve">Commonwealth Government </w:t>
      </w:r>
      <w:r w:rsidR="002526A8" w:rsidRPr="002526A8">
        <w:rPr>
          <w:rFonts w:eastAsiaTheme="minorHAnsi"/>
        </w:rPr>
        <w:t xml:space="preserve">that </w:t>
      </w:r>
      <w:r w:rsidR="002526A8">
        <w:rPr>
          <w:rFonts w:eastAsiaTheme="minorHAnsi"/>
        </w:rPr>
        <w:t xml:space="preserve">“there be greater funding </w:t>
      </w:r>
      <w:r w:rsidR="002526A8" w:rsidRPr="002526A8">
        <w:rPr>
          <w:rFonts w:eastAsiaTheme="minorHAnsi"/>
        </w:rPr>
        <w:t>for the Fair Work Ombudsman’s presence in Western Australia</w:t>
      </w:r>
      <w:r w:rsidR="002526A8">
        <w:rPr>
          <w:rFonts w:eastAsiaTheme="minorHAnsi"/>
        </w:rPr>
        <w:t>.”</w:t>
      </w:r>
      <w:r w:rsidR="002526A8">
        <w:rPr>
          <w:rStyle w:val="FootnoteReference"/>
          <w:rFonts w:eastAsiaTheme="minorHAnsi"/>
        </w:rPr>
        <w:footnoteReference w:id="24"/>
      </w:r>
      <w:r w:rsidR="002526A8" w:rsidRPr="002526A8">
        <w:rPr>
          <w:rFonts w:eastAsiaTheme="minorHAnsi"/>
        </w:rPr>
        <w:t xml:space="preserve"> </w:t>
      </w:r>
    </w:p>
    <w:p w14:paraId="25F9C76D" w14:textId="31641FDF" w:rsidR="0078305A" w:rsidRDefault="00682DFA" w:rsidP="00D34581">
      <w:pPr>
        <w:numPr>
          <w:ilvl w:val="0"/>
          <w:numId w:val="9"/>
        </w:numPr>
        <w:spacing w:after="240" w:line="240" w:lineRule="auto"/>
        <w:ind w:left="567" w:hanging="567"/>
        <w:jc w:val="both"/>
        <w:rPr>
          <w:rFonts w:eastAsiaTheme="minorHAnsi"/>
        </w:rPr>
      </w:pPr>
      <w:r w:rsidRPr="00726A23">
        <w:rPr>
          <w:rFonts w:eastAsiaTheme="minorHAnsi"/>
        </w:rPr>
        <w:t>The Western Australian Government supports the view of the Inquiry into Wage Theft with regard to the importance of FWO Inspectors in detecting wage theft.  The Western Australia Government i</w:t>
      </w:r>
      <w:r w:rsidR="00136A17" w:rsidRPr="00726A23">
        <w:rPr>
          <w:rFonts w:eastAsiaTheme="minorHAnsi"/>
        </w:rPr>
        <w:t xml:space="preserve">s </w:t>
      </w:r>
      <w:r w:rsidRPr="00726A23">
        <w:rPr>
          <w:rFonts w:eastAsiaTheme="minorHAnsi"/>
        </w:rPr>
        <w:t>concerned about the limited number of FWO</w:t>
      </w:r>
      <w:r w:rsidR="000B12EF">
        <w:rPr>
          <w:rFonts w:eastAsiaTheme="minorHAnsi"/>
        </w:rPr>
        <w:t> </w:t>
      </w:r>
      <w:r w:rsidRPr="00726A23">
        <w:rPr>
          <w:rFonts w:eastAsiaTheme="minorHAnsi"/>
        </w:rPr>
        <w:t xml:space="preserve">Inspectors operational in </w:t>
      </w:r>
      <w:r w:rsidR="00FD5CE0" w:rsidRPr="00726A23">
        <w:rPr>
          <w:rFonts w:eastAsiaTheme="minorHAnsi"/>
        </w:rPr>
        <w:t xml:space="preserve">the field in Western Australia. </w:t>
      </w:r>
      <w:r w:rsidRPr="00726A23">
        <w:rPr>
          <w:rFonts w:eastAsiaTheme="minorHAnsi"/>
        </w:rPr>
        <w:t xml:space="preserve"> </w:t>
      </w:r>
    </w:p>
    <w:p w14:paraId="621149CB" w14:textId="5CE3B092" w:rsidR="00FD5CE0" w:rsidRPr="00726A23" w:rsidRDefault="00682DFA" w:rsidP="00D34581">
      <w:pPr>
        <w:numPr>
          <w:ilvl w:val="0"/>
          <w:numId w:val="9"/>
        </w:numPr>
        <w:spacing w:after="240" w:line="240" w:lineRule="auto"/>
        <w:ind w:left="567" w:hanging="567"/>
        <w:jc w:val="both"/>
        <w:rPr>
          <w:rFonts w:eastAsiaTheme="minorHAnsi"/>
        </w:rPr>
      </w:pPr>
      <w:r w:rsidRPr="00726A23">
        <w:rPr>
          <w:rFonts w:eastAsiaTheme="minorHAnsi"/>
        </w:rPr>
        <w:t xml:space="preserve">At the April 2019 Senate Estimates hearing, FWO officials indicated that there were </w:t>
      </w:r>
      <w:r w:rsidR="00FD5CE0" w:rsidRPr="00726A23">
        <w:rPr>
          <w:rFonts w:eastAsiaTheme="minorHAnsi"/>
        </w:rPr>
        <w:t xml:space="preserve">only </w:t>
      </w:r>
      <w:r w:rsidRPr="00726A23">
        <w:rPr>
          <w:rFonts w:eastAsiaTheme="minorHAnsi"/>
        </w:rPr>
        <w:t xml:space="preserve">12 </w:t>
      </w:r>
      <w:r w:rsidR="00FD5CE0" w:rsidRPr="00726A23">
        <w:rPr>
          <w:rFonts w:eastAsiaTheme="minorHAnsi"/>
        </w:rPr>
        <w:t xml:space="preserve">designated </w:t>
      </w:r>
      <w:r w:rsidRPr="00726A23">
        <w:rPr>
          <w:rFonts w:eastAsiaTheme="minorHAnsi"/>
        </w:rPr>
        <w:t>FWO Inspectors in Western Australia, and that this includes the staff of the dispute resolution and early intervention team based in Perth.</w:t>
      </w:r>
      <w:r w:rsidR="00E206C4">
        <w:rPr>
          <w:rStyle w:val="FootnoteReference"/>
          <w:rFonts w:eastAsiaTheme="minorHAnsi"/>
        </w:rPr>
        <w:footnoteReference w:id="25"/>
      </w:r>
      <w:r w:rsidRPr="00726A23">
        <w:rPr>
          <w:rFonts w:eastAsiaTheme="minorHAnsi"/>
        </w:rPr>
        <w:t xml:space="preserve">  </w:t>
      </w:r>
    </w:p>
    <w:p w14:paraId="1BFCC1CD" w14:textId="67D96DA1" w:rsidR="008B004D" w:rsidRDefault="00FD5CE0" w:rsidP="00D34581">
      <w:pPr>
        <w:numPr>
          <w:ilvl w:val="0"/>
          <w:numId w:val="9"/>
        </w:numPr>
        <w:spacing w:after="240" w:line="240" w:lineRule="auto"/>
        <w:ind w:left="567" w:hanging="567"/>
        <w:jc w:val="both"/>
        <w:rPr>
          <w:rFonts w:eastAsiaTheme="minorHAnsi"/>
        </w:rPr>
      </w:pPr>
      <w:r>
        <w:rPr>
          <w:rFonts w:eastAsiaTheme="minorHAnsi"/>
        </w:rPr>
        <w:t>A substantial increase in the number of FWO Inspectors available to undertake pro</w:t>
      </w:r>
      <w:r w:rsidR="00EB1DAB">
        <w:rPr>
          <w:rFonts w:eastAsiaTheme="minorHAnsi"/>
        </w:rPr>
        <w:noBreakHyphen/>
      </w:r>
      <w:r>
        <w:rPr>
          <w:rFonts w:eastAsiaTheme="minorHAnsi"/>
        </w:rPr>
        <w:t xml:space="preserve">active inspections of </w:t>
      </w:r>
      <w:r w:rsidR="00E206C4">
        <w:rPr>
          <w:rFonts w:eastAsiaTheme="minorHAnsi"/>
        </w:rPr>
        <w:t xml:space="preserve">workplaces in industries where wage theft is likely to be prevalent, and to take enforcement action in response to employee complaints, </w:t>
      </w:r>
      <w:r>
        <w:rPr>
          <w:rFonts w:eastAsiaTheme="minorHAnsi"/>
        </w:rPr>
        <w:t xml:space="preserve">is considered by the Western Australian Government </w:t>
      </w:r>
      <w:r w:rsidR="00E206C4">
        <w:rPr>
          <w:rFonts w:eastAsiaTheme="minorHAnsi"/>
        </w:rPr>
        <w:t xml:space="preserve">as </w:t>
      </w:r>
      <w:r>
        <w:rPr>
          <w:rFonts w:eastAsiaTheme="minorHAnsi"/>
        </w:rPr>
        <w:t xml:space="preserve">essential to improve detection </w:t>
      </w:r>
      <w:r w:rsidR="00300DE2">
        <w:rPr>
          <w:rFonts w:eastAsiaTheme="minorHAnsi"/>
        </w:rPr>
        <w:t xml:space="preserve">and enforcement </w:t>
      </w:r>
      <w:r>
        <w:rPr>
          <w:rFonts w:eastAsiaTheme="minorHAnsi"/>
        </w:rPr>
        <w:t>of wage theft</w:t>
      </w:r>
      <w:r w:rsidR="00EB1DAB">
        <w:rPr>
          <w:rFonts w:eastAsiaTheme="minorHAnsi"/>
        </w:rPr>
        <w:t xml:space="preserve"> </w:t>
      </w:r>
      <w:r>
        <w:rPr>
          <w:rFonts w:eastAsiaTheme="minorHAnsi"/>
        </w:rPr>
        <w:t xml:space="preserve">in Western Australia. </w:t>
      </w:r>
    </w:p>
    <w:p w14:paraId="4007390D" w14:textId="57F7A409" w:rsidR="008B004D" w:rsidRPr="008B004D" w:rsidRDefault="008B004D" w:rsidP="008B004D">
      <w:pPr>
        <w:spacing w:after="240" w:line="240" w:lineRule="auto"/>
        <w:jc w:val="both"/>
        <w:rPr>
          <w:rFonts w:eastAsiaTheme="minorHAnsi"/>
          <w:b/>
        </w:rPr>
      </w:pPr>
      <w:r w:rsidRPr="008B004D">
        <w:rPr>
          <w:rFonts w:eastAsiaTheme="minorHAnsi"/>
          <w:b/>
        </w:rPr>
        <w:t xml:space="preserve">Proposed response to the Inquiry into Wage Theft recommendations </w:t>
      </w:r>
    </w:p>
    <w:p w14:paraId="7BAE6CE0" w14:textId="6D93B765" w:rsidR="0078305A" w:rsidRDefault="008B004D" w:rsidP="00D34581">
      <w:pPr>
        <w:numPr>
          <w:ilvl w:val="0"/>
          <w:numId w:val="9"/>
        </w:numPr>
        <w:spacing w:after="240" w:line="240" w:lineRule="auto"/>
        <w:ind w:left="567" w:hanging="567"/>
        <w:jc w:val="both"/>
        <w:rPr>
          <w:rFonts w:eastAsiaTheme="minorHAnsi"/>
        </w:rPr>
      </w:pPr>
      <w:r w:rsidRPr="008B004D">
        <w:rPr>
          <w:rFonts w:eastAsiaTheme="minorHAnsi"/>
        </w:rPr>
        <w:t xml:space="preserve">The </w:t>
      </w:r>
      <w:r>
        <w:rPr>
          <w:rFonts w:eastAsiaTheme="minorHAnsi"/>
        </w:rPr>
        <w:t xml:space="preserve">Western Australian </w:t>
      </w:r>
      <w:r w:rsidRPr="008B004D">
        <w:rPr>
          <w:rFonts w:eastAsiaTheme="minorHAnsi"/>
        </w:rPr>
        <w:t>Government intends to take action to combat wage theft through a range of strategies consistent with the recommendations of the Inquiry</w:t>
      </w:r>
      <w:r>
        <w:rPr>
          <w:rFonts w:eastAsiaTheme="minorHAnsi"/>
        </w:rPr>
        <w:t xml:space="preserve"> into Wage Theft</w:t>
      </w:r>
      <w:r w:rsidRPr="008B004D">
        <w:rPr>
          <w:rFonts w:eastAsiaTheme="minorHAnsi"/>
        </w:rPr>
        <w:t xml:space="preserve">.  </w:t>
      </w:r>
    </w:p>
    <w:p w14:paraId="56EF9ECB" w14:textId="77777777" w:rsidR="0078305A" w:rsidRDefault="0078305A" w:rsidP="0078305A">
      <w:pPr>
        <w:spacing w:after="240" w:line="240" w:lineRule="auto"/>
        <w:ind w:left="567"/>
        <w:jc w:val="both"/>
        <w:rPr>
          <w:rFonts w:eastAsiaTheme="minorHAnsi"/>
        </w:rPr>
      </w:pPr>
    </w:p>
    <w:p w14:paraId="3E006A3B" w14:textId="7A647A22" w:rsidR="008B004D" w:rsidRPr="008B004D" w:rsidRDefault="008B004D" w:rsidP="00346977">
      <w:pPr>
        <w:numPr>
          <w:ilvl w:val="0"/>
          <w:numId w:val="9"/>
        </w:numPr>
        <w:spacing w:after="120" w:line="240" w:lineRule="auto"/>
        <w:ind w:left="567" w:hanging="567"/>
        <w:jc w:val="both"/>
        <w:rPr>
          <w:rFonts w:eastAsiaTheme="minorHAnsi"/>
        </w:rPr>
      </w:pPr>
      <w:r w:rsidRPr="008B004D">
        <w:rPr>
          <w:rFonts w:eastAsiaTheme="minorHAnsi"/>
        </w:rPr>
        <w:lastRenderedPageBreak/>
        <w:t>Proposed reforms include:</w:t>
      </w:r>
    </w:p>
    <w:p w14:paraId="752E2B4A" w14:textId="77777777" w:rsidR="008B004D" w:rsidRDefault="008B004D" w:rsidP="00A11530">
      <w:pPr>
        <w:numPr>
          <w:ilvl w:val="0"/>
          <w:numId w:val="17"/>
        </w:numPr>
        <w:spacing w:after="120" w:line="240" w:lineRule="auto"/>
        <w:ind w:left="1276" w:hanging="425"/>
        <w:jc w:val="both"/>
        <w:rPr>
          <w:rFonts w:eastAsiaTheme="minorHAnsi"/>
          <w:bCs/>
        </w:rPr>
      </w:pPr>
      <w:r w:rsidRPr="008B004D">
        <w:rPr>
          <w:rFonts w:eastAsiaTheme="minorHAnsi"/>
          <w:bCs/>
        </w:rPr>
        <w:t xml:space="preserve">Giving further and immediate consideration to whether wage theft should be </w:t>
      </w:r>
      <w:r>
        <w:rPr>
          <w:rFonts w:eastAsiaTheme="minorHAnsi"/>
          <w:bCs/>
        </w:rPr>
        <w:t xml:space="preserve">criminalised in Western Australia, which will </w:t>
      </w:r>
      <w:r w:rsidRPr="008B004D">
        <w:rPr>
          <w:rFonts w:eastAsiaTheme="minorHAnsi"/>
          <w:bCs/>
        </w:rPr>
        <w:t xml:space="preserve">include </w:t>
      </w:r>
      <w:r>
        <w:rPr>
          <w:rFonts w:eastAsiaTheme="minorHAnsi"/>
          <w:bCs/>
        </w:rPr>
        <w:t xml:space="preserve">ongoing </w:t>
      </w:r>
      <w:r w:rsidRPr="008B004D">
        <w:rPr>
          <w:rFonts w:eastAsiaTheme="minorHAnsi"/>
          <w:bCs/>
        </w:rPr>
        <w:t>consultation with the Commonwealth</w:t>
      </w:r>
      <w:r>
        <w:rPr>
          <w:rFonts w:eastAsiaTheme="minorHAnsi"/>
          <w:bCs/>
        </w:rPr>
        <w:t xml:space="preserve"> Government. </w:t>
      </w:r>
      <w:r w:rsidRPr="008B004D">
        <w:rPr>
          <w:rFonts w:eastAsiaTheme="minorHAnsi"/>
          <w:bCs/>
        </w:rPr>
        <w:t xml:space="preserve"> </w:t>
      </w:r>
    </w:p>
    <w:p w14:paraId="0BE761EC" w14:textId="0D7269CC" w:rsidR="00A11530" w:rsidRDefault="008B004D" w:rsidP="00A11530">
      <w:pPr>
        <w:numPr>
          <w:ilvl w:val="0"/>
          <w:numId w:val="17"/>
        </w:numPr>
        <w:spacing w:after="120" w:line="240" w:lineRule="auto"/>
        <w:ind w:left="1276" w:hanging="425"/>
        <w:jc w:val="both"/>
        <w:rPr>
          <w:rFonts w:eastAsiaTheme="minorHAnsi"/>
          <w:bCs/>
        </w:rPr>
      </w:pPr>
      <w:r w:rsidRPr="008B004D">
        <w:rPr>
          <w:rFonts w:eastAsiaTheme="minorHAnsi"/>
          <w:bCs/>
        </w:rPr>
        <w:t xml:space="preserve">Establishing a wage theft website at </w:t>
      </w:r>
      <w:hyperlink r:id="rId15" w:history="1">
        <w:r w:rsidRPr="0078305A">
          <w:rPr>
            <w:rStyle w:val="Hyperlink"/>
            <w:rFonts w:eastAsiaTheme="minorHAnsi"/>
            <w:bCs/>
            <w:color w:val="auto"/>
          </w:rPr>
          <w:t>www.wagetheft.wa.gov.au</w:t>
        </w:r>
      </w:hyperlink>
      <w:r w:rsidRPr="008B004D">
        <w:rPr>
          <w:rFonts w:eastAsiaTheme="minorHAnsi"/>
          <w:bCs/>
        </w:rPr>
        <w:t xml:space="preserve"> which provides information for Western Australian workers </w:t>
      </w:r>
      <w:r w:rsidR="003D0375">
        <w:rPr>
          <w:rFonts w:eastAsiaTheme="minorHAnsi"/>
          <w:bCs/>
        </w:rPr>
        <w:t>on</w:t>
      </w:r>
      <w:r w:rsidR="00D12A42">
        <w:rPr>
          <w:rFonts w:eastAsiaTheme="minorHAnsi"/>
          <w:bCs/>
        </w:rPr>
        <w:t xml:space="preserve"> </w:t>
      </w:r>
      <w:r w:rsidR="00A11530">
        <w:rPr>
          <w:rFonts w:eastAsiaTheme="minorHAnsi"/>
          <w:bCs/>
        </w:rPr>
        <w:t xml:space="preserve">how to seek assistance with </w:t>
      </w:r>
      <w:r w:rsidR="00A11530" w:rsidRPr="008B004D">
        <w:rPr>
          <w:rFonts w:eastAsiaTheme="minorHAnsi"/>
          <w:bCs/>
        </w:rPr>
        <w:t xml:space="preserve">resolving an underpayment issue </w:t>
      </w:r>
      <w:r w:rsidR="00A11530">
        <w:rPr>
          <w:rFonts w:eastAsiaTheme="minorHAnsi"/>
          <w:bCs/>
        </w:rPr>
        <w:t xml:space="preserve">or report wage theft anonymously. </w:t>
      </w:r>
    </w:p>
    <w:p w14:paraId="0AE33B59" w14:textId="77777777" w:rsidR="008B004D" w:rsidRPr="00EF1BA8" w:rsidRDefault="008B004D" w:rsidP="00A11530">
      <w:pPr>
        <w:pStyle w:val="ListParagraph"/>
        <w:numPr>
          <w:ilvl w:val="0"/>
          <w:numId w:val="12"/>
        </w:numPr>
        <w:autoSpaceDE w:val="0"/>
        <w:autoSpaceDN w:val="0"/>
        <w:adjustRightInd w:val="0"/>
        <w:spacing w:after="120" w:line="240" w:lineRule="auto"/>
        <w:ind w:left="1276" w:hanging="425"/>
        <w:contextualSpacing w:val="0"/>
        <w:jc w:val="both"/>
        <w:rPr>
          <w:rFonts w:cstheme="minorHAnsi"/>
          <w:lang w:eastAsia="en-AU"/>
        </w:rPr>
      </w:pPr>
      <w:r>
        <w:rPr>
          <w:rFonts w:cstheme="minorHAnsi"/>
          <w:lang w:eastAsia="en-AU"/>
        </w:rPr>
        <w:t>Supporting legislative change to enhance</w:t>
      </w:r>
      <w:r w:rsidRPr="00EF1BA8">
        <w:rPr>
          <w:rFonts w:cstheme="minorHAnsi"/>
          <w:lang w:eastAsia="en-AU"/>
        </w:rPr>
        <w:t xml:space="preserve"> the level of cooperation and information sharing between </w:t>
      </w:r>
      <w:r>
        <w:rPr>
          <w:rFonts w:cstheme="minorHAnsi"/>
          <w:lang w:eastAsia="en-AU"/>
        </w:rPr>
        <w:t>the Department of Mines, Industry Regulation and Safety (DMIRS) and the Fair Work Ombudsman</w:t>
      </w:r>
      <w:r w:rsidRPr="00EF1BA8">
        <w:rPr>
          <w:rFonts w:cstheme="minorHAnsi"/>
          <w:lang w:eastAsia="en-AU"/>
        </w:rPr>
        <w:t>.</w:t>
      </w:r>
    </w:p>
    <w:p w14:paraId="4A686F24" w14:textId="0BFDE99B" w:rsidR="008B004D" w:rsidRPr="00740157" w:rsidRDefault="00346977" w:rsidP="00A11530">
      <w:pPr>
        <w:pStyle w:val="ListParagraph"/>
        <w:numPr>
          <w:ilvl w:val="0"/>
          <w:numId w:val="12"/>
        </w:numPr>
        <w:spacing w:after="120" w:line="240" w:lineRule="auto"/>
        <w:ind w:left="1276" w:hanging="425"/>
        <w:contextualSpacing w:val="0"/>
        <w:jc w:val="both"/>
        <w:rPr>
          <w:rFonts w:cstheme="minorHAnsi"/>
          <w:lang w:eastAsia="en-AU"/>
        </w:rPr>
      </w:pPr>
      <w:r>
        <w:rPr>
          <w:rFonts w:cstheme="minorHAnsi"/>
          <w:lang w:eastAsia="en-AU"/>
        </w:rPr>
        <w:t>Seeking to e</w:t>
      </w:r>
      <w:r w:rsidR="008B004D">
        <w:rPr>
          <w:rFonts w:cstheme="minorHAnsi"/>
          <w:lang w:eastAsia="en-AU"/>
        </w:rPr>
        <w:t>ngag</w:t>
      </w:r>
      <w:r>
        <w:rPr>
          <w:rFonts w:cstheme="minorHAnsi"/>
          <w:lang w:eastAsia="en-AU"/>
        </w:rPr>
        <w:t xml:space="preserve">e </w:t>
      </w:r>
      <w:r w:rsidR="008B004D" w:rsidRPr="00740157">
        <w:rPr>
          <w:rFonts w:cstheme="minorHAnsi"/>
          <w:lang w:eastAsia="en-AU"/>
        </w:rPr>
        <w:t xml:space="preserve">with the Commonwealth Government on </w:t>
      </w:r>
      <w:r w:rsidR="008B004D">
        <w:rPr>
          <w:rFonts w:cstheme="minorHAnsi"/>
          <w:lang w:eastAsia="en-AU"/>
        </w:rPr>
        <w:t xml:space="preserve">a range of </w:t>
      </w:r>
      <w:r w:rsidR="008B004D" w:rsidRPr="00740157">
        <w:rPr>
          <w:rFonts w:cstheme="minorHAnsi"/>
          <w:lang w:eastAsia="en-AU"/>
        </w:rPr>
        <w:t>issues to address wage theft, including federal measures to facilitate cooperation between State and federal industrial inspectors and greater funding for the Fair Work Ombudsman’s presence in W</w:t>
      </w:r>
      <w:r w:rsidR="00242919">
        <w:rPr>
          <w:rFonts w:cstheme="minorHAnsi"/>
          <w:lang w:eastAsia="en-AU"/>
        </w:rPr>
        <w:t xml:space="preserve">estern </w:t>
      </w:r>
      <w:r w:rsidR="008B004D" w:rsidRPr="00740157">
        <w:rPr>
          <w:rFonts w:cstheme="minorHAnsi"/>
          <w:lang w:eastAsia="en-AU"/>
        </w:rPr>
        <w:t>A</w:t>
      </w:r>
      <w:r w:rsidR="00242919">
        <w:rPr>
          <w:rFonts w:cstheme="minorHAnsi"/>
          <w:lang w:eastAsia="en-AU"/>
        </w:rPr>
        <w:t>ustralia</w:t>
      </w:r>
      <w:r w:rsidR="008B004D" w:rsidRPr="00740157">
        <w:rPr>
          <w:rFonts w:cstheme="minorHAnsi"/>
          <w:lang w:eastAsia="en-AU"/>
        </w:rPr>
        <w:t>.</w:t>
      </w:r>
    </w:p>
    <w:p w14:paraId="237C9F8E" w14:textId="7663006D" w:rsidR="008B004D" w:rsidRDefault="008B004D" w:rsidP="00A11530">
      <w:pPr>
        <w:pStyle w:val="ListParagraph"/>
        <w:numPr>
          <w:ilvl w:val="0"/>
          <w:numId w:val="12"/>
        </w:numPr>
        <w:spacing w:after="120" w:line="240" w:lineRule="auto"/>
        <w:ind w:left="1276" w:hanging="425"/>
        <w:contextualSpacing w:val="0"/>
        <w:jc w:val="both"/>
        <w:rPr>
          <w:rFonts w:cstheme="minorHAnsi"/>
          <w:lang w:eastAsia="en-AU"/>
        </w:rPr>
      </w:pPr>
      <w:r>
        <w:rPr>
          <w:rFonts w:cstheme="minorHAnsi"/>
          <w:lang w:eastAsia="en-AU"/>
        </w:rPr>
        <w:t>C</w:t>
      </w:r>
      <w:r w:rsidRPr="00740157">
        <w:rPr>
          <w:rFonts w:cstheme="minorHAnsi"/>
          <w:lang w:eastAsia="en-AU"/>
        </w:rPr>
        <w:t>ommitt</w:t>
      </w:r>
      <w:r>
        <w:rPr>
          <w:rFonts w:cstheme="minorHAnsi"/>
          <w:lang w:eastAsia="en-AU"/>
        </w:rPr>
        <w:t>ing</w:t>
      </w:r>
      <w:r w:rsidRPr="00740157">
        <w:rPr>
          <w:rFonts w:cstheme="minorHAnsi"/>
          <w:lang w:eastAsia="en-AU"/>
        </w:rPr>
        <w:t xml:space="preserve"> in principle to a labour hire licensing scheme in W</w:t>
      </w:r>
      <w:r w:rsidR="00242919">
        <w:rPr>
          <w:rFonts w:cstheme="minorHAnsi"/>
          <w:lang w:eastAsia="en-AU"/>
        </w:rPr>
        <w:t>estern</w:t>
      </w:r>
      <w:r w:rsidR="00D12A42">
        <w:rPr>
          <w:rFonts w:cstheme="minorHAnsi"/>
          <w:lang w:eastAsia="en-AU"/>
        </w:rPr>
        <w:t> </w:t>
      </w:r>
      <w:r w:rsidR="00242919">
        <w:rPr>
          <w:rFonts w:cstheme="minorHAnsi"/>
          <w:lang w:eastAsia="en-AU"/>
        </w:rPr>
        <w:t xml:space="preserve">Australia </w:t>
      </w:r>
      <w:r w:rsidRPr="00740157">
        <w:rPr>
          <w:rFonts w:cstheme="minorHAnsi"/>
          <w:lang w:eastAsia="en-AU"/>
        </w:rPr>
        <w:t>and consult</w:t>
      </w:r>
      <w:r>
        <w:rPr>
          <w:rFonts w:cstheme="minorHAnsi"/>
          <w:lang w:eastAsia="en-AU"/>
        </w:rPr>
        <w:t>ing</w:t>
      </w:r>
      <w:r w:rsidR="00242919">
        <w:rPr>
          <w:rFonts w:cstheme="minorHAnsi"/>
          <w:lang w:eastAsia="en-AU"/>
        </w:rPr>
        <w:t xml:space="preserve"> with the Commonwealth Government on its proposed </w:t>
      </w:r>
      <w:r w:rsidRPr="00740157">
        <w:rPr>
          <w:rFonts w:cstheme="minorHAnsi"/>
          <w:lang w:eastAsia="en-AU"/>
        </w:rPr>
        <w:t xml:space="preserve">national labour hire </w:t>
      </w:r>
      <w:r w:rsidR="00242919">
        <w:rPr>
          <w:rFonts w:cstheme="minorHAnsi"/>
          <w:lang w:eastAsia="en-AU"/>
        </w:rPr>
        <w:t>scheme</w:t>
      </w:r>
      <w:r>
        <w:rPr>
          <w:rFonts w:cstheme="minorHAnsi"/>
          <w:lang w:eastAsia="en-AU"/>
        </w:rPr>
        <w:t>.</w:t>
      </w:r>
    </w:p>
    <w:p w14:paraId="0F80BC41" w14:textId="4219DDAF" w:rsidR="008B004D" w:rsidRPr="00E8598E" w:rsidRDefault="008B004D" w:rsidP="00A11530">
      <w:pPr>
        <w:pStyle w:val="ListParagraph"/>
        <w:numPr>
          <w:ilvl w:val="0"/>
          <w:numId w:val="12"/>
        </w:numPr>
        <w:autoSpaceDE w:val="0"/>
        <w:autoSpaceDN w:val="0"/>
        <w:adjustRightInd w:val="0"/>
        <w:spacing w:after="120" w:line="240" w:lineRule="auto"/>
        <w:ind w:left="1276" w:hanging="425"/>
        <w:contextualSpacing w:val="0"/>
        <w:jc w:val="both"/>
        <w:rPr>
          <w:rFonts w:cstheme="minorHAnsi"/>
          <w:lang w:eastAsia="en-AU"/>
        </w:rPr>
      </w:pPr>
      <w:r>
        <w:rPr>
          <w:rFonts w:cstheme="minorHAnsi"/>
          <w:lang w:eastAsia="en-AU"/>
        </w:rPr>
        <w:t>Supporting</w:t>
      </w:r>
      <w:r w:rsidRPr="00E8598E">
        <w:rPr>
          <w:rFonts w:cstheme="minorHAnsi"/>
          <w:lang w:eastAsia="en-AU"/>
        </w:rPr>
        <w:t xml:space="preserve"> amendments to State industrial laws </w:t>
      </w:r>
      <w:r>
        <w:rPr>
          <w:rFonts w:cstheme="minorHAnsi"/>
          <w:lang w:eastAsia="en-AU"/>
        </w:rPr>
        <w:t xml:space="preserve">which </w:t>
      </w:r>
      <w:r w:rsidR="00A11530">
        <w:rPr>
          <w:rFonts w:cstheme="minorHAnsi"/>
          <w:lang w:eastAsia="en-AU"/>
        </w:rPr>
        <w:t>include providing broader p</w:t>
      </w:r>
      <w:r w:rsidR="003D0375">
        <w:rPr>
          <w:rFonts w:cstheme="minorHAnsi"/>
          <w:lang w:eastAsia="en-AU"/>
        </w:rPr>
        <w:t>owers for industrial inspectors</w:t>
      </w:r>
      <w:r w:rsidR="00A11530">
        <w:rPr>
          <w:rFonts w:cstheme="minorHAnsi"/>
          <w:lang w:eastAsia="en-AU"/>
        </w:rPr>
        <w:t xml:space="preserve"> and prohibiting</w:t>
      </w:r>
      <w:r w:rsidR="00F716B2">
        <w:rPr>
          <w:rFonts w:cstheme="minorHAnsi"/>
          <w:lang w:eastAsia="en-AU"/>
        </w:rPr>
        <w:t>:</w:t>
      </w:r>
      <w:r w:rsidR="00A11530">
        <w:rPr>
          <w:rFonts w:cstheme="minorHAnsi"/>
          <w:lang w:eastAsia="en-AU"/>
        </w:rPr>
        <w:t xml:space="preserve"> </w:t>
      </w:r>
    </w:p>
    <w:p w14:paraId="2B6DBE07" w14:textId="77777777" w:rsidR="008B004D" w:rsidRPr="00E8598E" w:rsidRDefault="008B004D" w:rsidP="00D34581">
      <w:pPr>
        <w:numPr>
          <w:ilvl w:val="2"/>
          <w:numId w:val="13"/>
        </w:numPr>
        <w:autoSpaceDE w:val="0"/>
        <w:autoSpaceDN w:val="0"/>
        <w:adjustRightInd w:val="0"/>
        <w:spacing w:line="240" w:lineRule="auto"/>
        <w:ind w:left="2127" w:hanging="426"/>
        <w:jc w:val="both"/>
        <w:rPr>
          <w:rFonts w:cstheme="minorHAnsi"/>
          <w:bCs/>
          <w:lang w:eastAsia="en-AU"/>
        </w:rPr>
      </w:pPr>
      <w:r w:rsidRPr="00E8598E">
        <w:rPr>
          <w:rFonts w:cstheme="minorHAnsi"/>
          <w:bCs/>
          <w:lang w:eastAsia="en-AU"/>
        </w:rPr>
        <w:t xml:space="preserve">employers unreasonably requiring employees to spend, or “pay back” to the employer, their wages </w:t>
      </w:r>
    </w:p>
    <w:p w14:paraId="2C1FCF50" w14:textId="77777777" w:rsidR="008B004D" w:rsidRPr="00E8598E" w:rsidRDefault="008B004D" w:rsidP="00D34581">
      <w:pPr>
        <w:numPr>
          <w:ilvl w:val="2"/>
          <w:numId w:val="13"/>
        </w:numPr>
        <w:autoSpaceDE w:val="0"/>
        <w:autoSpaceDN w:val="0"/>
        <w:adjustRightInd w:val="0"/>
        <w:spacing w:line="240" w:lineRule="auto"/>
        <w:ind w:left="2127" w:hanging="426"/>
        <w:jc w:val="both"/>
        <w:rPr>
          <w:rFonts w:cstheme="minorHAnsi"/>
          <w:bCs/>
          <w:lang w:eastAsia="en-AU"/>
        </w:rPr>
      </w:pPr>
      <w:r w:rsidRPr="00E8598E">
        <w:rPr>
          <w:rFonts w:cstheme="minorHAnsi"/>
          <w:bCs/>
          <w:lang w:eastAsia="en-AU"/>
        </w:rPr>
        <w:t xml:space="preserve">employers discriminating against employees because they have inquired or complained about their employment conditions </w:t>
      </w:r>
    </w:p>
    <w:p w14:paraId="5B60EF73" w14:textId="77777777" w:rsidR="008B004D" w:rsidRPr="00E8598E" w:rsidRDefault="008B004D" w:rsidP="00D34581">
      <w:pPr>
        <w:numPr>
          <w:ilvl w:val="2"/>
          <w:numId w:val="13"/>
        </w:numPr>
        <w:autoSpaceDE w:val="0"/>
        <w:autoSpaceDN w:val="0"/>
        <w:adjustRightInd w:val="0"/>
        <w:spacing w:line="240" w:lineRule="auto"/>
        <w:ind w:left="2127" w:hanging="426"/>
        <w:jc w:val="both"/>
        <w:rPr>
          <w:rFonts w:cstheme="minorHAnsi"/>
          <w:bCs/>
          <w:lang w:eastAsia="en-AU"/>
        </w:rPr>
      </w:pPr>
      <w:r w:rsidRPr="00E8598E">
        <w:rPr>
          <w:rFonts w:cstheme="minorHAnsi"/>
          <w:bCs/>
          <w:lang w:eastAsia="en-AU"/>
        </w:rPr>
        <w:t xml:space="preserve">employment being advertised at less than the applicable minimum wage for the position </w:t>
      </w:r>
    </w:p>
    <w:p w14:paraId="30CF023E" w14:textId="77777777" w:rsidR="008B004D" w:rsidRPr="00E8598E" w:rsidRDefault="008B004D" w:rsidP="00A11530">
      <w:pPr>
        <w:numPr>
          <w:ilvl w:val="2"/>
          <w:numId w:val="13"/>
        </w:numPr>
        <w:autoSpaceDE w:val="0"/>
        <w:autoSpaceDN w:val="0"/>
        <w:adjustRightInd w:val="0"/>
        <w:spacing w:after="120" w:line="240" w:lineRule="auto"/>
        <w:ind w:left="2126" w:hanging="425"/>
        <w:jc w:val="both"/>
        <w:rPr>
          <w:rFonts w:cstheme="minorHAnsi"/>
          <w:bCs/>
          <w:lang w:eastAsia="en-AU"/>
        </w:rPr>
      </w:pPr>
      <w:r w:rsidRPr="00E8598E">
        <w:rPr>
          <w:rFonts w:cstheme="minorHAnsi"/>
          <w:bCs/>
          <w:lang w:eastAsia="en-AU"/>
        </w:rPr>
        <w:t xml:space="preserve">sham contracting arrangements </w:t>
      </w:r>
    </w:p>
    <w:p w14:paraId="44C5AEDA" w14:textId="0432660F" w:rsidR="008B004D" w:rsidRPr="00A11530" w:rsidRDefault="008B004D" w:rsidP="00A11530">
      <w:pPr>
        <w:numPr>
          <w:ilvl w:val="0"/>
          <w:numId w:val="13"/>
        </w:numPr>
        <w:autoSpaceDE w:val="0"/>
        <w:autoSpaceDN w:val="0"/>
        <w:adjustRightInd w:val="0"/>
        <w:spacing w:after="120" w:line="240" w:lineRule="auto"/>
        <w:ind w:left="1276" w:hanging="425"/>
        <w:jc w:val="both"/>
        <w:rPr>
          <w:rFonts w:cstheme="minorHAnsi"/>
          <w:bCs/>
          <w:lang w:eastAsia="en-AU"/>
        </w:rPr>
      </w:pPr>
      <w:r w:rsidRPr="00A11530">
        <w:rPr>
          <w:rFonts w:cstheme="minorHAnsi"/>
          <w:bCs/>
          <w:lang w:eastAsia="en-AU"/>
        </w:rPr>
        <w:t>Commit</w:t>
      </w:r>
      <w:r w:rsidR="00300DE2">
        <w:rPr>
          <w:rFonts w:cstheme="minorHAnsi"/>
          <w:bCs/>
          <w:lang w:eastAsia="en-AU"/>
        </w:rPr>
        <w:t>ment</w:t>
      </w:r>
      <w:r w:rsidRPr="00A11530">
        <w:rPr>
          <w:rFonts w:cstheme="minorHAnsi"/>
          <w:bCs/>
          <w:lang w:eastAsia="en-AU"/>
        </w:rPr>
        <w:t xml:space="preserve"> to bolstering the Industrial Magistrates Court’s processes </w:t>
      </w:r>
      <w:r w:rsidR="00A11530" w:rsidRPr="00A11530">
        <w:rPr>
          <w:rFonts w:cstheme="minorHAnsi"/>
          <w:bCs/>
          <w:lang w:eastAsia="en-AU"/>
        </w:rPr>
        <w:t xml:space="preserve">and powers to combat wage theft and </w:t>
      </w:r>
      <w:r w:rsidR="00A11530">
        <w:rPr>
          <w:rFonts w:cstheme="minorHAnsi"/>
          <w:bCs/>
          <w:lang w:eastAsia="en-AU"/>
        </w:rPr>
        <w:t>s</w:t>
      </w:r>
      <w:r w:rsidRPr="00A11530">
        <w:rPr>
          <w:rFonts w:cstheme="minorHAnsi"/>
          <w:bCs/>
          <w:lang w:eastAsia="en-AU"/>
        </w:rPr>
        <w:t>eeking funding from the Commonwealth for the Industrial Magistrates Court</w:t>
      </w:r>
      <w:r w:rsidR="00D12A42">
        <w:rPr>
          <w:rFonts w:cstheme="minorHAnsi"/>
          <w:bCs/>
          <w:lang w:eastAsia="en-AU"/>
        </w:rPr>
        <w:t>,</w:t>
      </w:r>
      <w:r w:rsidRPr="00A11530">
        <w:rPr>
          <w:rFonts w:cstheme="minorHAnsi"/>
          <w:bCs/>
          <w:lang w:eastAsia="en-AU"/>
        </w:rPr>
        <w:t xml:space="preserve"> as most matters dealt with by the Industrial Magistrates Court arise from the national system and the Commonwealth does not currently contribute to its funding.</w:t>
      </w:r>
    </w:p>
    <w:p w14:paraId="3083EFEC" w14:textId="43C7078B" w:rsidR="00F716B2" w:rsidRDefault="00D12A42" w:rsidP="00F716B2">
      <w:pPr>
        <w:numPr>
          <w:ilvl w:val="0"/>
          <w:numId w:val="13"/>
        </w:numPr>
        <w:autoSpaceDE w:val="0"/>
        <w:autoSpaceDN w:val="0"/>
        <w:adjustRightInd w:val="0"/>
        <w:spacing w:after="120" w:line="240" w:lineRule="auto"/>
        <w:ind w:left="1276" w:hanging="425"/>
        <w:jc w:val="both"/>
        <w:rPr>
          <w:rFonts w:cstheme="minorHAnsi"/>
          <w:bCs/>
          <w:lang w:eastAsia="en-AU"/>
        </w:rPr>
      </w:pPr>
      <w:r>
        <w:rPr>
          <w:rFonts w:cstheme="minorHAnsi"/>
          <w:bCs/>
          <w:lang w:eastAsia="en-AU"/>
        </w:rPr>
        <w:t>Commit</w:t>
      </w:r>
      <w:r w:rsidR="00300DE2">
        <w:rPr>
          <w:rFonts w:cstheme="minorHAnsi"/>
          <w:bCs/>
          <w:lang w:eastAsia="en-AU"/>
        </w:rPr>
        <w:t>ment</w:t>
      </w:r>
      <w:r w:rsidR="008B004D" w:rsidRPr="00E8598E">
        <w:rPr>
          <w:rFonts w:cstheme="minorHAnsi"/>
          <w:bCs/>
          <w:lang w:eastAsia="en-AU"/>
        </w:rPr>
        <w:t xml:space="preserve"> i</w:t>
      </w:r>
      <w:r w:rsidR="008B004D">
        <w:rPr>
          <w:rFonts w:cstheme="minorHAnsi"/>
          <w:bCs/>
          <w:lang w:eastAsia="en-AU"/>
        </w:rPr>
        <w:t>n principle to strengthening</w:t>
      </w:r>
      <w:r w:rsidR="008B004D" w:rsidRPr="00E8598E">
        <w:rPr>
          <w:rFonts w:cstheme="minorHAnsi"/>
          <w:bCs/>
          <w:lang w:eastAsia="en-AU"/>
        </w:rPr>
        <w:t xml:space="preserve"> procurement processes, particularly in high risk industries such as cleaning and security. </w:t>
      </w:r>
      <w:r w:rsidR="008B004D">
        <w:rPr>
          <w:rFonts w:cstheme="minorHAnsi"/>
          <w:bCs/>
          <w:lang w:eastAsia="en-AU"/>
        </w:rPr>
        <w:t xml:space="preserve"> </w:t>
      </w:r>
    </w:p>
    <w:p w14:paraId="4DCD336D" w14:textId="558887AE" w:rsidR="00A11530" w:rsidRPr="00A11530" w:rsidRDefault="00A11530" w:rsidP="00A11530">
      <w:pPr>
        <w:numPr>
          <w:ilvl w:val="0"/>
          <w:numId w:val="13"/>
        </w:numPr>
        <w:autoSpaceDE w:val="0"/>
        <w:autoSpaceDN w:val="0"/>
        <w:adjustRightInd w:val="0"/>
        <w:spacing w:after="240" w:line="240" w:lineRule="auto"/>
        <w:ind w:left="1276" w:hanging="425"/>
        <w:jc w:val="both"/>
        <w:rPr>
          <w:rFonts w:eastAsiaTheme="minorHAnsi"/>
          <w:b/>
        </w:rPr>
      </w:pPr>
      <w:r w:rsidRPr="00A11530">
        <w:rPr>
          <w:rFonts w:cstheme="minorHAnsi"/>
          <w:bCs/>
          <w:lang w:eastAsia="en-AU"/>
        </w:rPr>
        <w:t xml:space="preserve">Recognising the need for </w:t>
      </w:r>
      <w:r w:rsidR="008B004D" w:rsidRPr="00A11530">
        <w:rPr>
          <w:rFonts w:cstheme="minorHAnsi"/>
          <w:bCs/>
          <w:lang w:eastAsia="en-AU"/>
        </w:rPr>
        <w:t xml:space="preserve">an appropriate number of industrial inspectors and an expansion of </w:t>
      </w:r>
      <w:r w:rsidRPr="00A11530">
        <w:rPr>
          <w:rFonts w:cstheme="minorHAnsi"/>
          <w:bCs/>
          <w:lang w:eastAsia="en-AU"/>
        </w:rPr>
        <w:t>State</w:t>
      </w:r>
      <w:r w:rsidR="008B004D" w:rsidRPr="00A11530">
        <w:rPr>
          <w:rFonts w:cstheme="minorHAnsi"/>
          <w:bCs/>
          <w:lang w:eastAsia="en-AU"/>
        </w:rPr>
        <w:t xml:space="preserve"> compliance and education services </w:t>
      </w:r>
      <w:r w:rsidR="00F716B2">
        <w:rPr>
          <w:rFonts w:cstheme="minorHAnsi"/>
          <w:bCs/>
          <w:lang w:eastAsia="en-AU"/>
        </w:rPr>
        <w:t>and supporting the need to develop</w:t>
      </w:r>
      <w:r w:rsidR="00F716B2" w:rsidRPr="00F716B2">
        <w:rPr>
          <w:rFonts w:eastAsiaTheme="minorHAnsi"/>
        </w:rPr>
        <w:t xml:space="preserve"> effective </w:t>
      </w:r>
      <w:r w:rsidR="00F716B2">
        <w:rPr>
          <w:rFonts w:eastAsiaTheme="minorHAnsi"/>
        </w:rPr>
        <w:t xml:space="preserve">information and </w:t>
      </w:r>
      <w:r w:rsidR="00F716B2" w:rsidRPr="00F716B2">
        <w:rPr>
          <w:rFonts w:eastAsiaTheme="minorHAnsi"/>
        </w:rPr>
        <w:t>education initiatives to combat wage theft.</w:t>
      </w:r>
    </w:p>
    <w:p w14:paraId="3DAD7ACD" w14:textId="406DC28B" w:rsidR="00DE40EF" w:rsidRPr="00A11530" w:rsidRDefault="00DE40EF" w:rsidP="00A11530">
      <w:pPr>
        <w:autoSpaceDE w:val="0"/>
        <w:autoSpaceDN w:val="0"/>
        <w:adjustRightInd w:val="0"/>
        <w:spacing w:before="360" w:after="240" w:line="240" w:lineRule="auto"/>
        <w:jc w:val="both"/>
        <w:rPr>
          <w:rFonts w:eastAsiaTheme="minorHAnsi"/>
          <w:b/>
        </w:rPr>
      </w:pPr>
      <w:r w:rsidRPr="00A11530">
        <w:rPr>
          <w:rFonts w:eastAsiaTheme="minorHAnsi"/>
          <w:b/>
        </w:rPr>
        <w:t>Conclusion</w:t>
      </w:r>
    </w:p>
    <w:p w14:paraId="59B22067" w14:textId="54835DCE" w:rsidR="00346977" w:rsidRDefault="00B96F8E" w:rsidP="00042057">
      <w:pPr>
        <w:numPr>
          <w:ilvl w:val="0"/>
          <w:numId w:val="9"/>
        </w:numPr>
        <w:spacing w:after="240" w:line="240" w:lineRule="auto"/>
        <w:ind w:left="567" w:hanging="567"/>
        <w:jc w:val="both"/>
        <w:rPr>
          <w:rFonts w:eastAsiaTheme="minorHAnsi"/>
        </w:rPr>
      </w:pPr>
      <w:r w:rsidRPr="00346977">
        <w:rPr>
          <w:rFonts w:eastAsiaTheme="minorHAnsi"/>
        </w:rPr>
        <w:t>The Western Australian Government is committed to a fair safety net of wages a</w:t>
      </w:r>
      <w:r w:rsidR="000265AC" w:rsidRPr="00346977">
        <w:rPr>
          <w:rFonts w:eastAsiaTheme="minorHAnsi"/>
        </w:rPr>
        <w:t>n</w:t>
      </w:r>
      <w:r w:rsidR="00346977">
        <w:rPr>
          <w:rFonts w:eastAsiaTheme="minorHAnsi"/>
        </w:rPr>
        <w:t xml:space="preserve">d entitlements for all workers and, as the national industrial relations system covers the majority of private sector workers in Western Australia, </w:t>
      </w:r>
      <w:r w:rsidR="00346977" w:rsidRPr="00346977">
        <w:rPr>
          <w:rFonts w:eastAsiaTheme="minorHAnsi"/>
        </w:rPr>
        <w:t>strongly supports the Commonwealth Government taking clear act</w:t>
      </w:r>
      <w:r w:rsidR="00346977">
        <w:rPr>
          <w:rFonts w:eastAsiaTheme="minorHAnsi"/>
        </w:rPr>
        <w:t>ion on the critical issue the wage theft.</w:t>
      </w:r>
    </w:p>
    <w:p w14:paraId="4C1B541E" w14:textId="245D0814" w:rsidR="00100BD7" w:rsidRPr="00346977" w:rsidRDefault="00DE40EF" w:rsidP="00042057">
      <w:pPr>
        <w:numPr>
          <w:ilvl w:val="0"/>
          <w:numId w:val="9"/>
        </w:numPr>
        <w:spacing w:after="240" w:line="240" w:lineRule="auto"/>
        <w:ind w:left="567" w:hanging="567"/>
        <w:jc w:val="both"/>
        <w:rPr>
          <w:rFonts w:eastAsiaTheme="minorHAnsi"/>
        </w:rPr>
      </w:pPr>
      <w:r w:rsidRPr="00346977">
        <w:rPr>
          <w:rFonts w:eastAsiaTheme="minorHAnsi"/>
        </w:rPr>
        <w:lastRenderedPageBreak/>
        <w:t>The Western Australian Government thanks the Commonwealth for the opportunity to provide input into the development of its proposals to improve protections of employees’ wages and entitlements in the natio</w:t>
      </w:r>
      <w:r w:rsidR="00346977">
        <w:rPr>
          <w:rFonts w:eastAsiaTheme="minorHAnsi"/>
        </w:rPr>
        <w:t>nal industrial relations system</w:t>
      </w:r>
      <w:r w:rsidR="00346977" w:rsidRPr="00346977">
        <w:rPr>
          <w:rFonts w:eastAsiaTheme="minorHAnsi"/>
        </w:rPr>
        <w:t>.</w:t>
      </w:r>
    </w:p>
    <w:p w14:paraId="212062A4" w14:textId="77777777" w:rsidR="00100BD7" w:rsidRDefault="00100BD7" w:rsidP="00100BD7">
      <w:pPr>
        <w:spacing w:after="240" w:line="240" w:lineRule="auto"/>
        <w:jc w:val="both"/>
        <w:rPr>
          <w:rFonts w:eastAsiaTheme="minorHAnsi"/>
        </w:rPr>
        <w:sectPr w:rsidR="00100BD7" w:rsidSect="008E7368">
          <w:headerReference w:type="even" r:id="rId16"/>
          <w:headerReference w:type="default" r:id="rId17"/>
          <w:footerReference w:type="even" r:id="rId18"/>
          <w:footerReference w:type="default" r:id="rId19"/>
          <w:headerReference w:type="first" r:id="rId20"/>
          <w:footerReference w:type="first" r:id="rId21"/>
          <w:pgSz w:w="11907" w:h="16840" w:code="9"/>
          <w:pgMar w:top="1304" w:right="1304" w:bottom="1304" w:left="1304" w:header="709" w:footer="709" w:gutter="0"/>
          <w:pgNumType w:start="1"/>
          <w:cols w:space="708"/>
          <w:docGrid w:linePitch="360"/>
        </w:sectPr>
      </w:pPr>
    </w:p>
    <w:p w14:paraId="1A7A27D4" w14:textId="77777777" w:rsidR="00100BD7" w:rsidRDefault="00100BD7" w:rsidP="00100BD7">
      <w:pPr>
        <w:spacing w:after="200"/>
        <w:jc w:val="center"/>
        <w:rPr>
          <w:rFonts w:eastAsiaTheme="minorHAnsi" w:cs="Arial"/>
          <w:b/>
          <w:sz w:val="22"/>
        </w:rPr>
      </w:pPr>
      <w:r>
        <w:rPr>
          <w:noProof/>
          <w:lang w:eastAsia="en-AU"/>
        </w:rPr>
        <w:lastRenderedPageBreak/>
        <w:drawing>
          <wp:inline distT="0" distB="0" distL="0" distR="0" wp14:anchorId="4B12CCE9" wp14:editId="62B20722">
            <wp:extent cx="980440" cy="716280"/>
            <wp:effectExtent l="0" t="0" r="0" b="7620"/>
            <wp:docPr id="3" name="Picture 3" descr="Original - Black.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riginal - Black.t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80440" cy="716280"/>
                    </a:xfrm>
                    <a:prstGeom prst="rect">
                      <a:avLst/>
                    </a:prstGeom>
                    <a:noFill/>
                    <a:ln>
                      <a:noFill/>
                    </a:ln>
                  </pic:spPr>
                </pic:pic>
              </a:graphicData>
            </a:graphic>
          </wp:inline>
        </w:drawing>
      </w:r>
    </w:p>
    <w:p w14:paraId="5B56AFC7" w14:textId="77777777" w:rsidR="00100BD7" w:rsidRDefault="00100BD7" w:rsidP="00100BD7">
      <w:pPr>
        <w:spacing w:after="200"/>
        <w:jc w:val="center"/>
        <w:rPr>
          <w:rFonts w:eastAsiaTheme="minorHAnsi" w:cs="Arial"/>
          <w:b/>
          <w:sz w:val="22"/>
        </w:rPr>
      </w:pPr>
    </w:p>
    <w:p w14:paraId="27A2553D" w14:textId="77777777" w:rsidR="00100BD7" w:rsidRPr="00A758FE" w:rsidRDefault="00100BD7" w:rsidP="00100BD7">
      <w:pPr>
        <w:spacing w:after="200"/>
        <w:jc w:val="center"/>
        <w:rPr>
          <w:rFonts w:eastAsiaTheme="minorHAnsi" w:cs="Arial"/>
          <w:b/>
          <w:sz w:val="22"/>
        </w:rPr>
      </w:pPr>
      <w:r w:rsidRPr="00A758FE">
        <w:rPr>
          <w:rFonts w:eastAsiaTheme="minorHAnsi" w:cs="Arial"/>
          <w:b/>
          <w:sz w:val="22"/>
        </w:rPr>
        <w:t>Inquiry into Wage Theft in Western Australia</w:t>
      </w:r>
      <w:r w:rsidRPr="00A758FE">
        <w:rPr>
          <w:rFonts w:eastAsiaTheme="minorHAnsi" w:cs="Arial"/>
          <w:b/>
          <w:sz w:val="22"/>
        </w:rPr>
        <w:br/>
        <w:t>Terms of Reference</w:t>
      </w:r>
    </w:p>
    <w:p w14:paraId="19ACC6E0" w14:textId="77777777" w:rsidR="00100BD7" w:rsidRPr="00A758FE" w:rsidRDefault="00100BD7" w:rsidP="00100BD7">
      <w:pPr>
        <w:spacing w:after="200"/>
        <w:rPr>
          <w:rFonts w:eastAsiaTheme="minorHAnsi" w:cs="Arial"/>
          <w:sz w:val="22"/>
        </w:rPr>
      </w:pPr>
    </w:p>
    <w:p w14:paraId="14563E51" w14:textId="77777777" w:rsidR="00100BD7" w:rsidRPr="00A758FE" w:rsidRDefault="00100BD7" w:rsidP="00220A8F">
      <w:pPr>
        <w:spacing w:after="240"/>
        <w:jc w:val="both"/>
        <w:rPr>
          <w:rFonts w:eastAsiaTheme="minorHAnsi" w:cs="Arial"/>
          <w:sz w:val="22"/>
        </w:rPr>
      </w:pPr>
      <w:r w:rsidRPr="00A758FE">
        <w:rPr>
          <w:rFonts w:eastAsiaTheme="minorHAnsi" w:cs="Arial"/>
          <w:sz w:val="22"/>
        </w:rPr>
        <w:t>The Western Australian Government is committed to ensuring there is a fair safety net of wages and entitlements for all workers and workers are not denied their legal pay and entitlements through employers engaging in wage theft.  Wage theft is the systematic and deliberate underpayment of wages and entitlements to a worker.</w:t>
      </w:r>
    </w:p>
    <w:p w14:paraId="4BA17314" w14:textId="77777777" w:rsidR="00100BD7" w:rsidRPr="00A758FE" w:rsidRDefault="00100BD7" w:rsidP="00100BD7">
      <w:pPr>
        <w:spacing w:after="240"/>
        <w:rPr>
          <w:rFonts w:eastAsiaTheme="minorHAnsi" w:cs="Arial"/>
          <w:sz w:val="22"/>
        </w:rPr>
      </w:pPr>
      <w:r w:rsidRPr="00A758FE">
        <w:rPr>
          <w:rFonts w:eastAsiaTheme="minorHAnsi" w:cs="Arial"/>
          <w:sz w:val="22"/>
        </w:rPr>
        <w:t>The Inquiry into Wage Theft in Western Australia is to consider and make recommendations to Government on the following terms of reference:</w:t>
      </w:r>
    </w:p>
    <w:p w14:paraId="0BC8B550" w14:textId="77777777" w:rsidR="00100BD7" w:rsidRPr="00A758FE" w:rsidRDefault="00100BD7" w:rsidP="00D34581">
      <w:pPr>
        <w:numPr>
          <w:ilvl w:val="0"/>
          <w:numId w:val="16"/>
        </w:numPr>
        <w:spacing w:after="240" w:line="288" w:lineRule="auto"/>
        <w:ind w:left="567" w:hanging="567"/>
        <w:jc w:val="both"/>
        <w:rPr>
          <w:rFonts w:eastAsiaTheme="minorHAnsi" w:cs="Arial"/>
          <w:sz w:val="22"/>
        </w:rPr>
      </w:pPr>
      <w:r w:rsidRPr="00A758FE">
        <w:rPr>
          <w:rFonts w:eastAsiaTheme="minorHAnsi" w:cs="Arial"/>
          <w:sz w:val="22"/>
        </w:rPr>
        <w:t xml:space="preserve">Whether there is evidence of wage theft occurring in Western Australia, and the various forms wage theft may take. </w:t>
      </w:r>
    </w:p>
    <w:p w14:paraId="2DE078E2" w14:textId="77777777" w:rsidR="00100BD7" w:rsidRPr="00A758FE" w:rsidRDefault="00100BD7" w:rsidP="00D34581">
      <w:pPr>
        <w:numPr>
          <w:ilvl w:val="0"/>
          <w:numId w:val="16"/>
        </w:numPr>
        <w:spacing w:after="240" w:line="288" w:lineRule="auto"/>
        <w:ind w:left="567" w:hanging="567"/>
        <w:jc w:val="both"/>
        <w:rPr>
          <w:rFonts w:eastAsiaTheme="minorHAnsi" w:cs="Arial"/>
          <w:sz w:val="22"/>
        </w:rPr>
      </w:pPr>
      <w:r w:rsidRPr="00A758FE">
        <w:rPr>
          <w:rFonts w:eastAsiaTheme="minorHAnsi" w:cs="Arial"/>
          <w:sz w:val="22"/>
        </w:rPr>
        <w:t>What are the reasons wage theft is occurring, including whether it has become the business model for some organisations.</w:t>
      </w:r>
    </w:p>
    <w:p w14:paraId="178A4022" w14:textId="77777777" w:rsidR="00100BD7" w:rsidRPr="00A758FE" w:rsidRDefault="00100BD7" w:rsidP="00D34581">
      <w:pPr>
        <w:numPr>
          <w:ilvl w:val="0"/>
          <w:numId w:val="16"/>
        </w:numPr>
        <w:spacing w:after="240" w:line="288" w:lineRule="auto"/>
        <w:ind w:left="567" w:hanging="567"/>
        <w:jc w:val="both"/>
        <w:rPr>
          <w:rFonts w:eastAsiaTheme="minorHAnsi" w:cs="Arial"/>
          <w:sz w:val="22"/>
        </w:rPr>
      </w:pPr>
      <w:r w:rsidRPr="00A758FE">
        <w:rPr>
          <w:rFonts w:eastAsiaTheme="minorHAnsi" w:cs="Arial"/>
          <w:sz w:val="22"/>
        </w:rPr>
        <w:t xml:space="preserve">What is the impact of wage theft on workers, businesses which are compliant with employment laws, and the Western Australian community and economy. </w:t>
      </w:r>
    </w:p>
    <w:p w14:paraId="2DCB1D83" w14:textId="77777777" w:rsidR="00100BD7" w:rsidRPr="00A758FE" w:rsidRDefault="00100BD7" w:rsidP="00D34581">
      <w:pPr>
        <w:numPr>
          <w:ilvl w:val="0"/>
          <w:numId w:val="16"/>
        </w:numPr>
        <w:spacing w:after="240" w:line="288" w:lineRule="auto"/>
        <w:ind w:left="567" w:hanging="567"/>
        <w:jc w:val="both"/>
        <w:rPr>
          <w:rFonts w:eastAsiaTheme="minorHAnsi" w:cs="Arial"/>
          <w:sz w:val="22"/>
        </w:rPr>
      </w:pPr>
      <w:r w:rsidRPr="00A758FE">
        <w:rPr>
          <w:rFonts w:eastAsiaTheme="minorHAnsi" w:cs="Arial"/>
          <w:sz w:val="22"/>
        </w:rPr>
        <w:t>Whether wage theft is more prevalent in particular industries, occupations, forms of employment/engagement or parts of the State.</w:t>
      </w:r>
    </w:p>
    <w:p w14:paraId="6437F72A" w14:textId="77777777" w:rsidR="00100BD7" w:rsidRPr="00A758FE" w:rsidRDefault="00100BD7" w:rsidP="00D34581">
      <w:pPr>
        <w:numPr>
          <w:ilvl w:val="0"/>
          <w:numId w:val="16"/>
        </w:numPr>
        <w:spacing w:after="240" w:line="288" w:lineRule="auto"/>
        <w:ind w:left="567" w:hanging="567"/>
        <w:jc w:val="both"/>
        <w:rPr>
          <w:rFonts w:eastAsiaTheme="minorHAnsi" w:cs="Arial"/>
          <w:sz w:val="22"/>
        </w:rPr>
      </w:pPr>
      <w:r w:rsidRPr="00A758FE">
        <w:rPr>
          <w:rFonts w:eastAsiaTheme="minorHAnsi" w:cs="Arial"/>
          <w:sz w:val="22"/>
        </w:rPr>
        <w:t xml:space="preserve">Whether the current State and federal regulatory framework for dealing with wage theft is effective in combating wage theft and supporting affected workers. </w:t>
      </w:r>
    </w:p>
    <w:p w14:paraId="5211F886" w14:textId="77777777" w:rsidR="00100BD7" w:rsidRPr="00A758FE" w:rsidRDefault="00100BD7" w:rsidP="00D34581">
      <w:pPr>
        <w:numPr>
          <w:ilvl w:val="0"/>
          <w:numId w:val="16"/>
        </w:numPr>
        <w:spacing w:after="240" w:line="288" w:lineRule="auto"/>
        <w:ind w:left="567" w:hanging="567"/>
        <w:jc w:val="both"/>
        <w:rPr>
          <w:rFonts w:eastAsiaTheme="minorHAnsi" w:cs="Arial"/>
          <w:sz w:val="22"/>
        </w:rPr>
      </w:pPr>
      <w:r w:rsidRPr="00A758FE">
        <w:rPr>
          <w:rFonts w:eastAsiaTheme="minorHAnsi" w:cs="Arial"/>
          <w:sz w:val="22"/>
        </w:rPr>
        <w:t>Whether new laws should be introduced in Western Australia to address wage theft, and if so, whether wage theft should be a criminal offence.</w:t>
      </w:r>
    </w:p>
    <w:p w14:paraId="16780699" w14:textId="77777777" w:rsidR="00100BD7" w:rsidRPr="00A758FE" w:rsidRDefault="00100BD7" w:rsidP="00D34581">
      <w:pPr>
        <w:numPr>
          <w:ilvl w:val="0"/>
          <w:numId w:val="16"/>
        </w:numPr>
        <w:spacing w:after="240" w:line="288" w:lineRule="auto"/>
        <w:ind w:left="567" w:hanging="567"/>
        <w:jc w:val="both"/>
        <w:rPr>
          <w:rFonts w:eastAsiaTheme="minorHAnsi" w:cs="Arial"/>
          <w:sz w:val="22"/>
        </w:rPr>
      </w:pPr>
      <w:r w:rsidRPr="00A758FE">
        <w:rPr>
          <w:rFonts w:eastAsiaTheme="minorHAnsi" w:cs="Arial"/>
          <w:sz w:val="22"/>
        </w:rPr>
        <w:t xml:space="preserve">Whether there are other strategies that could be implemented by the Western Australian Government, or industry stakeholders to combat wage theft. </w:t>
      </w:r>
    </w:p>
    <w:p w14:paraId="15A1CDDD" w14:textId="77777777" w:rsidR="00100BD7" w:rsidRPr="00A758FE" w:rsidRDefault="00100BD7" w:rsidP="00D34581">
      <w:pPr>
        <w:numPr>
          <w:ilvl w:val="0"/>
          <w:numId w:val="16"/>
        </w:numPr>
        <w:spacing w:after="240" w:line="288" w:lineRule="auto"/>
        <w:ind w:left="567" w:hanging="567"/>
        <w:jc w:val="both"/>
        <w:rPr>
          <w:rFonts w:eastAsiaTheme="minorHAnsi" w:cs="Arial"/>
          <w:sz w:val="22"/>
        </w:rPr>
      </w:pPr>
      <w:r w:rsidRPr="00A758FE">
        <w:rPr>
          <w:rFonts w:eastAsiaTheme="minorHAnsi" w:cs="Arial"/>
          <w:sz w:val="22"/>
        </w:rPr>
        <w:t xml:space="preserve">Whether there are strategies and legislative change the Western Australian Government could recommend to the Federal Government to deal with wage theft in the federal jurisdiction. </w:t>
      </w:r>
    </w:p>
    <w:p w14:paraId="7B634630" w14:textId="77777777" w:rsidR="00100BD7" w:rsidRPr="00A758FE" w:rsidRDefault="00100BD7" w:rsidP="00D34581">
      <w:pPr>
        <w:numPr>
          <w:ilvl w:val="0"/>
          <w:numId w:val="16"/>
        </w:numPr>
        <w:spacing w:after="240" w:line="288" w:lineRule="auto"/>
        <w:ind w:left="567" w:hanging="567"/>
        <w:jc w:val="both"/>
        <w:rPr>
          <w:rFonts w:eastAsiaTheme="minorHAnsi" w:cs="Arial"/>
          <w:sz w:val="22"/>
        </w:rPr>
      </w:pPr>
      <w:r w:rsidRPr="00A758FE">
        <w:rPr>
          <w:rFonts w:eastAsiaTheme="minorHAnsi" w:cs="Arial"/>
          <w:sz w:val="22"/>
        </w:rPr>
        <w:t xml:space="preserve">Other matters incidental or relevant to the Inquirer’s consideration of the preceding terms of reference. </w:t>
      </w:r>
    </w:p>
    <w:p w14:paraId="2A889467" w14:textId="77777777" w:rsidR="00100BD7" w:rsidRPr="00A758FE" w:rsidRDefault="00100BD7" w:rsidP="00100BD7">
      <w:pPr>
        <w:rPr>
          <w:rFonts w:cs="Arial"/>
          <w:bCs/>
          <w:iCs/>
          <w:sz w:val="22"/>
        </w:rPr>
      </w:pPr>
    </w:p>
    <w:p w14:paraId="54B1FBB9" w14:textId="77777777" w:rsidR="00100BD7" w:rsidRPr="00A758FE" w:rsidRDefault="00100BD7" w:rsidP="00100BD7">
      <w:pPr>
        <w:rPr>
          <w:sz w:val="22"/>
        </w:rPr>
      </w:pPr>
    </w:p>
    <w:p w14:paraId="1C194631" w14:textId="5E594106" w:rsidR="00100BD7" w:rsidRPr="002748EA" w:rsidRDefault="00100BD7" w:rsidP="00100BD7">
      <w:pPr>
        <w:spacing w:after="240" w:line="240" w:lineRule="auto"/>
        <w:jc w:val="both"/>
        <w:rPr>
          <w:rFonts w:eastAsiaTheme="minorHAnsi"/>
        </w:rPr>
      </w:pPr>
    </w:p>
    <w:sectPr w:rsidR="00100BD7" w:rsidRPr="002748EA" w:rsidSect="000842F9">
      <w:footerReference w:type="default" r:id="rId23"/>
      <w:pgSz w:w="11901" w:h="16840" w:code="9"/>
      <w:pgMar w:top="851" w:right="1327" w:bottom="993" w:left="1327" w:header="737" w:footer="447"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43AE62" w14:textId="77777777" w:rsidR="0016371E" w:rsidRDefault="0016371E" w:rsidP="00A4382C">
      <w:pPr>
        <w:spacing w:line="240" w:lineRule="auto"/>
      </w:pPr>
      <w:r>
        <w:separator/>
      </w:r>
    </w:p>
  </w:endnote>
  <w:endnote w:type="continuationSeparator" w:id="0">
    <w:p w14:paraId="3375F617" w14:textId="77777777" w:rsidR="0016371E" w:rsidRDefault="0016371E" w:rsidP="00A438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C8CED6" w14:textId="77777777" w:rsidR="002B58C9" w:rsidRDefault="002B58C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DDE775" w14:textId="77777777" w:rsidR="008858EB" w:rsidRPr="00CC5FB3" w:rsidRDefault="008858EB" w:rsidP="00CC5FB3">
    <w:pPr>
      <w:pStyle w:val="Footer"/>
      <w:rPr>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61CD68" w14:textId="77777777" w:rsidR="002B58C9" w:rsidRDefault="002B58C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A7BE72" w14:textId="77777777" w:rsidR="000D7AA4" w:rsidRPr="00C35D40" w:rsidRDefault="00204C27" w:rsidP="00C35D40">
    <w:pPr>
      <w:pStyle w:val="Footer"/>
    </w:pPr>
    <w:r>
      <w:t xml:space="preserve">Page </w:t>
    </w:r>
    <w:r>
      <w:fldChar w:fldCharType="begin"/>
    </w:r>
    <w:r>
      <w:instrText xml:space="preserve"> PAGE   \* MERGEFORMAT </w:instrText>
    </w:r>
    <w:r>
      <w:fldChar w:fldCharType="separate"/>
    </w:r>
    <w:r>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BA76D1" w14:textId="77777777" w:rsidR="0016371E" w:rsidRDefault="0016371E" w:rsidP="00A4382C">
      <w:pPr>
        <w:spacing w:line="240" w:lineRule="auto"/>
      </w:pPr>
      <w:r>
        <w:separator/>
      </w:r>
    </w:p>
  </w:footnote>
  <w:footnote w:type="continuationSeparator" w:id="0">
    <w:p w14:paraId="1FACDD73" w14:textId="77777777" w:rsidR="0016371E" w:rsidRDefault="0016371E" w:rsidP="00A4382C">
      <w:pPr>
        <w:spacing w:line="240" w:lineRule="auto"/>
      </w:pPr>
      <w:r>
        <w:continuationSeparator/>
      </w:r>
    </w:p>
  </w:footnote>
  <w:footnote w:id="1">
    <w:p w14:paraId="738B55E2" w14:textId="64A95964" w:rsidR="002526A8" w:rsidRDefault="002526A8" w:rsidP="002526A8">
      <w:pPr>
        <w:pStyle w:val="FootnoteText"/>
        <w:ind w:left="284" w:hanging="284"/>
      </w:pPr>
      <w:r>
        <w:rPr>
          <w:rStyle w:val="FootnoteReference"/>
        </w:rPr>
        <w:footnoteRef/>
      </w:r>
      <w:r>
        <w:t xml:space="preserve"> </w:t>
      </w:r>
      <w:r>
        <w:tab/>
      </w:r>
      <w:r w:rsidRPr="002526A8">
        <w:t xml:space="preserve">The non-confidential submissions </w:t>
      </w:r>
      <w:r w:rsidR="003F2478">
        <w:t>t</w:t>
      </w:r>
      <w:r w:rsidR="002A6EA7">
        <w:t xml:space="preserve">o the Inquiry are available at: </w:t>
      </w:r>
      <w:hyperlink r:id="rId1" w:history="1">
        <w:r w:rsidRPr="002526A8">
          <w:rPr>
            <w:rStyle w:val="Hyperlink"/>
          </w:rPr>
          <w:t>www.dmirs.wa.gov.au/wagetheftinquiry</w:t>
        </w:r>
      </w:hyperlink>
    </w:p>
  </w:footnote>
  <w:footnote w:id="2">
    <w:p w14:paraId="61F4756C" w14:textId="4EF0DAC4" w:rsidR="003652EA" w:rsidRDefault="003652EA" w:rsidP="003652EA">
      <w:pPr>
        <w:pStyle w:val="FootnoteText"/>
        <w:ind w:left="284" w:hanging="284"/>
      </w:pPr>
      <w:r>
        <w:rPr>
          <w:rStyle w:val="FootnoteReference"/>
        </w:rPr>
        <w:footnoteRef/>
      </w:r>
      <w:r>
        <w:t xml:space="preserve"> </w:t>
      </w:r>
      <w:r>
        <w:tab/>
      </w:r>
      <w:r>
        <w:rPr>
          <w:rFonts w:eastAsiaTheme="minorHAnsi"/>
        </w:rPr>
        <w:t>R</w:t>
      </w:r>
      <w:r w:rsidRPr="004734A3">
        <w:rPr>
          <w:rFonts w:eastAsiaTheme="minorHAnsi"/>
        </w:rPr>
        <w:t xml:space="preserve">eport of the </w:t>
      </w:r>
      <w:r>
        <w:rPr>
          <w:rFonts w:eastAsiaTheme="minorHAnsi"/>
        </w:rPr>
        <w:t xml:space="preserve">Inquiry </w:t>
      </w:r>
      <w:r w:rsidRPr="00612030">
        <w:rPr>
          <w:rFonts w:eastAsiaTheme="minorHAnsi"/>
        </w:rPr>
        <w:t>into Wage Theft in Western Australia</w:t>
      </w:r>
      <w:r>
        <w:rPr>
          <w:rFonts w:eastAsiaTheme="minorHAnsi"/>
        </w:rPr>
        <w:t>, p.7.</w:t>
      </w:r>
    </w:p>
  </w:footnote>
  <w:footnote w:id="3">
    <w:p w14:paraId="1A3AE5BD" w14:textId="09057BC1" w:rsidR="00DF7786" w:rsidRDefault="00DF7786" w:rsidP="002526A8">
      <w:pPr>
        <w:pStyle w:val="FootnoteText"/>
        <w:ind w:left="284" w:hanging="284"/>
      </w:pPr>
      <w:r>
        <w:rPr>
          <w:rStyle w:val="FootnoteReference"/>
        </w:rPr>
        <w:footnoteRef/>
      </w:r>
      <w:r>
        <w:t xml:space="preserve"> </w:t>
      </w:r>
      <w:r w:rsidR="002526A8">
        <w:tab/>
      </w:r>
      <w:r w:rsidR="003652EA">
        <w:rPr>
          <w:rFonts w:eastAsiaTheme="minorHAnsi"/>
        </w:rPr>
        <w:t>Ibid</w:t>
      </w:r>
      <w:r>
        <w:rPr>
          <w:rFonts w:eastAsiaTheme="minorHAnsi"/>
        </w:rPr>
        <w:t xml:space="preserve">, </w:t>
      </w:r>
      <w:r>
        <w:t>p.7</w:t>
      </w:r>
      <w:r w:rsidR="003652EA">
        <w:t>.</w:t>
      </w:r>
    </w:p>
  </w:footnote>
  <w:footnote w:id="4">
    <w:p w14:paraId="356157BE" w14:textId="61867AF3" w:rsidR="00932A5E" w:rsidRDefault="00932A5E" w:rsidP="002526A8">
      <w:pPr>
        <w:pStyle w:val="FootnoteText"/>
        <w:ind w:left="284" w:hanging="284"/>
      </w:pPr>
      <w:r>
        <w:rPr>
          <w:rStyle w:val="FootnoteReference"/>
        </w:rPr>
        <w:footnoteRef/>
      </w:r>
      <w:r>
        <w:t xml:space="preserve"> </w:t>
      </w:r>
      <w:r w:rsidR="002526A8">
        <w:tab/>
      </w:r>
      <w:r w:rsidR="004C578D">
        <w:t>Ibid</w:t>
      </w:r>
      <w:r w:rsidR="004C578D" w:rsidRPr="004C578D">
        <w:t>, p.7.</w:t>
      </w:r>
    </w:p>
  </w:footnote>
  <w:footnote w:id="5">
    <w:p w14:paraId="6EBF17BD" w14:textId="1F7D040C" w:rsidR="000C768E" w:rsidRDefault="000C768E" w:rsidP="00773C67">
      <w:pPr>
        <w:pStyle w:val="FootnoteText"/>
        <w:ind w:left="284" w:hanging="284"/>
      </w:pPr>
      <w:r w:rsidRPr="000A51B4">
        <w:rPr>
          <w:rStyle w:val="FootnoteReference"/>
        </w:rPr>
        <w:footnoteRef/>
      </w:r>
      <w:r w:rsidRPr="000A51B4">
        <w:t xml:space="preserve"> </w:t>
      </w:r>
      <w:r w:rsidR="00773C67">
        <w:tab/>
      </w:r>
      <w:r w:rsidRPr="000A51B4">
        <w:t>Ibid, pp</w:t>
      </w:r>
      <w:r w:rsidR="003F2478">
        <w:t>.</w:t>
      </w:r>
      <w:r w:rsidRPr="000A51B4">
        <w:t>144-45.</w:t>
      </w:r>
    </w:p>
  </w:footnote>
  <w:footnote w:id="6">
    <w:p w14:paraId="13D0F45B" w14:textId="190517CB" w:rsidR="000C768E" w:rsidRDefault="000C768E" w:rsidP="00773C67">
      <w:pPr>
        <w:pStyle w:val="FootnoteText"/>
        <w:ind w:left="284" w:hanging="284"/>
      </w:pPr>
      <w:r>
        <w:rPr>
          <w:rStyle w:val="FootnoteReference"/>
        </w:rPr>
        <w:footnoteRef/>
      </w:r>
      <w:r>
        <w:t xml:space="preserve"> </w:t>
      </w:r>
      <w:r w:rsidR="00773C67">
        <w:tab/>
      </w:r>
      <w:r>
        <w:t>Ibid, p</w:t>
      </w:r>
      <w:r w:rsidR="003F2478">
        <w:t>.</w:t>
      </w:r>
      <w:r>
        <w:t>143.</w:t>
      </w:r>
    </w:p>
  </w:footnote>
  <w:footnote w:id="7">
    <w:p w14:paraId="726FF13B" w14:textId="2CBC8250" w:rsidR="00781D83" w:rsidRDefault="00781D83" w:rsidP="00773C67">
      <w:pPr>
        <w:pStyle w:val="FootnoteText"/>
        <w:ind w:left="284" w:hanging="284"/>
      </w:pPr>
      <w:r>
        <w:rPr>
          <w:rStyle w:val="FootnoteReference"/>
        </w:rPr>
        <w:footnoteRef/>
      </w:r>
      <w:r>
        <w:t xml:space="preserve"> </w:t>
      </w:r>
      <w:r w:rsidR="00773C67">
        <w:tab/>
      </w:r>
      <w:r w:rsidR="00896821">
        <w:t>Ibid, p</w:t>
      </w:r>
      <w:r>
        <w:t>.143</w:t>
      </w:r>
      <w:r w:rsidR="00896821">
        <w:t>.</w:t>
      </w:r>
    </w:p>
  </w:footnote>
  <w:footnote w:id="8">
    <w:p w14:paraId="4B866323" w14:textId="56E01266" w:rsidR="00115747" w:rsidRDefault="00115747" w:rsidP="00773C67">
      <w:pPr>
        <w:pStyle w:val="FootnoteText"/>
        <w:ind w:left="284" w:hanging="284"/>
      </w:pPr>
      <w:r>
        <w:rPr>
          <w:rStyle w:val="FootnoteReference"/>
        </w:rPr>
        <w:footnoteRef/>
      </w:r>
      <w:r>
        <w:t xml:space="preserve"> </w:t>
      </w:r>
      <w:r w:rsidR="00773C67">
        <w:tab/>
      </w:r>
      <w:r w:rsidR="00896821">
        <w:t>Ibid, p.</w:t>
      </w:r>
      <w:r>
        <w:t>147</w:t>
      </w:r>
      <w:r w:rsidR="00896821">
        <w:t>.</w:t>
      </w:r>
    </w:p>
  </w:footnote>
  <w:footnote w:id="9">
    <w:p w14:paraId="7D96158B" w14:textId="313B7DC8" w:rsidR="003B5D55" w:rsidRDefault="003B5D55" w:rsidP="00315437">
      <w:pPr>
        <w:pStyle w:val="FootnoteText"/>
        <w:ind w:left="284" w:hanging="284"/>
      </w:pPr>
      <w:r>
        <w:rPr>
          <w:rStyle w:val="FootnoteReference"/>
        </w:rPr>
        <w:footnoteRef/>
      </w:r>
      <w:r>
        <w:t xml:space="preserve"> </w:t>
      </w:r>
      <w:r w:rsidR="000265AC">
        <w:tab/>
      </w:r>
      <w:r w:rsidR="00896821">
        <w:t>Ibid, p.</w:t>
      </w:r>
      <w:r>
        <w:t>148</w:t>
      </w:r>
      <w:r w:rsidR="00896821">
        <w:t>.</w:t>
      </w:r>
    </w:p>
  </w:footnote>
  <w:footnote w:id="10">
    <w:p w14:paraId="01C581EA" w14:textId="1B5DD92B" w:rsidR="00D04AD1" w:rsidRDefault="00D04AD1" w:rsidP="00A44599">
      <w:pPr>
        <w:pStyle w:val="FootnoteText"/>
        <w:ind w:left="284" w:hanging="284"/>
      </w:pPr>
      <w:r>
        <w:rPr>
          <w:rStyle w:val="FootnoteReference"/>
        </w:rPr>
        <w:footnoteRef/>
      </w:r>
      <w:r>
        <w:t xml:space="preserve"> </w:t>
      </w:r>
      <w:r w:rsidR="00A44599">
        <w:tab/>
      </w:r>
      <w:r w:rsidR="00896821">
        <w:t>Ibid, p</w:t>
      </w:r>
      <w:r>
        <w:t>.149</w:t>
      </w:r>
      <w:r w:rsidR="00896821">
        <w:t>.</w:t>
      </w:r>
    </w:p>
  </w:footnote>
  <w:footnote w:id="11">
    <w:p w14:paraId="5284D7F7" w14:textId="77959B0C" w:rsidR="00E96899" w:rsidRPr="003F2478" w:rsidRDefault="00E96899" w:rsidP="00A44599">
      <w:pPr>
        <w:pStyle w:val="FootnoteText"/>
        <w:ind w:left="284" w:hanging="284"/>
      </w:pPr>
      <w:r w:rsidRPr="003F2478">
        <w:rPr>
          <w:rStyle w:val="FootnoteReference"/>
        </w:rPr>
        <w:footnoteRef/>
      </w:r>
      <w:r w:rsidRPr="003F2478">
        <w:t xml:space="preserve"> </w:t>
      </w:r>
      <w:r w:rsidR="00A44599" w:rsidRPr="003F2478">
        <w:tab/>
      </w:r>
      <w:r w:rsidR="003F2478" w:rsidRPr="003F2478">
        <w:t>Ibid, p.</w:t>
      </w:r>
      <w:r w:rsidR="00A61652" w:rsidRPr="003F2478">
        <w:t>12</w:t>
      </w:r>
      <w:r w:rsidR="00B40816" w:rsidRPr="003F2478">
        <w:t>.</w:t>
      </w:r>
    </w:p>
  </w:footnote>
  <w:footnote w:id="12">
    <w:p w14:paraId="6E835D0B" w14:textId="0794612F" w:rsidR="00164D7A" w:rsidRDefault="00164D7A" w:rsidP="00164D7A">
      <w:pPr>
        <w:pStyle w:val="FootnoteText"/>
        <w:ind w:left="284" w:hanging="284"/>
      </w:pPr>
      <w:r>
        <w:rPr>
          <w:rStyle w:val="FootnoteReference"/>
        </w:rPr>
        <w:footnoteRef/>
      </w:r>
      <w:r>
        <w:t xml:space="preserve"> </w:t>
      </w:r>
      <w:r>
        <w:tab/>
        <w:t>Ibid, p.150.</w:t>
      </w:r>
    </w:p>
  </w:footnote>
  <w:footnote w:id="13">
    <w:p w14:paraId="10C0B027" w14:textId="626107B0" w:rsidR="00E96899" w:rsidRDefault="00E96899" w:rsidP="00A44599">
      <w:pPr>
        <w:pStyle w:val="FootnoteText"/>
        <w:ind w:left="284" w:hanging="284"/>
      </w:pPr>
      <w:r>
        <w:rPr>
          <w:rStyle w:val="FootnoteReference"/>
        </w:rPr>
        <w:footnoteRef/>
      </w:r>
      <w:r>
        <w:t xml:space="preserve"> </w:t>
      </w:r>
      <w:r w:rsidR="00A44599">
        <w:tab/>
      </w:r>
      <w:r w:rsidR="003F2478">
        <w:t>Ibid, p.</w:t>
      </w:r>
      <w:r w:rsidR="00B40816">
        <w:t>150.</w:t>
      </w:r>
    </w:p>
  </w:footnote>
  <w:footnote w:id="14">
    <w:p w14:paraId="1115B0C6" w14:textId="24036993" w:rsidR="00BC4AEA" w:rsidRDefault="00BC4AEA" w:rsidP="00315437">
      <w:pPr>
        <w:pStyle w:val="FootnoteText"/>
        <w:ind w:left="284" w:hanging="284"/>
      </w:pPr>
      <w:r>
        <w:rPr>
          <w:rStyle w:val="FootnoteReference"/>
        </w:rPr>
        <w:footnoteRef/>
      </w:r>
      <w:r w:rsidR="00A44599">
        <w:tab/>
      </w:r>
      <w:r w:rsidR="000265AC">
        <w:t>Ib</w:t>
      </w:r>
      <w:r w:rsidR="00896821">
        <w:t xml:space="preserve">id, </w:t>
      </w:r>
      <w:r>
        <w:t>Recommendation 21, p.150</w:t>
      </w:r>
      <w:r w:rsidR="00896821">
        <w:t>.</w:t>
      </w:r>
    </w:p>
  </w:footnote>
  <w:footnote w:id="15">
    <w:p w14:paraId="082B4958" w14:textId="26EBEE85" w:rsidR="00F64C05" w:rsidRDefault="00F64C05" w:rsidP="00315437">
      <w:pPr>
        <w:pStyle w:val="FootnoteText"/>
        <w:ind w:left="284" w:hanging="284"/>
      </w:pPr>
      <w:r>
        <w:rPr>
          <w:rStyle w:val="FootnoteReference"/>
        </w:rPr>
        <w:footnoteRef/>
      </w:r>
      <w:r>
        <w:t xml:space="preserve"> </w:t>
      </w:r>
      <w:r w:rsidR="00A44599">
        <w:tab/>
      </w:r>
      <w:r w:rsidR="00896821">
        <w:t>Ibid, p</w:t>
      </w:r>
      <w:r>
        <w:t>.145</w:t>
      </w:r>
      <w:r w:rsidR="00896821">
        <w:t>.</w:t>
      </w:r>
    </w:p>
  </w:footnote>
  <w:footnote w:id="16">
    <w:p w14:paraId="7FA95BEE" w14:textId="442A1D30" w:rsidR="0022267B" w:rsidRDefault="0022267B" w:rsidP="00315437">
      <w:pPr>
        <w:pStyle w:val="FootnoteText"/>
        <w:ind w:left="284" w:hanging="284"/>
      </w:pPr>
      <w:r>
        <w:rPr>
          <w:rStyle w:val="FootnoteReference"/>
        </w:rPr>
        <w:footnoteRef/>
      </w:r>
      <w:r>
        <w:t xml:space="preserve"> </w:t>
      </w:r>
      <w:r w:rsidR="00A44599">
        <w:tab/>
      </w:r>
      <w:r w:rsidR="00896821">
        <w:t>Ibid, p</w:t>
      </w:r>
      <w:r>
        <w:t>.146</w:t>
      </w:r>
      <w:r w:rsidR="00896821">
        <w:t>.</w:t>
      </w:r>
    </w:p>
  </w:footnote>
  <w:footnote w:id="17">
    <w:p w14:paraId="1F38A4B0" w14:textId="1EAE8F1C" w:rsidR="00A424E5" w:rsidRDefault="00A424E5" w:rsidP="00315437">
      <w:pPr>
        <w:pStyle w:val="FootnoteText"/>
        <w:ind w:left="284" w:hanging="284"/>
      </w:pPr>
      <w:r>
        <w:rPr>
          <w:rStyle w:val="FootnoteReference"/>
        </w:rPr>
        <w:footnoteRef/>
      </w:r>
      <w:r>
        <w:t xml:space="preserve"> </w:t>
      </w:r>
      <w:r w:rsidR="00A44599">
        <w:tab/>
      </w:r>
      <w:r w:rsidR="00CE6F7F">
        <w:t xml:space="preserve">Ibid, </w:t>
      </w:r>
      <w:r>
        <w:t>Recommendation 21, p.150</w:t>
      </w:r>
      <w:r w:rsidR="00CE6F7F">
        <w:t>.</w:t>
      </w:r>
    </w:p>
  </w:footnote>
  <w:footnote w:id="18">
    <w:p w14:paraId="7545E3D5" w14:textId="29B4E264" w:rsidR="00A424E5" w:rsidRDefault="00A424E5" w:rsidP="00315437">
      <w:pPr>
        <w:pStyle w:val="FootnoteText"/>
        <w:ind w:left="284" w:hanging="284"/>
      </w:pPr>
      <w:r>
        <w:rPr>
          <w:rStyle w:val="FootnoteReference"/>
        </w:rPr>
        <w:footnoteRef/>
      </w:r>
      <w:r>
        <w:t xml:space="preserve"> </w:t>
      </w:r>
      <w:r w:rsidR="00A44599">
        <w:tab/>
      </w:r>
      <w:r w:rsidR="00CE6F7F">
        <w:t>Ibid, p</w:t>
      </w:r>
      <w:r>
        <w:t>.149</w:t>
      </w:r>
      <w:r w:rsidR="00CE6F7F">
        <w:t>.</w:t>
      </w:r>
    </w:p>
  </w:footnote>
  <w:footnote w:id="19">
    <w:p w14:paraId="1F3F2561" w14:textId="77777777" w:rsidR="000C768E" w:rsidRDefault="000C768E" w:rsidP="000C768E">
      <w:pPr>
        <w:pStyle w:val="FootnoteText"/>
        <w:ind w:left="284" w:hanging="284"/>
      </w:pPr>
      <w:r>
        <w:rPr>
          <w:rStyle w:val="FootnoteReference"/>
        </w:rPr>
        <w:footnoteRef/>
      </w:r>
      <w:r>
        <w:t xml:space="preserve"> </w:t>
      </w:r>
      <w:r>
        <w:tab/>
        <w:t>Ibid, p.69.</w:t>
      </w:r>
    </w:p>
  </w:footnote>
  <w:footnote w:id="20">
    <w:p w14:paraId="2DF80972" w14:textId="6FD410E3" w:rsidR="00D10595" w:rsidRDefault="00D10595" w:rsidP="00315437">
      <w:pPr>
        <w:pStyle w:val="FootnoteText"/>
        <w:ind w:left="284" w:hanging="284"/>
      </w:pPr>
      <w:r>
        <w:rPr>
          <w:rStyle w:val="FootnoteReference"/>
        </w:rPr>
        <w:footnoteRef/>
      </w:r>
      <w:r w:rsidR="00A44599">
        <w:tab/>
      </w:r>
      <w:r w:rsidR="00CE6F7F">
        <w:t>Ibid, p</w:t>
      </w:r>
      <w:r>
        <w:t>.114</w:t>
      </w:r>
      <w:r w:rsidR="00CE6F7F">
        <w:t>.</w:t>
      </w:r>
    </w:p>
  </w:footnote>
  <w:footnote w:id="21">
    <w:p w14:paraId="1F8F38D3" w14:textId="59183CC6" w:rsidR="003F56A2" w:rsidRDefault="003F56A2" w:rsidP="00315437">
      <w:pPr>
        <w:pStyle w:val="FootnoteText"/>
        <w:ind w:left="284" w:hanging="284"/>
      </w:pPr>
      <w:r>
        <w:rPr>
          <w:rStyle w:val="FootnoteReference"/>
        </w:rPr>
        <w:footnoteRef/>
      </w:r>
      <w:r>
        <w:t xml:space="preserve"> </w:t>
      </w:r>
      <w:r w:rsidR="00A44599">
        <w:tab/>
      </w:r>
      <w:r w:rsidR="00CE6F7F">
        <w:t>Ibid, p</w:t>
      </w:r>
      <w:r>
        <w:t>.69</w:t>
      </w:r>
      <w:r w:rsidR="00CE6F7F">
        <w:t>.</w:t>
      </w:r>
    </w:p>
  </w:footnote>
  <w:footnote w:id="22">
    <w:p w14:paraId="293E0E00" w14:textId="7182ADC5" w:rsidR="004044D3" w:rsidRDefault="00B23530" w:rsidP="00315437">
      <w:pPr>
        <w:pStyle w:val="FootnoteText"/>
        <w:ind w:left="284" w:hanging="284"/>
      </w:pPr>
      <w:r>
        <w:rPr>
          <w:rStyle w:val="FootnoteReference"/>
        </w:rPr>
        <w:footnoteRef/>
      </w:r>
      <w:r>
        <w:t xml:space="preserve"> </w:t>
      </w:r>
      <w:r w:rsidR="00A44599">
        <w:tab/>
      </w:r>
      <w:r w:rsidR="00CE6F7F">
        <w:t>Ibid, p</w:t>
      </w:r>
      <w:r>
        <w:t>.119</w:t>
      </w:r>
      <w:r w:rsidR="004044D3">
        <w:t xml:space="preserve">. </w:t>
      </w:r>
    </w:p>
  </w:footnote>
  <w:footnote w:id="23">
    <w:p w14:paraId="48F8FACE" w14:textId="77777777" w:rsidR="002526A8" w:rsidRPr="005B63FC" w:rsidRDefault="002526A8" w:rsidP="002526A8">
      <w:pPr>
        <w:pStyle w:val="FootnoteText"/>
        <w:ind w:left="284" w:hanging="284"/>
      </w:pPr>
      <w:r>
        <w:rPr>
          <w:rStyle w:val="FootnoteReference"/>
        </w:rPr>
        <w:footnoteRef/>
      </w:r>
      <w:r>
        <w:tab/>
        <w:t>Ibid</w:t>
      </w:r>
      <w:r w:rsidRPr="005B63FC">
        <w:t>, p.164.</w:t>
      </w:r>
    </w:p>
  </w:footnote>
  <w:footnote w:id="24">
    <w:p w14:paraId="21D1AAF9" w14:textId="137BDA5C" w:rsidR="002526A8" w:rsidRDefault="002526A8" w:rsidP="000A51B4">
      <w:pPr>
        <w:pStyle w:val="FootnoteText"/>
        <w:ind w:left="284" w:hanging="284"/>
      </w:pPr>
      <w:r>
        <w:rPr>
          <w:rStyle w:val="FootnoteReference"/>
        </w:rPr>
        <w:footnoteRef/>
      </w:r>
      <w:r>
        <w:t xml:space="preserve"> </w:t>
      </w:r>
      <w:r w:rsidR="000A51B4">
        <w:tab/>
        <w:t xml:space="preserve">Ibid, Recommendation </w:t>
      </w:r>
      <w:r>
        <w:t>26(1)</w:t>
      </w:r>
      <w:r w:rsidR="000A51B4">
        <w:t xml:space="preserve">, </w:t>
      </w:r>
      <w:r>
        <w:t>p</w:t>
      </w:r>
      <w:r w:rsidR="000478F4">
        <w:t>.</w:t>
      </w:r>
      <w:r>
        <w:t>167</w:t>
      </w:r>
      <w:r w:rsidR="000A51B4">
        <w:t>.</w:t>
      </w:r>
    </w:p>
  </w:footnote>
  <w:footnote w:id="25">
    <w:p w14:paraId="2846BCA0" w14:textId="468B8686" w:rsidR="00E206C4" w:rsidRDefault="00E206C4" w:rsidP="00E206C4">
      <w:pPr>
        <w:pStyle w:val="FootnoteText"/>
        <w:ind w:left="284" w:hanging="284"/>
      </w:pPr>
      <w:r>
        <w:rPr>
          <w:rStyle w:val="FootnoteReference"/>
        </w:rPr>
        <w:footnoteRef/>
      </w:r>
      <w:r>
        <w:t xml:space="preserve"> </w:t>
      </w:r>
      <w:r>
        <w:tab/>
        <w:t>Senate Education and Employment Legislation Committee Estimates 10 April 2019, pp</w:t>
      </w:r>
      <w:r w:rsidR="000478F4">
        <w:t>.</w:t>
      </w:r>
      <w:r>
        <w:t>94-95.</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FA1C5C" w14:textId="77777777" w:rsidR="002B58C9" w:rsidRDefault="002B58C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4A6E50" w14:textId="77777777" w:rsidR="002B58C9" w:rsidRDefault="002B58C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F5CABF" w14:textId="2BADD35A" w:rsidR="002B58C9" w:rsidRDefault="000478F4">
    <w:pPr>
      <w:pStyle w:val="Header"/>
    </w:pPr>
    <w:r>
      <w:t>ATTACHMENT 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C6D68"/>
    <w:multiLevelType w:val="hybridMultilevel"/>
    <w:tmpl w:val="4C443206"/>
    <w:lvl w:ilvl="0" w:tplc="8CEA7C70">
      <w:numFmt w:val="bullet"/>
      <w:lvlText w:val="•"/>
      <w:lvlJc w:val="left"/>
      <w:pPr>
        <w:ind w:left="1080" w:hanging="72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F4E4A6E"/>
    <w:multiLevelType w:val="multilevel"/>
    <w:tmpl w:val="C4023126"/>
    <w:styleLink w:val="AgencyTableBullets"/>
    <w:lvl w:ilvl="0">
      <w:start w:val="1"/>
      <w:numFmt w:val="bullet"/>
      <w:pStyle w:val="TableBullet"/>
      <w:lvlText w:val=""/>
      <w:lvlJc w:val="left"/>
      <w:pPr>
        <w:ind w:left="284" w:hanging="284"/>
      </w:pPr>
      <w:rPr>
        <w:rFonts w:ascii="Symbol" w:hAnsi="Symbol" w:hint="default"/>
      </w:rPr>
    </w:lvl>
    <w:lvl w:ilvl="1">
      <w:start w:val="1"/>
      <w:numFmt w:val="bullet"/>
      <w:lvlText w:val="-"/>
      <w:lvlJc w:val="left"/>
      <w:pPr>
        <w:ind w:left="568" w:hanging="284"/>
      </w:pPr>
      <w:rPr>
        <w:rFonts w:ascii="Symbol" w:hAnsi="Symbol" w:hint="default"/>
      </w:rPr>
    </w:lvl>
    <w:lvl w:ilvl="2">
      <w:start w:val="1"/>
      <w:numFmt w:val="bullet"/>
      <w:lvlText w:val="o"/>
      <w:lvlJc w:val="left"/>
      <w:pPr>
        <w:ind w:left="852" w:hanging="284"/>
      </w:pPr>
      <w:rPr>
        <w:rFonts w:ascii="Courier New" w:hAnsi="Courier New" w:hint="default"/>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rPr>
    </w:lvl>
    <w:lvl w:ilvl="5">
      <w:start w:val="1"/>
      <w:numFmt w:val="bullet"/>
      <w:lvlText w:val="o"/>
      <w:lvlJc w:val="left"/>
      <w:pPr>
        <w:ind w:left="1704" w:hanging="284"/>
      </w:pPr>
      <w:rPr>
        <w:rFonts w:ascii="Courier New" w:hAnsi="Courier New" w:hint="default"/>
      </w:rPr>
    </w:lvl>
    <w:lvl w:ilvl="6">
      <w:start w:val="1"/>
      <w:numFmt w:val="bullet"/>
      <w:lvlText w:val=""/>
      <w:lvlJc w:val="left"/>
      <w:pPr>
        <w:ind w:left="1988" w:hanging="284"/>
      </w:pPr>
      <w:rPr>
        <w:rFonts w:ascii="Symbol" w:hAnsi="Symbol" w:hint="default"/>
      </w:rPr>
    </w:lvl>
    <w:lvl w:ilvl="7">
      <w:start w:val="1"/>
      <w:numFmt w:val="bullet"/>
      <w:lvlText w:val="-"/>
      <w:lvlJc w:val="left"/>
      <w:pPr>
        <w:ind w:left="2272" w:hanging="284"/>
      </w:pPr>
      <w:rPr>
        <w:rFonts w:ascii="Symbol" w:hAnsi="Symbol" w:hint="default"/>
      </w:rPr>
    </w:lvl>
    <w:lvl w:ilvl="8">
      <w:start w:val="1"/>
      <w:numFmt w:val="bullet"/>
      <w:lvlText w:val="o"/>
      <w:lvlJc w:val="left"/>
      <w:pPr>
        <w:ind w:left="2556" w:hanging="284"/>
      </w:pPr>
      <w:rPr>
        <w:rFonts w:ascii="Courier New" w:hAnsi="Courier New" w:hint="default"/>
      </w:rPr>
    </w:lvl>
  </w:abstractNum>
  <w:abstractNum w:abstractNumId="2" w15:restartNumberingAfterBreak="0">
    <w:nsid w:val="107C0AF1"/>
    <w:multiLevelType w:val="hybridMultilevel"/>
    <w:tmpl w:val="C2B63DA6"/>
    <w:lvl w:ilvl="0" w:tplc="8D3A7390">
      <w:start w:val="1"/>
      <w:numFmt w:val="decimal"/>
      <w:lvlText w:val="%1."/>
      <w:lvlJc w:val="left"/>
      <w:pPr>
        <w:ind w:left="720" w:hanging="360"/>
      </w:pPr>
      <w:rPr>
        <w:rFonts w:ascii="Arial" w:hAnsi="Arial" w:cs="Arial" w:hint="default"/>
        <w:sz w:val="22"/>
        <w:szCs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07D0F18"/>
    <w:multiLevelType w:val="hybridMultilevel"/>
    <w:tmpl w:val="6A90B2B4"/>
    <w:lvl w:ilvl="0" w:tplc="0C090001">
      <w:start w:val="1"/>
      <w:numFmt w:val="bullet"/>
      <w:lvlText w:val=""/>
      <w:lvlJc w:val="left"/>
      <w:pPr>
        <w:ind w:left="1145" w:hanging="360"/>
      </w:pPr>
      <w:rPr>
        <w:rFonts w:ascii="Symbol" w:hAnsi="Symbol" w:hint="default"/>
      </w:rPr>
    </w:lvl>
    <w:lvl w:ilvl="1" w:tplc="0C090003" w:tentative="1">
      <w:start w:val="1"/>
      <w:numFmt w:val="bullet"/>
      <w:lvlText w:val="o"/>
      <w:lvlJc w:val="left"/>
      <w:pPr>
        <w:ind w:left="1865" w:hanging="360"/>
      </w:pPr>
      <w:rPr>
        <w:rFonts w:ascii="Courier New" w:hAnsi="Courier New" w:cs="Courier New" w:hint="default"/>
      </w:rPr>
    </w:lvl>
    <w:lvl w:ilvl="2" w:tplc="0C090005" w:tentative="1">
      <w:start w:val="1"/>
      <w:numFmt w:val="bullet"/>
      <w:lvlText w:val=""/>
      <w:lvlJc w:val="left"/>
      <w:pPr>
        <w:ind w:left="2585" w:hanging="360"/>
      </w:pPr>
      <w:rPr>
        <w:rFonts w:ascii="Wingdings" w:hAnsi="Wingdings" w:hint="default"/>
      </w:rPr>
    </w:lvl>
    <w:lvl w:ilvl="3" w:tplc="0C090001" w:tentative="1">
      <w:start w:val="1"/>
      <w:numFmt w:val="bullet"/>
      <w:lvlText w:val=""/>
      <w:lvlJc w:val="left"/>
      <w:pPr>
        <w:ind w:left="3305" w:hanging="360"/>
      </w:pPr>
      <w:rPr>
        <w:rFonts w:ascii="Symbol" w:hAnsi="Symbol" w:hint="default"/>
      </w:rPr>
    </w:lvl>
    <w:lvl w:ilvl="4" w:tplc="0C090003" w:tentative="1">
      <w:start w:val="1"/>
      <w:numFmt w:val="bullet"/>
      <w:lvlText w:val="o"/>
      <w:lvlJc w:val="left"/>
      <w:pPr>
        <w:ind w:left="4025" w:hanging="360"/>
      </w:pPr>
      <w:rPr>
        <w:rFonts w:ascii="Courier New" w:hAnsi="Courier New" w:cs="Courier New" w:hint="default"/>
      </w:rPr>
    </w:lvl>
    <w:lvl w:ilvl="5" w:tplc="0C090005" w:tentative="1">
      <w:start w:val="1"/>
      <w:numFmt w:val="bullet"/>
      <w:lvlText w:val=""/>
      <w:lvlJc w:val="left"/>
      <w:pPr>
        <w:ind w:left="4745" w:hanging="360"/>
      </w:pPr>
      <w:rPr>
        <w:rFonts w:ascii="Wingdings" w:hAnsi="Wingdings" w:hint="default"/>
      </w:rPr>
    </w:lvl>
    <w:lvl w:ilvl="6" w:tplc="0C090001" w:tentative="1">
      <w:start w:val="1"/>
      <w:numFmt w:val="bullet"/>
      <w:lvlText w:val=""/>
      <w:lvlJc w:val="left"/>
      <w:pPr>
        <w:ind w:left="5465" w:hanging="360"/>
      </w:pPr>
      <w:rPr>
        <w:rFonts w:ascii="Symbol" w:hAnsi="Symbol" w:hint="default"/>
      </w:rPr>
    </w:lvl>
    <w:lvl w:ilvl="7" w:tplc="0C090003" w:tentative="1">
      <w:start w:val="1"/>
      <w:numFmt w:val="bullet"/>
      <w:lvlText w:val="o"/>
      <w:lvlJc w:val="left"/>
      <w:pPr>
        <w:ind w:left="6185" w:hanging="360"/>
      </w:pPr>
      <w:rPr>
        <w:rFonts w:ascii="Courier New" w:hAnsi="Courier New" w:cs="Courier New" w:hint="default"/>
      </w:rPr>
    </w:lvl>
    <w:lvl w:ilvl="8" w:tplc="0C090005" w:tentative="1">
      <w:start w:val="1"/>
      <w:numFmt w:val="bullet"/>
      <w:lvlText w:val=""/>
      <w:lvlJc w:val="left"/>
      <w:pPr>
        <w:ind w:left="6905" w:hanging="360"/>
      </w:pPr>
      <w:rPr>
        <w:rFonts w:ascii="Wingdings" w:hAnsi="Wingdings" w:hint="default"/>
      </w:rPr>
    </w:lvl>
  </w:abstractNum>
  <w:abstractNum w:abstractNumId="4" w15:restartNumberingAfterBreak="0">
    <w:nsid w:val="215F6D97"/>
    <w:multiLevelType w:val="multilevel"/>
    <w:tmpl w:val="D5A4B100"/>
    <w:styleLink w:val="AgencyTableNumbers"/>
    <w:lvl w:ilvl="0">
      <w:start w:val="1"/>
      <w:numFmt w:val="decimal"/>
      <w:pStyle w:val="TableNumber"/>
      <w:lvlText w:val="%1."/>
      <w:lvlJc w:val="left"/>
      <w:pPr>
        <w:ind w:left="284" w:hanging="284"/>
      </w:pPr>
      <w:rPr>
        <w:rFonts w:hint="default"/>
      </w:rPr>
    </w:lvl>
    <w:lvl w:ilvl="1">
      <w:start w:val="1"/>
      <w:numFmt w:val="lowerLetter"/>
      <w:lvlText w:val="%2."/>
      <w:lvlJc w:val="left"/>
      <w:pPr>
        <w:ind w:left="568" w:hanging="284"/>
      </w:pPr>
      <w:rPr>
        <w:rFonts w:hint="default"/>
      </w:rPr>
    </w:lvl>
    <w:lvl w:ilvl="2">
      <w:start w:val="1"/>
      <w:numFmt w:val="lowerRoman"/>
      <w:lvlText w:val="%3."/>
      <w:lvlJc w:val="left"/>
      <w:pPr>
        <w:ind w:left="852" w:hanging="284"/>
      </w:pPr>
      <w:rPr>
        <w:rFonts w:hint="default"/>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5" w15:restartNumberingAfterBreak="0">
    <w:nsid w:val="27577B6A"/>
    <w:multiLevelType w:val="multilevel"/>
    <w:tmpl w:val="0AA25E70"/>
    <w:styleLink w:val="AgencyBullets"/>
    <w:lvl w:ilvl="0">
      <w:start w:val="1"/>
      <w:numFmt w:val="bullet"/>
      <w:pStyle w:val="ListBullet"/>
      <w:lvlText w:val=""/>
      <w:lvlJc w:val="left"/>
      <w:pPr>
        <w:ind w:left="425" w:hanging="425"/>
      </w:pPr>
      <w:rPr>
        <w:rFonts w:ascii="Symbol" w:hAnsi="Symbol" w:hint="default"/>
      </w:rPr>
    </w:lvl>
    <w:lvl w:ilvl="1">
      <w:start w:val="1"/>
      <w:numFmt w:val="bullet"/>
      <w:pStyle w:val="ListBullet2"/>
      <w:lvlText w:val="-"/>
      <w:lvlJc w:val="left"/>
      <w:pPr>
        <w:ind w:left="850" w:hanging="425"/>
      </w:pPr>
      <w:rPr>
        <w:rFonts w:ascii="Symbol" w:hAnsi="Symbol" w:hint="default"/>
      </w:rPr>
    </w:lvl>
    <w:lvl w:ilvl="2">
      <w:start w:val="1"/>
      <w:numFmt w:val="bullet"/>
      <w:pStyle w:val="ListBullet3"/>
      <w:lvlText w:val="o"/>
      <w:lvlJc w:val="left"/>
      <w:pPr>
        <w:ind w:left="1275" w:hanging="425"/>
      </w:pPr>
      <w:rPr>
        <w:rFonts w:ascii="Courier New" w:hAnsi="Courier New" w:hint="default"/>
      </w:rPr>
    </w:lvl>
    <w:lvl w:ilvl="3">
      <w:start w:val="1"/>
      <w:numFmt w:val="bullet"/>
      <w:pStyle w:val="ListBullet4"/>
      <w:lvlText w:val=""/>
      <w:lvlJc w:val="left"/>
      <w:pPr>
        <w:ind w:left="1700" w:hanging="425"/>
      </w:pPr>
      <w:rPr>
        <w:rFonts w:ascii="Symbol" w:hAnsi="Symbol" w:hint="default"/>
      </w:rPr>
    </w:lvl>
    <w:lvl w:ilvl="4">
      <w:start w:val="1"/>
      <w:numFmt w:val="bullet"/>
      <w:pStyle w:val="ListBullet5"/>
      <w:lvlText w:val="-"/>
      <w:lvlJc w:val="left"/>
      <w:pPr>
        <w:ind w:left="2125" w:hanging="425"/>
      </w:pPr>
      <w:rPr>
        <w:rFonts w:ascii="Symbol" w:hAnsi="Symbol" w:hint="default"/>
      </w:rPr>
    </w:lvl>
    <w:lvl w:ilvl="5">
      <w:start w:val="1"/>
      <w:numFmt w:val="bullet"/>
      <w:lvlText w:val="o"/>
      <w:lvlJc w:val="left"/>
      <w:pPr>
        <w:ind w:left="2550" w:hanging="425"/>
      </w:pPr>
      <w:rPr>
        <w:rFonts w:ascii="Courier New" w:hAnsi="Courier New" w:hint="default"/>
      </w:rPr>
    </w:lvl>
    <w:lvl w:ilvl="6">
      <w:start w:val="1"/>
      <w:numFmt w:val="bullet"/>
      <w:lvlText w:val=""/>
      <w:lvlJc w:val="left"/>
      <w:pPr>
        <w:ind w:left="2975" w:hanging="425"/>
      </w:pPr>
      <w:rPr>
        <w:rFonts w:ascii="Symbol" w:hAnsi="Symbol" w:hint="default"/>
        <w:color w:val="auto"/>
      </w:rPr>
    </w:lvl>
    <w:lvl w:ilvl="7">
      <w:start w:val="1"/>
      <w:numFmt w:val="bullet"/>
      <w:lvlText w:val="-"/>
      <w:lvlJc w:val="left"/>
      <w:pPr>
        <w:ind w:left="3400" w:hanging="425"/>
      </w:pPr>
      <w:rPr>
        <w:rFonts w:ascii="Symbol" w:hAnsi="Symbol" w:hint="default"/>
      </w:rPr>
    </w:lvl>
    <w:lvl w:ilvl="8">
      <w:start w:val="1"/>
      <w:numFmt w:val="bullet"/>
      <w:lvlText w:val="o"/>
      <w:lvlJc w:val="left"/>
      <w:pPr>
        <w:ind w:left="3825" w:hanging="425"/>
      </w:pPr>
      <w:rPr>
        <w:rFonts w:ascii="Courier New" w:hAnsi="Courier New" w:hint="default"/>
      </w:rPr>
    </w:lvl>
  </w:abstractNum>
  <w:abstractNum w:abstractNumId="6" w15:restartNumberingAfterBreak="0">
    <w:nsid w:val="34A973E9"/>
    <w:multiLevelType w:val="hybridMultilevel"/>
    <w:tmpl w:val="C19622CC"/>
    <w:lvl w:ilvl="0" w:tplc="0C09000F">
      <w:start w:val="1"/>
      <w:numFmt w:val="decimal"/>
      <w:lvlText w:val="%1."/>
      <w:lvlJc w:val="left"/>
      <w:pPr>
        <w:ind w:left="8441" w:hanging="360"/>
      </w:pPr>
    </w:lvl>
    <w:lvl w:ilvl="1" w:tplc="0C090019">
      <w:start w:val="1"/>
      <w:numFmt w:val="lowerLetter"/>
      <w:lvlText w:val="%2."/>
      <w:lvlJc w:val="left"/>
      <w:pPr>
        <w:ind w:left="1440" w:hanging="360"/>
      </w:pPr>
    </w:lvl>
    <w:lvl w:ilvl="2" w:tplc="E486762C">
      <w:numFmt w:val="bullet"/>
      <w:lvlText w:val="-"/>
      <w:lvlJc w:val="left"/>
      <w:pPr>
        <w:ind w:left="2670" w:hanging="690"/>
      </w:pPr>
      <w:rPr>
        <w:rFonts w:ascii="Arial" w:eastAsiaTheme="minorHAnsi" w:hAnsi="Arial" w:cs="Arial"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5AE0657"/>
    <w:multiLevelType w:val="hybridMultilevel"/>
    <w:tmpl w:val="C9BE3974"/>
    <w:lvl w:ilvl="0" w:tplc="0C090001">
      <w:start w:val="1"/>
      <w:numFmt w:val="bullet"/>
      <w:lvlText w:val=""/>
      <w:lvlJc w:val="left"/>
      <w:pPr>
        <w:ind w:left="3196" w:hanging="360"/>
      </w:pPr>
      <w:rPr>
        <w:rFonts w:ascii="Symbol" w:hAnsi="Symbol" w:hint="default"/>
      </w:rPr>
    </w:lvl>
    <w:lvl w:ilvl="1" w:tplc="0C090019">
      <w:start w:val="1"/>
      <w:numFmt w:val="lowerLetter"/>
      <w:lvlText w:val="%2."/>
      <w:lvlJc w:val="left"/>
      <w:pPr>
        <w:ind w:left="1440" w:hanging="360"/>
      </w:pPr>
    </w:lvl>
    <w:lvl w:ilvl="2" w:tplc="E486762C">
      <w:numFmt w:val="bullet"/>
      <w:lvlText w:val="-"/>
      <w:lvlJc w:val="left"/>
      <w:pPr>
        <w:ind w:left="2670" w:hanging="690"/>
      </w:pPr>
      <w:rPr>
        <w:rFonts w:ascii="Arial" w:eastAsiaTheme="minorHAnsi" w:hAnsi="Arial" w:cs="Arial"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07B65DA"/>
    <w:multiLevelType w:val="hybridMultilevel"/>
    <w:tmpl w:val="F052FEB0"/>
    <w:lvl w:ilvl="0" w:tplc="52701090">
      <w:start w:val="1"/>
      <w:numFmt w:val="bullet"/>
      <w:pStyle w:val="bullettworeturns"/>
      <w:lvlText w:val=""/>
      <w:lvlJc w:val="left"/>
      <w:pPr>
        <w:ind w:left="789" w:hanging="360"/>
      </w:pPr>
      <w:rPr>
        <w:rFonts w:ascii="Symbol" w:hAnsi="Symbol" w:hint="default"/>
      </w:rPr>
    </w:lvl>
    <w:lvl w:ilvl="1" w:tplc="0C090003" w:tentative="1">
      <w:start w:val="1"/>
      <w:numFmt w:val="bullet"/>
      <w:lvlText w:val="o"/>
      <w:lvlJc w:val="left"/>
      <w:pPr>
        <w:ind w:left="1509" w:hanging="360"/>
      </w:pPr>
      <w:rPr>
        <w:rFonts w:ascii="Courier New" w:hAnsi="Courier New" w:cs="Courier New" w:hint="default"/>
      </w:rPr>
    </w:lvl>
    <w:lvl w:ilvl="2" w:tplc="0C090005" w:tentative="1">
      <w:start w:val="1"/>
      <w:numFmt w:val="bullet"/>
      <w:lvlText w:val=""/>
      <w:lvlJc w:val="left"/>
      <w:pPr>
        <w:ind w:left="2229" w:hanging="360"/>
      </w:pPr>
      <w:rPr>
        <w:rFonts w:ascii="Wingdings" w:hAnsi="Wingdings" w:hint="default"/>
      </w:rPr>
    </w:lvl>
    <w:lvl w:ilvl="3" w:tplc="0C090001" w:tentative="1">
      <w:start w:val="1"/>
      <w:numFmt w:val="bullet"/>
      <w:lvlText w:val=""/>
      <w:lvlJc w:val="left"/>
      <w:pPr>
        <w:ind w:left="2949" w:hanging="360"/>
      </w:pPr>
      <w:rPr>
        <w:rFonts w:ascii="Symbol" w:hAnsi="Symbol" w:hint="default"/>
      </w:rPr>
    </w:lvl>
    <w:lvl w:ilvl="4" w:tplc="0C090003" w:tentative="1">
      <w:start w:val="1"/>
      <w:numFmt w:val="bullet"/>
      <w:lvlText w:val="o"/>
      <w:lvlJc w:val="left"/>
      <w:pPr>
        <w:ind w:left="3669" w:hanging="360"/>
      </w:pPr>
      <w:rPr>
        <w:rFonts w:ascii="Courier New" w:hAnsi="Courier New" w:cs="Courier New" w:hint="default"/>
      </w:rPr>
    </w:lvl>
    <w:lvl w:ilvl="5" w:tplc="0C090005" w:tentative="1">
      <w:start w:val="1"/>
      <w:numFmt w:val="bullet"/>
      <w:lvlText w:val=""/>
      <w:lvlJc w:val="left"/>
      <w:pPr>
        <w:ind w:left="4389" w:hanging="360"/>
      </w:pPr>
      <w:rPr>
        <w:rFonts w:ascii="Wingdings" w:hAnsi="Wingdings" w:hint="default"/>
      </w:rPr>
    </w:lvl>
    <w:lvl w:ilvl="6" w:tplc="0C090001" w:tentative="1">
      <w:start w:val="1"/>
      <w:numFmt w:val="bullet"/>
      <w:lvlText w:val=""/>
      <w:lvlJc w:val="left"/>
      <w:pPr>
        <w:ind w:left="5109" w:hanging="360"/>
      </w:pPr>
      <w:rPr>
        <w:rFonts w:ascii="Symbol" w:hAnsi="Symbol" w:hint="default"/>
      </w:rPr>
    </w:lvl>
    <w:lvl w:ilvl="7" w:tplc="0C090003" w:tentative="1">
      <w:start w:val="1"/>
      <w:numFmt w:val="bullet"/>
      <w:lvlText w:val="o"/>
      <w:lvlJc w:val="left"/>
      <w:pPr>
        <w:ind w:left="5829" w:hanging="360"/>
      </w:pPr>
      <w:rPr>
        <w:rFonts w:ascii="Courier New" w:hAnsi="Courier New" w:cs="Courier New" w:hint="default"/>
      </w:rPr>
    </w:lvl>
    <w:lvl w:ilvl="8" w:tplc="0C090005" w:tentative="1">
      <w:start w:val="1"/>
      <w:numFmt w:val="bullet"/>
      <w:lvlText w:val=""/>
      <w:lvlJc w:val="left"/>
      <w:pPr>
        <w:ind w:left="6549" w:hanging="360"/>
      </w:pPr>
      <w:rPr>
        <w:rFonts w:ascii="Wingdings" w:hAnsi="Wingdings" w:hint="default"/>
      </w:rPr>
    </w:lvl>
  </w:abstractNum>
  <w:abstractNum w:abstractNumId="9" w15:restartNumberingAfterBreak="0">
    <w:nsid w:val="41B20D18"/>
    <w:multiLevelType w:val="multilevel"/>
    <w:tmpl w:val="C4023126"/>
    <w:numStyleLink w:val="AgencyTableBullets"/>
  </w:abstractNum>
  <w:abstractNum w:abstractNumId="10" w15:restartNumberingAfterBreak="0">
    <w:nsid w:val="43013552"/>
    <w:multiLevelType w:val="hybridMultilevel"/>
    <w:tmpl w:val="84227A44"/>
    <w:lvl w:ilvl="0" w:tplc="0C090001">
      <w:start w:val="1"/>
      <w:numFmt w:val="bullet"/>
      <w:lvlText w:val=""/>
      <w:lvlJc w:val="left"/>
      <w:pPr>
        <w:ind w:left="7874" w:hanging="360"/>
      </w:pPr>
      <w:rPr>
        <w:rFonts w:ascii="Symbol" w:hAnsi="Symbol" w:hint="default"/>
      </w:rPr>
    </w:lvl>
    <w:lvl w:ilvl="1" w:tplc="0C090019">
      <w:start w:val="1"/>
      <w:numFmt w:val="lowerLetter"/>
      <w:lvlText w:val="%2."/>
      <w:lvlJc w:val="left"/>
      <w:pPr>
        <w:ind w:left="1440" w:hanging="360"/>
      </w:pPr>
    </w:lvl>
    <w:lvl w:ilvl="2" w:tplc="E486762C">
      <w:numFmt w:val="bullet"/>
      <w:lvlText w:val="-"/>
      <w:lvlJc w:val="left"/>
      <w:pPr>
        <w:ind w:left="2670" w:hanging="690"/>
      </w:pPr>
      <w:rPr>
        <w:rFonts w:ascii="Arial" w:eastAsiaTheme="minorHAnsi" w:hAnsi="Arial" w:cs="Arial"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474526F"/>
    <w:multiLevelType w:val="multilevel"/>
    <w:tmpl w:val="D5A4B100"/>
    <w:numStyleLink w:val="AgencyTableNumbers"/>
  </w:abstractNum>
  <w:abstractNum w:abstractNumId="12" w15:restartNumberingAfterBreak="0">
    <w:nsid w:val="4B361966"/>
    <w:multiLevelType w:val="multilevel"/>
    <w:tmpl w:val="77DEEFC4"/>
    <w:styleLink w:val="AgencyNumbers"/>
    <w:lvl w:ilvl="0">
      <w:start w:val="1"/>
      <w:numFmt w:val="decimal"/>
      <w:pStyle w:val="ListNumber"/>
      <w:lvlText w:val="%1."/>
      <w:lvlJc w:val="left"/>
      <w:pPr>
        <w:ind w:left="425" w:hanging="425"/>
      </w:pPr>
      <w:rPr>
        <w:rFonts w:hint="default"/>
      </w:rPr>
    </w:lvl>
    <w:lvl w:ilvl="1">
      <w:start w:val="1"/>
      <w:numFmt w:val="lowerLetter"/>
      <w:pStyle w:val="ListNumber2"/>
      <w:lvlText w:val="%2."/>
      <w:lvlJc w:val="left"/>
      <w:pPr>
        <w:ind w:left="850" w:hanging="425"/>
      </w:pPr>
      <w:rPr>
        <w:rFonts w:hint="default"/>
      </w:rPr>
    </w:lvl>
    <w:lvl w:ilvl="2">
      <w:start w:val="1"/>
      <w:numFmt w:val="lowerRoman"/>
      <w:pStyle w:val="ListNumber3"/>
      <w:lvlText w:val="%3."/>
      <w:lvlJc w:val="left"/>
      <w:pPr>
        <w:ind w:left="1275" w:hanging="425"/>
      </w:pPr>
      <w:rPr>
        <w:rFonts w:hint="default"/>
      </w:rPr>
    </w:lvl>
    <w:lvl w:ilvl="3">
      <w:start w:val="1"/>
      <w:numFmt w:val="decimal"/>
      <w:pStyle w:val="ListNumber4"/>
      <w:lvlText w:val="%4."/>
      <w:lvlJc w:val="left"/>
      <w:pPr>
        <w:ind w:left="1700" w:hanging="425"/>
      </w:pPr>
      <w:rPr>
        <w:rFonts w:hint="default"/>
      </w:rPr>
    </w:lvl>
    <w:lvl w:ilvl="4">
      <w:start w:val="1"/>
      <w:numFmt w:val="lowerLetter"/>
      <w:pStyle w:val="ListNumber5"/>
      <w:lvlText w:val="%5."/>
      <w:lvlJc w:val="left"/>
      <w:pPr>
        <w:ind w:left="2125" w:hanging="425"/>
      </w:pPr>
      <w:rPr>
        <w:rFonts w:hint="default"/>
      </w:rPr>
    </w:lvl>
    <w:lvl w:ilvl="5">
      <w:start w:val="1"/>
      <w:numFmt w:val="lowerRoman"/>
      <w:lvlText w:val="%6."/>
      <w:lvlJc w:val="right"/>
      <w:pPr>
        <w:ind w:left="2550" w:hanging="425"/>
      </w:pPr>
      <w:rPr>
        <w:rFonts w:hint="default"/>
      </w:rPr>
    </w:lvl>
    <w:lvl w:ilvl="6">
      <w:start w:val="1"/>
      <w:numFmt w:val="decimal"/>
      <w:lvlText w:val="%7."/>
      <w:lvlJc w:val="left"/>
      <w:pPr>
        <w:ind w:left="2975" w:hanging="425"/>
      </w:pPr>
      <w:rPr>
        <w:rFonts w:hint="default"/>
      </w:rPr>
    </w:lvl>
    <w:lvl w:ilvl="7">
      <w:start w:val="1"/>
      <w:numFmt w:val="lowerLetter"/>
      <w:lvlText w:val="%8."/>
      <w:lvlJc w:val="left"/>
      <w:pPr>
        <w:ind w:left="3400" w:hanging="425"/>
      </w:pPr>
      <w:rPr>
        <w:rFonts w:hint="default"/>
      </w:rPr>
    </w:lvl>
    <w:lvl w:ilvl="8">
      <w:start w:val="1"/>
      <w:numFmt w:val="lowerRoman"/>
      <w:lvlText w:val="%9."/>
      <w:lvlJc w:val="right"/>
      <w:pPr>
        <w:ind w:left="3825" w:hanging="425"/>
      </w:pPr>
      <w:rPr>
        <w:rFonts w:hint="default"/>
      </w:rPr>
    </w:lvl>
  </w:abstractNum>
  <w:abstractNum w:abstractNumId="13" w15:restartNumberingAfterBreak="0">
    <w:nsid w:val="4B9005E6"/>
    <w:multiLevelType w:val="hybridMultilevel"/>
    <w:tmpl w:val="98509D00"/>
    <w:lvl w:ilvl="0" w:tplc="0C090001">
      <w:start w:val="1"/>
      <w:numFmt w:val="bullet"/>
      <w:lvlText w:val=""/>
      <w:lvlJc w:val="left"/>
      <w:pPr>
        <w:ind w:left="360" w:hanging="360"/>
      </w:pPr>
      <w:rPr>
        <w:rFonts w:ascii="Symbol" w:hAnsi="Symbol"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15:restartNumberingAfterBreak="0">
    <w:nsid w:val="5B3C5485"/>
    <w:multiLevelType w:val="hybridMultilevel"/>
    <w:tmpl w:val="6ACA3D1E"/>
    <w:lvl w:ilvl="0" w:tplc="0C09000F">
      <w:start w:val="1"/>
      <w:numFmt w:val="decimal"/>
      <w:lvlText w:val="%1."/>
      <w:lvlJc w:val="left"/>
      <w:pPr>
        <w:ind w:left="8441" w:hanging="360"/>
      </w:pPr>
    </w:lvl>
    <w:lvl w:ilvl="1" w:tplc="0C090001">
      <w:start w:val="1"/>
      <w:numFmt w:val="bullet"/>
      <w:lvlText w:val=""/>
      <w:lvlJc w:val="left"/>
      <w:pPr>
        <w:ind w:left="1440" w:hanging="360"/>
      </w:pPr>
      <w:rPr>
        <w:rFonts w:ascii="Symbol" w:hAnsi="Symbol" w:hint="default"/>
      </w:rPr>
    </w:lvl>
    <w:lvl w:ilvl="2" w:tplc="0C090003">
      <w:start w:val="1"/>
      <w:numFmt w:val="bullet"/>
      <w:lvlText w:val="o"/>
      <w:lvlJc w:val="left"/>
      <w:pPr>
        <w:ind w:left="2670" w:hanging="690"/>
      </w:pPr>
      <w:rPr>
        <w:rFonts w:ascii="Courier New" w:hAnsi="Courier New" w:cs="Courier New"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776068FC"/>
    <w:multiLevelType w:val="hybridMultilevel"/>
    <w:tmpl w:val="8D626B52"/>
    <w:lvl w:ilvl="0" w:tplc="0C090001">
      <w:start w:val="1"/>
      <w:numFmt w:val="bullet"/>
      <w:lvlText w:val=""/>
      <w:lvlJc w:val="left"/>
      <w:pPr>
        <w:ind w:left="785" w:hanging="360"/>
      </w:pPr>
      <w:rPr>
        <w:rFonts w:ascii="Symbol" w:hAnsi="Symbol" w:hint="default"/>
      </w:rPr>
    </w:lvl>
    <w:lvl w:ilvl="1" w:tplc="0C090019">
      <w:start w:val="1"/>
      <w:numFmt w:val="lowerLetter"/>
      <w:lvlText w:val="%2."/>
      <w:lvlJc w:val="left"/>
      <w:pPr>
        <w:ind w:left="-1538" w:hanging="360"/>
      </w:pPr>
    </w:lvl>
    <w:lvl w:ilvl="2" w:tplc="E486762C">
      <w:numFmt w:val="bullet"/>
      <w:lvlText w:val="-"/>
      <w:lvlJc w:val="left"/>
      <w:pPr>
        <w:ind w:left="-308" w:hanging="690"/>
      </w:pPr>
      <w:rPr>
        <w:rFonts w:ascii="Arial" w:eastAsiaTheme="minorHAnsi" w:hAnsi="Arial" w:cs="Arial" w:hint="default"/>
      </w:rPr>
    </w:lvl>
    <w:lvl w:ilvl="3" w:tplc="0C09000F" w:tentative="1">
      <w:start w:val="1"/>
      <w:numFmt w:val="decimal"/>
      <w:lvlText w:val="%4."/>
      <w:lvlJc w:val="left"/>
      <w:pPr>
        <w:ind w:left="-98" w:hanging="360"/>
      </w:pPr>
    </w:lvl>
    <w:lvl w:ilvl="4" w:tplc="0C090019" w:tentative="1">
      <w:start w:val="1"/>
      <w:numFmt w:val="lowerLetter"/>
      <w:lvlText w:val="%5."/>
      <w:lvlJc w:val="left"/>
      <w:pPr>
        <w:ind w:left="622" w:hanging="360"/>
      </w:pPr>
    </w:lvl>
    <w:lvl w:ilvl="5" w:tplc="0C09001B" w:tentative="1">
      <w:start w:val="1"/>
      <w:numFmt w:val="lowerRoman"/>
      <w:lvlText w:val="%6."/>
      <w:lvlJc w:val="right"/>
      <w:pPr>
        <w:ind w:left="1342" w:hanging="180"/>
      </w:pPr>
    </w:lvl>
    <w:lvl w:ilvl="6" w:tplc="0C09000F" w:tentative="1">
      <w:start w:val="1"/>
      <w:numFmt w:val="decimal"/>
      <w:lvlText w:val="%7."/>
      <w:lvlJc w:val="left"/>
      <w:pPr>
        <w:ind w:left="2062" w:hanging="360"/>
      </w:pPr>
    </w:lvl>
    <w:lvl w:ilvl="7" w:tplc="0C090019" w:tentative="1">
      <w:start w:val="1"/>
      <w:numFmt w:val="lowerLetter"/>
      <w:lvlText w:val="%8."/>
      <w:lvlJc w:val="left"/>
      <w:pPr>
        <w:ind w:left="2782" w:hanging="360"/>
      </w:pPr>
    </w:lvl>
    <w:lvl w:ilvl="8" w:tplc="0C09001B" w:tentative="1">
      <w:start w:val="1"/>
      <w:numFmt w:val="lowerRoman"/>
      <w:lvlText w:val="%9."/>
      <w:lvlJc w:val="right"/>
      <w:pPr>
        <w:ind w:left="3502" w:hanging="180"/>
      </w:pPr>
    </w:lvl>
  </w:abstractNum>
  <w:num w:numId="1">
    <w:abstractNumId w:val="5"/>
  </w:num>
  <w:num w:numId="2">
    <w:abstractNumId w:val="12"/>
  </w:num>
  <w:num w:numId="3">
    <w:abstractNumId w:val="1"/>
  </w:num>
  <w:num w:numId="4">
    <w:abstractNumId w:val="4"/>
  </w:num>
  <w:num w:numId="5">
    <w:abstractNumId w:val="5"/>
  </w:num>
  <w:num w:numId="6">
    <w:abstractNumId w:val="12"/>
  </w:num>
  <w:num w:numId="7">
    <w:abstractNumId w:val="9"/>
  </w:num>
  <w:num w:numId="8">
    <w:abstractNumId w:val="11"/>
  </w:num>
  <w:num w:numId="9">
    <w:abstractNumId w:val="6"/>
  </w:num>
  <w:num w:numId="10">
    <w:abstractNumId w:val="8"/>
  </w:num>
  <w:num w:numId="11">
    <w:abstractNumId w:val="15"/>
  </w:num>
  <w:num w:numId="12">
    <w:abstractNumId w:val="13"/>
  </w:num>
  <w:num w:numId="13">
    <w:abstractNumId w:val="0"/>
  </w:num>
  <w:num w:numId="14">
    <w:abstractNumId w:val="3"/>
  </w:num>
  <w:num w:numId="15">
    <w:abstractNumId w:val="10"/>
  </w:num>
  <w:num w:numId="16">
    <w:abstractNumId w:val="2"/>
  </w:num>
  <w:num w:numId="17">
    <w:abstractNumId w:val="7"/>
  </w:num>
  <w:num w:numId="18">
    <w:abstractNumId w:val="1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567"/>
  <w:drawingGridHorizontalSpacing w:val="110"/>
  <w:drawingGridVerticalSpacing w:val="181"/>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469"/>
    <w:rsid w:val="00004283"/>
    <w:rsid w:val="00005285"/>
    <w:rsid w:val="00006E77"/>
    <w:rsid w:val="000070C3"/>
    <w:rsid w:val="000075F2"/>
    <w:rsid w:val="0001173F"/>
    <w:rsid w:val="0001579E"/>
    <w:rsid w:val="00017163"/>
    <w:rsid w:val="00024522"/>
    <w:rsid w:val="000265AC"/>
    <w:rsid w:val="00030161"/>
    <w:rsid w:val="00030B0D"/>
    <w:rsid w:val="00037A0F"/>
    <w:rsid w:val="00037B81"/>
    <w:rsid w:val="000478F4"/>
    <w:rsid w:val="00057B0F"/>
    <w:rsid w:val="000628DD"/>
    <w:rsid w:val="00066DEC"/>
    <w:rsid w:val="00070650"/>
    <w:rsid w:val="00070E59"/>
    <w:rsid w:val="000737FA"/>
    <w:rsid w:val="00074C20"/>
    <w:rsid w:val="00081F4F"/>
    <w:rsid w:val="00087E7C"/>
    <w:rsid w:val="00091D0D"/>
    <w:rsid w:val="0009326F"/>
    <w:rsid w:val="0009489C"/>
    <w:rsid w:val="000A2BE0"/>
    <w:rsid w:val="000A51B4"/>
    <w:rsid w:val="000B12EF"/>
    <w:rsid w:val="000B1B52"/>
    <w:rsid w:val="000B6988"/>
    <w:rsid w:val="000B6A20"/>
    <w:rsid w:val="000B6AED"/>
    <w:rsid w:val="000C030A"/>
    <w:rsid w:val="000C5A3F"/>
    <w:rsid w:val="000C768E"/>
    <w:rsid w:val="000C7836"/>
    <w:rsid w:val="000C78EB"/>
    <w:rsid w:val="000D586D"/>
    <w:rsid w:val="000D6278"/>
    <w:rsid w:val="000E1E43"/>
    <w:rsid w:val="000E3DAD"/>
    <w:rsid w:val="000F185B"/>
    <w:rsid w:val="000F4ACB"/>
    <w:rsid w:val="000F4B54"/>
    <w:rsid w:val="00100BD7"/>
    <w:rsid w:val="00101A4E"/>
    <w:rsid w:val="00113ACB"/>
    <w:rsid w:val="00115747"/>
    <w:rsid w:val="00117846"/>
    <w:rsid w:val="00121A64"/>
    <w:rsid w:val="00121E17"/>
    <w:rsid w:val="0012438F"/>
    <w:rsid w:val="001262D8"/>
    <w:rsid w:val="00127A81"/>
    <w:rsid w:val="0013679F"/>
    <w:rsid w:val="00136A17"/>
    <w:rsid w:val="00150D6F"/>
    <w:rsid w:val="001510F1"/>
    <w:rsid w:val="0015286C"/>
    <w:rsid w:val="0016119F"/>
    <w:rsid w:val="00161BAC"/>
    <w:rsid w:val="0016371E"/>
    <w:rsid w:val="00163BE1"/>
    <w:rsid w:val="001647BF"/>
    <w:rsid w:val="00164D7A"/>
    <w:rsid w:val="00166F4F"/>
    <w:rsid w:val="001723E2"/>
    <w:rsid w:val="00175B21"/>
    <w:rsid w:val="00180058"/>
    <w:rsid w:val="00180327"/>
    <w:rsid w:val="00182318"/>
    <w:rsid w:val="00182329"/>
    <w:rsid w:val="001853E7"/>
    <w:rsid w:val="00185567"/>
    <w:rsid w:val="0018708F"/>
    <w:rsid w:val="001879E1"/>
    <w:rsid w:val="0019382A"/>
    <w:rsid w:val="001A2462"/>
    <w:rsid w:val="001A3356"/>
    <w:rsid w:val="001B3B3F"/>
    <w:rsid w:val="001B4333"/>
    <w:rsid w:val="001C316F"/>
    <w:rsid w:val="001C52FB"/>
    <w:rsid w:val="001D2EB0"/>
    <w:rsid w:val="001D5576"/>
    <w:rsid w:val="001D6736"/>
    <w:rsid w:val="001E38AF"/>
    <w:rsid w:val="001E592B"/>
    <w:rsid w:val="001E6D6D"/>
    <w:rsid w:val="001F1168"/>
    <w:rsid w:val="00204C27"/>
    <w:rsid w:val="002105BC"/>
    <w:rsid w:val="0021319C"/>
    <w:rsid w:val="00217BF0"/>
    <w:rsid w:val="00220A8F"/>
    <w:rsid w:val="0022267B"/>
    <w:rsid w:val="00224A06"/>
    <w:rsid w:val="00233661"/>
    <w:rsid w:val="00237900"/>
    <w:rsid w:val="00242919"/>
    <w:rsid w:val="00242C55"/>
    <w:rsid w:val="00243F51"/>
    <w:rsid w:val="00250324"/>
    <w:rsid w:val="002526A8"/>
    <w:rsid w:val="00255C86"/>
    <w:rsid w:val="0025674F"/>
    <w:rsid w:val="0026571A"/>
    <w:rsid w:val="00265888"/>
    <w:rsid w:val="002662B0"/>
    <w:rsid w:val="00272AC5"/>
    <w:rsid w:val="002748EA"/>
    <w:rsid w:val="002760CB"/>
    <w:rsid w:val="00292984"/>
    <w:rsid w:val="00295710"/>
    <w:rsid w:val="002A24DF"/>
    <w:rsid w:val="002A34F7"/>
    <w:rsid w:val="002A6E19"/>
    <w:rsid w:val="002A6EA7"/>
    <w:rsid w:val="002B1E2F"/>
    <w:rsid w:val="002B3A25"/>
    <w:rsid w:val="002B509F"/>
    <w:rsid w:val="002B58C9"/>
    <w:rsid w:val="002C3E56"/>
    <w:rsid w:val="002D4783"/>
    <w:rsid w:val="002D7187"/>
    <w:rsid w:val="002E70BA"/>
    <w:rsid w:val="002E7DD3"/>
    <w:rsid w:val="002F076A"/>
    <w:rsid w:val="002F54C4"/>
    <w:rsid w:val="00300DE2"/>
    <w:rsid w:val="00301F70"/>
    <w:rsid w:val="00306FAF"/>
    <w:rsid w:val="00307B64"/>
    <w:rsid w:val="00315437"/>
    <w:rsid w:val="00316310"/>
    <w:rsid w:val="00316E4E"/>
    <w:rsid w:val="00320977"/>
    <w:rsid w:val="00321C39"/>
    <w:rsid w:val="00327D01"/>
    <w:rsid w:val="0033401D"/>
    <w:rsid w:val="00334E55"/>
    <w:rsid w:val="00336146"/>
    <w:rsid w:val="003442AD"/>
    <w:rsid w:val="00346977"/>
    <w:rsid w:val="00346A9C"/>
    <w:rsid w:val="00346F55"/>
    <w:rsid w:val="003546A9"/>
    <w:rsid w:val="00356CF9"/>
    <w:rsid w:val="00360571"/>
    <w:rsid w:val="00360948"/>
    <w:rsid w:val="00362F99"/>
    <w:rsid w:val="00363C69"/>
    <w:rsid w:val="00364126"/>
    <w:rsid w:val="003652EA"/>
    <w:rsid w:val="00365B64"/>
    <w:rsid w:val="00371670"/>
    <w:rsid w:val="00371FB3"/>
    <w:rsid w:val="00374A63"/>
    <w:rsid w:val="00375984"/>
    <w:rsid w:val="003769B0"/>
    <w:rsid w:val="003812DE"/>
    <w:rsid w:val="0038356A"/>
    <w:rsid w:val="0039310B"/>
    <w:rsid w:val="003974EC"/>
    <w:rsid w:val="003A1B45"/>
    <w:rsid w:val="003A3FE4"/>
    <w:rsid w:val="003B4135"/>
    <w:rsid w:val="003B5D55"/>
    <w:rsid w:val="003B68D0"/>
    <w:rsid w:val="003C10C2"/>
    <w:rsid w:val="003C3972"/>
    <w:rsid w:val="003C5FE8"/>
    <w:rsid w:val="003C7089"/>
    <w:rsid w:val="003C73C0"/>
    <w:rsid w:val="003D0375"/>
    <w:rsid w:val="003E08AE"/>
    <w:rsid w:val="003E77C0"/>
    <w:rsid w:val="003E78C6"/>
    <w:rsid w:val="003F181B"/>
    <w:rsid w:val="003F2478"/>
    <w:rsid w:val="003F2A29"/>
    <w:rsid w:val="003F4681"/>
    <w:rsid w:val="003F56A2"/>
    <w:rsid w:val="003F68F5"/>
    <w:rsid w:val="003F7D47"/>
    <w:rsid w:val="004044D3"/>
    <w:rsid w:val="0040467E"/>
    <w:rsid w:val="004108AE"/>
    <w:rsid w:val="00411824"/>
    <w:rsid w:val="00414EC8"/>
    <w:rsid w:val="004246CC"/>
    <w:rsid w:val="0043484F"/>
    <w:rsid w:val="0046355E"/>
    <w:rsid w:val="0046678E"/>
    <w:rsid w:val="00471DD4"/>
    <w:rsid w:val="004734A3"/>
    <w:rsid w:val="004740F7"/>
    <w:rsid w:val="00477C6E"/>
    <w:rsid w:val="00481667"/>
    <w:rsid w:val="00481C35"/>
    <w:rsid w:val="00483672"/>
    <w:rsid w:val="0048409B"/>
    <w:rsid w:val="004855AC"/>
    <w:rsid w:val="00485C6F"/>
    <w:rsid w:val="00486D1E"/>
    <w:rsid w:val="00490548"/>
    <w:rsid w:val="00497A49"/>
    <w:rsid w:val="00497ACF"/>
    <w:rsid w:val="004A199A"/>
    <w:rsid w:val="004B4AD2"/>
    <w:rsid w:val="004C12D6"/>
    <w:rsid w:val="004C3B9E"/>
    <w:rsid w:val="004C578D"/>
    <w:rsid w:val="004D69F3"/>
    <w:rsid w:val="004E2B1F"/>
    <w:rsid w:val="004F2335"/>
    <w:rsid w:val="004F50AC"/>
    <w:rsid w:val="004F68D2"/>
    <w:rsid w:val="004F6AB4"/>
    <w:rsid w:val="00502FFE"/>
    <w:rsid w:val="005132DF"/>
    <w:rsid w:val="00513378"/>
    <w:rsid w:val="00517B50"/>
    <w:rsid w:val="00521B09"/>
    <w:rsid w:val="00522837"/>
    <w:rsid w:val="00527F9C"/>
    <w:rsid w:val="005327FF"/>
    <w:rsid w:val="00543BB0"/>
    <w:rsid w:val="00544F9A"/>
    <w:rsid w:val="005518B2"/>
    <w:rsid w:val="005526CE"/>
    <w:rsid w:val="00552ABD"/>
    <w:rsid w:val="00555956"/>
    <w:rsid w:val="00556CD6"/>
    <w:rsid w:val="00573FD8"/>
    <w:rsid w:val="0057400E"/>
    <w:rsid w:val="005755D8"/>
    <w:rsid w:val="0057670E"/>
    <w:rsid w:val="005850E3"/>
    <w:rsid w:val="005929BE"/>
    <w:rsid w:val="00594C60"/>
    <w:rsid w:val="005A0BBA"/>
    <w:rsid w:val="005A17DF"/>
    <w:rsid w:val="005A37CA"/>
    <w:rsid w:val="005A659B"/>
    <w:rsid w:val="005B10D4"/>
    <w:rsid w:val="005B517A"/>
    <w:rsid w:val="005B596F"/>
    <w:rsid w:val="005B63FC"/>
    <w:rsid w:val="005B7068"/>
    <w:rsid w:val="005C6844"/>
    <w:rsid w:val="005C7F45"/>
    <w:rsid w:val="005D30DB"/>
    <w:rsid w:val="005D6992"/>
    <w:rsid w:val="005E17A5"/>
    <w:rsid w:val="005E659D"/>
    <w:rsid w:val="005F0768"/>
    <w:rsid w:val="005F6992"/>
    <w:rsid w:val="00605277"/>
    <w:rsid w:val="0061199D"/>
    <w:rsid w:val="00612030"/>
    <w:rsid w:val="00615C16"/>
    <w:rsid w:val="00617FBC"/>
    <w:rsid w:val="0062268E"/>
    <w:rsid w:val="006342D1"/>
    <w:rsid w:val="00635A86"/>
    <w:rsid w:val="0064302F"/>
    <w:rsid w:val="006461B8"/>
    <w:rsid w:val="00647BFF"/>
    <w:rsid w:val="006638F6"/>
    <w:rsid w:val="00664B55"/>
    <w:rsid w:val="00672B8A"/>
    <w:rsid w:val="00675742"/>
    <w:rsid w:val="00681976"/>
    <w:rsid w:val="00682685"/>
    <w:rsid w:val="00682DFA"/>
    <w:rsid w:val="0069124D"/>
    <w:rsid w:val="0069289C"/>
    <w:rsid w:val="0069594B"/>
    <w:rsid w:val="006B372C"/>
    <w:rsid w:val="006C3827"/>
    <w:rsid w:val="006D3C07"/>
    <w:rsid w:val="006E409D"/>
    <w:rsid w:val="006E452F"/>
    <w:rsid w:val="006E5894"/>
    <w:rsid w:val="006F0897"/>
    <w:rsid w:val="006F6BC9"/>
    <w:rsid w:val="007057F5"/>
    <w:rsid w:val="007218E4"/>
    <w:rsid w:val="00722AFA"/>
    <w:rsid w:val="00725843"/>
    <w:rsid w:val="00725A6C"/>
    <w:rsid w:val="00726A23"/>
    <w:rsid w:val="007270B7"/>
    <w:rsid w:val="00730C6A"/>
    <w:rsid w:val="00735434"/>
    <w:rsid w:val="00735D24"/>
    <w:rsid w:val="00736097"/>
    <w:rsid w:val="00736B45"/>
    <w:rsid w:val="00744E89"/>
    <w:rsid w:val="0075253D"/>
    <w:rsid w:val="007528AA"/>
    <w:rsid w:val="0075371C"/>
    <w:rsid w:val="00755E5A"/>
    <w:rsid w:val="00757A2A"/>
    <w:rsid w:val="00764CF8"/>
    <w:rsid w:val="00764DE0"/>
    <w:rsid w:val="00765079"/>
    <w:rsid w:val="00773767"/>
    <w:rsid w:val="00773C67"/>
    <w:rsid w:val="007773F9"/>
    <w:rsid w:val="00781D83"/>
    <w:rsid w:val="0078305A"/>
    <w:rsid w:val="00795B9A"/>
    <w:rsid w:val="007970F5"/>
    <w:rsid w:val="00797B39"/>
    <w:rsid w:val="007A3C06"/>
    <w:rsid w:val="007A54B1"/>
    <w:rsid w:val="007C3D3A"/>
    <w:rsid w:val="007C4CD0"/>
    <w:rsid w:val="007D3052"/>
    <w:rsid w:val="007F661B"/>
    <w:rsid w:val="007F7B99"/>
    <w:rsid w:val="00803C3A"/>
    <w:rsid w:val="0081210C"/>
    <w:rsid w:val="00814FFD"/>
    <w:rsid w:val="008221FE"/>
    <w:rsid w:val="00825D3A"/>
    <w:rsid w:val="00827671"/>
    <w:rsid w:val="00831207"/>
    <w:rsid w:val="00834DA6"/>
    <w:rsid w:val="00841119"/>
    <w:rsid w:val="008464F6"/>
    <w:rsid w:val="008565C8"/>
    <w:rsid w:val="00860F4E"/>
    <w:rsid w:val="008704C4"/>
    <w:rsid w:val="0087220E"/>
    <w:rsid w:val="008754BA"/>
    <w:rsid w:val="00875FE3"/>
    <w:rsid w:val="00877B2C"/>
    <w:rsid w:val="00881E9E"/>
    <w:rsid w:val="00884F47"/>
    <w:rsid w:val="008858EB"/>
    <w:rsid w:val="00886B26"/>
    <w:rsid w:val="0089012F"/>
    <w:rsid w:val="00896073"/>
    <w:rsid w:val="00896821"/>
    <w:rsid w:val="008A0283"/>
    <w:rsid w:val="008A13F0"/>
    <w:rsid w:val="008A72AE"/>
    <w:rsid w:val="008B004D"/>
    <w:rsid w:val="008B60DB"/>
    <w:rsid w:val="008C5C87"/>
    <w:rsid w:val="008D6851"/>
    <w:rsid w:val="008E0D74"/>
    <w:rsid w:val="008E41EC"/>
    <w:rsid w:val="008E7368"/>
    <w:rsid w:val="008E742A"/>
    <w:rsid w:val="008F29E9"/>
    <w:rsid w:val="00905C76"/>
    <w:rsid w:val="00907F4E"/>
    <w:rsid w:val="00910F38"/>
    <w:rsid w:val="009179BA"/>
    <w:rsid w:val="00923F01"/>
    <w:rsid w:val="00930BCD"/>
    <w:rsid w:val="00932A5E"/>
    <w:rsid w:val="00933F92"/>
    <w:rsid w:val="00935B0B"/>
    <w:rsid w:val="00940DCE"/>
    <w:rsid w:val="00941C75"/>
    <w:rsid w:val="0094285C"/>
    <w:rsid w:val="00943CC7"/>
    <w:rsid w:val="00944D7D"/>
    <w:rsid w:val="00947C13"/>
    <w:rsid w:val="00951318"/>
    <w:rsid w:val="00951399"/>
    <w:rsid w:val="00952383"/>
    <w:rsid w:val="00953276"/>
    <w:rsid w:val="009532BA"/>
    <w:rsid w:val="00962C9D"/>
    <w:rsid w:val="009651B5"/>
    <w:rsid w:val="009678FB"/>
    <w:rsid w:val="00972CA0"/>
    <w:rsid w:val="00972E25"/>
    <w:rsid w:val="00980D0F"/>
    <w:rsid w:val="00982DA3"/>
    <w:rsid w:val="00984644"/>
    <w:rsid w:val="00987FCA"/>
    <w:rsid w:val="009933CB"/>
    <w:rsid w:val="00995FD2"/>
    <w:rsid w:val="009964B7"/>
    <w:rsid w:val="009A775E"/>
    <w:rsid w:val="009B0BD9"/>
    <w:rsid w:val="009B3D9B"/>
    <w:rsid w:val="009B7798"/>
    <w:rsid w:val="009D023D"/>
    <w:rsid w:val="009D02CB"/>
    <w:rsid w:val="009D78E0"/>
    <w:rsid w:val="009E12BD"/>
    <w:rsid w:val="009E6536"/>
    <w:rsid w:val="009F6FBD"/>
    <w:rsid w:val="00A02596"/>
    <w:rsid w:val="00A02A03"/>
    <w:rsid w:val="00A05ACD"/>
    <w:rsid w:val="00A06469"/>
    <w:rsid w:val="00A11530"/>
    <w:rsid w:val="00A15DDA"/>
    <w:rsid w:val="00A17EE4"/>
    <w:rsid w:val="00A424E5"/>
    <w:rsid w:val="00A4382C"/>
    <w:rsid w:val="00A43AC6"/>
    <w:rsid w:val="00A44599"/>
    <w:rsid w:val="00A505BA"/>
    <w:rsid w:val="00A56C68"/>
    <w:rsid w:val="00A61652"/>
    <w:rsid w:val="00A63F4C"/>
    <w:rsid w:val="00A65A4A"/>
    <w:rsid w:val="00A663DD"/>
    <w:rsid w:val="00A73213"/>
    <w:rsid w:val="00A734F5"/>
    <w:rsid w:val="00A768BE"/>
    <w:rsid w:val="00A768D2"/>
    <w:rsid w:val="00A804F9"/>
    <w:rsid w:val="00A826CA"/>
    <w:rsid w:val="00A865D9"/>
    <w:rsid w:val="00A90F0B"/>
    <w:rsid w:val="00A91371"/>
    <w:rsid w:val="00A914E8"/>
    <w:rsid w:val="00A9352E"/>
    <w:rsid w:val="00AA0850"/>
    <w:rsid w:val="00AB3167"/>
    <w:rsid w:val="00AC367E"/>
    <w:rsid w:val="00AD0559"/>
    <w:rsid w:val="00AD0CFC"/>
    <w:rsid w:val="00AD21D5"/>
    <w:rsid w:val="00AD4B4C"/>
    <w:rsid w:val="00AD5A1B"/>
    <w:rsid w:val="00AE6CF0"/>
    <w:rsid w:val="00B02185"/>
    <w:rsid w:val="00B0790D"/>
    <w:rsid w:val="00B12953"/>
    <w:rsid w:val="00B13F16"/>
    <w:rsid w:val="00B2281D"/>
    <w:rsid w:val="00B22DB0"/>
    <w:rsid w:val="00B23530"/>
    <w:rsid w:val="00B33038"/>
    <w:rsid w:val="00B40816"/>
    <w:rsid w:val="00B40D82"/>
    <w:rsid w:val="00B4205B"/>
    <w:rsid w:val="00B426F7"/>
    <w:rsid w:val="00B45BCE"/>
    <w:rsid w:val="00B46C05"/>
    <w:rsid w:val="00B50FFA"/>
    <w:rsid w:val="00B530D6"/>
    <w:rsid w:val="00B645AC"/>
    <w:rsid w:val="00B6482D"/>
    <w:rsid w:val="00B662CC"/>
    <w:rsid w:val="00B90A30"/>
    <w:rsid w:val="00B91D41"/>
    <w:rsid w:val="00B96B1B"/>
    <w:rsid w:val="00B96F8E"/>
    <w:rsid w:val="00BB08D7"/>
    <w:rsid w:val="00BB241A"/>
    <w:rsid w:val="00BB2C58"/>
    <w:rsid w:val="00BB3A43"/>
    <w:rsid w:val="00BC0D32"/>
    <w:rsid w:val="00BC4AEA"/>
    <w:rsid w:val="00BC5B97"/>
    <w:rsid w:val="00BC790D"/>
    <w:rsid w:val="00BD2FFD"/>
    <w:rsid w:val="00BD452D"/>
    <w:rsid w:val="00BD4930"/>
    <w:rsid w:val="00BD7FE2"/>
    <w:rsid w:val="00BE0E6A"/>
    <w:rsid w:val="00BE0EF4"/>
    <w:rsid w:val="00BE256A"/>
    <w:rsid w:val="00BF34A5"/>
    <w:rsid w:val="00BF5E3F"/>
    <w:rsid w:val="00BF7CB0"/>
    <w:rsid w:val="00C106CB"/>
    <w:rsid w:val="00C14711"/>
    <w:rsid w:val="00C169AD"/>
    <w:rsid w:val="00C169C6"/>
    <w:rsid w:val="00C17C2B"/>
    <w:rsid w:val="00C25AB6"/>
    <w:rsid w:val="00C31A75"/>
    <w:rsid w:val="00C51FD0"/>
    <w:rsid w:val="00C524D8"/>
    <w:rsid w:val="00C61BE2"/>
    <w:rsid w:val="00C71667"/>
    <w:rsid w:val="00C7245E"/>
    <w:rsid w:val="00C74436"/>
    <w:rsid w:val="00C752F1"/>
    <w:rsid w:val="00C851DC"/>
    <w:rsid w:val="00C95C39"/>
    <w:rsid w:val="00C961F7"/>
    <w:rsid w:val="00C977A2"/>
    <w:rsid w:val="00C97A98"/>
    <w:rsid w:val="00CA5128"/>
    <w:rsid w:val="00CB079B"/>
    <w:rsid w:val="00CB259C"/>
    <w:rsid w:val="00CB39B3"/>
    <w:rsid w:val="00CB6C58"/>
    <w:rsid w:val="00CC1399"/>
    <w:rsid w:val="00CC4376"/>
    <w:rsid w:val="00CC43BA"/>
    <w:rsid w:val="00CC5FB3"/>
    <w:rsid w:val="00CD0D3A"/>
    <w:rsid w:val="00CD31D8"/>
    <w:rsid w:val="00CD7DF8"/>
    <w:rsid w:val="00CE371B"/>
    <w:rsid w:val="00CE6F7F"/>
    <w:rsid w:val="00CF4716"/>
    <w:rsid w:val="00CF5E62"/>
    <w:rsid w:val="00D016D8"/>
    <w:rsid w:val="00D04AD1"/>
    <w:rsid w:val="00D10595"/>
    <w:rsid w:val="00D11CCD"/>
    <w:rsid w:val="00D12A42"/>
    <w:rsid w:val="00D14F87"/>
    <w:rsid w:val="00D15E32"/>
    <w:rsid w:val="00D27E58"/>
    <w:rsid w:val="00D30681"/>
    <w:rsid w:val="00D31196"/>
    <w:rsid w:val="00D34581"/>
    <w:rsid w:val="00D43849"/>
    <w:rsid w:val="00D50C80"/>
    <w:rsid w:val="00D5117D"/>
    <w:rsid w:val="00D5302E"/>
    <w:rsid w:val="00D54AAF"/>
    <w:rsid w:val="00D55EBB"/>
    <w:rsid w:val="00D569F0"/>
    <w:rsid w:val="00D6395F"/>
    <w:rsid w:val="00D71CF0"/>
    <w:rsid w:val="00D74EBE"/>
    <w:rsid w:val="00D80E96"/>
    <w:rsid w:val="00D82A3A"/>
    <w:rsid w:val="00D83C20"/>
    <w:rsid w:val="00D83C69"/>
    <w:rsid w:val="00D8512F"/>
    <w:rsid w:val="00D9127D"/>
    <w:rsid w:val="00D919C3"/>
    <w:rsid w:val="00DA2440"/>
    <w:rsid w:val="00DA7A74"/>
    <w:rsid w:val="00DB3B0A"/>
    <w:rsid w:val="00DB4957"/>
    <w:rsid w:val="00DC07FF"/>
    <w:rsid w:val="00DC1DE4"/>
    <w:rsid w:val="00DC2042"/>
    <w:rsid w:val="00DC58F5"/>
    <w:rsid w:val="00DC6121"/>
    <w:rsid w:val="00DD12C9"/>
    <w:rsid w:val="00DD5FDC"/>
    <w:rsid w:val="00DE0A4C"/>
    <w:rsid w:val="00DE0FAA"/>
    <w:rsid w:val="00DE2AC6"/>
    <w:rsid w:val="00DE3B88"/>
    <w:rsid w:val="00DE40EF"/>
    <w:rsid w:val="00DE5B3B"/>
    <w:rsid w:val="00DF33AE"/>
    <w:rsid w:val="00DF39A5"/>
    <w:rsid w:val="00DF45DF"/>
    <w:rsid w:val="00DF7786"/>
    <w:rsid w:val="00DF7BE7"/>
    <w:rsid w:val="00E00068"/>
    <w:rsid w:val="00E0129A"/>
    <w:rsid w:val="00E01F9B"/>
    <w:rsid w:val="00E046A6"/>
    <w:rsid w:val="00E124F4"/>
    <w:rsid w:val="00E127CE"/>
    <w:rsid w:val="00E206C4"/>
    <w:rsid w:val="00E24A7F"/>
    <w:rsid w:val="00E262D6"/>
    <w:rsid w:val="00E26EED"/>
    <w:rsid w:val="00E271FA"/>
    <w:rsid w:val="00E30ABB"/>
    <w:rsid w:val="00E316DE"/>
    <w:rsid w:val="00E335C1"/>
    <w:rsid w:val="00E4041E"/>
    <w:rsid w:val="00E41EAE"/>
    <w:rsid w:val="00E63DD3"/>
    <w:rsid w:val="00E800BA"/>
    <w:rsid w:val="00E81860"/>
    <w:rsid w:val="00E87942"/>
    <w:rsid w:val="00E958B2"/>
    <w:rsid w:val="00E96899"/>
    <w:rsid w:val="00E97456"/>
    <w:rsid w:val="00EB048B"/>
    <w:rsid w:val="00EB1DAB"/>
    <w:rsid w:val="00EC15C1"/>
    <w:rsid w:val="00EC3A7E"/>
    <w:rsid w:val="00EC7E75"/>
    <w:rsid w:val="00ED1F45"/>
    <w:rsid w:val="00ED5587"/>
    <w:rsid w:val="00EE05CF"/>
    <w:rsid w:val="00EE0D8E"/>
    <w:rsid w:val="00EE2E62"/>
    <w:rsid w:val="00EE3549"/>
    <w:rsid w:val="00EE3565"/>
    <w:rsid w:val="00EF0D0B"/>
    <w:rsid w:val="00EF2FEE"/>
    <w:rsid w:val="00EF644C"/>
    <w:rsid w:val="00EF664B"/>
    <w:rsid w:val="00F018DC"/>
    <w:rsid w:val="00F01D4E"/>
    <w:rsid w:val="00F0261F"/>
    <w:rsid w:val="00F04A48"/>
    <w:rsid w:val="00F06689"/>
    <w:rsid w:val="00F06A21"/>
    <w:rsid w:val="00F07494"/>
    <w:rsid w:val="00F1615F"/>
    <w:rsid w:val="00F17A22"/>
    <w:rsid w:val="00F20279"/>
    <w:rsid w:val="00F209A9"/>
    <w:rsid w:val="00F234F8"/>
    <w:rsid w:val="00F42B9C"/>
    <w:rsid w:val="00F4362D"/>
    <w:rsid w:val="00F44041"/>
    <w:rsid w:val="00F47CE2"/>
    <w:rsid w:val="00F5366F"/>
    <w:rsid w:val="00F53BB2"/>
    <w:rsid w:val="00F548CA"/>
    <w:rsid w:val="00F64512"/>
    <w:rsid w:val="00F64C05"/>
    <w:rsid w:val="00F716B2"/>
    <w:rsid w:val="00F75638"/>
    <w:rsid w:val="00F767B0"/>
    <w:rsid w:val="00F873F7"/>
    <w:rsid w:val="00F879BC"/>
    <w:rsid w:val="00F90FB7"/>
    <w:rsid w:val="00F94E11"/>
    <w:rsid w:val="00FA164E"/>
    <w:rsid w:val="00FA1FEB"/>
    <w:rsid w:val="00FA3B9E"/>
    <w:rsid w:val="00FA692E"/>
    <w:rsid w:val="00FA7665"/>
    <w:rsid w:val="00FA7A23"/>
    <w:rsid w:val="00FB1194"/>
    <w:rsid w:val="00FB1CCB"/>
    <w:rsid w:val="00FB5F3B"/>
    <w:rsid w:val="00FB730A"/>
    <w:rsid w:val="00FB7F11"/>
    <w:rsid w:val="00FC23A4"/>
    <w:rsid w:val="00FC2585"/>
    <w:rsid w:val="00FD5004"/>
    <w:rsid w:val="00FD555A"/>
    <w:rsid w:val="00FD595B"/>
    <w:rsid w:val="00FD5CE0"/>
    <w:rsid w:val="00FD6048"/>
    <w:rsid w:val="00FD6FE7"/>
    <w:rsid w:val="00FE5617"/>
    <w:rsid w:val="00FE6C25"/>
    <w:rsid w:val="00FF08A8"/>
    <w:rsid w:val="00FF0E84"/>
    <w:rsid w:val="00FF1D05"/>
    <w:rsid w:val="00FF25A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33A4646"/>
  <w15:chartTrackingRefBased/>
  <w15:docId w15:val="{96973FA2-E7E8-4D0F-8E1F-0D2DB4962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4"/>
        <w:szCs w:val="24"/>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7"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2" w:unhideWhenUsed="1"/>
    <w:lsdException w:name="List Bullet 3" w:semiHidden="1" w:uiPriority="2" w:unhideWhenUsed="1"/>
    <w:lsdException w:name="List Bullet 4" w:semiHidden="1" w:uiPriority="2" w:unhideWhenUsed="1"/>
    <w:lsdException w:name="List Bullet 5" w:semiHidden="1" w:uiPriority="2" w:unhideWhenUsed="1"/>
    <w:lsdException w:name="List Number 2" w:semiHidden="1" w:uiPriority="2" w:unhideWhenUsed="1"/>
    <w:lsdException w:name="List Number 3" w:semiHidden="1" w:uiPriority="2" w:unhideWhenUsed="1"/>
    <w:lsdException w:name="List Number 4" w:semiHidden="1" w:uiPriority="2" w:unhideWhenUsed="1"/>
    <w:lsdException w:name="List Number 5" w:semiHidden="1" w:uiPriority="2"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7"/>
    <w:qFormat/>
    <w:rsid w:val="00860F4E"/>
    <w:pPr>
      <w:spacing w:after="0"/>
    </w:pPr>
  </w:style>
  <w:style w:type="paragraph" w:styleId="Heading1">
    <w:name w:val="heading 1"/>
    <w:basedOn w:val="Normal"/>
    <w:next w:val="BodyText"/>
    <w:link w:val="Heading1Char"/>
    <w:uiPriority w:val="1"/>
    <w:qFormat/>
    <w:rsid w:val="00316310"/>
    <w:pPr>
      <w:keepNext/>
      <w:keepLines/>
      <w:spacing w:before="200"/>
      <w:outlineLvl w:val="0"/>
    </w:pPr>
    <w:rPr>
      <w:rFonts w:asciiTheme="majorHAnsi" w:eastAsiaTheme="majorEastAsia" w:hAnsiTheme="majorHAnsi" w:cstheme="majorBidi"/>
      <w:b/>
      <w:bCs/>
      <w:sz w:val="32"/>
      <w:szCs w:val="28"/>
    </w:rPr>
  </w:style>
  <w:style w:type="paragraph" w:styleId="Heading2">
    <w:name w:val="heading 2"/>
    <w:basedOn w:val="Heading1"/>
    <w:next w:val="BodyText"/>
    <w:link w:val="Heading2Char"/>
    <w:uiPriority w:val="1"/>
    <w:qFormat/>
    <w:rsid w:val="00316310"/>
    <w:pPr>
      <w:numPr>
        <w:ilvl w:val="1"/>
      </w:numPr>
      <w:outlineLvl w:val="1"/>
    </w:pPr>
    <w:rPr>
      <w:sz w:val="28"/>
      <w:szCs w:val="26"/>
    </w:rPr>
  </w:style>
  <w:style w:type="paragraph" w:styleId="Heading3">
    <w:name w:val="heading 3"/>
    <w:basedOn w:val="Heading2"/>
    <w:next w:val="BodyText"/>
    <w:link w:val="Heading3Char"/>
    <w:uiPriority w:val="1"/>
    <w:qFormat/>
    <w:rsid w:val="00316310"/>
    <w:pPr>
      <w:numPr>
        <w:ilvl w:val="2"/>
      </w:numPr>
      <w:outlineLvl w:val="2"/>
    </w:pPr>
    <w:rPr>
      <w:bCs w:val="0"/>
      <w:sz w:val="26"/>
    </w:rPr>
  </w:style>
  <w:style w:type="paragraph" w:styleId="Heading4">
    <w:name w:val="heading 4"/>
    <w:basedOn w:val="Heading3"/>
    <w:next w:val="Normal"/>
    <w:link w:val="Heading4Char"/>
    <w:uiPriority w:val="9"/>
    <w:unhideWhenUsed/>
    <w:rsid w:val="00316310"/>
    <w:pPr>
      <w:outlineLvl w:val="3"/>
    </w:pPr>
    <w:rPr>
      <w:bCs/>
      <w:i/>
      <w:iCs/>
      <w:sz w:val="24"/>
    </w:rPr>
  </w:style>
  <w:style w:type="paragraph" w:styleId="Heading5">
    <w:name w:val="heading 5"/>
    <w:basedOn w:val="Heading4"/>
    <w:next w:val="Normal"/>
    <w:link w:val="Heading5Char"/>
    <w:uiPriority w:val="9"/>
    <w:unhideWhenUsed/>
    <w:rsid w:val="00316310"/>
    <w:pPr>
      <w:outlineLvl w:val="4"/>
    </w:pPr>
    <w:rPr>
      <w:b w:val="0"/>
      <w:i w:val="0"/>
    </w:rPr>
  </w:style>
  <w:style w:type="paragraph" w:styleId="Heading6">
    <w:name w:val="heading 6"/>
    <w:basedOn w:val="Heading5"/>
    <w:next w:val="Normal"/>
    <w:link w:val="Heading6Char"/>
    <w:uiPriority w:val="9"/>
    <w:unhideWhenUsed/>
    <w:rsid w:val="00316310"/>
    <w:pPr>
      <w:outlineLvl w:val="5"/>
    </w:pPr>
    <w:rPr>
      <w:i/>
      <w:iCs w:val="0"/>
    </w:rPr>
  </w:style>
  <w:style w:type="paragraph" w:styleId="Heading7">
    <w:name w:val="heading 7"/>
    <w:basedOn w:val="Normal"/>
    <w:next w:val="Normal"/>
    <w:link w:val="Heading7Char"/>
    <w:uiPriority w:val="9"/>
    <w:unhideWhenUsed/>
    <w:rsid w:val="00FA3B9E"/>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16310"/>
    <w:rPr>
      <w:rFonts w:asciiTheme="majorHAnsi" w:eastAsiaTheme="majorEastAsia" w:hAnsiTheme="majorHAnsi" w:cstheme="majorBidi"/>
      <w:b/>
      <w:bCs/>
      <w:sz w:val="32"/>
      <w:szCs w:val="28"/>
    </w:rPr>
  </w:style>
  <w:style w:type="character" w:customStyle="1" w:styleId="Heading2Char">
    <w:name w:val="Heading 2 Char"/>
    <w:basedOn w:val="DefaultParagraphFont"/>
    <w:link w:val="Heading2"/>
    <w:uiPriority w:val="1"/>
    <w:rsid w:val="00316310"/>
    <w:rPr>
      <w:rFonts w:asciiTheme="majorHAnsi" w:eastAsiaTheme="majorEastAsia" w:hAnsiTheme="majorHAnsi" w:cstheme="majorBidi"/>
      <w:b/>
      <w:bCs/>
      <w:sz w:val="28"/>
      <w:szCs w:val="26"/>
    </w:rPr>
  </w:style>
  <w:style w:type="paragraph" w:styleId="Footer">
    <w:name w:val="footer"/>
    <w:basedOn w:val="Normal"/>
    <w:link w:val="FooterChar"/>
    <w:uiPriority w:val="99"/>
    <w:unhideWhenUsed/>
    <w:rsid w:val="00316310"/>
    <w:rPr>
      <w:sz w:val="16"/>
    </w:rPr>
  </w:style>
  <w:style w:type="character" w:customStyle="1" w:styleId="FooterChar">
    <w:name w:val="Footer Char"/>
    <w:basedOn w:val="DefaultParagraphFont"/>
    <w:link w:val="Footer"/>
    <w:uiPriority w:val="99"/>
    <w:rsid w:val="00316310"/>
    <w:rPr>
      <w:sz w:val="16"/>
      <w:szCs w:val="24"/>
    </w:rPr>
  </w:style>
  <w:style w:type="paragraph" w:styleId="ListBullet">
    <w:name w:val="List Bullet"/>
    <w:basedOn w:val="Normal"/>
    <w:uiPriority w:val="2"/>
    <w:qFormat/>
    <w:rsid w:val="00316310"/>
    <w:pPr>
      <w:numPr>
        <w:numId w:val="5"/>
      </w:numPr>
      <w:spacing w:after="60"/>
    </w:pPr>
  </w:style>
  <w:style w:type="paragraph" w:styleId="ListBullet2">
    <w:name w:val="List Bullet 2"/>
    <w:basedOn w:val="Normal"/>
    <w:uiPriority w:val="2"/>
    <w:rsid w:val="00316310"/>
    <w:pPr>
      <w:numPr>
        <w:ilvl w:val="1"/>
        <w:numId w:val="5"/>
      </w:numPr>
      <w:spacing w:after="60"/>
    </w:pPr>
  </w:style>
  <w:style w:type="paragraph" w:styleId="ListBullet3">
    <w:name w:val="List Bullet 3"/>
    <w:basedOn w:val="Normal"/>
    <w:uiPriority w:val="2"/>
    <w:rsid w:val="00316310"/>
    <w:pPr>
      <w:numPr>
        <w:ilvl w:val="2"/>
        <w:numId w:val="5"/>
      </w:numPr>
      <w:spacing w:after="60"/>
    </w:pPr>
  </w:style>
  <w:style w:type="paragraph" w:styleId="ListBullet4">
    <w:name w:val="List Bullet 4"/>
    <w:basedOn w:val="Normal"/>
    <w:uiPriority w:val="2"/>
    <w:rsid w:val="00316310"/>
    <w:pPr>
      <w:numPr>
        <w:ilvl w:val="3"/>
        <w:numId w:val="5"/>
      </w:numPr>
      <w:spacing w:after="60"/>
    </w:pPr>
  </w:style>
  <w:style w:type="paragraph" w:styleId="ListBullet5">
    <w:name w:val="List Bullet 5"/>
    <w:basedOn w:val="Normal"/>
    <w:uiPriority w:val="2"/>
    <w:rsid w:val="00316310"/>
    <w:pPr>
      <w:numPr>
        <w:ilvl w:val="4"/>
        <w:numId w:val="5"/>
      </w:numPr>
      <w:spacing w:after="60"/>
    </w:pPr>
  </w:style>
  <w:style w:type="numbering" w:customStyle="1" w:styleId="AgencyBullets">
    <w:name w:val="Agency Bullets"/>
    <w:uiPriority w:val="99"/>
    <w:rsid w:val="00316310"/>
    <w:pPr>
      <w:numPr>
        <w:numId w:val="1"/>
      </w:numPr>
    </w:pPr>
  </w:style>
  <w:style w:type="paragraph" w:styleId="ListNumber">
    <w:name w:val="List Number"/>
    <w:basedOn w:val="Normal"/>
    <w:uiPriority w:val="2"/>
    <w:qFormat/>
    <w:rsid w:val="00316310"/>
    <w:pPr>
      <w:numPr>
        <w:numId w:val="6"/>
      </w:numPr>
      <w:spacing w:after="60"/>
    </w:pPr>
  </w:style>
  <w:style w:type="paragraph" w:styleId="ListNumber2">
    <w:name w:val="List Number 2"/>
    <w:basedOn w:val="Normal"/>
    <w:uiPriority w:val="2"/>
    <w:rsid w:val="00316310"/>
    <w:pPr>
      <w:numPr>
        <w:ilvl w:val="1"/>
        <w:numId w:val="6"/>
      </w:numPr>
      <w:spacing w:after="60"/>
    </w:pPr>
  </w:style>
  <w:style w:type="paragraph" w:styleId="ListNumber3">
    <w:name w:val="List Number 3"/>
    <w:basedOn w:val="Normal"/>
    <w:uiPriority w:val="2"/>
    <w:rsid w:val="00316310"/>
    <w:pPr>
      <w:numPr>
        <w:ilvl w:val="2"/>
        <w:numId w:val="6"/>
      </w:numPr>
      <w:spacing w:after="60"/>
    </w:pPr>
  </w:style>
  <w:style w:type="paragraph" w:styleId="ListNumber4">
    <w:name w:val="List Number 4"/>
    <w:basedOn w:val="Normal"/>
    <w:uiPriority w:val="2"/>
    <w:rsid w:val="00316310"/>
    <w:pPr>
      <w:numPr>
        <w:ilvl w:val="3"/>
        <w:numId w:val="6"/>
      </w:numPr>
      <w:spacing w:after="60"/>
    </w:pPr>
  </w:style>
  <w:style w:type="paragraph" w:styleId="ListNumber5">
    <w:name w:val="List Number 5"/>
    <w:basedOn w:val="Normal"/>
    <w:uiPriority w:val="2"/>
    <w:rsid w:val="00316310"/>
    <w:pPr>
      <w:numPr>
        <w:ilvl w:val="4"/>
        <w:numId w:val="6"/>
      </w:numPr>
      <w:spacing w:after="60"/>
    </w:pPr>
  </w:style>
  <w:style w:type="numbering" w:customStyle="1" w:styleId="AgencyNumbers">
    <w:name w:val="Agency Numbers"/>
    <w:uiPriority w:val="99"/>
    <w:rsid w:val="00316310"/>
    <w:pPr>
      <w:numPr>
        <w:numId w:val="2"/>
      </w:numPr>
    </w:pPr>
  </w:style>
  <w:style w:type="paragraph" w:styleId="BodyText">
    <w:name w:val="Body Text"/>
    <w:basedOn w:val="Normal"/>
    <w:link w:val="BodyTextChar"/>
    <w:qFormat/>
    <w:rsid w:val="001879E1"/>
    <w:pPr>
      <w:spacing w:after="200"/>
    </w:pPr>
  </w:style>
  <w:style w:type="character" w:customStyle="1" w:styleId="BodyTextChar">
    <w:name w:val="Body Text Char"/>
    <w:basedOn w:val="DefaultParagraphFont"/>
    <w:link w:val="BodyText"/>
    <w:rsid w:val="001879E1"/>
  </w:style>
  <w:style w:type="character" w:customStyle="1" w:styleId="Heading3Char">
    <w:name w:val="Heading 3 Char"/>
    <w:basedOn w:val="DefaultParagraphFont"/>
    <w:link w:val="Heading3"/>
    <w:uiPriority w:val="1"/>
    <w:rsid w:val="00316310"/>
    <w:rPr>
      <w:rFonts w:asciiTheme="majorHAnsi" w:eastAsiaTheme="majorEastAsia" w:hAnsiTheme="majorHAnsi" w:cstheme="majorBidi"/>
      <w:b/>
      <w:sz w:val="26"/>
      <w:szCs w:val="26"/>
    </w:rPr>
  </w:style>
  <w:style w:type="paragraph" w:styleId="BalloonText">
    <w:name w:val="Balloon Text"/>
    <w:basedOn w:val="Normal"/>
    <w:link w:val="BalloonTextChar"/>
    <w:uiPriority w:val="99"/>
    <w:semiHidden/>
    <w:unhideWhenUsed/>
    <w:rsid w:val="00316310"/>
    <w:rPr>
      <w:rFonts w:ascii="Tahoma" w:hAnsi="Tahoma" w:cs="Tahoma"/>
      <w:sz w:val="16"/>
      <w:szCs w:val="16"/>
    </w:rPr>
  </w:style>
  <w:style w:type="character" w:customStyle="1" w:styleId="BalloonTextChar">
    <w:name w:val="Balloon Text Char"/>
    <w:basedOn w:val="DefaultParagraphFont"/>
    <w:link w:val="BalloonText"/>
    <w:uiPriority w:val="99"/>
    <w:semiHidden/>
    <w:rsid w:val="00316310"/>
    <w:rPr>
      <w:rFonts w:ascii="Tahoma" w:hAnsi="Tahoma" w:cs="Tahoma"/>
      <w:sz w:val="16"/>
      <w:szCs w:val="16"/>
    </w:rPr>
  </w:style>
  <w:style w:type="paragraph" w:styleId="Header">
    <w:name w:val="header"/>
    <w:basedOn w:val="Normal"/>
    <w:link w:val="HeaderChar"/>
    <w:uiPriority w:val="99"/>
    <w:unhideWhenUsed/>
    <w:rsid w:val="00316310"/>
  </w:style>
  <w:style w:type="character" w:customStyle="1" w:styleId="HeaderChar">
    <w:name w:val="Header Char"/>
    <w:basedOn w:val="DefaultParagraphFont"/>
    <w:link w:val="Header"/>
    <w:uiPriority w:val="99"/>
    <w:rsid w:val="00316310"/>
    <w:rPr>
      <w:sz w:val="24"/>
      <w:szCs w:val="24"/>
    </w:rPr>
  </w:style>
  <w:style w:type="paragraph" w:styleId="Caption">
    <w:name w:val="caption"/>
    <w:basedOn w:val="Normal"/>
    <w:next w:val="Normal"/>
    <w:uiPriority w:val="35"/>
    <w:unhideWhenUsed/>
    <w:rsid w:val="00316310"/>
    <w:pPr>
      <w:keepNext/>
      <w:spacing w:after="200"/>
    </w:pPr>
    <w:rPr>
      <w:b/>
      <w:bCs/>
      <w:sz w:val="20"/>
      <w:szCs w:val="18"/>
    </w:rPr>
  </w:style>
  <w:style w:type="character" w:customStyle="1" w:styleId="Heading4Char">
    <w:name w:val="Heading 4 Char"/>
    <w:basedOn w:val="DefaultParagraphFont"/>
    <w:link w:val="Heading4"/>
    <w:uiPriority w:val="9"/>
    <w:rsid w:val="00316310"/>
    <w:rPr>
      <w:rFonts w:asciiTheme="majorHAnsi" w:eastAsiaTheme="majorEastAsia" w:hAnsiTheme="majorHAnsi" w:cstheme="majorBidi"/>
      <w:b/>
      <w:bCs/>
      <w:i/>
      <w:iCs/>
      <w:sz w:val="24"/>
      <w:szCs w:val="26"/>
    </w:rPr>
  </w:style>
  <w:style w:type="character" w:customStyle="1" w:styleId="Heading5Char">
    <w:name w:val="Heading 5 Char"/>
    <w:basedOn w:val="DefaultParagraphFont"/>
    <w:link w:val="Heading5"/>
    <w:uiPriority w:val="9"/>
    <w:rsid w:val="00316310"/>
    <w:rPr>
      <w:rFonts w:asciiTheme="majorHAnsi" w:eastAsiaTheme="majorEastAsia" w:hAnsiTheme="majorHAnsi" w:cstheme="majorBidi"/>
      <w:bCs/>
      <w:iCs/>
      <w:sz w:val="24"/>
      <w:szCs w:val="26"/>
    </w:rPr>
  </w:style>
  <w:style w:type="table" w:styleId="TableGrid">
    <w:name w:val="Table Grid"/>
    <w:basedOn w:val="TableNormal"/>
    <w:uiPriority w:val="59"/>
    <w:rsid w:val="003163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316310"/>
  </w:style>
  <w:style w:type="character" w:styleId="Hyperlink">
    <w:name w:val="Hyperlink"/>
    <w:basedOn w:val="DefaultParagraphFont"/>
    <w:uiPriority w:val="99"/>
    <w:unhideWhenUsed/>
    <w:rsid w:val="00316310"/>
    <w:rPr>
      <w:color w:val="0000FF" w:themeColor="hyperlink"/>
      <w:u w:val="single"/>
    </w:rPr>
  </w:style>
  <w:style w:type="table" w:customStyle="1" w:styleId="AgencyTable-Simple">
    <w:name w:val="Agency Table - Simple"/>
    <w:basedOn w:val="TableNormal"/>
    <w:uiPriority w:val="99"/>
    <w:qFormat/>
    <w:rsid w:val="00FF08A8"/>
    <w:pPr>
      <w:spacing w:after="0" w:line="240" w:lineRule="auto"/>
    </w:pPr>
    <w:rPr>
      <w:sz w:val="22"/>
    </w:rPr>
    <w:tblPr>
      <w:tblBorders>
        <w:top w:val="single" w:sz="4" w:space="0" w:color="auto"/>
        <w:bottom w:val="single" w:sz="4" w:space="0" w:color="auto"/>
      </w:tblBorders>
      <w:tblCellMar>
        <w:top w:w="85" w:type="dxa"/>
        <w:left w:w="85" w:type="dxa"/>
        <w:bottom w:w="85" w:type="dxa"/>
        <w:right w:w="85" w:type="dxa"/>
      </w:tblCellMar>
    </w:tblPr>
    <w:tblStylePr w:type="firstRow">
      <w:pPr>
        <w:keepNext/>
        <w:keepLines/>
        <w:wordWrap/>
      </w:pPr>
      <w:rPr>
        <w:b/>
      </w:rPr>
      <w:tblPr/>
      <w:trPr>
        <w:tblHeader/>
      </w:trPr>
      <w:tcPr>
        <w:tcBorders>
          <w:top w:val="single" w:sz="4" w:space="0" w:color="auto"/>
          <w:left w:val="nil"/>
          <w:bottom w:val="single" w:sz="4" w:space="0" w:color="auto"/>
          <w:right w:val="nil"/>
          <w:insideH w:val="nil"/>
          <w:insideV w:val="nil"/>
          <w:tl2br w:val="nil"/>
          <w:tr2bl w:val="nil"/>
        </w:tcBorders>
      </w:tcPr>
    </w:tblStylePr>
    <w:tblStylePr w:type="lastRow">
      <w:rPr>
        <w:b/>
        <w:i w:val="0"/>
      </w:rPr>
      <w:tblPr/>
      <w:tcPr>
        <w:tcBorders>
          <w:top w:val="single" w:sz="4" w:space="0" w:color="auto"/>
          <w:left w:val="nil"/>
          <w:bottom w:val="single" w:sz="4" w:space="0" w:color="auto"/>
          <w:right w:val="nil"/>
          <w:insideH w:val="nil"/>
          <w:insideV w:val="nil"/>
          <w:tl2br w:val="nil"/>
          <w:tr2bl w:val="nil"/>
        </w:tcBorders>
      </w:tcPr>
    </w:tblStylePr>
    <w:tblStylePr w:type="firstCol">
      <w:rPr>
        <w:b/>
      </w:rPr>
    </w:tblStylePr>
    <w:tblStylePr w:type="lastCol">
      <w:rPr>
        <w:b/>
      </w:rPr>
    </w:tblStylePr>
  </w:style>
  <w:style w:type="table" w:styleId="LightList-Accent1">
    <w:name w:val="Light List Accent 1"/>
    <w:basedOn w:val="TableNormal"/>
    <w:uiPriority w:val="61"/>
    <w:rsid w:val="0031631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3">
    <w:name w:val="Light Shading Accent 3"/>
    <w:basedOn w:val="TableNormal"/>
    <w:uiPriority w:val="60"/>
    <w:rsid w:val="00316310"/>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List-Accent2">
    <w:name w:val="Light List Accent 2"/>
    <w:basedOn w:val="TableNormal"/>
    <w:uiPriority w:val="61"/>
    <w:rsid w:val="00316310"/>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Shading-Accent2">
    <w:name w:val="Light Shading Accent 2"/>
    <w:basedOn w:val="TableNormal"/>
    <w:uiPriority w:val="60"/>
    <w:rsid w:val="00316310"/>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FollowedHyperlink">
    <w:name w:val="FollowedHyperlink"/>
    <w:basedOn w:val="DefaultParagraphFont"/>
    <w:uiPriority w:val="99"/>
    <w:semiHidden/>
    <w:unhideWhenUsed/>
    <w:rsid w:val="00316310"/>
    <w:rPr>
      <w:color w:val="800080" w:themeColor="followedHyperlink"/>
      <w:u w:val="single"/>
    </w:rPr>
  </w:style>
  <w:style w:type="table" w:customStyle="1" w:styleId="Noborders">
    <w:name w:val="No borders"/>
    <w:basedOn w:val="TableNormal"/>
    <w:uiPriority w:val="99"/>
    <w:qFormat/>
    <w:rsid w:val="00316310"/>
    <w:pPr>
      <w:spacing w:after="0" w:line="240" w:lineRule="auto"/>
    </w:pPr>
    <w:tblPr>
      <w:tblCellMar>
        <w:top w:w="57" w:type="dxa"/>
        <w:bottom w:w="57" w:type="dxa"/>
      </w:tblCellMar>
    </w:tblPr>
  </w:style>
  <w:style w:type="character" w:styleId="PlaceholderText">
    <w:name w:val="Placeholder Text"/>
    <w:basedOn w:val="DefaultParagraphFont"/>
    <w:uiPriority w:val="99"/>
    <w:semiHidden/>
    <w:rsid w:val="00316310"/>
    <w:rPr>
      <w:color w:val="808080"/>
    </w:rPr>
  </w:style>
  <w:style w:type="table" w:customStyle="1" w:styleId="AgencyTable-Borders">
    <w:name w:val="Agency Table - Borders"/>
    <w:basedOn w:val="TableNormal"/>
    <w:uiPriority w:val="99"/>
    <w:qFormat/>
    <w:rsid w:val="003F7D47"/>
    <w:pPr>
      <w:spacing w:after="0" w:line="240" w:lineRule="auto"/>
    </w:pPr>
    <w:rPr>
      <w:rFonts w:eastAsiaTheme="minorEastAsia"/>
      <w:sz w:val="22"/>
      <w:lang w:val="en-US" w:bidi="en-US"/>
    </w:rPr>
    <w:tblPr>
      <w:tblStyleRowBandSize w:val="1"/>
      <w:tblStyleColBandSize w:val="1"/>
      <w:tbl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6" w:space="0" w:color="808080" w:themeColor="background1" w:themeShade="80"/>
        <w:insideV w:val="single" w:sz="6" w:space="0" w:color="808080" w:themeColor="background1" w:themeShade="80"/>
      </w:tblBorders>
      <w:tblCellMar>
        <w:top w:w="85" w:type="dxa"/>
        <w:left w:w="85" w:type="dxa"/>
        <w:bottom w:w="85" w:type="dxa"/>
        <w:right w:w="85" w:type="dxa"/>
      </w:tblCellMar>
    </w:tblPr>
    <w:tblStylePr w:type="firstRow">
      <w:pPr>
        <w:keepNext/>
        <w:keepLines/>
        <w:wordWrap/>
      </w:pPr>
      <w:rPr>
        <w:b/>
      </w:rPr>
      <w:tblPr/>
      <w:trPr>
        <w:tblHeader/>
      </w:trPr>
      <w:tcPr>
        <w:shd w:val="clear" w:color="auto" w:fill="E0E0E0"/>
      </w:tcPr>
    </w:tblStylePr>
    <w:tblStylePr w:type="lastRow">
      <w:rPr>
        <w:b/>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6" w:space="0" w:color="808080" w:themeColor="background1" w:themeShade="80"/>
          <w:insideV w:val="single" w:sz="6" w:space="0" w:color="808080" w:themeColor="background1" w:themeShade="80"/>
          <w:tl2br w:val="nil"/>
          <w:tr2bl w:val="nil"/>
        </w:tcBorders>
        <w:shd w:val="clear" w:color="auto" w:fill="E0E0E0"/>
      </w:tcPr>
    </w:tblStylePr>
    <w:tblStylePr w:type="firstCol">
      <w:rPr>
        <w:b/>
      </w:rPr>
    </w:tblStylePr>
    <w:tblStylePr w:type="lastCol">
      <w:rPr>
        <w:b/>
      </w:rPr>
    </w:tblStylePr>
  </w:style>
  <w:style w:type="paragraph" w:styleId="TOCHeading">
    <w:name w:val="TOC Heading"/>
    <w:next w:val="Normal"/>
    <w:uiPriority w:val="39"/>
    <w:unhideWhenUsed/>
    <w:rsid w:val="00316310"/>
    <w:pPr>
      <w:spacing w:before="360"/>
    </w:pPr>
    <w:rPr>
      <w:rFonts w:ascii="Arial" w:eastAsiaTheme="majorEastAsia" w:hAnsi="Arial" w:cstheme="majorBidi"/>
      <w:b/>
      <w:bCs/>
      <w:sz w:val="28"/>
      <w:szCs w:val="28"/>
      <w:lang w:val="en-US" w:bidi="en-US"/>
    </w:rPr>
  </w:style>
  <w:style w:type="paragraph" w:styleId="TOC1">
    <w:name w:val="toc 1"/>
    <w:basedOn w:val="Normal"/>
    <w:next w:val="Normal"/>
    <w:autoRedefine/>
    <w:uiPriority w:val="39"/>
    <w:unhideWhenUsed/>
    <w:rsid w:val="00316310"/>
    <w:pPr>
      <w:tabs>
        <w:tab w:val="left" w:pos="567"/>
        <w:tab w:val="right" w:leader="dot" w:pos="9061"/>
      </w:tabs>
      <w:spacing w:after="100" w:line="264" w:lineRule="auto"/>
      <w:ind w:left="567" w:hanging="567"/>
    </w:pPr>
  </w:style>
  <w:style w:type="paragraph" w:styleId="TOC2">
    <w:name w:val="toc 2"/>
    <w:basedOn w:val="Normal"/>
    <w:next w:val="Normal"/>
    <w:autoRedefine/>
    <w:uiPriority w:val="39"/>
    <w:unhideWhenUsed/>
    <w:rsid w:val="00316310"/>
    <w:pPr>
      <w:tabs>
        <w:tab w:val="left" w:pos="1276"/>
        <w:tab w:val="right" w:leader="dot" w:pos="9061"/>
      </w:tabs>
      <w:spacing w:after="100" w:line="264" w:lineRule="auto"/>
      <w:ind w:left="1276" w:hanging="709"/>
    </w:pPr>
  </w:style>
  <w:style w:type="paragraph" w:styleId="TOC3">
    <w:name w:val="toc 3"/>
    <w:basedOn w:val="Normal"/>
    <w:next w:val="Normal"/>
    <w:autoRedefine/>
    <w:uiPriority w:val="39"/>
    <w:unhideWhenUsed/>
    <w:rsid w:val="00316310"/>
    <w:pPr>
      <w:tabs>
        <w:tab w:val="left" w:pos="1701"/>
        <w:tab w:val="right" w:leader="dot" w:pos="9072"/>
      </w:tabs>
      <w:spacing w:after="100" w:line="264" w:lineRule="auto"/>
      <w:ind w:left="1701" w:hanging="567"/>
    </w:pPr>
  </w:style>
  <w:style w:type="paragraph" w:customStyle="1" w:styleId="BodyTextSmall">
    <w:name w:val="Body Text Small"/>
    <w:basedOn w:val="BodyText"/>
    <w:qFormat/>
    <w:rsid w:val="00316310"/>
    <w:rPr>
      <w:sz w:val="20"/>
    </w:rPr>
  </w:style>
  <w:style w:type="numbering" w:customStyle="1" w:styleId="AgencyTableBullets">
    <w:name w:val="Agency Table Bullets"/>
    <w:uiPriority w:val="99"/>
    <w:rsid w:val="00316310"/>
    <w:pPr>
      <w:numPr>
        <w:numId w:val="3"/>
      </w:numPr>
    </w:pPr>
  </w:style>
  <w:style w:type="numbering" w:customStyle="1" w:styleId="AgencyTableNumbers">
    <w:name w:val="Agency Table Numbers"/>
    <w:uiPriority w:val="99"/>
    <w:rsid w:val="00316310"/>
    <w:pPr>
      <w:numPr>
        <w:numId w:val="4"/>
      </w:numPr>
    </w:pPr>
  </w:style>
  <w:style w:type="character" w:customStyle="1" w:styleId="Heading6Char">
    <w:name w:val="Heading 6 Char"/>
    <w:basedOn w:val="DefaultParagraphFont"/>
    <w:link w:val="Heading6"/>
    <w:uiPriority w:val="9"/>
    <w:rsid w:val="00316310"/>
    <w:rPr>
      <w:rFonts w:asciiTheme="majorHAnsi" w:eastAsiaTheme="majorEastAsia" w:hAnsiTheme="majorHAnsi" w:cstheme="majorBidi"/>
      <w:bCs/>
      <w:i/>
      <w:sz w:val="24"/>
      <w:szCs w:val="26"/>
    </w:rPr>
  </w:style>
  <w:style w:type="paragraph" w:styleId="ListParagraph">
    <w:name w:val="List Paragraph"/>
    <w:basedOn w:val="Normal"/>
    <w:uiPriority w:val="34"/>
    <w:qFormat/>
    <w:rsid w:val="00316310"/>
    <w:pPr>
      <w:ind w:left="720"/>
      <w:contextualSpacing/>
    </w:pPr>
  </w:style>
  <w:style w:type="paragraph" w:customStyle="1" w:styleId="Notetext">
    <w:name w:val="Note text"/>
    <w:basedOn w:val="Normal"/>
    <w:uiPriority w:val="8"/>
    <w:qFormat/>
    <w:rsid w:val="00316310"/>
    <w:pPr>
      <w:pBdr>
        <w:left w:val="single" w:sz="36" w:space="4" w:color="CCCCCC"/>
      </w:pBdr>
    </w:pPr>
    <w:rPr>
      <w:sz w:val="20"/>
    </w:rPr>
  </w:style>
  <w:style w:type="paragraph" w:styleId="Subtitle">
    <w:name w:val="Subtitle"/>
    <w:basedOn w:val="Normal"/>
    <w:next w:val="Normal"/>
    <w:link w:val="SubtitleChar"/>
    <w:uiPriority w:val="11"/>
    <w:qFormat/>
    <w:rsid w:val="00316310"/>
    <w:pPr>
      <w:numPr>
        <w:ilvl w:val="1"/>
      </w:numPr>
    </w:pPr>
    <w:rPr>
      <w:rFonts w:asciiTheme="majorHAnsi" w:eastAsiaTheme="majorEastAsia" w:hAnsiTheme="majorHAnsi" w:cstheme="majorBidi"/>
      <w:i/>
      <w:iCs/>
      <w:spacing w:val="15"/>
    </w:rPr>
  </w:style>
  <w:style w:type="character" w:customStyle="1" w:styleId="SubtitleChar">
    <w:name w:val="Subtitle Char"/>
    <w:basedOn w:val="DefaultParagraphFont"/>
    <w:link w:val="Subtitle"/>
    <w:uiPriority w:val="11"/>
    <w:rsid w:val="00316310"/>
    <w:rPr>
      <w:rFonts w:asciiTheme="majorHAnsi" w:eastAsiaTheme="majorEastAsia" w:hAnsiTheme="majorHAnsi" w:cstheme="majorBidi"/>
      <w:i/>
      <w:iCs/>
      <w:spacing w:val="15"/>
      <w:sz w:val="24"/>
      <w:szCs w:val="24"/>
    </w:rPr>
  </w:style>
  <w:style w:type="paragraph" w:customStyle="1" w:styleId="TableText">
    <w:name w:val="Table Text"/>
    <w:basedOn w:val="Normal"/>
    <w:link w:val="TableTextChar"/>
    <w:uiPriority w:val="3"/>
    <w:qFormat/>
    <w:rsid w:val="00316310"/>
    <w:rPr>
      <w:rFonts w:eastAsiaTheme="minorEastAsia"/>
      <w:sz w:val="22"/>
      <w:szCs w:val="22"/>
      <w:lang w:val="en-US" w:bidi="en-US"/>
    </w:rPr>
  </w:style>
  <w:style w:type="character" w:customStyle="1" w:styleId="TableTextChar">
    <w:name w:val="Table Text Char"/>
    <w:basedOn w:val="DefaultParagraphFont"/>
    <w:link w:val="TableText"/>
    <w:uiPriority w:val="3"/>
    <w:rsid w:val="00316310"/>
    <w:rPr>
      <w:rFonts w:eastAsiaTheme="minorEastAsia"/>
      <w:lang w:val="en-US" w:bidi="en-US"/>
    </w:rPr>
  </w:style>
  <w:style w:type="paragraph" w:customStyle="1" w:styleId="TableBullet">
    <w:name w:val="Table Bullet"/>
    <w:basedOn w:val="TableText"/>
    <w:uiPriority w:val="4"/>
    <w:qFormat/>
    <w:rsid w:val="00316310"/>
    <w:pPr>
      <w:numPr>
        <w:numId w:val="7"/>
      </w:numPr>
    </w:pPr>
  </w:style>
  <w:style w:type="paragraph" w:customStyle="1" w:styleId="TableNumber">
    <w:name w:val="Table Number"/>
    <w:basedOn w:val="TableText"/>
    <w:uiPriority w:val="4"/>
    <w:qFormat/>
    <w:rsid w:val="00316310"/>
    <w:pPr>
      <w:numPr>
        <w:numId w:val="8"/>
      </w:numPr>
    </w:pPr>
  </w:style>
  <w:style w:type="paragraph" w:customStyle="1" w:styleId="TableTextSmall">
    <w:name w:val="Table Text Small"/>
    <w:basedOn w:val="TableText"/>
    <w:link w:val="TableTextSmallChar"/>
    <w:uiPriority w:val="3"/>
    <w:qFormat/>
    <w:rsid w:val="00316310"/>
    <w:rPr>
      <w:sz w:val="20"/>
    </w:rPr>
  </w:style>
  <w:style w:type="paragraph" w:styleId="Title">
    <w:name w:val="Title"/>
    <w:basedOn w:val="Normal"/>
    <w:next w:val="Normal"/>
    <w:link w:val="TitleChar"/>
    <w:uiPriority w:val="10"/>
    <w:rsid w:val="00316310"/>
    <w:pPr>
      <w:pBdr>
        <w:bottom w:val="single" w:sz="8" w:space="4" w:color="auto"/>
      </w:pBdr>
      <w:spacing w:after="300"/>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16310"/>
    <w:rPr>
      <w:rFonts w:asciiTheme="majorHAnsi" w:eastAsiaTheme="majorEastAsia" w:hAnsiTheme="majorHAnsi" w:cstheme="majorBidi"/>
      <w:spacing w:val="5"/>
      <w:kern w:val="28"/>
      <w:sz w:val="52"/>
      <w:szCs w:val="52"/>
    </w:rPr>
  </w:style>
  <w:style w:type="table" w:styleId="LightShading-Accent1">
    <w:name w:val="Light Shading Accent 1"/>
    <w:basedOn w:val="TableNormal"/>
    <w:uiPriority w:val="60"/>
    <w:rsid w:val="0089012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7Char">
    <w:name w:val="Heading 7 Char"/>
    <w:basedOn w:val="DefaultParagraphFont"/>
    <w:link w:val="Heading7"/>
    <w:uiPriority w:val="9"/>
    <w:rsid w:val="00FA3B9E"/>
    <w:rPr>
      <w:rFonts w:asciiTheme="majorHAnsi" w:eastAsiaTheme="majorEastAsia" w:hAnsiTheme="majorHAnsi" w:cstheme="majorBidi"/>
      <w:i/>
      <w:iCs/>
      <w:color w:val="404040" w:themeColor="text1" w:themeTint="BF"/>
    </w:rPr>
  </w:style>
  <w:style w:type="character" w:styleId="IntenseEmphasis">
    <w:name w:val="Intense Emphasis"/>
    <w:basedOn w:val="DefaultParagraphFont"/>
    <w:uiPriority w:val="21"/>
    <w:rsid w:val="00860F4E"/>
    <w:rPr>
      <w:b/>
      <w:bCs/>
      <w:i/>
      <w:iCs/>
      <w:color w:val="C0504D" w:themeColor="accent2"/>
    </w:rPr>
  </w:style>
  <w:style w:type="paragraph" w:styleId="Quote">
    <w:name w:val="Quote"/>
    <w:basedOn w:val="Normal"/>
    <w:next w:val="Normal"/>
    <w:link w:val="QuoteChar"/>
    <w:uiPriority w:val="29"/>
    <w:rsid w:val="00860F4E"/>
    <w:pPr>
      <w:ind w:left="737" w:right="737"/>
    </w:pPr>
    <w:rPr>
      <w:i/>
      <w:iCs/>
      <w:color w:val="000000" w:themeColor="text1"/>
    </w:rPr>
  </w:style>
  <w:style w:type="character" w:customStyle="1" w:styleId="QuoteChar">
    <w:name w:val="Quote Char"/>
    <w:basedOn w:val="DefaultParagraphFont"/>
    <w:link w:val="Quote"/>
    <w:uiPriority w:val="29"/>
    <w:rsid w:val="00860F4E"/>
    <w:rPr>
      <w:i/>
      <w:iCs/>
      <w:color w:val="000000" w:themeColor="text1"/>
    </w:rPr>
  </w:style>
  <w:style w:type="character" w:customStyle="1" w:styleId="TableTextSmallChar">
    <w:name w:val="Table Text Small Char"/>
    <w:basedOn w:val="TableTextChar"/>
    <w:link w:val="TableTextSmall"/>
    <w:uiPriority w:val="3"/>
    <w:rsid w:val="00307B64"/>
    <w:rPr>
      <w:rFonts w:eastAsiaTheme="minorEastAsia"/>
      <w:sz w:val="20"/>
      <w:szCs w:val="22"/>
      <w:lang w:val="en-US" w:bidi="en-US"/>
    </w:rPr>
  </w:style>
  <w:style w:type="paragraph" w:customStyle="1" w:styleId="bullettworeturns">
    <w:name w:val="bullettworeturns"/>
    <w:basedOn w:val="ListParagraph"/>
    <w:uiPriority w:val="7"/>
    <w:qFormat/>
    <w:rsid w:val="004734A3"/>
    <w:pPr>
      <w:numPr>
        <w:numId w:val="10"/>
      </w:numPr>
      <w:spacing w:after="480" w:line="240" w:lineRule="auto"/>
      <w:ind w:left="425" w:hanging="357"/>
      <w:contextualSpacing w:val="0"/>
    </w:pPr>
  </w:style>
  <w:style w:type="paragraph" w:customStyle="1" w:styleId="Default">
    <w:name w:val="Default"/>
    <w:rsid w:val="00024522"/>
    <w:pPr>
      <w:autoSpaceDE w:val="0"/>
      <w:autoSpaceDN w:val="0"/>
      <w:adjustRightInd w:val="0"/>
      <w:spacing w:after="0" w:line="240" w:lineRule="auto"/>
    </w:pPr>
    <w:rPr>
      <w:rFonts w:ascii="Calibri" w:hAnsi="Calibri" w:cs="Calibri"/>
      <w:color w:val="000000"/>
    </w:rPr>
  </w:style>
  <w:style w:type="paragraph" w:styleId="FootnoteText">
    <w:name w:val="footnote text"/>
    <w:basedOn w:val="Normal"/>
    <w:link w:val="FootnoteTextChar"/>
    <w:uiPriority w:val="99"/>
    <w:semiHidden/>
    <w:unhideWhenUsed/>
    <w:rsid w:val="00612030"/>
    <w:pPr>
      <w:spacing w:line="240" w:lineRule="auto"/>
    </w:pPr>
    <w:rPr>
      <w:sz w:val="20"/>
      <w:szCs w:val="20"/>
    </w:rPr>
  </w:style>
  <w:style w:type="character" w:customStyle="1" w:styleId="FootnoteTextChar">
    <w:name w:val="Footnote Text Char"/>
    <w:basedOn w:val="DefaultParagraphFont"/>
    <w:link w:val="FootnoteText"/>
    <w:uiPriority w:val="99"/>
    <w:semiHidden/>
    <w:rsid w:val="00612030"/>
    <w:rPr>
      <w:sz w:val="20"/>
      <w:szCs w:val="20"/>
    </w:rPr>
  </w:style>
  <w:style w:type="character" w:styleId="FootnoteReference">
    <w:name w:val="footnote reference"/>
    <w:basedOn w:val="DefaultParagraphFont"/>
    <w:uiPriority w:val="99"/>
    <w:semiHidden/>
    <w:unhideWhenUsed/>
    <w:rsid w:val="00612030"/>
    <w:rPr>
      <w:vertAlign w:val="superscript"/>
    </w:rPr>
  </w:style>
  <w:style w:type="character" w:styleId="CommentReference">
    <w:name w:val="annotation reference"/>
    <w:basedOn w:val="DefaultParagraphFont"/>
    <w:uiPriority w:val="99"/>
    <w:semiHidden/>
    <w:unhideWhenUsed/>
    <w:rsid w:val="002B509F"/>
    <w:rPr>
      <w:sz w:val="16"/>
      <w:szCs w:val="16"/>
    </w:rPr>
  </w:style>
  <w:style w:type="paragraph" w:styleId="CommentText">
    <w:name w:val="annotation text"/>
    <w:basedOn w:val="Normal"/>
    <w:link w:val="CommentTextChar"/>
    <w:uiPriority w:val="99"/>
    <w:semiHidden/>
    <w:unhideWhenUsed/>
    <w:rsid w:val="002B509F"/>
    <w:pPr>
      <w:spacing w:line="240" w:lineRule="auto"/>
    </w:pPr>
    <w:rPr>
      <w:sz w:val="20"/>
      <w:szCs w:val="20"/>
    </w:rPr>
  </w:style>
  <w:style w:type="character" w:customStyle="1" w:styleId="CommentTextChar">
    <w:name w:val="Comment Text Char"/>
    <w:basedOn w:val="DefaultParagraphFont"/>
    <w:link w:val="CommentText"/>
    <w:uiPriority w:val="99"/>
    <w:semiHidden/>
    <w:rsid w:val="002B509F"/>
    <w:rPr>
      <w:sz w:val="20"/>
      <w:szCs w:val="20"/>
    </w:rPr>
  </w:style>
  <w:style w:type="paragraph" w:styleId="CommentSubject">
    <w:name w:val="annotation subject"/>
    <w:basedOn w:val="CommentText"/>
    <w:next w:val="CommentText"/>
    <w:link w:val="CommentSubjectChar"/>
    <w:uiPriority w:val="99"/>
    <w:semiHidden/>
    <w:unhideWhenUsed/>
    <w:rsid w:val="002B509F"/>
    <w:rPr>
      <w:b/>
      <w:bCs/>
    </w:rPr>
  </w:style>
  <w:style w:type="character" w:customStyle="1" w:styleId="CommentSubjectChar">
    <w:name w:val="Comment Subject Char"/>
    <w:basedOn w:val="CommentTextChar"/>
    <w:link w:val="CommentSubject"/>
    <w:uiPriority w:val="99"/>
    <w:semiHidden/>
    <w:rsid w:val="002B509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863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www.wagetheft.wa.gov.au" TargetMode="External"/><Relationship Id="rId23" Type="http://schemas.openxmlformats.org/officeDocument/2006/relationships/footer" Target="footer4.xml"/><Relationship Id="rId10" Type="http://schemas.openxmlformats.org/officeDocument/2006/relationships/webSettings" Target="webSettings.xml"/><Relationship Id="rId19" Type="http://schemas.openxmlformats.org/officeDocument/2006/relationships/footer" Target="footer2.xml"/><Relationship Id="rId22" Type="http://schemas.openxmlformats.org/officeDocument/2006/relationships/image" Target="media/image2.jpeg"/><Relationship Id="rId9" Type="http://schemas.openxmlformats.org/officeDocument/2006/relationships/settings" Target="settings.xml"/><Relationship Id="rId14" Type="http://schemas.openxmlformats.org/officeDocument/2006/relationships/hyperlink" Target="http://www.dmirs.wa.gov.au/wagetheft"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dmirs.wa.gov.au/wagetheftinqui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etadata xmlns="http://www.objective.com/ecm/document/metadata/65F1F92071475276E05315230A0A9CBF" version="1.0.0">
  <systemFields>
    <field name="Objective-Id">
      <value order="0">A30170480</value>
    </field>
    <field name="Objective-Title">
      <value order="0">WA Government submission - Attorney-General's Department discussion paper -  Improving protections of employees' wages and entitlements - December 2019</value>
    </field>
    <field name="Objective-Description">
      <value order="0"/>
    </field>
    <field name="Objective-CreationStamp">
      <value order="0">2019-09-27T04:36:15Z</value>
    </field>
    <field name="Objective-IsApproved">
      <value order="0">false</value>
    </field>
    <field name="Objective-IsPublished">
      <value order="0">false</value>
    </field>
    <field name="Objective-DatePublished">
      <value order="0"/>
    </field>
    <field name="Objective-ModificationStamp">
      <value order="0">2019-12-11T03:59:03Z</value>
    </field>
    <field name="Objective-Owner">
      <value order="0">PURCELL, Claire</value>
    </field>
    <field name="Objective-Path">
      <value order="0">Global Folder:'DMIRS:Safety Regulation:Private Sector Labour Relations:Policy and Legal Directorate:Workplace Management:Advice:Wage Theft Initiatives:2019 October - WA Government Submission and Federal Government consultation - Strengthening Penalties for Non-Compliance (criminal sanctions):01 WA Government submission to Federal AG department consultation:WA Government submission, briefing note and attachments for Minister</value>
    </field>
    <field name="Objective-Parent">
      <value order="0">WA Government submission, briefing note and attachments for Minister</value>
    </field>
    <field name="Objective-State">
      <value order="0">Being Edited</value>
    </field>
    <field name="Objective-VersionId">
      <value order="0">vA32252553</value>
    </field>
    <field name="Objective-Version">
      <value order="0">1.1</value>
    </field>
    <field name="Objective-VersionNumber">
      <value order="0">2</value>
    </field>
    <field name="Objective-VersionComment">
      <value order="0"/>
    </field>
    <field name="Objective-FileNumber">
      <value order="0">qA1127976</value>
    </field>
    <field name="Objective-Classification">
      <value order="0"/>
    </field>
    <field name="Objective-Caveats">
      <value order="0"/>
    </field>
  </systemFields>
  <catalogues>
    <catalogue name="Divisional Document Type Catalogue" type="type" ori="id:cA39">
      <field name="Objective-External Reference">
        <value order="0"/>
      </field>
      <field name="Objective-TRIM Record Number">
        <value order="0"/>
      </field>
      <field name="Objective-Foreign Barcode">
        <value order="0"/>
      </field>
      <field name="Objective-Date of Document">
        <value order="0"/>
      </field>
      <field name="Objective-Author">
        <value order="0"/>
      </field>
      <field name="Objective-Archive Box">
        <value order="0"/>
      </field>
      <field name="Objective-Divisional Document Types">
        <value order="0"/>
      </field>
    </catalogue>
  </catalogues>
</metadat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haredContentType xmlns="Microsoft.SharePoint.Taxonomy.ContentTypeSync" SourceId="47aadd75-fb41-49d7-866d-414b51aa1b7e" ContentTypeId="0x0101000AC6246A9CD2FC45B52DC6FEC0F0AAAA" PreviousValue="false"/>
</file>

<file path=customXml/item5.xml><?xml version="1.0" encoding="utf-8"?>
<ct:contentTypeSchema xmlns:ct="http://schemas.microsoft.com/office/2006/metadata/contentType" xmlns:ma="http://schemas.microsoft.com/office/2006/metadata/properties/metaAttributes" ct:_="" ma:_="" ma:contentTypeName="Document" ma:contentTypeID="0x010100FC714AAB92087A479D18E34414527064" ma:contentTypeVersion="1" ma:contentTypeDescription="Create a new document." ma:contentTypeScope="" ma:versionID="0292e4baf4f0b8599fd5cd7e36eef051">
  <xsd:schema xmlns:xsd="http://www.w3.org/2001/XMLSchema" xmlns:xs="http://www.w3.org/2001/XMLSchema" xmlns:p="http://schemas.microsoft.com/office/2006/metadata/properties" xmlns:ns1="http://schemas.microsoft.com/sharepoint/v3" targetNamespace="http://schemas.microsoft.com/office/2006/metadata/properties" ma:root="true" ma:fieldsID="6f9746fe128b0ca74698fd9d7c13d39e"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45109E-2DDF-40CB-AC2B-FF9B10C90820}"/>
</file>

<file path=customXml/itemProps2.xml><?xml version="1.0" encoding="utf-8"?>
<ds:datastoreItem xmlns:ds="http://schemas.openxmlformats.org/officeDocument/2006/customXml" ds:itemID="{05D0ADC5-CA70-492B-ADE4-CBBC617A2699}"/>
</file>

<file path=customXml/itemProps3.xml><?xml version="1.0" encoding="utf-8"?>
<ds:datastoreItem xmlns:ds="http://schemas.openxmlformats.org/officeDocument/2006/customXml" ds:itemID="{30A7A603-8655-4377-B5AF-9C4AEFDEE159}"/>
</file>

<file path=customXml/itemProps4.xml><?xml version="1.0" encoding="utf-8"?>
<ds:datastoreItem xmlns:ds="http://schemas.openxmlformats.org/officeDocument/2006/customXml" ds:itemID="{FD8DBCA5-578A-47BB-A528-64509AC8E9CC}">
  <ds:schemaRefs>
    <ds:schemaRef ds:uri="Microsoft.SharePoint.Taxonomy.ContentTypeSync"/>
  </ds:schemaRefs>
</ds:datastoreItem>
</file>

<file path=customXml/itemProps5.xml><?xml version="1.0" encoding="utf-8"?>
<ds:datastoreItem xmlns:ds="http://schemas.openxmlformats.org/officeDocument/2006/customXml" ds:itemID="{692D1E76-92A3-48F0-8C71-272BFC978932}"/>
</file>

<file path=customXml/itemProps6.xml><?xml version="1.0" encoding="utf-8"?>
<ds:datastoreItem xmlns:ds="http://schemas.openxmlformats.org/officeDocument/2006/customXml" ds:itemID="{7BFDF120-71CA-4B01-B6A4-CB703E58062B}"/>
</file>

<file path=docProps/app.xml><?xml version="1.0" encoding="utf-8"?>
<Properties xmlns="http://schemas.openxmlformats.org/officeDocument/2006/extended-properties" xmlns:vt="http://schemas.openxmlformats.org/officeDocument/2006/docPropsVTypes">
  <Template>Normal</Template>
  <TotalTime>2139</TotalTime>
  <Pages>9</Pages>
  <Words>2831</Words>
  <Characters>16137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Department of Mines and Petroleum</Company>
  <LinksUpToDate>false</LinksUpToDate>
  <CharactersWithSpaces>18931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PURCELL, Claire</dc:creator>
  <cp:keywords/>
  <dc:description/>
  <cp:lastModifiedBy>Riethmuller, Imogen</cp:lastModifiedBy>
  <cp:revision>410</cp:revision>
  <cp:lastPrinted>2019-10-30T10:53:00Z</cp:lastPrinted>
  <dcterms:created xsi:type="dcterms:W3CDTF">2019-09-27T04:15:00Z</dcterms:created>
  <dcterms:modified xsi:type="dcterms:W3CDTF">2019-12-11T22:21:00Z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32123</vt:lpwstr>
  </property>
  <property fmtid="{D5CDD505-2E9C-101B-9397-08002B2CF9AE}" pid="3" name="Objective-Id">
    <vt:lpwstr>A30170480</vt:lpwstr>
  </property>
  <property fmtid="{D5CDD505-2E9C-101B-9397-08002B2CF9AE}" pid="4" name="Objective-Title">
    <vt:lpwstr>WA Government submission - Attorney-General's Department discussion paper -  Improving protections of employees' wages and entitlements - December 2019</vt:lpwstr>
  </property>
  <property fmtid="{D5CDD505-2E9C-101B-9397-08002B2CF9AE}" pid="5" name="Objective-Description">
    <vt:lpwstr/>
  </property>
  <property fmtid="{D5CDD505-2E9C-101B-9397-08002B2CF9AE}" pid="6" name="Objective-CreationStamp">
    <vt:filetime>2019-12-11T03:58:42Z</vt:filetime>
  </property>
  <property fmtid="{D5CDD505-2E9C-101B-9397-08002B2CF9AE}" pid="7" name="Objective-IsApproved">
    <vt:bool>false</vt:bool>
  </property>
  <property fmtid="{D5CDD505-2E9C-101B-9397-08002B2CF9AE}" pid="8" name="Objective-IsPublished">
    <vt:bool>false</vt:bool>
  </property>
  <property fmtid="{D5CDD505-2E9C-101B-9397-08002B2CF9AE}" pid="9" name="Objective-DatePublished">
    <vt:lpwstr/>
  </property>
  <property fmtid="{D5CDD505-2E9C-101B-9397-08002B2CF9AE}" pid="10" name="Objective-ModificationStamp">
    <vt:filetime>2019-12-11T03:59:03Z</vt:filetime>
  </property>
  <property fmtid="{D5CDD505-2E9C-101B-9397-08002B2CF9AE}" pid="11" name="Objective-Owner">
    <vt:lpwstr>PURCELL, Claire</vt:lpwstr>
  </property>
  <property fmtid="{D5CDD505-2E9C-101B-9397-08002B2CF9AE}" pid="12" name="Objective-Path">
    <vt:lpwstr>Global Folder:'DMIRS:Safety Regulation:Private Sector Labour Relations:Policy and Legal Directorate:Workplace Management:Advice:Wage Theft Initiatives:2019 October - WA Government Submission and Federal Government consultation - Strengthening Penalties fo</vt:lpwstr>
  </property>
  <property fmtid="{D5CDD505-2E9C-101B-9397-08002B2CF9AE}" pid="13" name="Objective-Parent">
    <vt:lpwstr>WA Government submission, briefing note and attachments for Minister</vt:lpwstr>
  </property>
  <property fmtid="{D5CDD505-2E9C-101B-9397-08002B2CF9AE}" pid="14" name="Objective-State">
    <vt:lpwstr>Being Edited</vt:lpwstr>
  </property>
  <property fmtid="{D5CDD505-2E9C-101B-9397-08002B2CF9AE}" pid="15" name="Objective-VersionId">
    <vt:lpwstr>vA32252553</vt:lpwstr>
  </property>
  <property fmtid="{D5CDD505-2E9C-101B-9397-08002B2CF9AE}" pid="16" name="Objective-Version">
    <vt:lpwstr>1.1</vt:lpwstr>
  </property>
  <property fmtid="{D5CDD505-2E9C-101B-9397-08002B2CF9AE}" pid="17" name="Objective-VersionNumber">
    <vt:r8>2</vt:r8>
  </property>
  <property fmtid="{D5CDD505-2E9C-101B-9397-08002B2CF9AE}" pid="18" name="Objective-VersionComment">
    <vt:lpwstr/>
  </property>
  <property fmtid="{D5CDD505-2E9C-101B-9397-08002B2CF9AE}" pid="19" name="Objective-FileNumber">
    <vt:lpwstr>LR0125/2019</vt:lpwstr>
  </property>
  <property fmtid="{D5CDD505-2E9C-101B-9397-08002B2CF9AE}" pid="20" name="Objective-Classification">
    <vt:lpwstr>[Inherited - none]</vt:lpwstr>
  </property>
  <property fmtid="{D5CDD505-2E9C-101B-9397-08002B2CF9AE}" pid="21" name="Objective-Caveats">
    <vt:lpwstr/>
  </property>
  <property fmtid="{D5CDD505-2E9C-101B-9397-08002B2CF9AE}" pid="22" name="Objective-External Reference">
    <vt:lpwstr/>
  </property>
  <property fmtid="{D5CDD505-2E9C-101B-9397-08002B2CF9AE}" pid="23" name="Objective-TRIM Record Number">
    <vt:lpwstr/>
  </property>
  <property fmtid="{D5CDD505-2E9C-101B-9397-08002B2CF9AE}" pid="24" name="Objective-Foreign Barcode">
    <vt:lpwstr/>
  </property>
  <property fmtid="{D5CDD505-2E9C-101B-9397-08002B2CF9AE}" pid="25" name="Objective-Date of Document">
    <vt:lpwstr/>
  </property>
  <property fmtid="{D5CDD505-2E9C-101B-9397-08002B2CF9AE}" pid="26" name="Objective-Author">
    <vt:lpwstr/>
  </property>
  <property fmtid="{D5CDD505-2E9C-101B-9397-08002B2CF9AE}" pid="27" name="Objective-Archive Box">
    <vt:lpwstr/>
  </property>
  <property fmtid="{D5CDD505-2E9C-101B-9397-08002B2CF9AE}" pid="28" name="Objective-Divisional Document Types">
    <vt:lpwstr/>
  </property>
  <property fmtid="{D5CDD505-2E9C-101B-9397-08002B2CF9AE}" pid="29" name="Objective-Comment">
    <vt:lpwstr/>
  </property>
  <property fmtid="{D5CDD505-2E9C-101B-9397-08002B2CF9AE}" pid="30" name="Objective-Divisional Document Types [system]">
    <vt:lpwstr/>
  </property>
  <property fmtid="{D5CDD505-2E9C-101B-9397-08002B2CF9AE}" pid="31" name="Objective-Author [system]">
    <vt:lpwstr/>
  </property>
  <property fmtid="{D5CDD505-2E9C-101B-9397-08002B2CF9AE}" pid="32" name="Objective-Date of Document [system]">
    <vt:lpwstr/>
  </property>
  <property fmtid="{D5CDD505-2E9C-101B-9397-08002B2CF9AE}" pid="33" name="Objective-External Reference [system]">
    <vt:lpwstr/>
  </property>
  <property fmtid="{D5CDD505-2E9C-101B-9397-08002B2CF9AE}" pid="34" name="Objective-Archive Box [system]">
    <vt:lpwstr/>
  </property>
  <property fmtid="{D5CDD505-2E9C-101B-9397-08002B2CF9AE}" pid="35" name="Objective-TRIM Record Number [system]">
    <vt:lpwstr/>
  </property>
  <property fmtid="{D5CDD505-2E9C-101B-9397-08002B2CF9AE}" pid="36" name="Objective-Foreign Barcode [system]">
    <vt:lpwstr/>
  </property>
  <property fmtid="{D5CDD505-2E9C-101B-9397-08002B2CF9AE}" pid="37" name="ContentTypeId">
    <vt:lpwstr>0x010100FC714AAB92087A479D18E34414527064</vt:lpwstr>
  </property>
</Properties>
</file>