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C6E75" w14:textId="41D16BBD" w:rsidR="00575B6E" w:rsidRDefault="00FF7DB4">
      <w:r>
        <w:rPr>
          <w:noProof/>
        </w:rPr>
        <mc:AlternateContent>
          <mc:Choice Requires="wps">
            <w:drawing>
              <wp:anchor distT="0" distB="0" distL="114300" distR="114300" simplePos="0" relativeHeight="251659264" behindDoc="0" locked="0" layoutInCell="1" allowOverlap="1" wp14:anchorId="1A1EF88C" wp14:editId="321E8E43">
                <wp:simplePos x="0" y="0"/>
                <wp:positionH relativeFrom="column">
                  <wp:posOffset>132404</wp:posOffset>
                </wp:positionH>
                <wp:positionV relativeFrom="paragraph">
                  <wp:posOffset>3535383</wp:posOffset>
                </wp:positionV>
                <wp:extent cx="5207000" cy="3550596"/>
                <wp:effectExtent l="0" t="0" r="0" b="0"/>
                <wp:wrapNone/>
                <wp:docPr id="7" name="Text Box 7"/>
                <wp:cNvGraphicFramePr/>
                <a:graphic xmlns:a="http://schemas.openxmlformats.org/drawingml/2006/main">
                  <a:graphicData uri="http://schemas.microsoft.com/office/word/2010/wordprocessingShape">
                    <wps:wsp>
                      <wps:cNvSpPr txBox="1"/>
                      <wps:spPr>
                        <a:xfrm>
                          <a:off x="0" y="0"/>
                          <a:ext cx="5207000" cy="3550596"/>
                        </a:xfrm>
                        <a:prstGeom prst="rect">
                          <a:avLst/>
                        </a:prstGeom>
                        <a:noFill/>
                        <a:ln w="6350">
                          <a:noFill/>
                        </a:ln>
                      </wps:spPr>
                      <wps:txbx>
                        <w:txbxContent>
                          <w:p w14:paraId="5B243F73" w14:textId="7E44B422" w:rsidR="0036404E" w:rsidRDefault="0036404E" w:rsidP="00FF7DB4">
                            <w:pPr>
                              <w:rPr>
                                <w:rFonts w:ascii="Arial" w:hAnsi="Arial" w:cs="Arial"/>
                                <w:b/>
                                <w:color w:val="056B38"/>
                                <w:sz w:val="60"/>
                                <w:szCs w:val="60"/>
                              </w:rPr>
                            </w:pPr>
                            <w:r>
                              <w:rPr>
                                <w:rFonts w:ascii="Arial" w:hAnsi="Arial" w:cs="Arial"/>
                                <w:b/>
                                <w:color w:val="056B38"/>
                                <w:sz w:val="60"/>
                                <w:szCs w:val="60"/>
                              </w:rPr>
                              <w:t>Attorney General’s Department Discussion Paper</w:t>
                            </w:r>
                          </w:p>
                          <w:p w14:paraId="1F5D74CB" w14:textId="2B2827B4" w:rsidR="0036404E" w:rsidRPr="00FF7DB4" w:rsidRDefault="0036404E" w:rsidP="00FF7DB4">
                            <w:pPr>
                              <w:rPr>
                                <w:rFonts w:ascii="Arial" w:hAnsi="Arial" w:cs="Arial"/>
                                <w:b/>
                                <w:color w:val="056B38"/>
                                <w:sz w:val="60"/>
                                <w:szCs w:val="60"/>
                              </w:rPr>
                            </w:pPr>
                          </w:p>
                          <w:p w14:paraId="3F5FC6D1" w14:textId="77777777" w:rsidR="0036404E" w:rsidRPr="00F96227" w:rsidRDefault="0036404E" w:rsidP="00F96227">
                            <w:pPr>
                              <w:rPr>
                                <w:rFonts w:ascii="Arial" w:hAnsi="Arial" w:cs="Arial"/>
                                <w:b/>
                                <w:bCs/>
                                <w:color w:val="056B38"/>
                                <w:sz w:val="40"/>
                                <w:szCs w:val="40"/>
                              </w:rPr>
                            </w:pPr>
                            <w:r w:rsidRPr="00F96227">
                              <w:rPr>
                                <w:rFonts w:ascii="Arial" w:hAnsi="Arial" w:cs="Arial"/>
                                <w:b/>
                                <w:bCs/>
                                <w:color w:val="056B38"/>
                                <w:sz w:val="40"/>
                                <w:szCs w:val="40"/>
                              </w:rPr>
                              <w:t xml:space="preserve">Improving protections of employees’ wages and entitlements: strengthening penalties for non-compliance </w:t>
                            </w:r>
                          </w:p>
                          <w:p w14:paraId="5D92F7AF" w14:textId="6A34D11C" w:rsidR="0036404E" w:rsidRDefault="0036404E" w:rsidP="00FF7DB4">
                            <w:pPr>
                              <w:rPr>
                                <w:rFonts w:ascii="Arial" w:hAnsi="Arial" w:cs="Arial"/>
                                <w:b/>
                                <w:color w:val="056B38"/>
                                <w:sz w:val="60"/>
                                <w:szCs w:val="60"/>
                              </w:rPr>
                            </w:pPr>
                          </w:p>
                          <w:p w14:paraId="07470587" w14:textId="63BE9FC3" w:rsidR="0036404E" w:rsidRPr="00FF7DB4" w:rsidRDefault="0036404E" w:rsidP="00FF7DB4">
                            <w:pPr>
                              <w:rPr>
                                <w:rFonts w:ascii="Arial" w:hAnsi="Arial" w:cs="Arial"/>
                                <w:color w:val="056B38"/>
                                <w:sz w:val="32"/>
                                <w:szCs w:val="32"/>
                              </w:rPr>
                            </w:pPr>
                            <w:r>
                              <w:rPr>
                                <w:rFonts w:ascii="Arial" w:hAnsi="Arial" w:cs="Arial"/>
                                <w:color w:val="056B38"/>
                                <w:sz w:val="32"/>
                                <w:szCs w:val="32"/>
                              </w:rPr>
                              <w:t>October</w:t>
                            </w:r>
                            <w:r w:rsidRPr="00FF7DB4">
                              <w:rPr>
                                <w:rFonts w:ascii="Arial" w:hAnsi="Arial" w:cs="Arial"/>
                                <w:color w:val="056B38"/>
                                <w:sz w:val="32"/>
                                <w:szCs w:val="32"/>
                              </w:rPr>
                              <w:t xml:space="preserve"> 20</w:t>
                            </w:r>
                            <w:r>
                              <w:rPr>
                                <w:rFonts w:ascii="Arial" w:hAnsi="Arial" w:cs="Arial"/>
                                <w:color w:val="056B38"/>
                                <w:sz w:val="32"/>
                                <w:szCs w:val="32"/>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EF88C" id="_x0000_t202" coordsize="21600,21600" o:spt="202" path="m,l,21600r21600,l21600,xe">
                <v:stroke joinstyle="miter"/>
                <v:path gradientshapeok="t" o:connecttype="rect"/>
              </v:shapetype>
              <v:shape id="Text Box 7" o:spid="_x0000_s1026" type="#_x0000_t202" style="position:absolute;margin-left:10.45pt;margin-top:278.4pt;width:410pt;height:27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" filled="f" stroked="f" strokeweight=".5pt">
                <v:textbox>
                  <w:txbxContent>
                    <w:p w14:paraId="5B243F73" w14:textId="7E44B422" w:rsidR="0036404E" w:rsidRDefault="0036404E" w:rsidP="00FF7DB4">
                      <w:pPr>
                        <w:rPr>
                          <w:rFonts w:ascii="Arial" w:hAnsi="Arial" w:cs="Arial"/>
                          <w:b/>
                          <w:color w:val="056B38"/>
                          <w:sz w:val="60"/>
                          <w:szCs w:val="60"/>
                        </w:rPr>
                      </w:pPr>
                      <w:r>
                        <w:rPr>
                          <w:rFonts w:ascii="Arial" w:hAnsi="Arial" w:cs="Arial"/>
                          <w:b/>
                          <w:color w:val="056B38"/>
                          <w:sz w:val="60"/>
                          <w:szCs w:val="60"/>
                        </w:rPr>
                        <w:t>Attorney General’s Department Discussion Paper</w:t>
                      </w:r>
                    </w:p>
                    <w:p w14:paraId="1F5D74CB" w14:textId="2B2827B4" w:rsidR="0036404E" w:rsidRPr="00FF7DB4" w:rsidRDefault="0036404E" w:rsidP="00FF7DB4">
                      <w:pPr>
                        <w:rPr>
                          <w:rFonts w:ascii="Arial" w:hAnsi="Arial" w:cs="Arial"/>
                          <w:b/>
                          <w:color w:val="056B38"/>
                          <w:sz w:val="60"/>
                          <w:szCs w:val="60"/>
                        </w:rPr>
                      </w:pPr>
                    </w:p>
                    <w:p w14:paraId="3F5FC6D1" w14:textId="77777777" w:rsidR="0036404E" w:rsidRPr="00F96227" w:rsidRDefault="0036404E" w:rsidP="00F96227">
                      <w:pPr>
                        <w:rPr>
                          <w:rFonts w:ascii="Arial" w:hAnsi="Arial" w:cs="Arial"/>
                          <w:b/>
                          <w:bCs/>
                          <w:color w:val="056B38"/>
                          <w:sz w:val="40"/>
                          <w:szCs w:val="40"/>
                        </w:rPr>
                      </w:pPr>
                      <w:r w:rsidRPr="00F96227">
                        <w:rPr>
                          <w:rFonts w:ascii="Arial" w:hAnsi="Arial" w:cs="Arial"/>
                          <w:b/>
                          <w:bCs/>
                          <w:color w:val="056B38"/>
                          <w:sz w:val="40"/>
                          <w:szCs w:val="40"/>
                        </w:rPr>
                        <w:t xml:space="preserve">Improving protections of employees’ wages and entitlements: strengthening penalties for non-compliance </w:t>
                      </w:r>
                    </w:p>
                    <w:p w14:paraId="5D92F7AF" w14:textId="6A34D11C" w:rsidR="0036404E" w:rsidRDefault="0036404E" w:rsidP="00FF7DB4">
                      <w:pPr>
                        <w:rPr>
                          <w:rFonts w:ascii="Arial" w:hAnsi="Arial" w:cs="Arial"/>
                          <w:b/>
                          <w:color w:val="056B38"/>
                          <w:sz w:val="60"/>
                          <w:szCs w:val="60"/>
                        </w:rPr>
                      </w:pPr>
                    </w:p>
                    <w:p w14:paraId="07470587" w14:textId="63BE9FC3" w:rsidR="0036404E" w:rsidRPr="00FF7DB4" w:rsidRDefault="0036404E" w:rsidP="00FF7DB4">
                      <w:pPr>
                        <w:rPr>
                          <w:rFonts w:ascii="Arial" w:hAnsi="Arial" w:cs="Arial"/>
                          <w:color w:val="056B38"/>
                          <w:sz w:val="32"/>
                          <w:szCs w:val="32"/>
                        </w:rPr>
                      </w:pPr>
                      <w:r>
                        <w:rPr>
                          <w:rFonts w:ascii="Arial" w:hAnsi="Arial" w:cs="Arial"/>
                          <w:color w:val="056B38"/>
                          <w:sz w:val="32"/>
                          <w:szCs w:val="32"/>
                        </w:rPr>
                        <w:t>October</w:t>
                      </w:r>
                      <w:r w:rsidRPr="00FF7DB4">
                        <w:rPr>
                          <w:rFonts w:ascii="Arial" w:hAnsi="Arial" w:cs="Arial"/>
                          <w:color w:val="056B38"/>
                          <w:sz w:val="32"/>
                          <w:szCs w:val="32"/>
                        </w:rPr>
                        <w:t xml:space="preserve"> 20</w:t>
                      </w:r>
                      <w:r>
                        <w:rPr>
                          <w:rFonts w:ascii="Arial" w:hAnsi="Arial" w:cs="Arial"/>
                          <w:color w:val="056B38"/>
                          <w:sz w:val="32"/>
                          <w:szCs w:val="32"/>
                        </w:rPr>
                        <w:t>19</w:t>
                      </w:r>
                    </w:p>
                  </w:txbxContent>
                </v:textbox>
              </v:shape>
            </w:pict>
          </mc:Fallback>
        </mc:AlternateContent>
      </w:r>
      <w:r w:rsidR="00575B6E">
        <w:br w:type="page"/>
      </w:r>
    </w:p>
    <w:p w14:paraId="7EF19ED1" w14:textId="4634B085" w:rsidR="009450E9" w:rsidRPr="00A35244" w:rsidRDefault="009450E9" w:rsidP="009450E9">
      <w:pPr>
        <w:pStyle w:val="PageSectionheading"/>
        <w:jc w:val="center"/>
        <w:rPr>
          <w:sz w:val="40"/>
          <w:szCs w:val="44"/>
        </w:rPr>
      </w:pPr>
      <w:r w:rsidRPr="00A35244">
        <w:rPr>
          <w:sz w:val="40"/>
          <w:szCs w:val="44"/>
        </w:rPr>
        <w:lastRenderedPageBreak/>
        <w:t>About</w:t>
      </w:r>
    </w:p>
    <w:p w14:paraId="7D41518D" w14:textId="4DE29458" w:rsidR="009450E9" w:rsidRDefault="009450E9" w:rsidP="009450E9">
      <w:pPr>
        <w:pStyle w:val="Body"/>
      </w:pPr>
    </w:p>
    <w:p w14:paraId="4AC84F6B" w14:textId="51149E7C" w:rsidR="00A35244" w:rsidRPr="00BB3EBB" w:rsidRDefault="00A35244" w:rsidP="00FD219D">
      <w:pPr>
        <w:pStyle w:val="Body"/>
        <w:spacing w:after="120"/>
        <w:rPr>
          <w:rFonts w:cs="Arial"/>
          <w:sz w:val="24"/>
          <w:szCs w:val="24"/>
        </w:rPr>
      </w:pPr>
      <w:r w:rsidRPr="00BB3EBB">
        <w:rPr>
          <w:rFonts w:cs="Arial"/>
          <w:sz w:val="24"/>
          <w:szCs w:val="24"/>
        </w:rPr>
        <w:t>The Australian Fresh Produce Alliance (AFPA) is made up of Australia’s key fresh produce growers and suppliers.</w:t>
      </w:r>
      <w:r w:rsidR="00FD219D" w:rsidRPr="00BB3EBB">
        <w:rPr>
          <w:rFonts w:cs="Arial"/>
          <w:sz w:val="24"/>
          <w:szCs w:val="24"/>
        </w:rPr>
        <w:t xml:space="preserve"> </w:t>
      </w:r>
      <w:r w:rsidRPr="00BB3EBB">
        <w:rPr>
          <w:rFonts w:cs="Arial"/>
          <w:sz w:val="24"/>
          <w:szCs w:val="24"/>
        </w:rPr>
        <w:t xml:space="preserve">The members include: </w:t>
      </w:r>
    </w:p>
    <w:p w14:paraId="158B5D94" w14:textId="77777777" w:rsidR="00A35244" w:rsidRPr="00BB3EBB" w:rsidRDefault="00A35244" w:rsidP="00A35244">
      <w:pPr>
        <w:pStyle w:val="Body"/>
        <w:numPr>
          <w:ilvl w:val="0"/>
          <w:numId w:val="14"/>
        </w:numPr>
        <w:spacing w:after="120"/>
        <w:rPr>
          <w:rFonts w:cs="Arial"/>
          <w:sz w:val="24"/>
          <w:szCs w:val="24"/>
        </w:rPr>
        <w:sectPr w:rsidR="00A35244" w:rsidRPr="00BB3EBB" w:rsidSect="009450E9">
          <w:footerReference w:type="even" r:id="rId8"/>
          <w:footerReference w:type="default" r:id="rId9"/>
          <w:headerReference w:type="first" r:id="rId10"/>
          <w:footerReference w:type="first" r:id="rId11"/>
          <w:type w:val="continuous"/>
          <w:pgSz w:w="11900" w:h="16840"/>
          <w:pgMar w:top="1418" w:right="680" w:bottom="851" w:left="680" w:header="709" w:footer="510" w:gutter="0"/>
          <w:cols w:space="708"/>
          <w:titlePg/>
          <w:docGrid w:linePitch="360"/>
        </w:sectPr>
      </w:pPr>
    </w:p>
    <w:p w14:paraId="019B88C0" w14:textId="4EF12E55"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Costa Group, </w:t>
      </w:r>
    </w:p>
    <w:p w14:paraId="46D9EF2A" w14:textId="11A011AD"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Perfection Fresh, </w:t>
      </w:r>
    </w:p>
    <w:p w14:paraId="31B8E7B1" w14:textId="44D2C694"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Montague, </w:t>
      </w:r>
    </w:p>
    <w:p w14:paraId="1D9D308B" w14:textId="65190676"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One Harvest, </w:t>
      </w:r>
    </w:p>
    <w:p w14:paraId="325C03A9" w14:textId="0C19CFE3"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Pinata Farms, </w:t>
      </w:r>
    </w:p>
    <w:p w14:paraId="0F0548F5" w14:textId="5548E3F9"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Fresh Select, </w:t>
      </w:r>
    </w:p>
    <w:p w14:paraId="58CC9B52" w14:textId="685E9D3F"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Mitolo Group, </w:t>
      </w:r>
    </w:p>
    <w:p w14:paraId="3C6F7B18" w14:textId="10C37945"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Mackay’s Banana Marketing, </w:t>
      </w:r>
    </w:p>
    <w:p w14:paraId="1BD22D8D" w14:textId="360FF773"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Driscoll’s, </w:t>
      </w:r>
    </w:p>
    <w:p w14:paraId="692A27ED" w14:textId="1D94D723"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2PH Farms, </w:t>
      </w:r>
    </w:p>
    <w:p w14:paraId="114AA7A9" w14:textId="6FE316F5"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LaManna Premier</w:t>
      </w:r>
      <w:r w:rsidR="008E1D81" w:rsidRPr="00BB3EBB">
        <w:rPr>
          <w:rFonts w:cs="Arial"/>
          <w:sz w:val="24"/>
          <w:szCs w:val="24"/>
        </w:rPr>
        <w:t xml:space="preserve"> Group</w:t>
      </w:r>
      <w:r w:rsidRPr="00BB3EBB">
        <w:rPr>
          <w:rFonts w:cs="Arial"/>
          <w:sz w:val="24"/>
          <w:szCs w:val="24"/>
        </w:rPr>
        <w:t xml:space="preserve">, </w:t>
      </w:r>
    </w:p>
    <w:p w14:paraId="780EBBD5" w14:textId="2380FB6B"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Rugby Farming, </w:t>
      </w:r>
    </w:p>
    <w:p w14:paraId="6848D87B" w14:textId="263A0054"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Freshmax, and </w:t>
      </w:r>
    </w:p>
    <w:p w14:paraId="4DA5DB7F" w14:textId="43EBFA61"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Fresh Produce Group.   </w:t>
      </w:r>
    </w:p>
    <w:p w14:paraId="5902B2BE" w14:textId="77777777" w:rsidR="00A35244" w:rsidRPr="00BB3EBB" w:rsidRDefault="00A35244" w:rsidP="00A35244">
      <w:pPr>
        <w:pStyle w:val="Body"/>
        <w:spacing w:after="120"/>
        <w:rPr>
          <w:rFonts w:cs="Arial"/>
          <w:sz w:val="24"/>
          <w:szCs w:val="24"/>
        </w:rPr>
        <w:sectPr w:rsidR="00A35244" w:rsidRPr="00BB3EBB" w:rsidSect="00A35244">
          <w:type w:val="continuous"/>
          <w:pgSz w:w="11900" w:h="16840"/>
          <w:pgMar w:top="1418" w:right="680" w:bottom="851" w:left="680" w:header="709" w:footer="510" w:gutter="0"/>
          <w:cols w:num="2" w:space="708"/>
          <w:titlePg/>
          <w:docGrid w:linePitch="360"/>
        </w:sectPr>
      </w:pPr>
    </w:p>
    <w:p w14:paraId="6EE277CB" w14:textId="1E91C36B" w:rsidR="00A35244" w:rsidRPr="00BB3EBB" w:rsidRDefault="00A35244" w:rsidP="00F161F4">
      <w:pPr>
        <w:pStyle w:val="Body"/>
        <w:spacing w:before="180" w:after="120"/>
        <w:rPr>
          <w:rFonts w:cs="Arial"/>
          <w:sz w:val="24"/>
          <w:szCs w:val="24"/>
        </w:rPr>
      </w:pPr>
      <w:r w:rsidRPr="00BB3EBB">
        <w:rPr>
          <w:rFonts w:cs="Arial"/>
          <w:sz w:val="24"/>
          <w:szCs w:val="24"/>
        </w:rPr>
        <w:t>These businesses represent:</w:t>
      </w:r>
    </w:p>
    <w:p w14:paraId="011A8CBA" w14:textId="75F9A4AF"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half the industry turnover of the Australian fresh produce (fruit and vegetables) sector - $4.5 billion of the $9.1 billion total, </w:t>
      </w:r>
    </w:p>
    <w:p w14:paraId="72957749" w14:textId="60FF3CA7"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a quarter of the volume of fresh produce grown in Australia - 1 million of the 3.9 million tonne total, </w:t>
      </w:r>
    </w:p>
    <w:p w14:paraId="6B0E22CE" w14:textId="1571E2FE"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more than a third of fresh produce exports - $410 million of the $1.2 billion export total,  </w:t>
      </w:r>
    </w:p>
    <w:p w14:paraId="185A24CF" w14:textId="0E74B90E"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more than 1,000 growers through commercial arrangements, and  </w:t>
      </w:r>
    </w:p>
    <w:p w14:paraId="5542E94C" w14:textId="2E3E6BE9"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 xml:space="preserve">more than 15,000 direct employees through peak harvest, and </w:t>
      </w:r>
    </w:p>
    <w:p w14:paraId="02FCE91F" w14:textId="4820256C" w:rsidR="00A35244" w:rsidRPr="00BB3EBB" w:rsidRDefault="00A35244" w:rsidP="00FD219D">
      <w:pPr>
        <w:pStyle w:val="Body"/>
        <w:numPr>
          <w:ilvl w:val="0"/>
          <w:numId w:val="14"/>
        </w:numPr>
        <w:spacing w:after="60"/>
        <w:ind w:left="1077" w:hanging="357"/>
        <w:rPr>
          <w:rFonts w:cs="Arial"/>
          <w:sz w:val="24"/>
          <w:szCs w:val="24"/>
        </w:rPr>
      </w:pPr>
      <w:r w:rsidRPr="00BB3EBB">
        <w:rPr>
          <w:rFonts w:cs="Arial"/>
          <w:sz w:val="24"/>
          <w:szCs w:val="24"/>
        </w:rPr>
        <w:t>up to 25,000 employees in the grower network.</w:t>
      </w:r>
    </w:p>
    <w:p w14:paraId="3B87FBF1" w14:textId="77777777" w:rsidR="00A35244" w:rsidRPr="00BB3EBB" w:rsidRDefault="00A35244" w:rsidP="00F161F4">
      <w:pPr>
        <w:pStyle w:val="Body"/>
        <w:spacing w:before="180" w:after="120"/>
        <w:rPr>
          <w:rFonts w:cs="Arial"/>
          <w:sz w:val="24"/>
          <w:szCs w:val="24"/>
        </w:rPr>
      </w:pPr>
      <w:r w:rsidRPr="00BB3EBB">
        <w:rPr>
          <w:rFonts w:cs="Arial"/>
          <w:sz w:val="24"/>
          <w:szCs w:val="24"/>
        </w:rPr>
        <w:t>The key issues the AFPA is focusing on include:</w:t>
      </w:r>
    </w:p>
    <w:p w14:paraId="6AD91070" w14:textId="78B2EF9F" w:rsidR="00A35244" w:rsidRPr="00BB3EBB" w:rsidRDefault="00FD5A57" w:rsidP="00FD219D">
      <w:pPr>
        <w:pStyle w:val="Body"/>
        <w:numPr>
          <w:ilvl w:val="0"/>
          <w:numId w:val="14"/>
        </w:numPr>
        <w:spacing w:after="60"/>
        <w:ind w:left="1077" w:hanging="357"/>
        <w:rPr>
          <w:rFonts w:cs="Arial"/>
          <w:sz w:val="24"/>
          <w:szCs w:val="24"/>
        </w:rPr>
      </w:pPr>
      <w:r w:rsidRPr="00BB3EBB">
        <w:rPr>
          <w:rFonts w:cs="Arial"/>
          <w:sz w:val="24"/>
          <w:szCs w:val="24"/>
        </w:rPr>
        <w:t>p</w:t>
      </w:r>
      <w:r w:rsidR="00A35244" w:rsidRPr="00BB3EBB">
        <w:rPr>
          <w:rFonts w:cs="Arial"/>
          <w:sz w:val="24"/>
          <w:szCs w:val="24"/>
        </w:rPr>
        <w:t xml:space="preserve">ackaging and the role it plays in product shelf life and reducing food waste </w:t>
      </w:r>
      <w:r w:rsidRPr="00BB3EBB">
        <w:rPr>
          <w:rFonts w:cs="Arial"/>
          <w:sz w:val="24"/>
          <w:szCs w:val="24"/>
        </w:rPr>
        <w:t xml:space="preserve">landfill, </w:t>
      </w:r>
    </w:p>
    <w:p w14:paraId="245878E6" w14:textId="1533C73A" w:rsidR="00A35244" w:rsidRPr="00BB3EBB" w:rsidRDefault="00FD5A57" w:rsidP="00FD219D">
      <w:pPr>
        <w:pStyle w:val="Body"/>
        <w:numPr>
          <w:ilvl w:val="0"/>
          <w:numId w:val="14"/>
        </w:numPr>
        <w:spacing w:after="60"/>
        <w:ind w:left="1077" w:hanging="357"/>
        <w:rPr>
          <w:rFonts w:cs="Arial"/>
          <w:sz w:val="24"/>
          <w:szCs w:val="24"/>
        </w:rPr>
      </w:pPr>
      <w:r w:rsidRPr="00BB3EBB">
        <w:rPr>
          <w:rFonts w:cs="Arial"/>
          <w:sz w:val="24"/>
          <w:szCs w:val="24"/>
        </w:rPr>
        <w:t>l</w:t>
      </w:r>
      <w:r w:rsidR="00A35244" w:rsidRPr="00BB3EBB">
        <w:rPr>
          <w:rFonts w:cs="Arial"/>
          <w:sz w:val="24"/>
          <w:szCs w:val="24"/>
        </w:rPr>
        <w:t>abour and the need for both a permanent and temporary supply of workers</w:t>
      </w:r>
      <w:r w:rsidRPr="00BB3EBB">
        <w:rPr>
          <w:rFonts w:cs="Arial"/>
          <w:sz w:val="24"/>
          <w:szCs w:val="24"/>
        </w:rPr>
        <w:t xml:space="preserve">, </w:t>
      </w:r>
    </w:p>
    <w:p w14:paraId="7122CBB8" w14:textId="55F23E76" w:rsidR="00A35244" w:rsidRPr="00BB3EBB" w:rsidRDefault="00FD5A57" w:rsidP="00FD219D">
      <w:pPr>
        <w:pStyle w:val="Body"/>
        <w:numPr>
          <w:ilvl w:val="0"/>
          <w:numId w:val="14"/>
        </w:numPr>
        <w:spacing w:after="60"/>
        <w:ind w:left="1077" w:hanging="357"/>
        <w:rPr>
          <w:rFonts w:cs="Arial"/>
          <w:sz w:val="24"/>
          <w:szCs w:val="24"/>
        </w:rPr>
      </w:pPr>
      <w:r w:rsidRPr="00BB3EBB">
        <w:rPr>
          <w:rFonts w:cs="Arial"/>
          <w:sz w:val="24"/>
          <w:szCs w:val="24"/>
        </w:rPr>
        <w:t>m</w:t>
      </w:r>
      <w:r w:rsidR="00A35244" w:rsidRPr="00BB3EBB">
        <w:rPr>
          <w:rFonts w:cs="Arial"/>
          <w:sz w:val="24"/>
          <w:szCs w:val="24"/>
        </w:rPr>
        <w:t>arket access to key export markets for Australian produce</w:t>
      </w:r>
      <w:r w:rsidRPr="00BB3EBB">
        <w:rPr>
          <w:rFonts w:cs="Arial"/>
          <w:sz w:val="24"/>
          <w:szCs w:val="24"/>
        </w:rPr>
        <w:t xml:space="preserve">, </w:t>
      </w:r>
    </w:p>
    <w:p w14:paraId="5EEE4C93" w14:textId="0E16767E" w:rsidR="00A35244" w:rsidRPr="00BB3EBB" w:rsidRDefault="00FD5A57" w:rsidP="00FD219D">
      <w:pPr>
        <w:pStyle w:val="Body"/>
        <w:numPr>
          <w:ilvl w:val="0"/>
          <w:numId w:val="14"/>
        </w:numPr>
        <w:spacing w:after="60"/>
        <w:ind w:left="1077" w:hanging="357"/>
        <w:rPr>
          <w:rFonts w:cs="Arial"/>
          <w:sz w:val="24"/>
          <w:szCs w:val="24"/>
        </w:rPr>
      </w:pPr>
      <w:r w:rsidRPr="00BB3EBB">
        <w:rPr>
          <w:rFonts w:cs="Arial"/>
          <w:sz w:val="24"/>
          <w:szCs w:val="24"/>
        </w:rPr>
        <w:t>p</w:t>
      </w:r>
      <w:r w:rsidR="00A35244" w:rsidRPr="00BB3EBB">
        <w:rPr>
          <w:rFonts w:cs="Arial"/>
          <w:sz w:val="24"/>
          <w:szCs w:val="24"/>
        </w:rPr>
        <w:t>roduct integrity both within and outside of the supply chain</w:t>
      </w:r>
      <w:r w:rsidRPr="00BB3EBB">
        <w:rPr>
          <w:rFonts w:cs="Arial"/>
          <w:sz w:val="24"/>
          <w:szCs w:val="24"/>
        </w:rPr>
        <w:t xml:space="preserve">, </w:t>
      </w:r>
    </w:p>
    <w:p w14:paraId="76FC919E" w14:textId="14F07890" w:rsidR="00A35244" w:rsidRPr="00BB3EBB" w:rsidRDefault="00FD5A57" w:rsidP="00FD219D">
      <w:pPr>
        <w:pStyle w:val="Body"/>
        <w:numPr>
          <w:ilvl w:val="0"/>
          <w:numId w:val="14"/>
        </w:numPr>
        <w:spacing w:after="60"/>
        <w:ind w:left="1077" w:hanging="357"/>
        <w:rPr>
          <w:rFonts w:cs="Arial"/>
          <w:sz w:val="24"/>
          <w:szCs w:val="24"/>
        </w:rPr>
      </w:pPr>
      <w:r w:rsidRPr="00BB3EBB">
        <w:rPr>
          <w:rFonts w:cs="Arial"/>
          <w:sz w:val="24"/>
          <w:szCs w:val="24"/>
        </w:rPr>
        <w:t>p</w:t>
      </w:r>
      <w:r w:rsidR="00A35244" w:rsidRPr="00BB3EBB">
        <w:rPr>
          <w:rFonts w:cs="Arial"/>
          <w:sz w:val="24"/>
          <w:szCs w:val="24"/>
        </w:rPr>
        <w:t>ollination and research into alternative sources</w:t>
      </w:r>
      <w:r w:rsidRPr="00BB3EBB">
        <w:rPr>
          <w:rFonts w:cs="Arial"/>
          <w:sz w:val="24"/>
          <w:szCs w:val="24"/>
        </w:rPr>
        <w:t>, and</w:t>
      </w:r>
    </w:p>
    <w:p w14:paraId="526B6205" w14:textId="4A1E2C14" w:rsidR="00A35244" w:rsidRPr="00BB3EBB" w:rsidRDefault="00FD5A57" w:rsidP="00FD219D">
      <w:pPr>
        <w:pStyle w:val="Body"/>
        <w:numPr>
          <w:ilvl w:val="0"/>
          <w:numId w:val="14"/>
        </w:numPr>
        <w:spacing w:after="60"/>
        <w:ind w:left="1077" w:hanging="357"/>
        <w:rPr>
          <w:rFonts w:cs="Arial"/>
          <w:sz w:val="24"/>
          <w:szCs w:val="24"/>
        </w:rPr>
      </w:pPr>
      <w:r w:rsidRPr="00BB3EBB">
        <w:rPr>
          <w:rFonts w:cs="Arial"/>
          <w:sz w:val="24"/>
          <w:szCs w:val="24"/>
        </w:rPr>
        <w:t>w</w:t>
      </w:r>
      <w:r w:rsidR="00A35244" w:rsidRPr="00BB3EBB">
        <w:rPr>
          <w:rFonts w:cs="Arial"/>
          <w:sz w:val="24"/>
          <w:szCs w:val="24"/>
        </w:rPr>
        <w:t>ater security, including clear direction as to the allocation and trading of water rights.</w:t>
      </w:r>
    </w:p>
    <w:p w14:paraId="3A6419F3" w14:textId="2E4743A3" w:rsidR="001D651E" w:rsidRPr="00BB3EBB" w:rsidRDefault="00A35244" w:rsidP="000B1D9E">
      <w:pPr>
        <w:pStyle w:val="Body"/>
        <w:spacing w:before="240" w:after="120"/>
        <w:rPr>
          <w:rFonts w:cs="Arial"/>
          <w:sz w:val="24"/>
          <w:szCs w:val="24"/>
        </w:rPr>
      </w:pPr>
      <w:r w:rsidRPr="00BB3EBB">
        <w:rPr>
          <w:rFonts w:cs="Arial"/>
          <w:sz w:val="24"/>
          <w:szCs w:val="24"/>
        </w:rPr>
        <w:t>The AFPA’s aim therefore is to become the first-choice fresh produce group that retailers and government go to for discussion and outcomes on issues involving the growing and supply of fresh produce.</w:t>
      </w:r>
    </w:p>
    <w:p w14:paraId="0BA1626F" w14:textId="784CEE6F" w:rsidR="00A35244" w:rsidRPr="00BB3EBB" w:rsidRDefault="001D651E" w:rsidP="001D651E">
      <w:pPr>
        <w:pStyle w:val="PageSectionheading"/>
        <w:jc w:val="center"/>
        <w:rPr>
          <w:rFonts w:cs="Arial"/>
          <w:b w:val="0"/>
          <w:bCs w:val="0"/>
          <w:color w:val="000000" w:themeColor="text1"/>
          <w:sz w:val="24"/>
          <w:szCs w:val="24"/>
        </w:rPr>
      </w:pPr>
      <w:r w:rsidRPr="00BB3EBB">
        <w:rPr>
          <w:rFonts w:cs="Arial"/>
          <w:b w:val="0"/>
          <w:bCs w:val="0"/>
          <w:color w:val="000000" w:themeColor="text1"/>
          <w:sz w:val="24"/>
          <w:szCs w:val="24"/>
        </w:rPr>
        <w:t>Products grown by AFPA Member companies include:</w:t>
      </w:r>
    </w:p>
    <w:p w14:paraId="5A8D42EA" w14:textId="77777777" w:rsidR="001D651E" w:rsidRPr="00BB3EBB" w:rsidRDefault="001D651E" w:rsidP="00A35244">
      <w:pPr>
        <w:pStyle w:val="PageSectionheading"/>
        <w:rPr>
          <w:rFonts w:cs="Arial"/>
          <w:b w:val="0"/>
          <w:bCs w:val="0"/>
          <w:color w:val="000000" w:themeColor="text1"/>
          <w:sz w:val="24"/>
          <w:szCs w:val="24"/>
        </w:rPr>
      </w:pPr>
    </w:p>
    <w:p w14:paraId="4CCE8377" w14:textId="6E7B4F62" w:rsidR="00A35244" w:rsidRPr="00BB3EBB" w:rsidRDefault="00A35244" w:rsidP="00A35244">
      <w:pPr>
        <w:pStyle w:val="PageSectionheading"/>
        <w:rPr>
          <w:rFonts w:cs="Arial"/>
          <w:b w:val="0"/>
          <w:bCs w:val="0"/>
          <w:color w:val="000000" w:themeColor="text1"/>
          <w:sz w:val="24"/>
          <w:szCs w:val="24"/>
        </w:rPr>
        <w:sectPr w:rsidR="00A35244" w:rsidRPr="00BB3EBB" w:rsidSect="009450E9">
          <w:type w:val="continuous"/>
          <w:pgSz w:w="11900" w:h="16840"/>
          <w:pgMar w:top="1418" w:right="680" w:bottom="851" w:left="680" w:header="709" w:footer="510" w:gutter="0"/>
          <w:cols w:space="708"/>
          <w:titlePg/>
          <w:docGrid w:linePitch="360"/>
        </w:sectPr>
      </w:pPr>
    </w:p>
    <w:p w14:paraId="3C76EA46" w14:textId="64EF564C"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Apples</w:t>
      </w:r>
    </w:p>
    <w:p w14:paraId="39064856"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Apricots</w:t>
      </w:r>
    </w:p>
    <w:p w14:paraId="4111DAF7"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Asparagus</w:t>
      </w:r>
    </w:p>
    <w:p w14:paraId="650A19C2"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Avocado</w:t>
      </w:r>
    </w:p>
    <w:p w14:paraId="4F8B141F"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Baby Broccoli</w:t>
      </w:r>
    </w:p>
    <w:p w14:paraId="258FD1A4"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Baby Corn</w:t>
      </w:r>
    </w:p>
    <w:p w14:paraId="196A3508"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Bananas</w:t>
      </w:r>
    </w:p>
    <w:p w14:paraId="2539EF2A" w14:textId="105C6CF1" w:rsidR="009450E9"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Beetroot</w:t>
      </w:r>
    </w:p>
    <w:p w14:paraId="5C725FB0"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Blackberries</w:t>
      </w:r>
    </w:p>
    <w:p w14:paraId="2ACDB9BE"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Blueberries</w:t>
      </w:r>
    </w:p>
    <w:p w14:paraId="315B853E"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Broccoli</w:t>
      </w:r>
    </w:p>
    <w:p w14:paraId="1F135F7C"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Broccolini</w:t>
      </w:r>
    </w:p>
    <w:p w14:paraId="4542E838"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 xml:space="preserve">Brussel Sprouts </w:t>
      </w:r>
    </w:p>
    <w:p w14:paraId="32D393D2"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Butternut Pumpkin</w:t>
      </w:r>
    </w:p>
    <w:p w14:paraId="79DAB335"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 xml:space="preserve">Cabbage </w:t>
      </w:r>
    </w:p>
    <w:p w14:paraId="44CC0C5A" w14:textId="49FA7282"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Cauliflower</w:t>
      </w:r>
    </w:p>
    <w:p w14:paraId="0C5314A9"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 xml:space="preserve">Celery </w:t>
      </w:r>
    </w:p>
    <w:p w14:paraId="6A4C477F"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Cherries</w:t>
      </w:r>
    </w:p>
    <w:p w14:paraId="0B5FC482"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Fioretto</w:t>
      </w:r>
    </w:p>
    <w:p w14:paraId="74025BE2"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Green Beans</w:t>
      </w:r>
    </w:p>
    <w:p w14:paraId="198BD0D5"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 xml:space="preserve">Herbs </w:t>
      </w:r>
    </w:p>
    <w:p w14:paraId="23D74C3B"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Lemons</w:t>
      </w:r>
    </w:p>
    <w:p w14:paraId="1594268A"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Lettuce</w:t>
      </w:r>
    </w:p>
    <w:p w14:paraId="7914A975"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Mandarins</w:t>
      </w:r>
    </w:p>
    <w:p w14:paraId="52776839" w14:textId="1DAC6112"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Mango</w:t>
      </w:r>
    </w:p>
    <w:p w14:paraId="49E635B0"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Mushrooms</w:t>
      </w:r>
    </w:p>
    <w:p w14:paraId="1FA678C1"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Nectarines</w:t>
      </w:r>
    </w:p>
    <w:p w14:paraId="50735975"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Onions</w:t>
      </w:r>
    </w:p>
    <w:p w14:paraId="743BB312"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Oranges</w:t>
      </w:r>
    </w:p>
    <w:p w14:paraId="3151A403"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Peaches</w:t>
      </w:r>
    </w:p>
    <w:p w14:paraId="240DE547"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Pears</w:t>
      </w:r>
    </w:p>
    <w:p w14:paraId="2807C164" w14:textId="3FC3A98F"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Pineapples</w:t>
      </w:r>
    </w:p>
    <w:p w14:paraId="24EA204E"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 xml:space="preserve">Plums </w:t>
      </w:r>
    </w:p>
    <w:p w14:paraId="44E61425"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Potatoes</w:t>
      </w:r>
    </w:p>
    <w:p w14:paraId="499FB80B"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Cucumber</w:t>
      </w:r>
    </w:p>
    <w:p w14:paraId="0F64475B"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 xml:space="preserve">Raspberries </w:t>
      </w:r>
    </w:p>
    <w:p w14:paraId="15121ADE"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Salad leaf</w:t>
      </w:r>
    </w:p>
    <w:p w14:paraId="729D81F3"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Spinach</w:t>
      </w:r>
    </w:p>
    <w:p w14:paraId="1F8F362C"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Strawberries</w:t>
      </w:r>
    </w:p>
    <w:p w14:paraId="220821DF"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Sweet Corn</w:t>
      </w:r>
    </w:p>
    <w:p w14:paraId="10E43375" w14:textId="4ED02429"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Table grapes</w:t>
      </w:r>
    </w:p>
    <w:p w14:paraId="1D96CF6C"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Tomatoes</w:t>
      </w:r>
    </w:p>
    <w:p w14:paraId="3DA01363" w14:textId="77777777"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Water Cress</w:t>
      </w:r>
    </w:p>
    <w:p w14:paraId="504C9E41" w14:textId="41149CCC" w:rsidR="00A35244" w:rsidRPr="00BB3EBB" w:rsidRDefault="00A35244" w:rsidP="00A35244">
      <w:pPr>
        <w:pStyle w:val="PageSectionheading"/>
        <w:rPr>
          <w:rFonts w:cs="Arial"/>
          <w:b w:val="0"/>
          <w:bCs w:val="0"/>
          <w:color w:val="000000" w:themeColor="text1"/>
          <w:sz w:val="24"/>
          <w:szCs w:val="24"/>
        </w:rPr>
      </w:pPr>
      <w:r w:rsidRPr="00BB3EBB">
        <w:rPr>
          <w:rFonts w:cs="Arial"/>
          <w:b w:val="0"/>
          <w:bCs w:val="0"/>
          <w:color w:val="000000" w:themeColor="text1"/>
          <w:sz w:val="24"/>
          <w:szCs w:val="24"/>
        </w:rPr>
        <w:t>Wombok</w:t>
      </w:r>
    </w:p>
    <w:p w14:paraId="0652A379" w14:textId="77777777" w:rsidR="00A35244" w:rsidRDefault="00A35244" w:rsidP="00257E71">
      <w:pPr>
        <w:pStyle w:val="PageSectionheading"/>
        <w:sectPr w:rsidR="00A35244" w:rsidSect="00A35244">
          <w:type w:val="continuous"/>
          <w:pgSz w:w="11900" w:h="16840"/>
          <w:pgMar w:top="1418" w:right="680" w:bottom="851" w:left="680" w:header="709" w:footer="510" w:gutter="0"/>
          <w:cols w:num="5" w:space="720"/>
          <w:titlePg/>
          <w:docGrid w:linePitch="360"/>
        </w:sectPr>
      </w:pPr>
    </w:p>
    <w:p w14:paraId="15621793" w14:textId="29964E9D" w:rsidR="009450E9" w:rsidRDefault="009450E9" w:rsidP="00257E71">
      <w:pPr>
        <w:pStyle w:val="PageSectionheading"/>
      </w:pPr>
    </w:p>
    <w:p w14:paraId="305899A2" w14:textId="2EDAD811" w:rsidR="00BD6D0E" w:rsidRDefault="008E1D81" w:rsidP="009423CE">
      <w:pPr>
        <w:pStyle w:val="PageSectionheading"/>
        <w:jc w:val="center"/>
      </w:pPr>
      <w:r>
        <w:lastRenderedPageBreak/>
        <w:t xml:space="preserve">Executive </w:t>
      </w:r>
      <w:r w:rsidR="00BD6D0E">
        <w:t>Summary</w:t>
      </w:r>
    </w:p>
    <w:p w14:paraId="7E5C6AD1" w14:textId="77777777" w:rsidR="00BD6D0E" w:rsidRPr="00D22B04" w:rsidRDefault="00BD6D0E" w:rsidP="00257E71">
      <w:pPr>
        <w:pStyle w:val="PageSectionheading"/>
        <w:rPr>
          <w:sz w:val="17"/>
          <w:szCs w:val="17"/>
        </w:rPr>
      </w:pPr>
    </w:p>
    <w:p w14:paraId="0567C321" w14:textId="41947A0F" w:rsidR="00A61BE5" w:rsidRPr="00AB3725" w:rsidRDefault="00A61BE5" w:rsidP="00AD5FB2">
      <w:pPr>
        <w:spacing w:after="120"/>
        <w:jc w:val="both"/>
        <w:outlineLvl w:val="0"/>
        <w:rPr>
          <w:rFonts w:ascii="Arial" w:eastAsiaTheme="minorHAnsi" w:hAnsi="Arial" w:cstheme="minorBidi"/>
          <w:color w:val="000000" w:themeColor="text1"/>
        </w:rPr>
      </w:pPr>
      <w:r w:rsidRPr="00AB3725">
        <w:rPr>
          <w:rFonts w:ascii="Arial" w:eastAsiaTheme="minorHAnsi" w:hAnsi="Arial" w:cstheme="minorBidi"/>
          <w:color w:val="000000" w:themeColor="text1"/>
        </w:rPr>
        <w:t xml:space="preserve">Horticulture is the second largest and fastest growing sector in Australian agriculture. Horticulture exports are nearly $2.2 billion for the last financial year – a 27 per cent increase on the previous year. Of the total $13.2 billion Australian horticulture sector, fruit and vegetables (fresh produce) account for more than 70 per cent of the total. The Australian fresh produce industry has some of the strongest growth prospects into the future not only within agriculture but across the Australian economy. </w:t>
      </w:r>
    </w:p>
    <w:p w14:paraId="5BB1B8C5" w14:textId="781B55DB" w:rsidR="00A61BE5" w:rsidRPr="00AB3725" w:rsidRDefault="00A61BE5" w:rsidP="00AD5FB2">
      <w:pPr>
        <w:spacing w:after="120"/>
        <w:jc w:val="both"/>
        <w:rPr>
          <w:rFonts w:ascii="Arial" w:eastAsiaTheme="minorHAnsi" w:hAnsi="Arial" w:cstheme="minorBidi"/>
          <w:color w:val="000000" w:themeColor="text1"/>
        </w:rPr>
      </w:pPr>
      <w:r w:rsidRPr="00AB3725">
        <w:rPr>
          <w:rFonts w:ascii="Arial" w:eastAsiaTheme="minorHAnsi" w:hAnsi="Arial" w:cstheme="minorBidi"/>
          <w:color w:val="000000" w:themeColor="text1"/>
        </w:rPr>
        <w:t xml:space="preserve">In 2019, the Australian Fresh Produce Alliance (AFPA) formed to develop pragmatic solutions to the challenges facing industry. The Alliance members have made public commitments to take their industry forward. </w:t>
      </w:r>
      <w:r w:rsidRPr="00AB3725">
        <w:rPr>
          <w:rFonts w:ascii="Arial" w:hAnsi="Arial" w:cs="Arial"/>
        </w:rPr>
        <w:t>The AFPA industry perspective on underpayment is that the focus of any increased penalties should be targeted at ‘employers that knowingly underpay, or otherwise exploit, employees</w:t>
      </w:r>
      <w:r w:rsidRPr="00AB3725">
        <w:rPr>
          <w:rStyle w:val="FootnoteReference"/>
          <w:rFonts w:ascii="Arial" w:hAnsi="Arial" w:cs="Arial"/>
        </w:rPr>
        <w:footnoteReference w:id="1"/>
      </w:r>
      <w:r w:rsidRPr="00AB3725">
        <w:rPr>
          <w:rFonts w:ascii="Arial" w:hAnsi="Arial" w:cs="Arial"/>
        </w:rPr>
        <w:t>’ and consider the current penalties ‘a cost of doing business</w:t>
      </w:r>
      <w:r w:rsidRPr="00AB3725">
        <w:rPr>
          <w:rStyle w:val="FootnoteReference"/>
          <w:rFonts w:ascii="Arial" w:hAnsi="Arial" w:cs="Arial"/>
        </w:rPr>
        <w:footnoteReference w:id="2"/>
      </w:r>
      <w:r w:rsidRPr="00AB3725">
        <w:rPr>
          <w:rFonts w:ascii="Arial" w:hAnsi="Arial" w:cs="Arial"/>
        </w:rPr>
        <w:t xml:space="preserve">’. </w:t>
      </w:r>
    </w:p>
    <w:p w14:paraId="49B6D4F0" w14:textId="0F7DB580" w:rsidR="00A61BE5" w:rsidRPr="00AB3725" w:rsidRDefault="00A61BE5" w:rsidP="00AD5FB2">
      <w:pPr>
        <w:spacing w:after="120"/>
        <w:jc w:val="both"/>
        <w:rPr>
          <w:rFonts w:ascii="Arial" w:eastAsiaTheme="minorHAnsi" w:hAnsi="Arial" w:cstheme="minorBidi"/>
          <w:color w:val="000000" w:themeColor="text1"/>
        </w:rPr>
      </w:pPr>
      <w:r w:rsidRPr="00AB3725">
        <w:rPr>
          <w:rFonts w:ascii="Arial" w:eastAsiaTheme="minorHAnsi" w:hAnsi="Arial" w:cstheme="minorBidi"/>
          <w:color w:val="000000" w:themeColor="text1"/>
        </w:rPr>
        <w:t xml:space="preserve">The penalties for these actions must ensure that employees receive the correct compensation, and the fines must be commensurate with the ‘saving’ that the commercial entity has gained by underpaying workers. Additional or increased penalties for ‘clear, deliberate and systemic’ underpayment must bear a relationship to the potential benefit of saving from underpayment. </w:t>
      </w:r>
    </w:p>
    <w:p w14:paraId="7FF92BA7" w14:textId="2D1D1F3F" w:rsidR="00A61BE5" w:rsidRPr="00AB3725" w:rsidRDefault="00483D3B" w:rsidP="00AD5FB2">
      <w:pPr>
        <w:spacing w:after="120"/>
        <w:jc w:val="both"/>
        <w:rPr>
          <w:rFonts w:ascii="Arial" w:hAnsi="Arial" w:cs="Arial"/>
        </w:rPr>
      </w:pPr>
      <w:r w:rsidRPr="00AB3725">
        <w:rPr>
          <w:rFonts w:ascii="Arial" w:hAnsi="Arial" w:cs="Arial"/>
          <w:bCs/>
        </w:rPr>
        <w:t>Personal responsibility is a foundation of the operation of modern Australian society. This principle is extended to business, companies and corporations whereby those entities are responsible for their decisions. Personal responsibility ensures that all Australians have the opportunity to determine their own futures, and are also accountable for their actions.</w:t>
      </w:r>
    </w:p>
    <w:p w14:paraId="1F7562A8" w14:textId="6B742D1E" w:rsidR="00A61BE5" w:rsidRPr="00AB3725" w:rsidRDefault="00483D3B" w:rsidP="00AD5FB2">
      <w:pPr>
        <w:spacing w:after="120"/>
        <w:jc w:val="both"/>
        <w:rPr>
          <w:rFonts w:ascii="Arial" w:hAnsi="Arial" w:cs="Arial"/>
          <w:bCs/>
        </w:rPr>
      </w:pPr>
      <w:r w:rsidRPr="00AB3725">
        <w:rPr>
          <w:rFonts w:ascii="Arial" w:hAnsi="Arial" w:cs="Arial"/>
          <w:bCs/>
        </w:rPr>
        <w:t>Keeping the objective in mind: that all Australians are employed and paid correctly and lawfully, a range of significant penalties coupled with compliance and enforcement action is the best path forward. The existence of penalties and their rigorous enforcement is a clear example of the law functioning to achieve a societal outcome. We do not seriously contemplate making the parents responsible for the criminal acts of their adult children, and so it is with accessorial liability, there are (appropriate) limits to the application of the legal and practical constructs</w:t>
      </w:r>
      <w:r w:rsidR="00600597" w:rsidRPr="00AB3725">
        <w:rPr>
          <w:rFonts w:ascii="Arial" w:hAnsi="Arial" w:cs="Arial"/>
          <w:bCs/>
        </w:rPr>
        <w:t xml:space="preserve"> extending liability away from a decision maker/employer</w:t>
      </w:r>
      <w:r w:rsidRPr="00AB3725">
        <w:rPr>
          <w:rFonts w:ascii="Arial" w:hAnsi="Arial" w:cs="Arial"/>
          <w:bCs/>
        </w:rPr>
        <w:t xml:space="preserve">. </w:t>
      </w:r>
    </w:p>
    <w:p w14:paraId="155E1418" w14:textId="4D711094" w:rsidR="00A61BE5" w:rsidRPr="00AB3725" w:rsidRDefault="00483D3B" w:rsidP="00AD5FB2">
      <w:pPr>
        <w:spacing w:after="120"/>
        <w:jc w:val="both"/>
        <w:rPr>
          <w:rFonts w:ascii="Arial" w:hAnsi="Arial" w:cs="Arial"/>
          <w:bCs/>
        </w:rPr>
      </w:pPr>
      <w:r w:rsidRPr="00AB3725">
        <w:rPr>
          <w:rFonts w:ascii="Arial" w:hAnsi="Arial" w:cs="Arial"/>
          <w:bCs/>
        </w:rPr>
        <w:t xml:space="preserve">Recalling the objective, continuing to extend accessorial liability does not increase liability directly to the decision maker or direct employer. </w:t>
      </w:r>
      <w:r w:rsidR="00C965AB" w:rsidRPr="00AB3725">
        <w:rPr>
          <w:rFonts w:ascii="Arial" w:hAnsi="Arial" w:cs="Arial"/>
          <w:bCs/>
        </w:rPr>
        <w:t>In our view, e</w:t>
      </w:r>
      <w:r w:rsidRPr="00AB3725">
        <w:rPr>
          <w:rFonts w:ascii="Arial" w:hAnsi="Arial" w:cs="Arial"/>
          <w:bCs/>
        </w:rPr>
        <w:t xml:space="preserve">xtending accessorial liability to third parties does increase pressure in the </w:t>
      </w:r>
      <w:r w:rsidR="00C965AB" w:rsidRPr="00AB3725">
        <w:rPr>
          <w:rFonts w:ascii="Arial" w:hAnsi="Arial" w:cs="Arial"/>
          <w:bCs/>
        </w:rPr>
        <w:t xml:space="preserve">fresh produce </w:t>
      </w:r>
      <w:r w:rsidRPr="00AB3725">
        <w:rPr>
          <w:rFonts w:ascii="Arial" w:hAnsi="Arial" w:cs="Arial"/>
          <w:bCs/>
        </w:rPr>
        <w:t xml:space="preserve">supply chain but is </w:t>
      </w:r>
      <w:r w:rsidR="00C965AB" w:rsidRPr="00AB3725">
        <w:rPr>
          <w:rFonts w:ascii="Arial" w:hAnsi="Arial" w:cs="Arial"/>
          <w:bCs/>
        </w:rPr>
        <w:t>not the most</w:t>
      </w:r>
      <w:r w:rsidRPr="00AB3725">
        <w:rPr>
          <w:rFonts w:ascii="Arial" w:hAnsi="Arial" w:cs="Arial"/>
          <w:bCs/>
        </w:rPr>
        <w:t xml:space="preserve"> efficient or effective </w:t>
      </w:r>
      <w:r w:rsidR="00C965AB" w:rsidRPr="00AB3725">
        <w:rPr>
          <w:rFonts w:ascii="Arial" w:hAnsi="Arial" w:cs="Arial"/>
          <w:bCs/>
        </w:rPr>
        <w:t xml:space="preserve">method </w:t>
      </w:r>
      <w:r w:rsidRPr="00AB3725">
        <w:rPr>
          <w:rFonts w:ascii="Arial" w:hAnsi="Arial" w:cs="Arial"/>
          <w:bCs/>
        </w:rPr>
        <w:t>in the short term, adds cost to the supply chain and is not demonstrated to achieve long term outcomes</w:t>
      </w:r>
      <w:r w:rsidR="00C965AB" w:rsidRPr="00AB3725">
        <w:rPr>
          <w:rFonts w:ascii="Arial" w:hAnsi="Arial" w:cs="Arial"/>
          <w:bCs/>
        </w:rPr>
        <w:t xml:space="preserve"> in our industry</w:t>
      </w:r>
      <w:r w:rsidRPr="00AB3725">
        <w:rPr>
          <w:rFonts w:ascii="Arial" w:hAnsi="Arial" w:cs="Arial"/>
          <w:bCs/>
        </w:rPr>
        <w:t xml:space="preserve">. </w:t>
      </w:r>
    </w:p>
    <w:p w14:paraId="167F9D97" w14:textId="77777777" w:rsidR="00AD5FB2" w:rsidRPr="00AB3725" w:rsidRDefault="00AD5FB2" w:rsidP="00AD5FB2">
      <w:pPr>
        <w:spacing w:after="120"/>
        <w:jc w:val="both"/>
        <w:rPr>
          <w:rFonts w:ascii="Arial" w:hAnsi="Arial" w:cs="Arial"/>
          <w:bCs/>
        </w:rPr>
      </w:pPr>
      <w:r w:rsidRPr="00AB3725">
        <w:rPr>
          <w:rFonts w:ascii="Arial" w:hAnsi="Arial" w:cs="Arial"/>
          <w:bCs/>
        </w:rPr>
        <w:t>The immediate priority should be the application of significant penalties for ‘</w:t>
      </w:r>
      <w:r w:rsidRPr="00AB3725" w:rsidDel="00D22228">
        <w:rPr>
          <w:rFonts w:ascii="Arial" w:hAnsi="Arial" w:cs="Arial"/>
          <w:bCs/>
        </w:rPr>
        <w:t>clear, deliberate and systemic</w:t>
      </w:r>
      <w:r w:rsidRPr="00AB3725">
        <w:rPr>
          <w:rStyle w:val="FootnoteReference"/>
          <w:rFonts w:ascii="Arial" w:hAnsi="Arial" w:cs="Arial"/>
        </w:rPr>
        <w:footnoteReference w:id="3"/>
      </w:r>
      <w:r w:rsidRPr="00AB3725">
        <w:rPr>
          <w:rFonts w:ascii="Arial" w:hAnsi="Arial" w:cs="Arial"/>
          <w:bCs/>
        </w:rPr>
        <w:t xml:space="preserve">‘ </w:t>
      </w:r>
      <w:r w:rsidRPr="00AB3725">
        <w:rPr>
          <w:rFonts w:ascii="Arial" w:hAnsi="Arial" w:cs="Arial"/>
          <w:bCs/>
        </w:rPr>
        <w:t xml:space="preserve">underpayment by commercial operators. Once implemented, the impact of these changes should be considered and reviewed prior to the consideration of criminal sanctions. </w:t>
      </w:r>
      <w:r w:rsidR="00483D3B" w:rsidRPr="00AB3725">
        <w:rPr>
          <w:rFonts w:ascii="Arial" w:hAnsi="Arial" w:cs="Arial"/>
          <w:bCs/>
        </w:rPr>
        <w:t>I</w:t>
      </w:r>
      <w:r w:rsidRPr="00AB3725">
        <w:rPr>
          <w:rFonts w:ascii="Arial" w:hAnsi="Arial" w:cs="Arial"/>
          <w:bCs/>
        </w:rPr>
        <w:t xml:space="preserve">n time, if </w:t>
      </w:r>
      <w:r w:rsidR="00483D3B" w:rsidRPr="00AB3725">
        <w:rPr>
          <w:rFonts w:ascii="Arial" w:hAnsi="Arial" w:cs="Arial"/>
          <w:bCs/>
        </w:rPr>
        <w:t xml:space="preserve">criminal sanctions </w:t>
      </w:r>
      <w:r w:rsidRPr="00AB3725">
        <w:rPr>
          <w:rFonts w:ascii="Arial" w:hAnsi="Arial" w:cs="Arial"/>
          <w:bCs/>
        </w:rPr>
        <w:t>were</w:t>
      </w:r>
      <w:r w:rsidR="00483D3B" w:rsidRPr="00AB3725">
        <w:rPr>
          <w:rFonts w:ascii="Arial" w:hAnsi="Arial" w:cs="Arial"/>
          <w:bCs/>
        </w:rPr>
        <w:t xml:space="preserve"> to be applied to underpayment of wages, the threshold for the application of criminal penalties should be high. </w:t>
      </w:r>
    </w:p>
    <w:p w14:paraId="79F29A69" w14:textId="7B4162FE" w:rsidR="00BB3EBB" w:rsidRPr="00C965AB" w:rsidRDefault="00483D3B" w:rsidP="00AD5FB2">
      <w:pPr>
        <w:spacing w:after="120"/>
        <w:jc w:val="both"/>
        <w:rPr>
          <w:rFonts w:ascii="Arial" w:hAnsi="Arial" w:cs="Arial"/>
          <w:bCs/>
        </w:rPr>
      </w:pPr>
      <w:r w:rsidRPr="00AB3725">
        <w:rPr>
          <w:rFonts w:ascii="Arial" w:hAnsi="Arial" w:cs="Arial"/>
          <w:bCs/>
        </w:rPr>
        <w:t>Criminal penalties must not apply to employers that have made genuinely unintentional mistakes, for instance due to the complexity of the industrial relations system, which have led to miscalculations and underpayments, but are rectified once identified. Criminal penalties should only apply where it can be proven that underpayment was part of a systemic pattern of conduct where the intent was to underpay employees to minimise business costs.</w:t>
      </w:r>
      <w:r w:rsidR="00486202">
        <w:rPr>
          <w:rFonts w:ascii="Arial" w:hAnsi="Arial" w:cs="Arial"/>
          <w:sz w:val="23"/>
          <w:szCs w:val="23"/>
        </w:rPr>
        <w:br w:type="page"/>
      </w:r>
    </w:p>
    <w:p w14:paraId="571C746E" w14:textId="4EF2D9C1" w:rsidR="00A32E26" w:rsidRPr="008275AD" w:rsidRDefault="00A32E26" w:rsidP="007F303C">
      <w:pPr>
        <w:pStyle w:val="ListParagraph"/>
        <w:numPr>
          <w:ilvl w:val="0"/>
          <w:numId w:val="36"/>
        </w:numPr>
        <w:spacing w:after="240"/>
        <w:ind w:left="425" w:hanging="425"/>
        <w:contextualSpacing w:val="0"/>
        <w:jc w:val="both"/>
        <w:outlineLvl w:val="0"/>
        <w:rPr>
          <w:rFonts w:ascii="Arial" w:eastAsiaTheme="minorHAnsi" w:hAnsi="Arial" w:cstheme="minorBidi"/>
          <w:b/>
          <w:bCs/>
          <w:color w:val="056B38"/>
          <w:sz w:val="32"/>
          <w:szCs w:val="36"/>
        </w:rPr>
      </w:pPr>
      <w:r w:rsidRPr="008275AD">
        <w:rPr>
          <w:rFonts w:ascii="Arial" w:eastAsiaTheme="minorHAnsi" w:hAnsi="Arial" w:cstheme="minorBidi"/>
          <w:b/>
          <w:bCs/>
          <w:color w:val="056B38"/>
          <w:sz w:val="32"/>
          <w:szCs w:val="36"/>
        </w:rPr>
        <w:lastRenderedPageBreak/>
        <w:t xml:space="preserve">Introduction </w:t>
      </w:r>
    </w:p>
    <w:p w14:paraId="35D70226" w14:textId="1A113969" w:rsidR="009E6F34" w:rsidRDefault="009E6F34" w:rsidP="007F303C">
      <w:pPr>
        <w:jc w:val="both"/>
        <w:outlineLvl w:val="0"/>
        <w:rPr>
          <w:rFonts w:ascii="Arial" w:eastAsiaTheme="minorHAnsi" w:hAnsi="Arial" w:cstheme="minorBidi"/>
          <w:color w:val="000000" w:themeColor="text1"/>
        </w:rPr>
      </w:pPr>
      <w:r w:rsidRPr="00F91AD8">
        <w:rPr>
          <w:rFonts w:ascii="Arial" w:eastAsiaTheme="minorHAnsi" w:hAnsi="Arial" w:cstheme="minorBidi"/>
          <w:color w:val="000000" w:themeColor="text1"/>
        </w:rPr>
        <w:t xml:space="preserve">Horticulture is the second largest and fastest growing sector in Australian agriculture. </w:t>
      </w:r>
      <w:r w:rsidRPr="008D729E">
        <w:rPr>
          <w:rFonts w:ascii="Arial" w:eastAsiaTheme="minorHAnsi" w:hAnsi="Arial" w:cstheme="minorBidi"/>
          <w:color w:val="000000" w:themeColor="text1"/>
        </w:rPr>
        <w:t>Horticulture exports are nearly $2.</w:t>
      </w:r>
      <w:r>
        <w:rPr>
          <w:rFonts w:ascii="Arial" w:eastAsiaTheme="minorHAnsi" w:hAnsi="Arial" w:cstheme="minorBidi"/>
          <w:color w:val="000000" w:themeColor="text1"/>
        </w:rPr>
        <w:t>2</w:t>
      </w:r>
      <w:r w:rsidRPr="008D729E">
        <w:rPr>
          <w:rFonts w:ascii="Arial" w:eastAsiaTheme="minorHAnsi" w:hAnsi="Arial" w:cstheme="minorBidi"/>
          <w:color w:val="000000" w:themeColor="text1"/>
        </w:rPr>
        <w:t xml:space="preserve"> billion for the last financial year – a</w:t>
      </w:r>
      <w:r>
        <w:rPr>
          <w:rFonts w:ascii="Arial" w:eastAsiaTheme="minorHAnsi" w:hAnsi="Arial" w:cstheme="minorBidi"/>
          <w:color w:val="000000" w:themeColor="text1"/>
        </w:rPr>
        <w:t xml:space="preserve"> </w:t>
      </w:r>
      <w:r w:rsidRPr="008D729E">
        <w:rPr>
          <w:rFonts w:ascii="Arial" w:eastAsiaTheme="minorHAnsi" w:hAnsi="Arial" w:cstheme="minorBidi"/>
          <w:color w:val="000000" w:themeColor="text1"/>
        </w:rPr>
        <w:t xml:space="preserve">27 per cent increase on the previous year. </w:t>
      </w:r>
      <w:r>
        <w:rPr>
          <w:rFonts w:ascii="Arial" w:eastAsiaTheme="minorHAnsi" w:hAnsi="Arial" w:cstheme="minorBidi"/>
          <w:color w:val="000000" w:themeColor="text1"/>
        </w:rPr>
        <w:t xml:space="preserve">Of the total $13.2 billion Australian horticulture sector, fruit and vegetables (fresh produce) account for more than 70 per cent of the total. The Australian fresh produce industry has some of the strongest growth prospects into the future not only within agriculture but across the Australian economy. </w:t>
      </w:r>
    </w:p>
    <w:p w14:paraId="147A2BF2" w14:textId="77777777" w:rsidR="009E6F34" w:rsidRDefault="009E6F34" w:rsidP="007F303C">
      <w:pPr>
        <w:jc w:val="both"/>
        <w:outlineLvl w:val="0"/>
        <w:rPr>
          <w:rFonts w:ascii="Arial" w:eastAsiaTheme="minorHAnsi" w:hAnsi="Arial" w:cstheme="minorBidi"/>
          <w:color w:val="000000" w:themeColor="text1"/>
        </w:rPr>
      </w:pPr>
    </w:p>
    <w:p w14:paraId="2DF4A8F9" w14:textId="77777777" w:rsidR="009E6F34" w:rsidRDefault="009E6F34" w:rsidP="007F303C">
      <w:pPr>
        <w:jc w:val="both"/>
        <w:outlineLvl w:val="0"/>
        <w:rPr>
          <w:rFonts w:ascii="Arial" w:eastAsiaTheme="minorHAnsi" w:hAnsi="Arial" w:cstheme="minorBidi"/>
          <w:color w:val="000000" w:themeColor="text1"/>
        </w:rPr>
      </w:pPr>
      <w:r>
        <w:rPr>
          <w:rFonts w:ascii="Arial" w:eastAsiaTheme="minorHAnsi" w:hAnsi="Arial" w:cstheme="minorBidi"/>
          <w:color w:val="000000" w:themeColor="text1"/>
        </w:rPr>
        <w:t xml:space="preserve">In 2019, the Australian Fresh Produce Alliance (AFPA) formed to develop pragmatic solutions to the challenges facing industry. The Alliance members have made public commitments to take their industry forward, including: </w:t>
      </w:r>
    </w:p>
    <w:p w14:paraId="1E032BEE" w14:textId="77777777" w:rsidR="009E6F34" w:rsidRDefault="009E6F34" w:rsidP="007F303C">
      <w:pPr>
        <w:jc w:val="both"/>
        <w:outlineLvl w:val="0"/>
        <w:rPr>
          <w:rFonts w:ascii="Arial" w:eastAsiaTheme="minorHAnsi" w:hAnsi="Arial" w:cstheme="minorBidi"/>
          <w:color w:val="000000" w:themeColor="text1"/>
        </w:rPr>
      </w:pPr>
    </w:p>
    <w:p w14:paraId="7AB90A45" w14:textId="77777777" w:rsidR="009E6F34" w:rsidRDefault="009E6F34" w:rsidP="007F303C">
      <w:pPr>
        <w:pStyle w:val="ListParagraph"/>
        <w:numPr>
          <w:ilvl w:val="0"/>
          <w:numId w:val="38"/>
        </w:numPr>
        <w:jc w:val="both"/>
        <w:outlineLvl w:val="0"/>
        <w:rPr>
          <w:rFonts w:ascii="Arial" w:eastAsiaTheme="minorHAnsi" w:hAnsi="Arial" w:cstheme="minorBidi"/>
          <w:color w:val="000000" w:themeColor="text1"/>
        </w:rPr>
      </w:pPr>
      <w:r>
        <w:rPr>
          <w:rFonts w:ascii="Arial" w:eastAsiaTheme="minorHAnsi" w:hAnsi="Arial" w:cstheme="minorBidi"/>
          <w:color w:val="000000" w:themeColor="text1"/>
        </w:rPr>
        <w:t xml:space="preserve">Continuing to develop opportunities for Australians, particularly young people, to work in the industry, </w:t>
      </w:r>
    </w:p>
    <w:p w14:paraId="27CBFDD7" w14:textId="77777777" w:rsidR="009E6F34" w:rsidRDefault="009E6F34" w:rsidP="007F303C">
      <w:pPr>
        <w:pStyle w:val="ListParagraph"/>
        <w:jc w:val="both"/>
        <w:outlineLvl w:val="0"/>
        <w:rPr>
          <w:rFonts w:ascii="Arial" w:eastAsiaTheme="minorHAnsi" w:hAnsi="Arial" w:cstheme="minorBidi"/>
          <w:color w:val="000000" w:themeColor="text1"/>
        </w:rPr>
      </w:pPr>
    </w:p>
    <w:p w14:paraId="57D5F5D9" w14:textId="22BCAABD" w:rsidR="009E6F34" w:rsidRDefault="009E6F34" w:rsidP="007F303C">
      <w:pPr>
        <w:pStyle w:val="ListParagraph"/>
        <w:numPr>
          <w:ilvl w:val="0"/>
          <w:numId w:val="38"/>
        </w:numPr>
        <w:jc w:val="both"/>
        <w:outlineLvl w:val="0"/>
        <w:rPr>
          <w:rFonts w:ascii="Arial" w:eastAsiaTheme="minorHAnsi" w:hAnsi="Arial" w:cstheme="minorBidi"/>
          <w:color w:val="000000" w:themeColor="text1"/>
        </w:rPr>
      </w:pPr>
      <w:r>
        <w:rPr>
          <w:rFonts w:ascii="Arial" w:eastAsiaTheme="minorHAnsi" w:hAnsi="Arial" w:cstheme="minorBidi"/>
          <w:color w:val="000000" w:themeColor="text1"/>
        </w:rPr>
        <w:t xml:space="preserve">Improving the sector’s employment practices and reputation, </w:t>
      </w:r>
      <w:r w:rsidRPr="00F91AD8">
        <w:rPr>
          <w:rFonts w:ascii="Arial" w:eastAsiaTheme="minorHAnsi" w:hAnsi="Arial" w:cstheme="minorBidi"/>
          <w:color w:val="000000" w:themeColor="text1"/>
        </w:rPr>
        <w:t>including through</w:t>
      </w:r>
      <w:r>
        <w:rPr>
          <w:rFonts w:ascii="Arial" w:eastAsiaTheme="minorHAnsi" w:hAnsi="Arial" w:cstheme="minorBidi"/>
          <w:color w:val="000000" w:themeColor="text1"/>
        </w:rPr>
        <w:t xml:space="preserve"> </w:t>
      </w:r>
      <w:r w:rsidRPr="00F91AD8">
        <w:rPr>
          <w:rFonts w:ascii="Arial" w:eastAsiaTheme="minorHAnsi" w:hAnsi="Arial" w:cstheme="minorBidi"/>
          <w:color w:val="000000" w:themeColor="text1"/>
        </w:rPr>
        <w:t>proactively meeting all health and safety, employment, and duty of care</w:t>
      </w:r>
      <w:r>
        <w:rPr>
          <w:rFonts w:ascii="Arial" w:eastAsiaTheme="minorHAnsi" w:hAnsi="Arial" w:cstheme="minorBidi"/>
          <w:color w:val="000000" w:themeColor="text1"/>
        </w:rPr>
        <w:t xml:space="preserve"> </w:t>
      </w:r>
      <w:r w:rsidRPr="00F91AD8">
        <w:rPr>
          <w:rFonts w:ascii="Arial" w:eastAsiaTheme="minorHAnsi" w:hAnsi="Arial" w:cstheme="minorBidi"/>
          <w:color w:val="000000" w:themeColor="text1"/>
        </w:rPr>
        <w:t>requirements and obligations, and</w:t>
      </w:r>
      <w:r>
        <w:rPr>
          <w:rFonts w:ascii="Arial" w:eastAsiaTheme="minorHAnsi" w:hAnsi="Arial" w:cstheme="minorBidi"/>
          <w:color w:val="000000" w:themeColor="text1"/>
        </w:rPr>
        <w:t xml:space="preserve"> </w:t>
      </w:r>
      <w:r w:rsidRPr="00F91AD8">
        <w:rPr>
          <w:rFonts w:ascii="Arial" w:eastAsiaTheme="minorHAnsi" w:hAnsi="Arial" w:cstheme="minorBidi"/>
          <w:color w:val="000000" w:themeColor="text1"/>
        </w:rPr>
        <w:t>developing practical solutions to build a workforce</w:t>
      </w:r>
      <w:r>
        <w:rPr>
          <w:rFonts w:ascii="Arial" w:eastAsiaTheme="minorHAnsi" w:hAnsi="Arial" w:cstheme="minorBidi"/>
          <w:color w:val="000000" w:themeColor="text1"/>
        </w:rPr>
        <w:t xml:space="preserve">, </w:t>
      </w:r>
      <w:r w:rsidR="00231469">
        <w:rPr>
          <w:rFonts w:ascii="Arial" w:eastAsiaTheme="minorHAnsi" w:hAnsi="Arial" w:cstheme="minorBidi"/>
          <w:color w:val="000000" w:themeColor="text1"/>
        </w:rPr>
        <w:t xml:space="preserve">and </w:t>
      </w:r>
    </w:p>
    <w:p w14:paraId="46457061" w14:textId="77777777" w:rsidR="009E6F34" w:rsidRPr="00F91AD8" w:rsidRDefault="009E6F34" w:rsidP="007F303C">
      <w:pPr>
        <w:pStyle w:val="ListParagraph"/>
        <w:jc w:val="both"/>
        <w:rPr>
          <w:rFonts w:ascii="Arial" w:eastAsiaTheme="minorHAnsi" w:hAnsi="Arial" w:cstheme="minorBidi"/>
          <w:color w:val="000000" w:themeColor="text1"/>
        </w:rPr>
      </w:pPr>
    </w:p>
    <w:p w14:paraId="70F51E50" w14:textId="1E8D8047" w:rsidR="009E6F34" w:rsidRPr="00F91AD8" w:rsidRDefault="009E6F34" w:rsidP="007F303C">
      <w:pPr>
        <w:pStyle w:val="ListParagraph"/>
        <w:numPr>
          <w:ilvl w:val="0"/>
          <w:numId w:val="38"/>
        </w:numPr>
        <w:jc w:val="both"/>
        <w:outlineLvl w:val="0"/>
        <w:rPr>
          <w:rFonts w:ascii="Arial" w:eastAsiaTheme="minorHAnsi" w:hAnsi="Arial" w:cstheme="minorBidi"/>
          <w:color w:val="000000" w:themeColor="text1"/>
        </w:rPr>
      </w:pPr>
      <w:r w:rsidRPr="00F91AD8">
        <w:rPr>
          <w:rFonts w:ascii="Arial" w:eastAsiaTheme="minorHAnsi" w:hAnsi="Arial" w:cstheme="minorBidi"/>
          <w:color w:val="000000" w:themeColor="text1"/>
        </w:rPr>
        <w:t>Collaborating to mitigate the risks of modern slavery and poor labour practices in member businesses and their supply chains, and reporting under the Modern Slavery Act 2018</w:t>
      </w:r>
      <w:r w:rsidR="00231469">
        <w:rPr>
          <w:rFonts w:ascii="Arial" w:eastAsiaTheme="minorHAnsi" w:hAnsi="Arial" w:cstheme="minorBidi"/>
          <w:color w:val="000000" w:themeColor="text1"/>
        </w:rPr>
        <w:t xml:space="preserve">. </w:t>
      </w:r>
      <w:r>
        <w:rPr>
          <w:rFonts w:ascii="Arial" w:eastAsiaTheme="minorHAnsi" w:hAnsi="Arial" w:cstheme="minorBidi"/>
          <w:color w:val="000000" w:themeColor="text1"/>
        </w:rPr>
        <w:t xml:space="preserve"> </w:t>
      </w:r>
    </w:p>
    <w:p w14:paraId="6703F9BF" w14:textId="196164E0" w:rsidR="00A32E26" w:rsidRDefault="00A32E26" w:rsidP="007F303C">
      <w:pPr>
        <w:jc w:val="both"/>
        <w:outlineLvl w:val="0"/>
        <w:rPr>
          <w:rFonts w:ascii="Arial" w:eastAsiaTheme="minorHAnsi" w:hAnsi="Arial" w:cstheme="minorBidi"/>
          <w:b/>
          <w:bCs/>
          <w:color w:val="056B38"/>
          <w:sz w:val="32"/>
          <w:szCs w:val="36"/>
        </w:rPr>
      </w:pPr>
    </w:p>
    <w:p w14:paraId="4867B3E6" w14:textId="6B8F2C3D" w:rsidR="003E440B" w:rsidRDefault="00A61BE5" w:rsidP="007F303C">
      <w:pPr>
        <w:jc w:val="both"/>
        <w:outlineLvl w:val="0"/>
        <w:rPr>
          <w:rFonts w:ascii="Arial" w:eastAsiaTheme="minorHAnsi" w:hAnsi="Arial" w:cstheme="minorBidi"/>
          <w:color w:val="000000" w:themeColor="text1"/>
        </w:rPr>
      </w:pPr>
      <w:r>
        <w:rPr>
          <w:rFonts w:ascii="Arial" w:eastAsiaTheme="minorHAnsi" w:hAnsi="Arial" w:cstheme="minorBidi"/>
          <w:color w:val="000000" w:themeColor="text1"/>
        </w:rPr>
        <w:t>The Migrant Workers Taskforce report identified horticulture as a high risk sector in relation to poor practices among labour hire operators, and recommended a national registration scheme for labour hire firms</w:t>
      </w:r>
      <w:r>
        <w:rPr>
          <w:rStyle w:val="FootnoteReference"/>
          <w:rFonts w:ascii="Arial" w:eastAsiaTheme="minorHAnsi" w:hAnsi="Arial" w:cstheme="minorBidi"/>
          <w:color w:val="000000" w:themeColor="text1"/>
        </w:rPr>
        <w:footnoteReference w:id="4"/>
      </w:r>
      <w:r>
        <w:rPr>
          <w:rFonts w:ascii="Arial" w:eastAsiaTheme="minorHAnsi" w:hAnsi="Arial" w:cstheme="minorBidi"/>
          <w:color w:val="000000" w:themeColor="text1"/>
        </w:rPr>
        <w:t>. The Australian Fresh Produce Alliance has supported these proposals and is working toward the adoption of sophisticated business practices across the entire horticulture industry</w:t>
      </w:r>
      <w:r>
        <w:rPr>
          <w:rStyle w:val="FootnoteReference"/>
          <w:rFonts w:ascii="Arial" w:eastAsiaTheme="minorHAnsi" w:hAnsi="Arial" w:cstheme="minorBidi"/>
          <w:color w:val="000000" w:themeColor="text1"/>
        </w:rPr>
        <w:footnoteReference w:id="5"/>
      </w:r>
      <w:r>
        <w:rPr>
          <w:rFonts w:ascii="Arial" w:eastAsiaTheme="minorHAnsi" w:hAnsi="Arial" w:cstheme="minorBidi"/>
          <w:color w:val="000000" w:themeColor="text1"/>
        </w:rPr>
        <w:t xml:space="preserve">. </w:t>
      </w:r>
    </w:p>
    <w:p w14:paraId="6EA1193E" w14:textId="35524DBE" w:rsidR="00A61BE5" w:rsidRDefault="00A61BE5" w:rsidP="007F303C">
      <w:pPr>
        <w:jc w:val="both"/>
        <w:outlineLvl w:val="0"/>
        <w:rPr>
          <w:rFonts w:ascii="Arial" w:eastAsiaTheme="minorHAnsi" w:hAnsi="Arial" w:cstheme="minorBidi"/>
          <w:color w:val="000000" w:themeColor="text1"/>
        </w:rPr>
      </w:pPr>
    </w:p>
    <w:p w14:paraId="317D535B" w14:textId="01E0CB86" w:rsidR="00A61BE5" w:rsidRPr="00E95EE7" w:rsidRDefault="00A61BE5" w:rsidP="007F303C">
      <w:pPr>
        <w:jc w:val="both"/>
        <w:outlineLvl w:val="0"/>
        <w:rPr>
          <w:rFonts w:ascii="Arial" w:eastAsiaTheme="minorHAnsi" w:hAnsi="Arial" w:cstheme="minorBidi"/>
          <w:color w:val="000000" w:themeColor="text1"/>
        </w:rPr>
      </w:pPr>
      <w:r>
        <w:rPr>
          <w:rFonts w:ascii="Arial" w:eastAsiaTheme="minorHAnsi" w:hAnsi="Arial" w:cstheme="minorBidi"/>
          <w:color w:val="000000" w:themeColor="text1"/>
        </w:rPr>
        <w:t xml:space="preserve">This submission provides input from our perspective on the range of issues highlighted in the discussion paper. </w:t>
      </w:r>
    </w:p>
    <w:p w14:paraId="3F280D7E" w14:textId="7E9A7B34" w:rsidR="003E440B" w:rsidRPr="00020136" w:rsidRDefault="003E440B" w:rsidP="007F303C">
      <w:pPr>
        <w:jc w:val="both"/>
        <w:outlineLvl w:val="0"/>
        <w:rPr>
          <w:rFonts w:ascii="Arial" w:eastAsiaTheme="minorHAnsi" w:hAnsi="Arial" w:cs="Arial"/>
          <w:b/>
          <w:bCs/>
          <w:color w:val="056B38"/>
          <w:sz w:val="32"/>
          <w:szCs w:val="36"/>
        </w:rPr>
      </w:pPr>
    </w:p>
    <w:p w14:paraId="1D221654" w14:textId="729A85B4" w:rsidR="00020136" w:rsidRDefault="00020136" w:rsidP="007F303C">
      <w:pPr>
        <w:jc w:val="both"/>
        <w:outlineLvl w:val="0"/>
        <w:rPr>
          <w:rFonts w:ascii="Arial" w:eastAsiaTheme="minorHAnsi" w:hAnsi="Arial" w:cs="Arial"/>
          <w:b/>
          <w:bCs/>
          <w:color w:val="056B38"/>
          <w:sz w:val="40"/>
          <w:szCs w:val="44"/>
        </w:rPr>
      </w:pPr>
      <w:r w:rsidRPr="00020136">
        <w:rPr>
          <w:rFonts w:ascii="Arial" w:eastAsiaTheme="minorHAnsi" w:hAnsi="Arial" w:cs="Arial"/>
          <w:b/>
          <w:bCs/>
          <w:color w:val="056B38"/>
          <w:sz w:val="40"/>
          <w:szCs w:val="44"/>
        </w:rPr>
        <w:t>Part I: Civil penalties in the Fair Work Act</w:t>
      </w:r>
    </w:p>
    <w:p w14:paraId="2D08329E" w14:textId="77777777" w:rsidR="00B66AD5" w:rsidRPr="00020136" w:rsidRDefault="00B66AD5" w:rsidP="007F303C">
      <w:pPr>
        <w:jc w:val="both"/>
        <w:outlineLvl w:val="0"/>
        <w:rPr>
          <w:rFonts w:ascii="Arial" w:eastAsiaTheme="minorHAnsi" w:hAnsi="Arial" w:cs="Arial"/>
          <w:b/>
          <w:bCs/>
          <w:color w:val="056B38"/>
          <w:sz w:val="40"/>
          <w:szCs w:val="44"/>
        </w:rPr>
      </w:pPr>
    </w:p>
    <w:p w14:paraId="02744D42" w14:textId="2E8AA45A" w:rsidR="00A32E26" w:rsidRDefault="00020136" w:rsidP="007F303C">
      <w:pPr>
        <w:pStyle w:val="ListParagraph"/>
        <w:numPr>
          <w:ilvl w:val="0"/>
          <w:numId w:val="36"/>
        </w:numPr>
        <w:ind w:left="425" w:hanging="425"/>
        <w:contextualSpacing w:val="0"/>
        <w:jc w:val="both"/>
        <w:outlineLvl w:val="0"/>
        <w:rPr>
          <w:rFonts w:ascii="Arial" w:eastAsiaTheme="minorHAnsi" w:hAnsi="Arial" w:cs="Arial"/>
          <w:b/>
          <w:bCs/>
          <w:color w:val="056B38"/>
          <w:sz w:val="32"/>
          <w:szCs w:val="36"/>
        </w:rPr>
      </w:pPr>
      <w:r w:rsidRPr="00020136">
        <w:rPr>
          <w:rFonts w:ascii="Arial" w:eastAsiaTheme="minorHAnsi" w:hAnsi="Arial" w:cs="Arial"/>
          <w:b/>
          <w:bCs/>
          <w:color w:val="056B38"/>
          <w:sz w:val="32"/>
          <w:szCs w:val="36"/>
        </w:rPr>
        <w:t>Current approach to determining penalties</w:t>
      </w:r>
    </w:p>
    <w:p w14:paraId="17CFD914" w14:textId="77777777" w:rsidR="00B66AD5" w:rsidRPr="00F96227" w:rsidRDefault="00B66AD5" w:rsidP="007F303C">
      <w:pPr>
        <w:pStyle w:val="ListParagraph"/>
        <w:ind w:left="425"/>
        <w:contextualSpacing w:val="0"/>
        <w:jc w:val="both"/>
        <w:outlineLvl w:val="0"/>
        <w:rPr>
          <w:rFonts w:ascii="Arial" w:eastAsiaTheme="minorHAnsi" w:hAnsi="Arial" w:cs="Arial"/>
          <w:b/>
          <w:bCs/>
          <w:color w:val="056B38"/>
          <w:sz w:val="32"/>
          <w:szCs w:val="36"/>
        </w:rPr>
      </w:pPr>
    </w:p>
    <w:p w14:paraId="4389515F" w14:textId="65178B73" w:rsidR="00020136" w:rsidRDefault="00F96227" w:rsidP="007F303C">
      <w:pPr>
        <w:pStyle w:val="ListParagraph"/>
        <w:numPr>
          <w:ilvl w:val="0"/>
          <w:numId w:val="39"/>
        </w:numPr>
        <w:contextualSpacing w:val="0"/>
        <w:jc w:val="both"/>
        <w:rPr>
          <w:rFonts w:ascii="Arial" w:hAnsi="Arial" w:cs="Arial"/>
          <w:i/>
          <w:iCs/>
        </w:rPr>
      </w:pPr>
      <w:r w:rsidRPr="000C376E">
        <w:rPr>
          <w:rFonts w:ascii="Arial" w:hAnsi="Arial" w:cs="Arial"/>
          <w:i/>
          <w:iCs/>
        </w:rPr>
        <w:t>QUESTION:</w:t>
      </w:r>
      <w:r>
        <w:rPr>
          <w:rFonts w:ascii="Arial" w:hAnsi="Arial" w:cs="Arial"/>
          <w:i/>
          <w:iCs/>
        </w:rPr>
        <w:t xml:space="preserve"> </w:t>
      </w:r>
      <w:r w:rsidR="00020136" w:rsidRPr="00F96227">
        <w:rPr>
          <w:rFonts w:ascii="Arial" w:hAnsi="Arial" w:cs="Arial"/>
          <w:i/>
          <w:iCs/>
        </w:rPr>
        <w:t xml:space="preserve">What level of further increase to the existing civil penalty regime in the Fair Work Act could best generate compliance with workplace laws? </w:t>
      </w:r>
    </w:p>
    <w:p w14:paraId="3AA35143" w14:textId="77777777" w:rsidR="004C4CC7" w:rsidRDefault="004C4CC7" w:rsidP="007F303C">
      <w:pPr>
        <w:pStyle w:val="ListParagraph"/>
        <w:contextualSpacing w:val="0"/>
        <w:jc w:val="both"/>
      </w:pPr>
    </w:p>
    <w:p w14:paraId="660D2ED1" w14:textId="2E74F676" w:rsidR="004C4CC7" w:rsidRPr="004C4CC7" w:rsidRDefault="004C4CC7" w:rsidP="007F303C">
      <w:pPr>
        <w:pStyle w:val="ListParagraph"/>
        <w:contextualSpacing w:val="0"/>
        <w:jc w:val="both"/>
        <w:rPr>
          <w:rFonts w:ascii="Arial" w:hAnsi="Arial" w:cs="Arial"/>
        </w:rPr>
      </w:pPr>
      <w:r w:rsidRPr="004C4CC7">
        <w:rPr>
          <w:rFonts w:ascii="Arial" w:hAnsi="Arial" w:cs="Arial"/>
          <w:b/>
          <w:bCs/>
        </w:rPr>
        <w:t xml:space="preserve">AFPA Response: </w:t>
      </w:r>
    </w:p>
    <w:p w14:paraId="7D2CB9E3" w14:textId="77777777" w:rsidR="00E510E7" w:rsidRDefault="004C4CC7" w:rsidP="00E510E7">
      <w:pPr>
        <w:pStyle w:val="ListParagraph"/>
        <w:contextualSpacing w:val="0"/>
        <w:jc w:val="both"/>
        <w:rPr>
          <w:rFonts w:ascii="Arial" w:hAnsi="Arial" w:cs="Arial"/>
        </w:rPr>
      </w:pPr>
      <w:r>
        <w:rPr>
          <w:rFonts w:ascii="Arial" w:hAnsi="Arial" w:cs="Arial"/>
        </w:rPr>
        <w:t xml:space="preserve">The AFPA industry perspective on underpayment is that the focus of any increased penalties should be targeted at </w:t>
      </w:r>
      <w:r w:rsidRPr="004C4CC7">
        <w:rPr>
          <w:rFonts w:ascii="Arial" w:hAnsi="Arial" w:cs="Arial"/>
        </w:rPr>
        <w:t>‘employers that knowingly underpay, or otherwise exploit, employees</w:t>
      </w:r>
      <w:r>
        <w:rPr>
          <w:rStyle w:val="FootnoteReference"/>
          <w:rFonts w:ascii="Arial" w:hAnsi="Arial" w:cs="Arial"/>
        </w:rPr>
        <w:footnoteReference w:id="6"/>
      </w:r>
      <w:r w:rsidRPr="004C4CC7">
        <w:rPr>
          <w:rFonts w:ascii="Arial" w:hAnsi="Arial" w:cs="Arial"/>
        </w:rPr>
        <w:t>’</w:t>
      </w:r>
      <w:r>
        <w:rPr>
          <w:rFonts w:ascii="Arial" w:hAnsi="Arial" w:cs="Arial"/>
        </w:rPr>
        <w:t xml:space="preserve"> and consider the current penalties </w:t>
      </w:r>
      <w:r w:rsidRPr="004C4CC7">
        <w:rPr>
          <w:rFonts w:ascii="Arial" w:hAnsi="Arial" w:cs="Arial"/>
        </w:rPr>
        <w:t>‘a cost of doing business</w:t>
      </w:r>
      <w:r>
        <w:rPr>
          <w:rStyle w:val="FootnoteReference"/>
          <w:rFonts w:ascii="Arial" w:hAnsi="Arial" w:cs="Arial"/>
        </w:rPr>
        <w:footnoteReference w:id="7"/>
      </w:r>
      <w:r w:rsidRPr="004C4CC7">
        <w:rPr>
          <w:rFonts w:ascii="Arial" w:hAnsi="Arial" w:cs="Arial"/>
        </w:rPr>
        <w:t>’</w:t>
      </w:r>
      <w:r>
        <w:rPr>
          <w:rFonts w:ascii="Arial" w:hAnsi="Arial" w:cs="Arial"/>
        </w:rPr>
        <w:t xml:space="preserve">. </w:t>
      </w:r>
    </w:p>
    <w:p w14:paraId="2348002F" w14:textId="5B1985BE" w:rsidR="004C4CC7" w:rsidRPr="00E510E7" w:rsidRDefault="004C4CC7" w:rsidP="00E510E7">
      <w:pPr>
        <w:pStyle w:val="ListParagraph"/>
        <w:contextualSpacing w:val="0"/>
        <w:jc w:val="both"/>
        <w:rPr>
          <w:rFonts w:ascii="Arial" w:hAnsi="Arial" w:cs="Arial"/>
        </w:rPr>
      </w:pPr>
      <w:r w:rsidRPr="00E510E7">
        <w:rPr>
          <w:rFonts w:ascii="Arial" w:hAnsi="Arial" w:cs="Arial"/>
        </w:rPr>
        <w:lastRenderedPageBreak/>
        <w:t>There are anecdotal reports of this approach being used by unscrupulous operators in the broader Australian horticulture industry. Where there is ‘</w:t>
      </w:r>
      <w:r w:rsidRPr="00E510E7" w:rsidDel="00D22228">
        <w:rPr>
          <w:rFonts w:ascii="Arial" w:hAnsi="Arial" w:cs="Arial"/>
        </w:rPr>
        <w:t>clear, deliberate and systemic</w:t>
      </w:r>
      <w:r>
        <w:rPr>
          <w:rStyle w:val="FootnoteReference"/>
          <w:rFonts w:ascii="Arial" w:hAnsi="Arial" w:cs="Arial"/>
        </w:rPr>
        <w:footnoteReference w:id="8"/>
      </w:r>
      <w:r w:rsidRPr="00E510E7" w:rsidDel="00D22228">
        <w:rPr>
          <w:rFonts w:ascii="Arial" w:hAnsi="Arial" w:cs="Arial"/>
        </w:rPr>
        <w:t>’</w:t>
      </w:r>
      <w:r w:rsidRPr="00E510E7">
        <w:rPr>
          <w:rFonts w:ascii="Arial" w:hAnsi="Arial" w:cs="Arial"/>
        </w:rPr>
        <w:t xml:space="preserve"> underpayment by commercial operators, the penalties for such behaviour must be a clear deterrent. </w:t>
      </w:r>
      <w:r w:rsidR="003B6253" w:rsidRPr="00E510E7">
        <w:rPr>
          <w:rFonts w:ascii="Arial" w:hAnsi="Arial" w:cs="Arial"/>
        </w:rPr>
        <w:t xml:space="preserve">For some commercial operators with evidence of clear underpayment which also results in worker exploitation, the commercial benefit of some of these arrangements are significant. </w:t>
      </w:r>
    </w:p>
    <w:p w14:paraId="6963A254" w14:textId="2E576721" w:rsidR="003B6253" w:rsidRDefault="003B6253" w:rsidP="007F303C">
      <w:pPr>
        <w:pStyle w:val="ListParagraph"/>
        <w:contextualSpacing w:val="0"/>
        <w:jc w:val="both"/>
        <w:rPr>
          <w:rFonts w:ascii="Arial" w:hAnsi="Arial" w:cs="Arial"/>
        </w:rPr>
      </w:pPr>
    </w:p>
    <w:p w14:paraId="6A1C2511" w14:textId="3AA01E79" w:rsidR="003B6253" w:rsidRDefault="003B6253" w:rsidP="007F303C">
      <w:pPr>
        <w:pStyle w:val="ListParagraph"/>
        <w:contextualSpacing w:val="0"/>
        <w:jc w:val="both"/>
        <w:rPr>
          <w:rFonts w:ascii="Arial" w:hAnsi="Arial" w:cs="Arial"/>
        </w:rPr>
      </w:pPr>
      <w:r>
        <w:rPr>
          <w:rFonts w:ascii="Arial" w:hAnsi="Arial" w:cs="Arial"/>
        </w:rPr>
        <w:t xml:space="preserve">The penalties for these actions must ensure that employees receive the correct compensation, and the fines must be commensurate with the ‘saving’ that the commercial entity has gained by underpaying workers. </w:t>
      </w:r>
    </w:p>
    <w:p w14:paraId="2BBDD390" w14:textId="2C69F95B" w:rsidR="003B6253" w:rsidRDefault="003B6253" w:rsidP="007F303C">
      <w:pPr>
        <w:pStyle w:val="ListParagraph"/>
        <w:contextualSpacing w:val="0"/>
        <w:jc w:val="both"/>
        <w:rPr>
          <w:rFonts w:ascii="Arial" w:hAnsi="Arial" w:cs="Arial"/>
        </w:rPr>
      </w:pPr>
    </w:p>
    <w:p w14:paraId="788FDAD1" w14:textId="772D3281" w:rsidR="003B6253" w:rsidRDefault="003B6253" w:rsidP="007F303C">
      <w:pPr>
        <w:pStyle w:val="ListParagraph"/>
        <w:contextualSpacing w:val="0"/>
        <w:jc w:val="both"/>
        <w:rPr>
          <w:rFonts w:ascii="Arial" w:hAnsi="Arial" w:cs="Arial"/>
        </w:rPr>
      </w:pPr>
      <w:r>
        <w:rPr>
          <w:rFonts w:ascii="Arial" w:hAnsi="Arial" w:cs="Arial"/>
        </w:rPr>
        <w:t xml:space="preserve">For example, where a commercial operators is fined $50,000 </w:t>
      </w:r>
      <w:r w:rsidR="001D61E7">
        <w:rPr>
          <w:rFonts w:ascii="Arial" w:hAnsi="Arial" w:cs="Arial"/>
        </w:rPr>
        <w:t xml:space="preserve">and </w:t>
      </w:r>
      <w:r>
        <w:rPr>
          <w:rFonts w:ascii="Arial" w:hAnsi="Arial" w:cs="Arial"/>
        </w:rPr>
        <w:t xml:space="preserve">the weekly ‘benefit or savings’ from underpayment of a group of employees is $50,000, the fine or penalty is not a credible deterrent or cost. If the commercial operator has been operating this arrangement for 20 weeks, the potential ‘benefit or saving’ from underpaying workers is significant. </w:t>
      </w:r>
    </w:p>
    <w:p w14:paraId="15C4AD8C" w14:textId="35429A4B" w:rsidR="003B6253" w:rsidRDefault="003B6253" w:rsidP="007F303C">
      <w:pPr>
        <w:pStyle w:val="ListParagraph"/>
        <w:contextualSpacing w:val="0"/>
        <w:jc w:val="both"/>
        <w:rPr>
          <w:rFonts w:ascii="Arial" w:hAnsi="Arial" w:cs="Arial"/>
        </w:rPr>
      </w:pPr>
    </w:p>
    <w:p w14:paraId="2BFE6912" w14:textId="005CA64E" w:rsidR="00B66AD5" w:rsidRPr="00B66AD5" w:rsidRDefault="003B6253" w:rsidP="007F303C">
      <w:pPr>
        <w:pStyle w:val="ListParagraph"/>
        <w:contextualSpacing w:val="0"/>
        <w:jc w:val="both"/>
        <w:rPr>
          <w:rFonts w:ascii="Arial" w:hAnsi="Arial" w:cs="Arial"/>
        </w:rPr>
      </w:pPr>
      <w:r>
        <w:rPr>
          <w:rFonts w:ascii="Arial" w:hAnsi="Arial" w:cs="Arial"/>
        </w:rPr>
        <w:t xml:space="preserve">Additional or increased penalties for ‘clear, deliberate and systemic’ underpayment must bear a relationship to the potential </w:t>
      </w:r>
      <w:r w:rsidR="001D61E7">
        <w:rPr>
          <w:rFonts w:ascii="Arial" w:hAnsi="Arial" w:cs="Arial"/>
        </w:rPr>
        <w:t xml:space="preserve">monetary </w:t>
      </w:r>
      <w:r>
        <w:rPr>
          <w:rFonts w:ascii="Arial" w:hAnsi="Arial" w:cs="Arial"/>
        </w:rPr>
        <w:t xml:space="preserve">benefit of saving from underpayment. Coupled with criminal sanctions (discussed later), this approach will be an appropriate response to intentional employee underpayment, and also support broader compliance by establishing appropriate penalties for </w:t>
      </w:r>
      <w:r w:rsidR="009D3453">
        <w:rPr>
          <w:rFonts w:ascii="Arial" w:hAnsi="Arial" w:cs="Arial"/>
        </w:rPr>
        <w:t xml:space="preserve">flagrant </w:t>
      </w:r>
      <w:r w:rsidR="001D61E7">
        <w:rPr>
          <w:rFonts w:ascii="Arial" w:hAnsi="Arial" w:cs="Arial"/>
        </w:rPr>
        <w:t xml:space="preserve"> abuse </w:t>
      </w:r>
      <w:r w:rsidR="00A61BE5">
        <w:rPr>
          <w:rFonts w:ascii="Arial" w:hAnsi="Arial" w:cs="Arial"/>
        </w:rPr>
        <w:t>of the law</w:t>
      </w:r>
      <w:r w:rsidR="009D3453">
        <w:rPr>
          <w:rFonts w:ascii="Arial" w:hAnsi="Arial" w:cs="Arial"/>
        </w:rPr>
        <w:t xml:space="preserve">. </w:t>
      </w:r>
    </w:p>
    <w:p w14:paraId="7AA81B46" w14:textId="77777777" w:rsidR="009D3453" w:rsidRPr="003B6253" w:rsidRDefault="009D3453" w:rsidP="007F303C">
      <w:pPr>
        <w:pStyle w:val="ListParagraph"/>
        <w:contextualSpacing w:val="0"/>
        <w:jc w:val="both"/>
        <w:rPr>
          <w:rFonts w:ascii="Arial" w:hAnsi="Arial" w:cs="Arial"/>
        </w:rPr>
      </w:pPr>
    </w:p>
    <w:p w14:paraId="060387DA" w14:textId="78614DC8" w:rsidR="00020136" w:rsidRPr="00F96227" w:rsidRDefault="00F96227" w:rsidP="007F303C">
      <w:pPr>
        <w:pStyle w:val="ListParagraph"/>
        <w:numPr>
          <w:ilvl w:val="0"/>
          <w:numId w:val="39"/>
        </w:numPr>
        <w:contextualSpacing w:val="0"/>
        <w:jc w:val="both"/>
        <w:rPr>
          <w:rFonts w:ascii="Arial" w:hAnsi="Arial" w:cs="Arial"/>
          <w:i/>
          <w:iCs/>
        </w:rPr>
      </w:pPr>
      <w:r w:rsidRPr="000C376E">
        <w:rPr>
          <w:rFonts w:ascii="Arial" w:hAnsi="Arial" w:cs="Arial"/>
          <w:i/>
          <w:iCs/>
        </w:rPr>
        <w:t>QUESTION:</w:t>
      </w:r>
      <w:r w:rsidRPr="00F96227">
        <w:rPr>
          <w:rFonts w:ascii="Arial" w:hAnsi="Arial" w:cs="Arial"/>
          <w:i/>
          <w:iCs/>
        </w:rPr>
        <w:t xml:space="preserve"> </w:t>
      </w:r>
      <w:r w:rsidR="00020136" w:rsidRPr="00F96227">
        <w:rPr>
          <w:rFonts w:ascii="Arial" w:hAnsi="Arial" w:cs="Arial"/>
          <w:i/>
          <w:iCs/>
        </w:rPr>
        <w:t>What are some alternative ways to calculate maximum penalties? For example, by reference to business size or the size of the underpayment or some measure of culpability or fault.</w:t>
      </w:r>
    </w:p>
    <w:p w14:paraId="250C96F3" w14:textId="77777777" w:rsidR="00F96227" w:rsidRPr="00F96227" w:rsidRDefault="00F96227" w:rsidP="007F303C">
      <w:pPr>
        <w:pStyle w:val="ListParagraph"/>
        <w:contextualSpacing w:val="0"/>
        <w:jc w:val="both"/>
        <w:rPr>
          <w:rFonts w:ascii="Arial" w:hAnsi="Arial" w:cs="Arial"/>
        </w:rPr>
      </w:pPr>
    </w:p>
    <w:p w14:paraId="47F1DF34" w14:textId="5AB88088" w:rsidR="00F96227" w:rsidRDefault="009D3453" w:rsidP="007F303C">
      <w:pPr>
        <w:ind w:left="720"/>
        <w:jc w:val="both"/>
        <w:rPr>
          <w:rFonts w:ascii="Arial" w:hAnsi="Arial" w:cs="Arial"/>
        </w:rPr>
      </w:pPr>
      <w:r w:rsidRPr="009D3453">
        <w:rPr>
          <w:rFonts w:ascii="Arial" w:hAnsi="Arial" w:cs="Arial"/>
          <w:b/>
          <w:bCs/>
        </w:rPr>
        <w:t>AFPA Response:</w:t>
      </w:r>
      <w:r>
        <w:rPr>
          <w:rFonts w:ascii="Arial" w:hAnsi="Arial" w:cs="Arial"/>
        </w:rPr>
        <w:t xml:space="preserve"> (See response immediately above) </w:t>
      </w:r>
    </w:p>
    <w:p w14:paraId="7327CC07" w14:textId="77777777" w:rsidR="009D3453" w:rsidRDefault="009D3453" w:rsidP="007F303C">
      <w:pPr>
        <w:ind w:left="720"/>
        <w:jc w:val="both"/>
        <w:rPr>
          <w:rFonts w:ascii="Arial" w:hAnsi="Arial" w:cs="Arial"/>
        </w:rPr>
      </w:pPr>
    </w:p>
    <w:p w14:paraId="507F5D9B" w14:textId="5CAD1DE9" w:rsidR="00020136" w:rsidRPr="00F96227" w:rsidRDefault="00F96227" w:rsidP="007F303C">
      <w:pPr>
        <w:pStyle w:val="ListParagraph"/>
        <w:numPr>
          <w:ilvl w:val="0"/>
          <w:numId w:val="39"/>
        </w:numPr>
        <w:contextualSpacing w:val="0"/>
        <w:jc w:val="both"/>
        <w:rPr>
          <w:rFonts w:ascii="Arial" w:hAnsi="Arial" w:cs="Arial"/>
          <w:i/>
          <w:iCs/>
        </w:rPr>
      </w:pPr>
      <w:r w:rsidRPr="000C376E">
        <w:rPr>
          <w:rFonts w:ascii="Arial" w:hAnsi="Arial" w:cs="Arial"/>
          <w:i/>
          <w:iCs/>
        </w:rPr>
        <w:t>QUESTION:</w:t>
      </w:r>
      <w:r w:rsidRPr="00F96227">
        <w:rPr>
          <w:rFonts w:ascii="Arial" w:hAnsi="Arial" w:cs="Arial"/>
          <w:i/>
          <w:iCs/>
        </w:rPr>
        <w:t xml:space="preserve"> </w:t>
      </w:r>
      <w:r w:rsidR="00020136" w:rsidRPr="00F96227">
        <w:rPr>
          <w:rFonts w:ascii="Arial" w:hAnsi="Arial" w:cs="Arial"/>
          <w:i/>
          <w:iCs/>
        </w:rPr>
        <w:t>Should penalties for multiple instances of underpayment across a workforce and over time continue to be ‘grouped’ by ‘civil penalty provision’, rather than by reference to the number of affected employees, period of the underpayments, or some other measure?</w:t>
      </w:r>
    </w:p>
    <w:p w14:paraId="535B76EA" w14:textId="77777777" w:rsidR="00B66AD5" w:rsidRDefault="00B66AD5" w:rsidP="007F303C">
      <w:pPr>
        <w:ind w:left="720"/>
        <w:jc w:val="both"/>
        <w:rPr>
          <w:rFonts w:ascii="Arial" w:hAnsi="Arial" w:cs="Arial"/>
          <w:b/>
          <w:bCs/>
        </w:rPr>
      </w:pPr>
    </w:p>
    <w:p w14:paraId="0F86DAEC" w14:textId="199EFA67" w:rsidR="00020136" w:rsidRDefault="009D3453" w:rsidP="007F303C">
      <w:pPr>
        <w:ind w:left="720"/>
        <w:jc w:val="both"/>
        <w:rPr>
          <w:rFonts w:ascii="Arial" w:hAnsi="Arial" w:cs="Arial"/>
        </w:rPr>
      </w:pPr>
      <w:r w:rsidRPr="009D3453">
        <w:rPr>
          <w:rFonts w:ascii="Arial" w:hAnsi="Arial" w:cs="Arial"/>
          <w:b/>
          <w:bCs/>
        </w:rPr>
        <w:t xml:space="preserve">AFPA Response: </w:t>
      </w:r>
      <w:r w:rsidR="001D61E7">
        <w:rPr>
          <w:rFonts w:ascii="Arial" w:hAnsi="Arial" w:cs="Arial"/>
        </w:rPr>
        <w:t>P</w:t>
      </w:r>
      <w:r w:rsidR="002E0DD5" w:rsidRPr="002E0DD5">
        <w:rPr>
          <w:rFonts w:ascii="Arial" w:hAnsi="Arial" w:cs="Arial"/>
        </w:rPr>
        <w:t xml:space="preserve">enalties should be demonstrably different for unintentional mistakes which are immediately rectified, compared to </w:t>
      </w:r>
      <w:r w:rsidR="002E0DD5" w:rsidRPr="002E0DD5" w:rsidDel="00D22228">
        <w:rPr>
          <w:rFonts w:ascii="Arial" w:hAnsi="Arial" w:cs="Arial"/>
        </w:rPr>
        <w:t>clear, deliberate and systemic</w:t>
      </w:r>
      <w:r w:rsidR="002E0DD5" w:rsidRPr="002E0DD5">
        <w:rPr>
          <w:rFonts w:ascii="Arial" w:hAnsi="Arial" w:cs="Arial"/>
        </w:rPr>
        <w:t xml:space="preserve"> breaches of the law.</w:t>
      </w:r>
      <w:r w:rsidR="002E0DD5">
        <w:rPr>
          <w:rFonts w:ascii="Arial" w:hAnsi="Arial" w:cs="Arial"/>
        </w:rPr>
        <w:t xml:space="preserve"> </w:t>
      </w:r>
    </w:p>
    <w:p w14:paraId="1DABE292" w14:textId="77777777" w:rsidR="00B66AD5" w:rsidRDefault="00B66AD5" w:rsidP="007F303C">
      <w:pPr>
        <w:ind w:left="720"/>
        <w:jc w:val="both"/>
        <w:rPr>
          <w:rFonts w:ascii="Arial" w:hAnsi="Arial" w:cs="Arial"/>
        </w:rPr>
      </w:pPr>
    </w:p>
    <w:p w14:paraId="6791D1B6" w14:textId="76EDD907" w:rsidR="002E0DD5" w:rsidRDefault="002E0DD5" w:rsidP="007F303C">
      <w:pPr>
        <w:ind w:left="720"/>
        <w:jc w:val="both"/>
        <w:rPr>
          <w:rFonts w:ascii="Arial" w:hAnsi="Arial" w:cs="Arial"/>
        </w:rPr>
      </w:pPr>
      <w:r>
        <w:rPr>
          <w:rFonts w:ascii="Arial" w:hAnsi="Arial" w:cs="Arial"/>
        </w:rPr>
        <w:t xml:space="preserve">For unintentional mistakes which are immediately rectified, the grouping of civil penalties should continue to apply however there is cause to consider the scale and time period of the breaches. There may be potential for more significant penalties for multi-year arrangements which resulted in underpayment. These legislative or regulatory </w:t>
      </w:r>
      <w:r w:rsidR="00CA6EB6">
        <w:rPr>
          <w:rFonts w:ascii="Arial" w:hAnsi="Arial" w:cs="Arial"/>
        </w:rPr>
        <w:t xml:space="preserve">changes </w:t>
      </w:r>
      <w:r>
        <w:rPr>
          <w:rFonts w:ascii="Arial" w:hAnsi="Arial" w:cs="Arial"/>
        </w:rPr>
        <w:t>could be implemented in consultation with the Australian business community</w:t>
      </w:r>
      <w:r w:rsidR="00CA6EB6">
        <w:rPr>
          <w:rFonts w:ascii="Arial" w:hAnsi="Arial" w:cs="Arial"/>
        </w:rPr>
        <w:t xml:space="preserve">. </w:t>
      </w:r>
      <w:r>
        <w:rPr>
          <w:rFonts w:ascii="Arial" w:hAnsi="Arial" w:cs="Arial"/>
        </w:rPr>
        <w:t xml:space="preserve"> </w:t>
      </w:r>
    </w:p>
    <w:p w14:paraId="6D001B60" w14:textId="77777777" w:rsidR="00B66AD5" w:rsidRDefault="00B66AD5" w:rsidP="007F303C">
      <w:pPr>
        <w:ind w:left="720"/>
        <w:jc w:val="both"/>
        <w:rPr>
          <w:rFonts w:ascii="Arial" w:hAnsi="Arial" w:cs="Arial"/>
        </w:rPr>
      </w:pPr>
    </w:p>
    <w:p w14:paraId="2130D517" w14:textId="661FCCC9" w:rsidR="00CA6EB6" w:rsidRDefault="00CA6EB6" w:rsidP="007F303C">
      <w:pPr>
        <w:ind w:left="720"/>
        <w:jc w:val="both"/>
        <w:rPr>
          <w:rFonts w:ascii="Arial" w:hAnsi="Arial" w:cs="Arial"/>
        </w:rPr>
      </w:pPr>
      <w:r>
        <w:rPr>
          <w:rFonts w:ascii="Arial" w:hAnsi="Arial" w:cs="Arial"/>
        </w:rPr>
        <w:t xml:space="preserve">Clear, deliberate and systemic breaches of the law should not be grouped. </w:t>
      </w:r>
    </w:p>
    <w:p w14:paraId="505D562C" w14:textId="77777777" w:rsidR="00B66AD5" w:rsidRDefault="00B66AD5" w:rsidP="007F303C">
      <w:pPr>
        <w:ind w:left="720"/>
        <w:jc w:val="both"/>
        <w:rPr>
          <w:rFonts w:ascii="Arial" w:hAnsi="Arial" w:cs="Arial"/>
        </w:rPr>
      </w:pPr>
    </w:p>
    <w:p w14:paraId="77CA032C" w14:textId="12FD251D" w:rsidR="002E0DD5" w:rsidRDefault="00CA6EB6" w:rsidP="007F303C">
      <w:pPr>
        <w:ind w:left="720"/>
        <w:jc w:val="both"/>
        <w:rPr>
          <w:rFonts w:ascii="Arial" w:hAnsi="Arial" w:cs="Arial"/>
        </w:rPr>
      </w:pPr>
      <w:r>
        <w:rPr>
          <w:rFonts w:ascii="Arial" w:hAnsi="Arial" w:cs="Arial"/>
        </w:rPr>
        <w:t xml:space="preserve">There may be parallel provisions which consider affected employees, time period and other measures which will provide the courts with flexibility in applying penalties. In combination, these measures will provide more substantive penalties to address the issues.  </w:t>
      </w:r>
    </w:p>
    <w:p w14:paraId="14858D33" w14:textId="77777777" w:rsidR="00A61BE5" w:rsidRPr="00CA6EB6" w:rsidRDefault="00A61BE5" w:rsidP="007F303C">
      <w:pPr>
        <w:ind w:left="720"/>
        <w:jc w:val="both"/>
        <w:rPr>
          <w:rFonts w:ascii="Arial" w:hAnsi="Arial" w:cs="Arial"/>
        </w:rPr>
      </w:pPr>
    </w:p>
    <w:p w14:paraId="6B85E52C" w14:textId="38CD7250" w:rsidR="00020136" w:rsidRDefault="00020136" w:rsidP="007F303C">
      <w:pPr>
        <w:pStyle w:val="PageSectionheading"/>
        <w:jc w:val="both"/>
        <w:rPr>
          <w:rFonts w:cs="Arial"/>
        </w:rPr>
      </w:pPr>
    </w:p>
    <w:p w14:paraId="3CA73357" w14:textId="77777777" w:rsidR="00AD5FB2" w:rsidRPr="00020136" w:rsidRDefault="00AD5FB2" w:rsidP="007F303C">
      <w:pPr>
        <w:pStyle w:val="PageSectionheading"/>
        <w:jc w:val="both"/>
        <w:rPr>
          <w:rFonts w:cs="Arial"/>
        </w:rPr>
      </w:pPr>
    </w:p>
    <w:p w14:paraId="54588B62" w14:textId="65C553D8" w:rsidR="00020136" w:rsidRDefault="00020136" w:rsidP="007F303C">
      <w:pPr>
        <w:pStyle w:val="ListParagraph"/>
        <w:numPr>
          <w:ilvl w:val="0"/>
          <w:numId w:val="36"/>
        </w:numPr>
        <w:ind w:left="425" w:hanging="425"/>
        <w:contextualSpacing w:val="0"/>
        <w:jc w:val="both"/>
        <w:outlineLvl w:val="0"/>
        <w:rPr>
          <w:rFonts w:ascii="Arial" w:eastAsiaTheme="minorHAnsi" w:hAnsi="Arial" w:cs="Arial"/>
          <w:b/>
          <w:bCs/>
          <w:color w:val="056B38"/>
          <w:sz w:val="32"/>
          <w:szCs w:val="36"/>
        </w:rPr>
      </w:pPr>
      <w:r w:rsidRPr="00020136">
        <w:rPr>
          <w:rFonts w:ascii="Arial" w:eastAsiaTheme="minorHAnsi" w:hAnsi="Arial" w:cs="Arial"/>
          <w:b/>
          <w:bCs/>
          <w:color w:val="056B38"/>
          <w:sz w:val="32"/>
          <w:szCs w:val="36"/>
        </w:rPr>
        <w:lastRenderedPageBreak/>
        <w:t>Fair Work Amendment (Protecting Vulnerable Workers) Act 2017</w:t>
      </w:r>
    </w:p>
    <w:p w14:paraId="5E2E7483" w14:textId="77777777" w:rsidR="00B66AD5" w:rsidRPr="00020136" w:rsidRDefault="00B66AD5" w:rsidP="007F303C">
      <w:pPr>
        <w:pStyle w:val="ListParagraph"/>
        <w:ind w:left="425"/>
        <w:contextualSpacing w:val="0"/>
        <w:jc w:val="both"/>
        <w:outlineLvl w:val="0"/>
        <w:rPr>
          <w:rFonts w:ascii="Arial" w:eastAsiaTheme="minorHAnsi" w:hAnsi="Arial" w:cs="Arial"/>
          <w:b/>
          <w:bCs/>
          <w:color w:val="056B38"/>
          <w:sz w:val="32"/>
          <w:szCs w:val="36"/>
        </w:rPr>
      </w:pPr>
    </w:p>
    <w:p w14:paraId="3866B369" w14:textId="2015EB81" w:rsidR="00020136" w:rsidRDefault="00F96227" w:rsidP="007F303C">
      <w:pPr>
        <w:pStyle w:val="ListParagraph"/>
        <w:numPr>
          <w:ilvl w:val="0"/>
          <w:numId w:val="39"/>
        </w:numPr>
        <w:contextualSpacing w:val="0"/>
        <w:jc w:val="both"/>
        <w:rPr>
          <w:rFonts w:ascii="Arial" w:hAnsi="Arial" w:cs="Arial"/>
          <w:bCs/>
          <w:i/>
          <w:iCs/>
        </w:rPr>
      </w:pPr>
      <w:r w:rsidRPr="000C376E">
        <w:rPr>
          <w:rFonts w:ascii="Arial" w:hAnsi="Arial" w:cs="Arial"/>
          <w:i/>
          <w:iCs/>
        </w:rPr>
        <w:t>QUESTION:</w:t>
      </w:r>
      <w:r w:rsidRPr="00F96227">
        <w:rPr>
          <w:rFonts w:ascii="Arial" w:hAnsi="Arial" w:cs="Arial"/>
          <w:i/>
          <w:iCs/>
        </w:rPr>
        <w:t xml:space="preserve"> </w:t>
      </w:r>
      <w:r w:rsidR="00020136" w:rsidRPr="00F96227">
        <w:rPr>
          <w:rFonts w:ascii="Arial" w:hAnsi="Arial" w:cs="Arial"/>
          <w:bCs/>
          <w:i/>
          <w:iCs/>
        </w:rPr>
        <w:t>Have the amendments effected by the Protecting Vulnerable Workers Act, coupled with the FWO’s education, compliance and enforcement activities, influenced employer behaviour? In what way?</w:t>
      </w:r>
    </w:p>
    <w:p w14:paraId="7E39754C" w14:textId="77777777" w:rsidR="00B66AD5" w:rsidRDefault="00B66AD5" w:rsidP="007F303C">
      <w:pPr>
        <w:ind w:left="720"/>
        <w:jc w:val="both"/>
        <w:rPr>
          <w:rFonts w:ascii="Arial" w:hAnsi="Arial" w:cs="Arial"/>
          <w:b/>
        </w:rPr>
      </w:pPr>
    </w:p>
    <w:p w14:paraId="14904B72" w14:textId="7693E573" w:rsidR="00B41D53" w:rsidRDefault="00B41D53" w:rsidP="007F303C">
      <w:pPr>
        <w:ind w:left="720"/>
        <w:jc w:val="both"/>
        <w:rPr>
          <w:rFonts w:ascii="Arial" w:hAnsi="Arial" w:cs="Arial"/>
          <w:bCs/>
        </w:rPr>
      </w:pPr>
      <w:r w:rsidRPr="00B41D53">
        <w:rPr>
          <w:rFonts w:ascii="Arial" w:hAnsi="Arial" w:cs="Arial"/>
          <w:b/>
        </w:rPr>
        <w:t>AFPA Response</w:t>
      </w:r>
      <w:r>
        <w:rPr>
          <w:rFonts w:ascii="Arial" w:hAnsi="Arial" w:cs="Arial"/>
          <w:bCs/>
        </w:rPr>
        <w:t xml:space="preserve">: The increase in penalties under the amendments to the Protecting Vulnerable Workers Act has, and will, act as a disincentive for unscrupulous behaviour. Some of the specific provisions are particularly relevant to the fresh produce industry and encourage continued adoption of sophisticated </w:t>
      </w:r>
      <w:r w:rsidR="001D61E7">
        <w:rPr>
          <w:rFonts w:ascii="Arial" w:hAnsi="Arial" w:cs="Arial"/>
          <w:bCs/>
        </w:rPr>
        <w:t xml:space="preserve">and legally compliant </w:t>
      </w:r>
      <w:r>
        <w:rPr>
          <w:rFonts w:ascii="Arial" w:hAnsi="Arial" w:cs="Arial"/>
          <w:bCs/>
        </w:rPr>
        <w:t xml:space="preserve">business practices (rather than informal practices). </w:t>
      </w:r>
    </w:p>
    <w:p w14:paraId="50A38D2B" w14:textId="77777777" w:rsidR="001D61E7" w:rsidRDefault="001D61E7" w:rsidP="007F303C">
      <w:pPr>
        <w:ind w:left="720"/>
        <w:jc w:val="both"/>
        <w:rPr>
          <w:rFonts w:ascii="Arial" w:hAnsi="Arial" w:cs="Arial"/>
          <w:bCs/>
        </w:rPr>
      </w:pPr>
    </w:p>
    <w:p w14:paraId="03F885FD" w14:textId="1892B14D" w:rsidR="00B41D53" w:rsidRPr="00B41D53" w:rsidRDefault="001D61E7" w:rsidP="007F303C">
      <w:pPr>
        <w:ind w:left="720"/>
        <w:jc w:val="both"/>
        <w:rPr>
          <w:rFonts w:ascii="Arial" w:hAnsi="Arial" w:cs="Arial"/>
          <w:bCs/>
        </w:rPr>
      </w:pPr>
      <w:r>
        <w:rPr>
          <w:rFonts w:ascii="Arial" w:hAnsi="Arial" w:cs="Arial"/>
          <w:bCs/>
        </w:rPr>
        <w:t>C</w:t>
      </w:r>
      <w:r w:rsidR="00B41D53" w:rsidRPr="00B41D53">
        <w:rPr>
          <w:rFonts w:ascii="Arial" w:hAnsi="Arial" w:cs="Arial"/>
          <w:bCs/>
        </w:rPr>
        <w:t xml:space="preserve">ontinued education, compliance and enforcement activities are valuable as they support culture change in the Australian fresh produce industry. </w:t>
      </w:r>
      <w:r>
        <w:rPr>
          <w:rFonts w:ascii="Arial" w:hAnsi="Arial" w:cs="Arial"/>
          <w:bCs/>
        </w:rPr>
        <w:t>E</w:t>
      </w:r>
      <w:r w:rsidR="00B41D53">
        <w:rPr>
          <w:rFonts w:ascii="Arial" w:hAnsi="Arial" w:cs="Arial"/>
          <w:bCs/>
        </w:rPr>
        <w:t xml:space="preserve">ducative and informational </w:t>
      </w:r>
      <w:r>
        <w:rPr>
          <w:rFonts w:ascii="Arial" w:hAnsi="Arial" w:cs="Arial"/>
          <w:bCs/>
        </w:rPr>
        <w:t xml:space="preserve">measures </w:t>
      </w:r>
      <w:r w:rsidR="00B41D53">
        <w:rPr>
          <w:rFonts w:ascii="Arial" w:hAnsi="Arial" w:cs="Arial"/>
          <w:bCs/>
        </w:rPr>
        <w:t xml:space="preserve">are particularly important to inform business </w:t>
      </w:r>
      <w:r w:rsidR="0035505C">
        <w:rPr>
          <w:rFonts w:ascii="Arial" w:hAnsi="Arial" w:cs="Arial"/>
          <w:bCs/>
        </w:rPr>
        <w:t xml:space="preserve">in parallel with an increase in </w:t>
      </w:r>
      <w:r w:rsidR="00B41D53">
        <w:rPr>
          <w:rFonts w:ascii="Arial" w:hAnsi="Arial" w:cs="Arial"/>
          <w:bCs/>
        </w:rPr>
        <w:t xml:space="preserve">compliance and enforcement activity. </w:t>
      </w:r>
      <w:r w:rsidR="00B41D53" w:rsidRPr="00B41D53">
        <w:rPr>
          <w:rFonts w:ascii="Arial" w:hAnsi="Arial" w:cs="Arial"/>
          <w:bCs/>
          <w:i/>
          <w:iCs/>
        </w:rPr>
        <w:t xml:space="preserve"> </w:t>
      </w:r>
    </w:p>
    <w:p w14:paraId="6B295BFF" w14:textId="77777777" w:rsidR="00B41D53" w:rsidRPr="00B41D53" w:rsidRDefault="00B41D53" w:rsidP="007F303C">
      <w:pPr>
        <w:jc w:val="both"/>
        <w:rPr>
          <w:rFonts w:ascii="Arial" w:hAnsi="Arial" w:cs="Arial"/>
          <w:bCs/>
          <w:i/>
          <w:iCs/>
        </w:rPr>
      </w:pPr>
    </w:p>
    <w:p w14:paraId="56FD9DCF" w14:textId="7D55E1BC" w:rsidR="00020136" w:rsidRDefault="00F96227" w:rsidP="007F303C">
      <w:pPr>
        <w:pStyle w:val="NormalWeb"/>
        <w:numPr>
          <w:ilvl w:val="0"/>
          <w:numId w:val="39"/>
        </w:numPr>
        <w:spacing w:before="0" w:beforeAutospacing="0" w:after="0" w:afterAutospacing="0"/>
        <w:ind w:left="714" w:hanging="357"/>
        <w:jc w:val="both"/>
        <w:rPr>
          <w:rFonts w:ascii="Arial" w:hAnsi="Arial" w:cs="Arial"/>
          <w:bCs/>
          <w:i/>
          <w:iCs/>
        </w:rPr>
      </w:pPr>
      <w:r w:rsidRPr="000C376E">
        <w:rPr>
          <w:rFonts w:ascii="Arial" w:hAnsi="Arial" w:cs="Arial"/>
          <w:bCs/>
          <w:i/>
          <w:iCs/>
        </w:rPr>
        <w:t>QUESTION:</w:t>
      </w:r>
      <w:r w:rsidRPr="00F96227">
        <w:rPr>
          <w:rFonts w:ascii="Arial" w:hAnsi="Arial" w:cs="Arial"/>
          <w:bCs/>
          <w:i/>
          <w:iCs/>
        </w:rPr>
        <w:t xml:space="preserve"> </w:t>
      </w:r>
      <w:r w:rsidR="00020136" w:rsidRPr="00F96227">
        <w:rPr>
          <w:rFonts w:ascii="Arial" w:hAnsi="Arial" w:cs="Arial"/>
          <w:bCs/>
          <w:i/>
          <w:iCs/>
        </w:rPr>
        <w:t>Has the new ‘serious contravention’ category in the Fair Work Act had, or is it likely to have, a sufficient deterrent effect?</w:t>
      </w:r>
    </w:p>
    <w:p w14:paraId="62C1F6AF" w14:textId="77777777" w:rsidR="00B66AD5" w:rsidRPr="00F96227" w:rsidRDefault="00B66AD5" w:rsidP="007F303C">
      <w:pPr>
        <w:pStyle w:val="NormalWeb"/>
        <w:spacing w:before="0" w:beforeAutospacing="0" w:after="0" w:afterAutospacing="0"/>
        <w:ind w:left="714"/>
        <w:jc w:val="both"/>
        <w:rPr>
          <w:rFonts w:ascii="Arial" w:hAnsi="Arial" w:cs="Arial"/>
          <w:bCs/>
          <w:i/>
          <w:iCs/>
        </w:rPr>
      </w:pPr>
    </w:p>
    <w:p w14:paraId="76707C2C" w14:textId="7060D6F8" w:rsidR="00020136" w:rsidRPr="00C21AEC" w:rsidRDefault="00EF6470" w:rsidP="007F303C">
      <w:pPr>
        <w:ind w:left="720"/>
        <w:jc w:val="both"/>
        <w:rPr>
          <w:rFonts w:ascii="Arial" w:hAnsi="Arial" w:cs="Arial"/>
          <w:bCs/>
        </w:rPr>
      </w:pPr>
      <w:r w:rsidRPr="00B41D53">
        <w:rPr>
          <w:rFonts w:ascii="Arial" w:hAnsi="Arial" w:cs="Arial"/>
          <w:b/>
        </w:rPr>
        <w:t>AFPA Response</w:t>
      </w:r>
      <w:r w:rsidRPr="00EF6470">
        <w:rPr>
          <w:rFonts w:ascii="Arial" w:hAnsi="Arial" w:cs="Arial"/>
          <w:b/>
        </w:rPr>
        <w:t>:</w:t>
      </w:r>
      <w:r>
        <w:rPr>
          <w:rFonts w:ascii="Arial" w:hAnsi="Arial" w:cs="Arial"/>
          <w:b/>
        </w:rPr>
        <w:t xml:space="preserve"> </w:t>
      </w:r>
      <w:r w:rsidR="00C21AEC" w:rsidRPr="00C21AEC">
        <w:rPr>
          <w:rFonts w:ascii="Arial" w:hAnsi="Arial" w:cs="Arial"/>
          <w:bCs/>
        </w:rPr>
        <w:t>Consistent with the approach to parallel questions on penalties, the ‘serious contravention’ category of penalties is likely to have a deterrent effect.</w:t>
      </w:r>
      <w:r w:rsidR="00C21AEC">
        <w:rPr>
          <w:rFonts w:ascii="Arial" w:hAnsi="Arial" w:cs="Arial"/>
          <w:b/>
        </w:rPr>
        <w:t xml:space="preserve"> </w:t>
      </w:r>
    </w:p>
    <w:p w14:paraId="711C3A45" w14:textId="62F45E8D" w:rsidR="00020136" w:rsidRPr="00020136" w:rsidRDefault="00020136" w:rsidP="007F303C">
      <w:pPr>
        <w:pStyle w:val="PageSectionheading"/>
        <w:jc w:val="both"/>
        <w:rPr>
          <w:rFonts w:cs="Arial"/>
        </w:rPr>
      </w:pPr>
    </w:p>
    <w:p w14:paraId="4398FEAF" w14:textId="31FDC537" w:rsidR="00020136" w:rsidRDefault="00020136" w:rsidP="007F303C">
      <w:pPr>
        <w:pStyle w:val="ListParagraph"/>
        <w:numPr>
          <w:ilvl w:val="0"/>
          <w:numId w:val="36"/>
        </w:numPr>
        <w:ind w:left="425" w:hanging="425"/>
        <w:contextualSpacing w:val="0"/>
        <w:jc w:val="both"/>
        <w:outlineLvl w:val="0"/>
        <w:rPr>
          <w:rFonts w:ascii="Arial" w:eastAsiaTheme="minorHAnsi" w:hAnsi="Arial" w:cs="Arial"/>
          <w:b/>
          <w:bCs/>
          <w:color w:val="056B38"/>
          <w:sz w:val="32"/>
          <w:szCs w:val="36"/>
        </w:rPr>
      </w:pPr>
      <w:r w:rsidRPr="00020136">
        <w:rPr>
          <w:rFonts w:ascii="Arial" w:eastAsiaTheme="minorHAnsi" w:hAnsi="Arial" w:cs="Arial"/>
          <w:b/>
          <w:bCs/>
          <w:color w:val="056B38"/>
          <w:sz w:val="32"/>
          <w:szCs w:val="36"/>
        </w:rPr>
        <w:t>Extending liability</w:t>
      </w:r>
    </w:p>
    <w:p w14:paraId="6F83914A" w14:textId="77777777" w:rsidR="00B66AD5" w:rsidRPr="00020136" w:rsidRDefault="00B66AD5" w:rsidP="007F303C">
      <w:pPr>
        <w:pStyle w:val="ListParagraph"/>
        <w:ind w:left="425"/>
        <w:contextualSpacing w:val="0"/>
        <w:jc w:val="both"/>
        <w:outlineLvl w:val="0"/>
        <w:rPr>
          <w:rFonts w:ascii="Arial" w:eastAsiaTheme="minorHAnsi" w:hAnsi="Arial" w:cs="Arial"/>
          <w:b/>
          <w:bCs/>
          <w:color w:val="056B38"/>
          <w:sz w:val="32"/>
          <w:szCs w:val="36"/>
        </w:rPr>
      </w:pPr>
    </w:p>
    <w:p w14:paraId="26378310" w14:textId="79BCC7C4" w:rsidR="00020136" w:rsidRDefault="00F96227" w:rsidP="007F303C">
      <w:pPr>
        <w:pStyle w:val="ListParagraph"/>
        <w:numPr>
          <w:ilvl w:val="0"/>
          <w:numId w:val="39"/>
        </w:numPr>
        <w:contextualSpacing w:val="0"/>
        <w:jc w:val="both"/>
        <w:rPr>
          <w:rFonts w:ascii="Arial" w:hAnsi="Arial" w:cs="Arial"/>
          <w:i/>
          <w:iCs/>
        </w:rPr>
      </w:pPr>
      <w:r w:rsidRPr="000C376E">
        <w:rPr>
          <w:rFonts w:ascii="Arial" w:hAnsi="Arial" w:cs="Arial"/>
          <w:i/>
          <w:iCs/>
        </w:rPr>
        <w:t>QUESTION:</w:t>
      </w:r>
      <w:r>
        <w:rPr>
          <w:rFonts w:ascii="Arial" w:hAnsi="Arial" w:cs="Arial"/>
          <w:i/>
          <w:iCs/>
        </w:rPr>
        <w:t xml:space="preserve"> </w:t>
      </w:r>
      <w:r w:rsidR="00020136" w:rsidRPr="00F96227">
        <w:rPr>
          <w:rFonts w:ascii="Arial" w:hAnsi="Arial" w:cs="Arial"/>
          <w:i/>
          <w:iCs/>
        </w:rPr>
        <w:t>Do the existing arrangements adequately regulate the behaviour of lead firms/head contractors in relation to employees in their immediate supply chains?</w:t>
      </w:r>
    </w:p>
    <w:p w14:paraId="29F98DE5" w14:textId="77777777" w:rsidR="00B66AD5" w:rsidRDefault="00B66AD5" w:rsidP="007F303C">
      <w:pPr>
        <w:ind w:left="720"/>
        <w:jc w:val="both"/>
        <w:rPr>
          <w:rFonts w:ascii="Arial" w:hAnsi="Arial" w:cs="Arial"/>
          <w:b/>
        </w:rPr>
      </w:pPr>
    </w:p>
    <w:p w14:paraId="5A489187" w14:textId="75DC5EE8" w:rsidR="00F96227" w:rsidRDefault="00C21AEC" w:rsidP="007F303C">
      <w:pPr>
        <w:ind w:left="720"/>
        <w:jc w:val="both"/>
        <w:rPr>
          <w:rFonts w:ascii="Arial" w:hAnsi="Arial" w:cs="Arial"/>
          <w:bCs/>
        </w:rPr>
      </w:pPr>
      <w:r w:rsidRPr="00C21AEC">
        <w:rPr>
          <w:rFonts w:ascii="Arial" w:hAnsi="Arial" w:cs="Arial"/>
          <w:b/>
        </w:rPr>
        <w:t>AFPA Res</w:t>
      </w:r>
      <w:r>
        <w:rPr>
          <w:rFonts w:ascii="Arial" w:hAnsi="Arial" w:cs="Arial"/>
          <w:b/>
        </w:rPr>
        <w:t>p</w:t>
      </w:r>
      <w:r w:rsidRPr="00C21AEC">
        <w:rPr>
          <w:rFonts w:ascii="Arial" w:hAnsi="Arial" w:cs="Arial"/>
          <w:b/>
        </w:rPr>
        <w:t>onse</w:t>
      </w:r>
      <w:r>
        <w:rPr>
          <w:rFonts w:ascii="Arial" w:hAnsi="Arial" w:cs="Arial"/>
          <w:b/>
        </w:rPr>
        <w:t xml:space="preserve">: </w:t>
      </w:r>
      <w:r w:rsidR="000C376E">
        <w:rPr>
          <w:rFonts w:ascii="Arial" w:hAnsi="Arial" w:cs="Arial"/>
          <w:bCs/>
        </w:rPr>
        <w:t xml:space="preserve">Personal responsibility is a foundation of the operation of modern Australian society. This principle is extended to business, companies and corporations whereby those entities are responsible for their decisions. Personal responsibility ensures that all Australians have the opportunity to determine their own futures, and are also accountable for their actions. </w:t>
      </w:r>
    </w:p>
    <w:p w14:paraId="2231D488" w14:textId="6CB32EC2" w:rsidR="000C376E" w:rsidRDefault="000C376E" w:rsidP="007F303C">
      <w:pPr>
        <w:ind w:left="720"/>
        <w:jc w:val="both"/>
        <w:rPr>
          <w:rFonts w:ascii="Arial" w:hAnsi="Arial" w:cs="Arial"/>
          <w:bCs/>
        </w:rPr>
      </w:pPr>
    </w:p>
    <w:p w14:paraId="3BA4B0C1" w14:textId="77777777" w:rsidR="000C376E" w:rsidRDefault="000C376E" w:rsidP="007F303C">
      <w:pPr>
        <w:ind w:left="720"/>
        <w:jc w:val="both"/>
        <w:rPr>
          <w:rFonts w:ascii="Arial" w:hAnsi="Arial" w:cs="Arial"/>
          <w:bCs/>
        </w:rPr>
      </w:pPr>
      <w:r>
        <w:rPr>
          <w:rFonts w:ascii="Arial" w:hAnsi="Arial" w:cs="Arial"/>
          <w:bCs/>
        </w:rPr>
        <w:t>The discussion paper outlines that ‘</w:t>
      </w:r>
      <w:r w:rsidRPr="000C376E">
        <w:rPr>
          <w:rFonts w:ascii="Arial" w:hAnsi="Arial" w:cs="Arial"/>
          <w:bCs/>
        </w:rPr>
        <w:t>As a general legal concept, a person is an accessory to an unlawful act (or omission) of another person where they participated in, but did not directly commit, the unlawful act (or omission) to such an extent that it would be appropriate to hold that person liable</w:t>
      </w:r>
      <w:r>
        <w:rPr>
          <w:rFonts w:ascii="Arial" w:hAnsi="Arial" w:cs="Arial"/>
          <w:bCs/>
        </w:rPr>
        <w:t>’</w:t>
      </w:r>
      <w:r w:rsidRPr="000C376E">
        <w:rPr>
          <w:rFonts w:ascii="Arial" w:hAnsi="Arial" w:cs="Arial"/>
          <w:bCs/>
        </w:rPr>
        <w:t>.</w:t>
      </w:r>
    </w:p>
    <w:p w14:paraId="66A94582" w14:textId="77777777" w:rsidR="000C376E" w:rsidRDefault="000C376E" w:rsidP="007F303C">
      <w:pPr>
        <w:ind w:left="720"/>
        <w:jc w:val="both"/>
        <w:rPr>
          <w:rFonts w:ascii="Arial" w:hAnsi="Arial" w:cs="Arial"/>
          <w:bCs/>
        </w:rPr>
      </w:pPr>
    </w:p>
    <w:p w14:paraId="3F917225" w14:textId="3952E8CE" w:rsidR="000C376E" w:rsidRDefault="000C376E" w:rsidP="007F303C">
      <w:pPr>
        <w:ind w:left="720"/>
        <w:jc w:val="both"/>
        <w:rPr>
          <w:rFonts w:ascii="Arial" w:hAnsi="Arial" w:cs="Arial"/>
          <w:bCs/>
        </w:rPr>
      </w:pPr>
      <w:r>
        <w:rPr>
          <w:rFonts w:ascii="Arial" w:hAnsi="Arial" w:cs="Arial"/>
          <w:bCs/>
        </w:rPr>
        <w:t xml:space="preserve">In the context of the Fair Work Act and the operations of the Fair Work Ombudsman, one could argue that there is a strong reliance on accessorial liability provisions to prosecute cases, in the absence of strong deterrent penalties. The discussion paper seeks feedback on the use of stronger penalties. </w:t>
      </w:r>
    </w:p>
    <w:p w14:paraId="066B3473" w14:textId="77777777" w:rsidR="000C376E" w:rsidRDefault="000C376E" w:rsidP="007F303C">
      <w:pPr>
        <w:ind w:left="720"/>
        <w:jc w:val="both"/>
        <w:rPr>
          <w:rFonts w:ascii="Arial" w:hAnsi="Arial" w:cs="Arial"/>
          <w:bCs/>
        </w:rPr>
      </w:pPr>
    </w:p>
    <w:p w14:paraId="6532A378" w14:textId="190DFED4" w:rsidR="000C376E" w:rsidRDefault="000C376E" w:rsidP="007F303C">
      <w:pPr>
        <w:ind w:left="720"/>
        <w:jc w:val="both"/>
        <w:rPr>
          <w:rFonts w:ascii="Arial" w:hAnsi="Arial" w:cs="Arial"/>
          <w:bCs/>
        </w:rPr>
      </w:pPr>
      <w:r>
        <w:rPr>
          <w:rFonts w:ascii="Arial" w:hAnsi="Arial" w:cs="Arial"/>
          <w:bCs/>
        </w:rPr>
        <w:t xml:space="preserve">Keeping the objective in mind: that all Australians are </w:t>
      </w:r>
      <w:r w:rsidR="0036404E">
        <w:rPr>
          <w:rFonts w:ascii="Arial" w:hAnsi="Arial" w:cs="Arial"/>
          <w:bCs/>
        </w:rPr>
        <w:t xml:space="preserve">employed and </w:t>
      </w:r>
      <w:r>
        <w:rPr>
          <w:rFonts w:ascii="Arial" w:hAnsi="Arial" w:cs="Arial"/>
          <w:bCs/>
        </w:rPr>
        <w:t>paid correctly</w:t>
      </w:r>
      <w:r w:rsidR="0036404E">
        <w:rPr>
          <w:rFonts w:ascii="Arial" w:hAnsi="Arial" w:cs="Arial"/>
          <w:bCs/>
        </w:rPr>
        <w:t xml:space="preserve"> and</w:t>
      </w:r>
      <w:r>
        <w:rPr>
          <w:rFonts w:ascii="Arial" w:hAnsi="Arial" w:cs="Arial"/>
          <w:bCs/>
        </w:rPr>
        <w:t xml:space="preserve"> lawfully, a range of significant penalties coupled with compliance and enforcement action is the best path forward. The existence of penalties and their rigorous enforcement is a clear example of the law functioning to achieve a societal outcome. We do not seriously contemplate making the parents responsible for the criminal acts of their </w:t>
      </w:r>
      <w:r w:rsidR="00AE258D">
        <w:rPr>
          <w:rFonts w:ascii="Arial" w:hAnsi="Arial" w:cs="Arial"/>
          <w:bCs/>
        </w:rPr>
        <w:t xml:space="preserve">adult </w:t>
      </w:r>
      <w:r>
        <w:rPr>
          <w:rFonts w:ascii="Arial" w:hAnsi="Arial" w:cs="Arial"/>
          <w:bCs/>
        </w:rPr>
        <w:t>children</w:t>
      </w:r>
      <w:r w:rsidR="00AE258D">
        <w:rPr>
          <w:rFonts w:ascii="Arial" w:hAnsi="Arial" w:cs="Arial"/>
          <w:bCs/>
        </w:rPr>
        <w:t>,</w:t>
      </w:r>
      <w:r>
        <w:rPr>
          <w:rFonts w:ascii="Arial" w:hAnsi="Arial" w:cs="Arial"/>
          <w:bCs/>
        </w:rPr>
        <w:t xml:space="preserve"> and </w:t>
      </w:r>
      <w:r>
        <w:rPr>
          <w:rFonts w:ascii="Arial" w:hAnsi="Arial" w:cs="Arial"/>
          <w:bCs/>
        </w:rPr>
        <w:lastRenderedPageBreak/>
        <w:t xml:space="preserve">so it is with accessorial liability, there are (appropriate) limits to the application of the legal and practical constructs. </w:t>
      </w:r>
    </w:p>
    <w:p w14:paraId="165FBA3A" w14:textId="71780E4C" w:rsidR="000C376E" w:rsidRDefault="000C376E" w:rsidP="007F303C">
      <w:pPr>
        <w:ind w:left="720"/>
        <w:jc w:val="both"/>
        <w:rPr>
          <w:rFonts w:ascii="Arial" w:hAnsi="Arial" w:cs="Arial"/>
          <w:bCs/>
        </w:rPr>
      </w:pPr>
    </w:p>
    <w:p w14:paraId="25C96189" w14:textId="2EC18626" w:rsidR="000C376E" w:rsidRPr="000C376E" w:rsidRDefault="00400755" w:rsidP="007F303C">
      <w:pPr>
        <w:ind w:left="720"/>
        <w:jc w:val="both"/>
        <w:rPr>
          <w:rFonts w:ascii="Arial" w:hAnsi="Arial" w:cs="Arial"/>
          <w:bCs/>
        </w:rPr>
      </w:pPr>
      <w:r>
        <w:rPr>
          <w:rFonts w:ascii="Arial" w:hAnsi="Arial" w:cs="Arial"/>
          <w:bCs/>
        </w:rPr>
        <w:t xml:space="preserve">The current arrangements are sufficient to address the requirements of their immediate employees, and contractors on the physical premises of lead firms/head contractors. </w:t>
      </w:r>
    </w:p>
    <w:p w14:paraId="3115C203" w14:textId="1D8DD50A" w:rsidR="000C376E" w:rsidRPr="000C376E" w:rsidRDefault="000C376E" w:rsidP="007F303C">
      <w:pPr>
        <w:ind w:left="720"/>
        <w:jc w:val="both"/>
        <w:rPr>
          <w:rFonts w:ascii="Arial" w:hAnsi="Arial" w:cs="Arial"/>
          <w:bCs/>
        </w:rPr>
      </w:pPr>
    </w:p>
    <w:p w14:paraId="367D5D09" w14:textId="77777777" w:rsidR="00C21AEC" w:rsidRPr="00F96227" w:rsidRDefault="00C21AEC" w:rsidP="007F303C">
      <w:pPr>
        <w:jc w:val="both"/>
        <w:rPr>
          <w:rFonts w:ascii="Arial" w:hAnsi="Arial" w:cs="Arial"/>
          <w:i/>
          <w:iCs/>
        </w:rPr>
      </w:pPr>
    </w:p>
    <w:p w14:paraId="033A0456" w14:textId="4D1430AB" w:rsidR="00F96227" w:rsidRDefault="00F96227" w:rsidP="007F303C">
      <w:pPr>
        <w:pStyle w:val="ListParagraph"/>
        <w:numPr>
          <w:ilvl w:val="0"/>
          <w:numId w:val="39"/>
        </w:numPr>
        <w:contextualSpacing w:val="0"/>
        <w:jc w:val="both"/>
        <w:rPr>
          <w:rFonts w:ascii="Arial" w:hAnsi="Arial" w:cs="Arial"/>
          <w:i/>
          <w:iCs/>
        </w:rPr>
      </w:pPr>
      <w:r w:rsidRPr="000C376E">
        <w:rPr>
          <w:rFonts w:ascii="Arial" w:hAnsi="Arial" w:cs="Arial"/>
          <w:i/>
          <w:iCs/>
        </w:rPr>
        <w:t>QUESTION:</w:t>
      </w:r>
      <w:r>
        <w:rPr>
          <w:rFonts w:ascii="Arial" w:hAnsi="Arial" w:cs="Arial"/>
          <w:i/>
          <w:iCs/>
        </w:rPr>
        <w:t xml:space="preserve"> </w:t>
      </w:r>
      <w:r w:rsidR="00020136" w:rsidRPr="00F96227">
        <w:rPr>
          <w:rFonts w:ascii="Arial" w:hAnsi="Arial" w:cs="Arial"/>
          <w:i/>
          <w:iCs/>
        </w:rPr>
        <w:t>Should actual knowledge of, or knowing involvement in, a contravention of a workplace law be the decisive factor in determining whether to extend liability to another person or company? If not, what level of knowledge or involvement would be appropriate?</w:t>
      </w:r>
      <w:r w:rsidR="00227C7D" w:rsidRPr="00227C7D">
        <w:rPr>
          <w:rFonts w:ascii="Arial" w:hAnsi="Arial" w:cs="Arial"/>
          <w:i/>
          <w:iCs/>
        </w:rPr>
        <w:t xml:space="preserve"> </w:t>
      </w:r>
      <w:r w:rsidR="00227C7D" w:rsidRPr="00F96227">
        <w:rPr>
          <w:rFonts w:ascii="Arial" w:hAnsi="Arial" w:cs="Arial"/>
          <w:i/>
          <w:iCs/>
        </w:rPr>
        <w:t>Would recklessness constitute a fair element to an offence of this type?</w:t>
      </w:r>
    </w:p>
    <w:p w14:paraId="71B8EB8C" w14:textId="436CF8AF" w:rsidR="00B66AD5" w:rsidRDefault="00B66AD5" w:rsidP="007F303C">
      <w:pPr>
        <w:jc w:val="both"/>
        <w:rPr>
          <w:rFonts w:ascii="Arial" w:hAnsi="Arial" w:cs="Arial"/>
          <w:i/>
          <w:iCs/>
        </w:rPr>
      </w:pPr>
    </w:p>
    <w:p w14:paraId="468D3381" w14:textId="1CD600EB" w:rsidR="00B66AD5" w:rsidRDefault="000C376E" w:rsidP="007F303C">
      <w:pPr>
        <w:ind w:left="720"/>
        <w:jc w:val="both"/>
        <w:rPr>
          <w:rFonts w:ascii="Arial" w:hAnsi="Arial" w:cs="Arial"/>
        </w:rPr>
      </w:pPr>
      <w:r w:rsidRPr="000C376E">
        <w:rPr>
          <w:rFonts w:ascii="Arial" w:hAnsi="Arial" w:cs="Arial"/>
          <w:b/>
          <w:bCs/>
          <w:i/>
          <w:iCs/>
        </w:rPr>
        <w:t xml:space="preserve">AFPA Response: </w:t>
      </w:r>
      <w:r w:rsidR="0036404E">
        <w:rPr>
          <w:rFonts w:ascii="Arial" w:hAnsi="Arial" w:cs="Arial"/>
        </w:rPr>
        <w:t xml:space="preserve">Actual knowledge, knowing involvement or any kind of active and direct  participation in the contravention should be the decisive factor or threshold for liability in considering whether to extend liability to another person or company. </w:t>
      </w:r>
    </w:p>
    <w:p w14:paraId="51A2BB20" w14:textId="1E655CE8" w:rsidR="0036404E" w:rsidRDefault="0036404E" w:rsidP="007F303C">
      <w:pPr>
        <w:ind w:left="720"/>
        <w:jc w:val="both"/>
        <w:rPr>
          <w:rFonts w:ascii="Arial" w:hAnsi="Arial" w:cs="Arial"/>
        </w:rPr>
      </w:pPr>
    </w:p>
    <w:p w14:paraId="31A9FEE2" w14:textId="159E99BD" w:rsidR="0036404E" w:rsidRDefault="0036404E" w:rsidP="007F303C">
      <w:pPr>
        <w:ind w:left="720"/>
        <w:jc w:val="both"/>
        <w:rPr>
          <w:rFonts w:ascii="Arial" w:hAnsi="Arial" w:cs="Arial"/>
        </w:rPr>
      </w:pPr>
      <w:r>
        <w:rPr>
          <w:rFonts w:ascii="Arial" w:hAnsi="Arial" w:cs="Arial"/>
        </w:rPr>
        <w:t xml:space="preserve">Recalling the objective, continuing to extend accessorial liability does not increase liability directly to the decision maker or direct employer. </w:t>
      </w:r>
      <w:r w:rsidR="008F53BF">
        <w:rPr>
          <w:rFonts w:ascii="Arial" w:hAnsi="Arial" w:cs="Arial"/>
          <w:bCs/>
        </w:rPr>
        <w:t>In our view, e</w:t>
      </w:r>
      <w:r w:rsidR="008F53BF" w:rsidRPr="00483D3B">
        <w:rPr>
          <w:rFonts w:ascii="Arial" w:hAnsi="Arial" w:cs="Arial"/>
          <w:bCs/>
        </w:rPr>
        <w:t xml:space="preserve">xtending accessorial liability to third parties does increase pressure in the </w:t>
      </w:r>
      <w:r w:rsidR="008F53BF">
        <w:rPr>
          <w:rFonts w:ascii="Arial" w:hAnsi="Arial" w:cs="Arial"/>
          <w:bCs/>
        </w:rPr>
        <w:t xml:space="preserve">fresh produce </w:t>
      </w:r>
      <w:r w:rsidR="008F53BF" w:rsidRPr="00483D3B">
        <w:rPr>
          <w:rFonts w:ascii="Arial" w:hAnsi="Arial" w:cs="Arial"/>
          <w:bCs/>
        </w:rPr>
        <w:t xml:space="preserve">supply chain but is </w:t>
      </w:r>
      <w:r w:rsidR="008F53BF">
        <w:rPr>
          <w:rFonts w:ascii="Arial" w:hAnsi="Arial" w:cs="Arial"/>
          <w:bCs/>
        </w:rPr>
        <w:t>not the most</w:t>
      </w:r>
      <w:r w:rsidR="008F53BF" w:rsidRPr="00483D3B">
        <w:rPr>
          <w:rFonts w:ascii="Arial" w:hAnsi="Arial" w:cs="Arial"/>
          <w:bCs/>
        </w:rPr>
        <w:t xml:space="preserve"> efficient or effective </w:t>
      </w:r>
      <w:r w:rsidR="008F53BF">
        <w:rPr>
          <w:rFonts w:ascii="Arial" w:hAnsi="Arial" w:cs="Arial"/>
          <w:bCs/>
        </w:rPr>
        <w:t xml:space="preserve">method </w:t>
      </w:r>
      <w:r w:rsidR="008F53BF" w:rsidRPr="00483D3B">
        <w:rPr>
          <w:rFonts w:ascii="Arial" w:hAnsi="Arial" w:cs="Arial"/>
          <w:bCs/>
        </w:rPr>
        <w:t>in the short term, adds cost to the supply chain and is not demonstrated to achieve long term outcomes</w:t>
      </w:r>
      <w:r w:rsidR="008F53BF">
        <w:rPr>
          <w:rFonts w:ascii="Arial" w:hAnsi="Arial" w:cs="Arial"/>
          <w:bCs/>
        </w:rPr>
        <w:t xml:space="preserve"> in our industry</w:t>
      </w:r>
      <w:r w:rsidR="008F53BF" w:rsidRPr="00483D3B">
        <w:rPr>
          <w:rFonts w:ascii="Arial" w:hAnsi="Arial" w:cs="Arial"/>
          <w:bCs/>
        </w:rPr>
        <w:t>.</w:t>
      </w:r>
    </w:p>
    <w:p w14:paraId="5724B140" w14:textId="35B0CDAD" w:rsidR="00227C7D" w:rsidRDefault="00227C7D" w:rsidP="007F303C">
      <w:pPr>
        <w:ind w:left="720"/>
        <w:jc w:val="both"/>
        <w:rPr>
          <w:rFonts w:ascii="Arial" w:hAnsi="Arial" w:cs="Arial"/>
        </w:rPr>
      </w:pPr>
    </w:p>
    <w:p w14:paraId="5ACF3A97" w14:textId="4EA8A6FF" w:rsidR="00227C7D" w:rsidRDefault="00227C7D" w:rsidP="007F303C">
      <w:pPr>
        <w:ind w:left="720"/>
        <w:jc w:val="both"/>
        <w:rPr>
          <w:rFonts w:ascii="Arial" w:hAnsi="Arial" w:cs="Arial"/>
        </w:rPr>
      </w:pPr>
      <w:r>
        <w:rPr>
          <w:rFonts w:ascii="Arial" w:hAnsi="Arial" w:cs="Arial"/>
          <w:b/>
          <w:bCs/>
          <w:i/>
          <w:iCs/>
        </w:rPr>
        <w:t>‘</w:t>
      </w:r>
      <w:r>
        <w:rPr>
          <w:rFonts w:ascii="Arial" w:hAnsi="Arial" w:cs="Arial"/>
        </w:rPr>
        <w:t>Recklessness’</w:t>
      </w:r>
      <w:r w:rsidR="00E31683">
        <w:rPr>
          <w:rFonts w:ascii="Arial" w:hAnsi="Arial" w:cs="Arial"/>
        </w:rPr>
        <w:t xml:space="preserve"> requires that the offender was aware of the risk as opposed </w:t>
      </w:r>
      <w:r w:rsidR="00E73BAB">
        <w:rPr>
          <w:rFonts w:ascii="Arial" w:hAnsi="Arial" w:cs="Arial"/>
        </w:rPr>
        <w:t xml:space="preserve">to </w:t>
      </w:r>
      <w:r w:rsidR="00E31683">
        <w:rPr>
          <w:rFonts w:ascii="Arial" w:hAnsi="Arial" w:cs="Arial"/>
        </w:rPr>
        <w:t>actual knowledge of or knowing involvement.  Therefore</w:t>
      </w:r>
      <w:r w:rsidR="00E73BAB">
        <w:rPr>
          <w:rFonts w:ascii="Arial" w:hAnsi="Arial" w:cs="Arial"/>
        </w:rPr>
        <w:t>,</w:t>
      </w:r>
      <w:r w:rsidR="00E31683">
        <w:rPr>
          <w:rFonts w:ascii="Arial" w:hAnsi="Arial" w:cs="Arial"/>
        </w:rPr>
        <w:t xml:space="preserve"> recklessness </w:t>
      </w:r>
      <w:r>
        <w:rPr>
          <w:rFonts w:ascii="Arial" w:hAnsi="Arial" w:cs="Arial"/>
        </w:rPr>
        <w:t>on the part of a third party c</w:t>
      </w:r>
      <w:r w:rsidR="00E31683">
        <w:rPr>
          <w:rFonts w:ascii="Arial" w:hAnsi="Arial" w:cs="Arial"/>
        </w:rPr>
        <w:t>ould</w:t>
      </w:r>
      <w:r>
        <w:rPr>
          <w:rFonts w:ascii="Arial" w:hAnsi="Arial" w:cs="Arial"/>
        </w:rPr>
        <w:t xml:space="preserve"> essentially </w:t>
      </w:r>
      <w:r w:rsidR="00E31683">
        <w:rPr>
          <w:rFonts w:ascii="Arial" w:hAnsi="Arial" w:cs="Arial"/>
        </w:rPr>
        <w:t>result from</w:t>
      </w:r>
      <w:r>
        <w:rPr>
          <w:rFonts w:ascii="Arial" w:hAnsi="Arial" w:cs="Arial"/>
        </w:rPr>
        <w:t xml:space="preserve"> a lack of </w:t>
      </w:r>
      <w:r w:rsidR="00E73BAB">
        <w:rPr>
          <w:rFonts w:ascii="Arial" w:hAnsi="Arial" w:cs="Arial"/>
        </w:rPr>
        <w:t xml:space="preserve">exercising proper </w:t>
      </w:r>
      <w:r>
        <w:rPr>
          <w:rFonts w:ascii="Arial" w:hAnsi="Arial" w:cs="Arial"/>
        </w:rPr>
        <w:t xml:space="preserve">due diligence in their </w:t>
      </w:r>
      <w:r w:rsidR="00E31683">
        <w:rPr>
          <w:rFonts w:ascii="Arial" w:hAnsi="Arial" w:cs="Arial"/>
        </w:rPr>
        <w:t>dealings with another person or company</w:t>
      </w:r>
      <w:r>
        <w:rPr>
          <w:rFonts w:ascii="Arial" w:hAnsi="Arial" w:cs="Arial"/>
        </w:rPr>
        <w:t xml:space="preserve">. This does not constitute a fair ‘decisive factor’ in the consideration of whether to extend accessorial liability. </w:t>
      </w:r>
    </w:p>
    <w:p w14:paraId="6DD9465B" w14:textId="77777777" w:rsidR="00B66AD5" w:rsidRDefault="00B66AD5" w:rsidP="007F303C">
      <w:pPr>
        <w:jc w:val="both"/>
        <w:rPr>
          <w:rFonts w:ascii="Arial" w:hAnsi="Arial" w:cs="Arial"/>
          <w:i/>
          <w:iCs/>
        </w:rPr>
      </w:pPr>
    </w:p>
    <w:p w14:paraId="7CFAD6DB" w14:textId="77777777" w:rsidR="00F96227" w:rsidRPr="00F96227" w:rsidRDefault="00F96227" w:rsidP="007F303C">
      <w:pPr>
        <w:jc w:val="both"/>
        <w:rPr>
          <w:rFonts w:ascii="Arial" w:hAnsi="Arial" w:cs="Arial"/>
          <w:i/>
          <w:iCs/>
        </w:rPr>
      </w:pPr>
    </w:p>
    <w:p w14:paraId="3E345C7F" w14:textId="151F8EDC" w:rsidR="00020136" w:rsidRDefault="00F96227" w:rsidP="007F303C">
      <w:pPr>
        <w:pStyle w:val="ListParagraph"/>
        <w:numPr>
          <w:ilvl w:val="0"/>
          <w:numId w:val="39"/>
        </w:numPr>
        <w:contextualSpacing w:val="0"/>
        <w:jc w:val="both"/>
        <w:rPr>
          <w:rFonts w:ascii="Arial" w:hAnsi="Arial" w:cs="Arial"/>
          <w:i/>
          <w:iCs/>
        </w:rPr>
      </w:pPr>
      <w:r w:rsidRPr="000C376E">
        <w:rPr>
          <w:rFonts w:ascii="Arial" w:hAnsi="Arial" w:cs="Arial"/>
          <w:i/>
          <w:iCs/>
        </w:rPr>
        <w:t>QUESTION:</w:t>
      </w:r>
      <w:r>
        <w:rPr>
          <w:rFonts w:ascii="Arial" w:hAnsi="Arial" w:cs="Arial"/>
          <w:i/>
          <w:iCs/>
        </w:rPr>
        <w:t xml:space="preserve"> </w:t>
      </w:r>
      <w:r w:rsidR="00020136" w:rsidRPr="00F96227">
        <w:rPr>
          <w:rFonts w:ascii="Arial" w:hAnsi="Arial" w:cs="Arial"/>
          <w:i/>
          <w:iCs/>
        </w:rPr>
        <w:t xml:space="preserve">What degree of control over which aspects of a business is required before a business owner should be expected to check the compliance of contractors further down the supply chain? </w:t>
      </w:r>
    </w:p>
    <w:p w14:paraId="76B851E1" w14:textId="0E091BEE" w:rsidR="00227C7D" w:rsidRDefault="00227C7D" w:rsidP="007F303C">
      <w:pPr>
        <w:jc w:val="both"/>
        <w:rPr>
          <w:rFonts w:ascii="Arial" w:hAnsi="Arial" w:cs="Arial"/>
          <w:i/>
          <w:iCs/>
        </w:rPr>
      </w:pPr>
    </w:p>
    <w:p w14:paraId="68145D4C" w14:textId="2FD1AEA4" w:rsidR="004B078D" w:rsidRPr="00EC0B61" w:rsidRDefault="00EC0B61" w:rsidP="007F303C">
      <w:pPr>
        <w:ind w:left="720"/>
        <w:jc w:val="both"/>
        <w:rPr>
          <w:rFonts w:ascii="Arial" w:hAnsi="Arial" w:cs="Arial"/>
        </w:rPr>
      </w:pPr>
      <w:r w:rsidRPr="000C376E">
        <w:rPr>
          <w:rFonts w:ascii="Arial" w:hAnsi="Arial" w:cs="Arial"/>
          <w:b/>
          <w:bCs/>
          <w:i/>
          <w:iCs/>
        </w:rPr>
        <w:t>AFPA Response:</w:t>
      </w:r>
      <w:r>
        <w:rPr>
          <w:rFonts w:ascii="Arial" w:hAnsi="Arial" w:cs="Arial"/>
          <w:b/>
          <w:bCs/>
          <w:i/>
          <w:iCs/>
        </w:rPr>
        <w:t xml:space="preserve"> </w:t>
      </w:r>
      <w:r w:rsidR="00E66082">
        <w:rPr>
          <w:rFonts w:ascii="Arial" w:hAnsi="Arial" w:cs="Arial"/>
        </w:rPr>
        <w:t>I</w:t>
      </w:r>
      <w:r>
        <w:rPr>
          <w:rFonts w:ascii="Arial" w:hAnsi="Arial" w:cs="Arial"/>
        </w:rPr>
        <w:t>n the consideration of employment issues and the extension of accessorial liability</w:t>
      </w:r>
      <w:r w:rsidR="00E66082">
        <w:rPr>
          <w:rFonts w:ascii="Arial" w:hAnsi="Arial" w:cs="Arial"/>
        </w:rPr>
        <w:t xml:space="preserve"> it is useful to consider the broader range of issues</w:t>
      </w:r>
      <w:r>
        <w:rPr>
          <w:rFonts w:ascii="Arial" w:hAnsi="Arial" w:cs="Arial"/>
        </w:rPr>
        <w:t xml:space="preserve">. </w:t>
      </w:r>
      <w:r w:rsidR="00E66082">
        <w:rPr>
          <w:rFonts w:ascii="Arial" w:hAnsi="Arial" w:cs="Arial"/>
        </w:rPr>
        <w:t xml:space="preserve">Those contractors doing work on the physical premises of a business (such as tradespeople, cleaners) receive a high duty of care as their personal safety and security is </w:t>
      </w:r>
      <w:r w:rsidR="004B078D">
        <w:rPr>
          <w:rFonts w:ascii="Arial" w:hAnsi="Arial" w:cs="Arial"/>
        </w:rPr>
        <w:t xml:space="preserve">provided by the business for the period of time that they are on </w:t>
      </w:r>
      <w:r w:rsidR="004F1E5B">
        <w:rPr>
          <w:rFonts w:ascii="Arial" w:hAnsi="Arial" w:cs="Arial"/>
        </w:rPr>
        <w:t xml:space="preserve">the </w:t>
      </w:r>
      <w:r w:rsidR="004B078D">
        <w:rPr>
          <w:rFonts w:ascii="Arial" w:hAnsi="Arial" w:cs="Arial"/>
        </w:rPr>
        <w:t xml:space="preserve">premises. In contrast, for a supplier </w:t>
      </w:r>
      <w:r w:rsidR="004F1E5B">
        <w:rPr>
          <w:rFonts w:ascii="Arial" w:hAnsi="Arial" w:cs="Arial"/>
        </w:rPr>
        <w:t xml:space="preserve">to </w:t>
      </w:r>
      <w:r w:rsidR="004B078D">
        <w:rPr>
          <w:rFonts w:ascii="Arial" w:hAnsi="Arial" w:cs="Arial"/>
        </w:rPr>
        <w:t xml:space="preserve">a business </w:t>
      </w:r>
      <w:r w:rsidR="004F1E5B">
        <w:rPr>
          <w:rFonts w:ascii="Arial" w:hAnsi="Arial" w:cs="Arial"/>
        </w:rPr>
        <w:t xml:space="preserve">of services or goods that does not involve the provision of labour to that business, </w:t>
      </w:r>
      <w:r w:rsidR="004B078D">
        <w:rPr>
          <w:rFonts w:ascii="Arial" w:hAnsi="Arial" w:cs="Arial"/>
        </w:rPr>
        <w:t xml:space="preserve">there may be little to no physical contact between the businesses, and the visibility of the respective business operations by each party may be very low. An occasional supplier to a business is very different to a tradesperson visiting weekly. </w:t>
      </w:r>
    </w:p>
    <w:p w14:paraId="76A2D586" w14:textId="4D73397B" w:rsidR="00F96227" w:rsidRDefault="00F96227" w:rsidP="007F303C">
      <w:pPr>
        <w:jc w:val="both"/>
        <w:rPr>
          <w:rFonts w:ascii="Arial" w:hAnsi="Arial" w:cs="Arial"/>
          <w:i/>
          <w:iCs/>
        </w:rPr>
      </w:pPr>
    </w:p>
    <w:p w14:paraId="587103AA" w14:textId="371B5E2D" w:rsidR="00B66AD5" w:rsidRDefault="004B078D" w:rsidP="007F303C">
      <w:pPr>
        <w:ind w:left="720"/>
        <w:jc w:val="both"/>
        <w:rPr>
          <w:rFonts w:ascii="Arial" w:hAnsi="Arial" w:cs="Arial"/>
        </w:rPr>
      </w:pPr>
      <w:r>
        <w:rPr>
          <w:rFonts w:ascii="Arial" w:hAnsi="Arial" w:cs="Arial"/>
        </w:rPr>
        <w:t>Before embarking on significant additional consideration of accessorial liability it will be important to review and consider the reporting under the Modern Slavery legislation</w:t>
      </w:r>
      <w:r w:rsidR="00F96CF8">
        <w:rPr>
          <w:rFonts w:ascii="Arial" w:hAnsi="Arial" w:cs="Arial"/>
        </w:rPr>
        <w:t xml:space="preserve"> and </w:t>
      </w:r>
      <w:r w:rsidR="00687B97">
        <w:rPr>
          <w:rFonts w:ascii="Arial" w:hAnsi="Arial" w:cs="Arial"/>
        </w:rPr>
        <w:t xml:space="preserve">what if any </w:t>
      </w:r>
      <w:r w:rsidR="00F96CF8">
        <w:rPr>
          <w:rFonts w:ascii="Arial" w:hAnsi="Arial" w:cs="Arial"/>
        </w:rPr>
        <w:t xml:space="preserve">progress </w:t>
      </w:r>
      <w:r w:rsidR="00687B97">
        <w:rPr>
          <w:rFonts w:ascii="Arial" w:hAnsi="Arial" w:cs="Arial"/>
        </w:rPr>
        <w:t xml:space="preserve">is </w:t>
      </w:r>
      <w:r w:rsidR="00F96CF8">
        <w:rPr>
          <w:rFonts w:ascii="Arial" w:hAnsi="Arial" w:cs="Arial"/>
        </w:rPr>
        <w:t>made in addressing the issues this legislation</w:t>
      </w:r>
      <w:r w:rsidR="00687B97">
        <w:rPr>
          <w:rFonts w:ascii="Arial" w:hAnsi="Arial" w:cs="Arial"/>
        </w:rPr>
        <w:t xml:space="preserve"> specifically</w:t>
      </w:r>
      <w:r w:rsidR="00F96CF8">
        <w:rPr>
          <w:rFonts w:ascii="Arial" w:hAnsi="Arial" w:cs="Arial"/>
        </w:rPr>
        <w:t xml:space="preserve"> seeks to address.</w:t>
      </w:r>
      <w:r>
        <w:rPr>
          <w:rFonts w:ascii="Arial" w:hAnsi="Arial" w:cs="Arial"/>
        </w:rPr>
        <w:t xml:space="preserve"> </w:t>
      </w:r>
    </w:p>
    <w:p w14:paraId="2B1DB6FB" w14:textId="007C9A3E" w:rsidR="00E95EE7" w:rsidRDefault="00E95EE7" w:rsidP="007F303C">
      <w:pPr>
        <w:ind w:left="720"/>
        <w:jc w:val="both"/>
        <w:rPr>
          <w:rFonts w:ascii="Arial" w:hAnsi="Arial" w:cs="Arial"/>
        </w:rPr>
      </w:pPr>
    </w:p>
    <w:p w14:paraId="4735E0F0" w14:textId="79033BAA" w:rsidR="008F53BF" w:rsidRDefault="008F53BF" w:rsidP="007F303C">
      <w:pPr>
        <w:ind w:left="720"/>
        <w:jc w:val="both"/>
        <w:rPr>
          <w:rFonts w:ascii="Arial" w:hAnsi="Arial" w:cs="Arial"/>
        </w:rPr>
      </w:pPr>
    </w:p>
    <w:p w14:paraId="0C14E451" w14:textId="77777777" w:rsidR="008F53BF" w:rsidRPr="004B078D" w:rsidRDefault="008F53BF" w:rsidP="007F303C">
      <w:pPr>
        <w:ind w:left="720"/>
        <w:jc w:val="both"/>
        <w:rPr>
          <w:rFonts w:ascii="Arial" w:hAnsi="Arial" w:cs="Arial"/>
        </w:rPr>
      </w:pPr>
    </w:p>
    <w:p w14:paraId="493F741E" w14:textId="77777777" w:rsidR="00B66AD5" w:rsidRPr="00F96227" w:rsidRDefault="00B66AD5" w:rsidP="007F303C">
      <w:pPr>
        <w:jc w:val="both"/>
        <w:rPr>
          <w:rFonts w:ascii="Arial" w:hAnsi="Arial" w:cs="Arial"/>
          <w:i/>
          <w:iCs/>
        </w:rPr>
      </w:pPr>
    </w:p>
    <w:p w14:paraId="79CD44E8" w14:textId="28F9DC70" w:rsidR="00020136" w:rsidRPr="00F96227" w:rsidRDefault="00F96227" w:rsidP="007F303C">
      <w:pPr>
        <w:pStyle w:val="ListParagraph"/>
        <w:numPr>
          <w:ilvl w:val="0"/>
          <w:numId w:val="39"/>
        </w:numPr>
        <w:contextualSpacing w:val="0"/>
        <w:jc w:val="both"/>
        <w:rPr>
          <w:rFonts w:ascii="Arial" w:hAnsi="Arial" w:cs="Arial"/>
          <w:i/>
          <w:iCs/>
        </w:rPr>
      </w:pPr>
      <w:r w:rsidRPr="00227C7D">
        <w:rPr>
          <w:rFonts w:ascii="Arial" w:hAnsi="Arial" w:cs="Arial"/>
          <w:i/>
          <w:iCs/>
        </w:rPr>
        <w:lastRenderedPageBreak/>
        <w:t>QUESTION:</w:t>
      </w:r>
      <w:r>
        <w:rPr>
          <w:rFonts w:ascii="Arial" w:hAnsi="Arial" w:cs="Arial"/>
          <w:i/>
          <w:iCs/>
        </w:rPr>
        <w:t xml:space="preserve"> </w:t>
      </w:r>
      <w:r w:rsidR="00020136" w:rsidRPr="00F96227">
        <w:rPr>
          <w:rFonts w:ascii="Arial" w:hAnsi="Arial" w:cs="Arial"/>
          <w:i/>
          <w:iCs/>
        </w:rPr>
        <w:t xml:space="preserve">What are the risks and/or benefits of further extending the accessorial liability provisions to a broader range of business models, including </w:t>
      </w:r>
      <w:r w:rsidR="00020136" w:rsidRPr="00F96227">
        <w:rPr>
          <w:rFonts w:ascii="Arial" w:hAnsi="Arial" w:cs="Arial"/>
          <w:bCs/>
          <w:i/>
          <w:iCs/>
          <w:lang w:eastAsia="en-AU"/>
        </w:rPr>
        <w:t>where businesses contract out services?</w:t>
      </w:r>
    </w:p>
    <w:p w14:paraId="643AC8C0" w14:textId="76EDC2C4" w:rsidR="00020136" w:rsidRDefault="00020136" w:rsidP="007F303C">
      <w:pPr>
        <w:jc w:val="both"/>
        <w:rPr>
          <w:rFonts w:ascii="Arial" w:hAnsi="Arial" w:cs="Arial"/>
        </w:rPr>
      </w:pPr>
    </w:p>
    <w:p w14:paraId="1A55E147" w14:textId="0BD9B295" w:rsidR="004B078D" w:rsidRDefault="004B078D" w:rsidP="007F303C">
      <w:pPr>
        <w:ind w:left="720"/>
        <w:jc w:val="both"/>
        <w:rPr>
          <w:rFonts w:ascii="Arial" w:hAnsi="Arial" w:cs="Arial"/>
          <w:b/>
          <w:bCs/>
        </w:rPr>
      </w:pPr>
      <w:r w:rsidRPr="004B078D">
        <w:rPr>
          <w:rFonts w:ascii="Arial" w:hAnsi="Arial" w:cs="Arial"/>
          <w:b/>
          <w:bCs/>
        </w:rPr>
        <w:t xml:space="preserve">AFPA Response: </w:t>
      </w:r>
      <w:r w:rsidR="004E11C4" w:rsidRPr="004E11C4">
        <w:rPr>
          <w:rFonts w:ascii="Arial" w:hAnsi="Arial" w:cs="Arial"/>
        </w:rPr>
        <w:t>Consistent with earlier points:</w:t>
      </w:r>
      <w:r w:rsidR="004E11C4">
        <w:rPr>
          <w:rFonts w:ascii="Arial" w:hAnsi="Arial" w:cs="Arial"/>
          <w:b/>
          <w:bCs/>
        </w:rPr>
        <w:t xml:space="preserve"> </w:t>
      </w:r>
    </w:p>
    <w:p w14:paraId="39A4BD12" w14:textId="7FF62531" w:rsidR="004E11C4" w:rsidRDefault="004E11C4" w:rsidP="007F303C">
      <w:pPr>
        <w:ind w:left="720"/>
        <w:jc w:val="both"/>
        <w:rPr>
          <w:rFonts w:ascii="Arial" w:hAnsi="Arial" w:cs="Arial"/>
          <w:b/>
          <w:bCs/>
        </w:rPr>
      </w:pPr>
    </w:p>
    <w:p w14:paraId="20FDB7D9" w14:textId="09F81F52" w:rsidR="004E11C4" w:rsidRDefault="004E11C4" w:rsidP="007F303C">
      <w:pPr>
        <w:pStyle w:val="ListParagraph"/>
        <w:numPr>
          <w:ilvl w:val="0"/>
          <w:numId w:val="40"/>
        </w:numPr>
        <w:jc w:val="both"/>
        <w:rPr>
          <w:rFonts w:ascii="Arial" w:hAnsi="Arial" w:cs="Arial"/>
        </w:rPr>
      </w:pPr>
      <w:r>
        <w:rPr>
          <w:rFonts w:ascii="Arial" w:hAnsi="Arial" w:cs="Arial"/>
        </w:rPr>
        <w:t xml:space="preserve">Liability should apply to the decision making or entity directly responsible and therefore liable for the action (or inaction), and </w:t>
      </w:r>
    </w:p>
    <w:p w14:paraId="0B30EABD" w14:textId="77777777" w:rsidR="004E11C4" w:rsidRDefault="004E11C4" w:rsidP="007F303C">
      <w:pPr>
        <w:pStyle w:val="ListParagraph"/>
        <w:numPr>
          <w:ilvl w:val="0"/>
          <w:numId w:val="40"/>
        </w:numPr>
        <w:jc w:val="both"/>
        <w:rPr>
          <w:rFonts w:ascii="Arial" w:hAnsi="Arial" w:cs="Arial"/>
        </w:rPr>
      </w:pPr>
      <w:r>
        <w:rPr>
          <w:rFonts w:ascii="Arial" w:hAnsi="Arial" w:cs="Arial"/>
        </w:rPr>
        <w:t xml:space="preserve">Any extension of accessorial liability should consider what the actual objective and measurement of that objective is, and the relevance of accessorial liability to furthering that objective. </w:t>
      </w:r>
    </w:p>
    <w:p w14:paraId="3EE6B79E" w14:textId="77777777" w:rsidR="004E11C4" w:rsidRDefault="004E11C4" w:rsidP="007F303C">
      <w:pPr>
        <w:jc w:val="both"/>
        <w:rPr>
          <w:rFonts w:ascii="Arial" w:hAnsi="Arial" w:cs="Arial"/>
        </w:rPr>
      </w:pPr>
    </w:p>
    <w:p w14:paraId="290F3AD5" w14:textId="3FADA6E8" w:rsidR="004E11C4" w:rsidRDefault="004E11C4" w:rsidP="007F303C">
      <w:pPr>
        <w:ind w:left="720"/>
        <w:jc w:val="both"/>
        <w:rPr>
          <w:rFonts w:ascii="Arial" w:hAnsi="Arial" w:cs="Arial"/>
        </w:rPr>
      </w:pPr>
      <w:r>
        <w:rPr>
          <w:rFonts w:ascii="Arial" w:hAnsi="Arial" w:cs="Arial"/>
        </w:rPr>
        <w:t>Risks of further extending accessorial liability are significantly increasing costs for business due to a regulatory burden imposed and a slow-down in business operations without any clear public benefit.</w:t>
      </w:r>
      <w:r w:rsidRPr="004E11C4">
        <w:rPr>
          <w:rFonts w:ascii="Arial" w:hAnsi="Arial" w:cs="Arial"/>
        </w:rPr>
        <w:t xml:space="preserve"> </w:t>
      </w:r>
      <w:r>
        <w:rPr>
          <w:rFonts w:ascii="Arial" w:hAnsi="Arial" w:cs="Arial"/>
        </w:rPr>
        <w:t xml:space="preserve">Legal action focussed on accessorial liability has not been as successful or straightforward as some may have thought. </w:t>
      </w:r>
    </w:p>
    <w:p w14:paraId="03E8E66E" w14:textId="18DCBCC4" w:rsidR="004E11C4" w:rsidRDefault="004E11C4" w:rsidP="007F303C">
      <w:pPr>
        <w:ind w:left="720"/>
        <w:jc w:val="both"/>
        <w:rPr>
          <w:rFonts w:ascii="Arial" w:hAnsi="Arial" w:cs="Arial"/>
        </w:rPr>
      </w:pPr>
    </w:p>
    <w:p w14:paraId="67426485" w14:textId="19730D3D" w:rsidR="004E11C4" w:rsidRPr="004E11C4" w:rsidRDefault="004E11C4" w:rsidP="007F303C">
      <w:pPr>
        <w:ind w:left="720"/>
        <w:jc w:val="both"/>
        <w:rPr>
          <w:rFonts w:ascii="Arial" w:hAnsi="Arial" w:cs="Arial"/>
        </w:rPr>
      </w:pPr>
      <w:r>
        <w:rPr>
          <w:rFonts w:ascii="Arial" w:hAnsi="Arial" w:cs="Arial"/>
        </w:rPr>
        <w:t xml:space="preserve">If there is a perceived benefit in extending accessorial liability this must be tested against a course of action such </w:t>
      </w:r>
      <w:r w:rsidR="00E31683">
        <w:rPr>
          <w:rFonts w:ascii="Arial" w:hAnsi="Arial" w:cs="Arial"/>
        </w:rPr>
        <w:t xml:space="preserve">as </w:t>
      </w:r>
      <w:r>
        <w:rPr>
          <w:rFonts w:ascii="Arial" w:hAnsi="Arial" w:cs="Arial"/>
        </w:rPr>
        <w:t xml:space="preserve">increasing compliance and enforcement against entities, with higher penalties. </w:t>
      </w:r>
    </w:p>
    <w:p w14:paraId="5C37760C" w14:textId="58CEAC79" w:rsidR="004B078D" w:rsidRDefault="004B078D" w:rsidP="007F303C">
      <w:pPr>
        <w:jc w:val="both"/>
        <w:rPr>
          <w:rFonts w:ascii="Arial" w:hAnsi="Arial" w:cs="Arial"/>
        </w:rPr>
      </w:pPr>
    </w:p>
    <w:p w14:paraId="0BBB8C41" w14:textId="77777777" w:rsidR="004E11C4" w:rsidRDefault="004E11C4" w:rsidP="007F303C">
      <w:pPr>
        <w:jc w:val="both"/>
        <w:rPr>
          <w:rFonts w:ascii="Arial" w:hAnsi="Arial" w:cs="Arial"/>
        </w:rPr>
      </w:pPr>
    </w:p>
    <w:p w14:paraId="018C256B" w14:textId="2569BA92" w:rsidR="00020136" w:rsidRPr="004A7171" w:rsidRDefault="00020136" w:rsidP="007F303C">
      <w:pPr>
        <w:pStyle w:val="ListParagraph"/>
        <w:numPr>
          <w:ilvl w:val="0"/>
          <w:numId w:val="36"/>
        </w:numPr>
        <w:ind w:left="425" w:hanging="425"/>
        <w:contextualSpacing w:val="0"/>
        <w:jc w:val="both"/>
        <w:outlineLvl w:val="0"/>
        <w:rPr>
          <w:rFonts w:ascii="Arial" w:eastAsiaTheme="minorHAnsi" w:hAnsi="Arial" w:cs="Arial"/>
          <w:b/>
          <w:bCs/>
          <w:color w:val="056B38"/>
          <w:sz w:val="32"/>
          <w:szCs w:val="36"/>
        </w:rPr>
      </w:pPr>
      <w:r w:rsidRPr="004A7171">
        <w:rPr>
          <w:rFonts w:ascii="Arial" w:eastAsiaTheme="minorHAnsi" w:hAnsi="Arial" w:cs="Arial"/>
          <w:b/>
          <w:bCs/>
          <w:color w:val="056B38"/>
          <w:sz w:val="32"/>
          <w:szCs w:val="36"/>
        </w:rPr>
        <w:t xml:space="preserve">Sham contracting </w:t>
      </w:r>
    </w:p>
    <w:p w14:paraId="64274216" w14:textId="77777777" w:rsidR="00B66AD5" w:rsidRPr="004A7171" w:rsidRDefault="00B66AD5" w:rsidP="007F303C">
      <w:pPr>
        <w:pStyle w:val="ListParagraph"/>
        <w:ind w:left="425"/>
        <w:contextualSpacing w:val="0"/>
        <w:jc w:val="both"/>
        <w:outlineLvl w:val="0"/>
        <w:rPr>
          <w:rFonts w:ascii="Arial" w:eastAsiaTheme="minorHAnsi" w:hAnsi="Arial" w:cs="Arial"/>
          <w:b/>
          <w:bCs/>
          <w:color w:val="056B38"/>
          <w:sz w:val="32"/>
          <w:szCs w:val="36"/>
        </w:rPr>
      </w:pPr>
    </w:p>
    <w:p w14:paraId="6B4D7855" w14:textId="06E1F908" w:rsidR="00020136" w:rsidRPr="004A7171" w:rsidRDefault="00F96227" w:rsidP="007F303C">
      <w:pPr>
        <w:pStyle w:val="ListParagraph"/>
        <w:numPr>
          <w:ilvl w:val="0"/>
          <w:numId w:val="39"/>
        </w:numPr>
        <w:contextualSpacing w:val="0"/>
        <w:jc w:val="both"/>
        <w:rPr>
          <w:rFonts w:ascii="Arial" w:hAnsi="Arial" w:cs="Arial"/>
          <w:i/>
          <w:iCs/>
        </w:rPr>
      </w:pPr>
      <w:r w:rsidRPr="004A7171">
        <w:rPr>
          <w:rFonts w:ascii="Arial" w:hAnsi="Arial" w:cs="Arial"/>
          <w:i/>
          <w:iCs/>
        </w:rPr>
        <w:t xml:space="preserve">QUESTION: </w:t>
      </w:r>
      <w:r w:rsidR="00020136" w:rsidRPr="004A7171">
        <w:rPr>
          <w:rFonts w:ascii="Arial" w:hAnsi="Arial" w:cs="Arial"/>
          <w:i/>
          <w:iCs/>
        </w:rPr>
        <w:t>Should there be a separate contravention for more serious or systemic cases of sham contracting that attracts higher penalties? If so, what should this look like?</w:t>
      </w:r>
    </w:p>
    <w:p w14:paraId="261B6B45" w14:textId="4BCC831D" w:rsidR="00F96227" w:rsidRPr="004A7171" w:rsidRDefault="00F96227" w:rsidP="007F303C">
      <w:pPr>
        <w:jc w:val="both"/>
        <w:rPr>
          <w:rFonts w:ascii="Arial" w:hAnsi="Arial" w:cs="Arial"/>
          <w:i/>
          <w:iCs/>
        </w:rPr>
      </w:pPr>
    </w:p>
    <w:p w14:paraId="7F42DD72" w14:textId="060D402C" w:rsidR="002F0A68" w:rsidRPr="004A7171" w:rsidRDefault="00D20DF0" w:rsidP="007F303C">
      <w:pPr>
        <w:ind w:left="720"/>
        <w:jc w:val="both"/>
        <w:rPr>
          <w:rFonts w:ascii="Arial" w:hAnsi="Arial" w:cs="Arial"/>
        </w:rPr>
      </w:pPr>
      <w:r w:rsidRPr="004A7171">
        <w:rPr>
          <w:rFonts w:ascii="Arial" w:hAnsi="Arial" w:cs="Arial"/>
          <w:b/>
          <w:bCs/>
        </w:rPr>
        <w:t xml:space="preserve">AFPA Response: </w:t>
      </w:r>
      <w:r w:rsidR="002F0A68" w:rsidRPr="004A7171">
        <w:rPr>
          <w:rFonts w:ascii="Arial" w:hAnsi="Arial" w:cs="Arial"/>
        </w:rPr>
        <w:t xml:space="preserve">If sham contracting arrangements are </w:t>
      </w:r>
      <w:r w:rsidR="00017C15" w:rsidRPr="004A7171">
        <w:rPr>
          <w:rFonts w:ascii="Arial" w:hAnsi="Arial" w:cs="Arial"/>
        </w:rPr>
        <w:t xml:space="preserve">to be </w:t>
      </w:r>
      <w:r w:rsidR="002F0A68" w:rsidRPr="004A7171">
        <w:rPr>
          <w:rFonts w:ascii="Arial" w:hAnsi="Arial" w:cs="Arial"/>
        </w:rPr>
        <w:t xml:space="preserve">viewed as a deliberate attempt </w:t>
      </w:r>
      <w:r w:rsidR="00687B97">
        <w:rPr>
          <w:rFonts w:ascii="Arial" w:hAnsi="Arial" w:cs="Arial"/>
        </w:rPr>
        <w:t xml:space="preserve">by an employer </w:t>
      </w:r>
      <w:r w:rsidR="002F0A68" w:rsidRPr="004A7171">
        <w:rPr>
          <w:rFonts w:ascii="Arial" w:hAnsi="Arial" w:cs="Arial"/>
        </w:rPr>
        <w:t xml:space="preserve">to </w:t>
      </w:r>
      <w:r w:rsidR="00687B97">
        <w:rPr>
          <w:rFonts w:ascii="Arial" w:hAnsi="Arial" w:cs="Arial"/>
        </w:rPr>
        <w:t xml:space="preserve">knowingly </w:t>
      </w:r>
      <w:r w:rsidR="002F0A68" w:rsidRPr="004A7171">
        <w:rPr>
          <w:rFonts w:ascii="Arial" w:hAnsi="Arial" w:cs="Arial"/>
        </w:rPr>
        <w:t>place workers beyond the reach of basic industrial standards such as the minimum wage</w:t>
      </w:r>
      <w:r w:rsidR="0036510E" w:rsidRPr="004A7171">
        <w:rPr>
          <w:rFonts w:ascii="Arial" w:hAnsi="Arial" w:cs="Arial"/>
        </w:rPr>
        <w:t xml:space="preserve">, </w:t>
      </w:r>
      <w:r w:rsidR="002F0A68" w:rsidRPr="004A7171">
        <w:rPr>
          <w:rFonts w:ascii="Arial" w:hAnsi="Arial" w:cs="Arial"/>
        </w:rPr>
        <w:t xml:space="preserve">annual leave, sick pay etc. </w:t>
      </w:r>
      <w:r w:rsidR="0036510E" w:rsidRPr="004A7171">
        <w:rPr>
          <w:rFonts w:ascii="Arial" w:hAnsi="Arial" w:cs="Arial"/>
        </w:rPr>
        <w:t>and therefore</w:t>
      </w:r>
      <w:r w:rsidR="00A832E0" w:rsidRPr="004A7171">
        <w:rPr>
          <w:rFonts w:ascii="Arial" w:hAnsi="Arial" w:cs="Arial"/>
        </w:rPr>
        <w:t xml:space="preserve"> </w:t>
      </w:r>
      <w:r w:rsidR="0036510E" w:rsidRPr="004A7171">
        <w:rPr>
          <w:rFonts w:ascii="Arial" w:hAnsi="Arial" w:cs="Arial"/>
        </w:rPr>
        <w:t xml:space="preserve">results in what amounts to ‘wages theft’, </w:t>
      </w:r>
      <w:r w:rsidR="002F0A68" w:rsidRPr="004A7171">
        <w:rPr>
          <w:rFonts w:ascii="Arial" w:hAnsi="Arial" w:cs="Arial"/>
        </w:rPr>
        <w:t>then this warrants investigation of a separate contravention</w:t>
      </w:r>
      <w:r w:rsidR="0036510E" w:rsidRPr="004A7171">
        <w:rPr>
          <w:rFonts w:ascii="Arial" w:hAnsi="Arial" w:cs="Arial"/>
        </w:rPr>
        <w:t xml:space="preserve"> </w:t>
      </w:r>
      <w:r w:rsidR="00A832E0" w:rsidRPr="004A7171">
        <w:rPr>
          <w:rFonts w:ascii="Arial" w:hAnsi="Arial" w:cs="Arial"/>
        </w:rPr>
        <w:t xml:space="preserve">attracting higher penalties </w:t>
      </w:r>
      <w:r w:rsidR="0036510E" w:rsidRPr="004A7171">
        <w:rPr>
          <w:rFonts w:ascii="Arial" w:hAnsi="Arial" w:cs="Arial"/>
        </w:rPr>
        <w:t>for more serious or systemic cases</w:t>
      </w:r>
      <w:r w:rsidR="002F0A68" w:rsidRPr="004A7171">
        <w:rPr>
          <w:rFonts w:ascii="Arial" w:hAnsi="Arial" w:cs="Arial"/>
        </w:rPr>
        <w:t>.</w:t>
      </w:r>
    </w:p>
    <w:p w14:paraId="50C25E49" w14:textId="77777777" w:rsidR="002F0A68" w:rsidRPr="004A7171" w:rsidRDefault="002F0A68" w:rsidP="007F303C">
      <w:pPr>
        <w:jc w:val="both"/>
        <w:rPr>
          <w:rFonts w:ascii="Arial" w:hAnsi="Arial" w:cs="Arial"/>
        </w:rPr>
      </w:pPr>
    </w:p>
    <w:p w14:paraId="775D1E24" w14:textId="77777777" w:rsidR="00F96227" w:rsidRPr="004A7171" w:rsidRDefault="00F96227" w:rsidP="007F303C">
      <w:pPr>
        <w:jc w:val="both"/>
        <w:rPr>
          <w:rFonts w:ascii="Arial" w:hAnsi="Arial" w:cs="Arial"/>
          <w:i/>
          <w:iCs/>
        </w:rPr>
      </w:pPr>
    </w:p>
    <w:p w14:paraId="4B93FC37" w14:textId="77777777" w:rsidR="00B91E02" w:rsidRDefault="00F96227" w:rsidP="007F303C">
      <w:pPr>
        <w:pStyle w:val="ListParagraph"/>
        <w:numPr>
          <w:ilvl w:val="0"/>
          <w:numId w:val="39"/>
        </w:numPr>
        <w:contextualSpacing w:val="0"/>
        <w:jc w:val="both"/>
        <w:rPr>
          <w:rFonts w:ascii="Arial" w:hAnsi="Arial" w:cs="Arial"/>
        </w:rPr>
      </w:pPr>
      <w:r w:rsidRPr="004A7171">
        <w:rPr>
          <w:rFonts w:ascii="Arial" w:hAnsi="Arial" w:cs="Arial"/>
          <w:i/>
          <w:iCs/>
        </w:rPr>
        <w:t xml:space="preserve">QUESTION: </w:t>
      </w:r>
      <w:r w:rsidR="00020136" w:rsidRPr="004A7171">
        <w:rPr>
          <w:rFonts w:ascii="Arial" w:hAnsi="Arial" w:cs="Arial"/>
          <w:i/>
          <w:iCs/>
        </w:rPr>
        <w:t xml:space="preserve">Should the recklessness defence in subsection 357(2) of the Fair Work Act be amended? If so, how? </w:t>
      </w:r>
      <w:r w:rsidR="00F96CF8" w:rsidRPr="00F874FD">
        <w:rPr>
          <w:rFonts w:ascii="Arial" w:hAnsi="Arial" w:cs="Arial"/>
        </w:rPr>
        <w:t xml:space="preserve"> </w:t>
      </w:r>
    </w:p>
    <w:p w14:paraId="52BD8BBC" w14:textId="77777777" w:rsidR="00B91E02" w:rsidRDefault="00B91E02" w:rsidP="00B91E02">
      <w:pPr>
        <w:pStyle w:val="ListParagraph"/>
        <w:contextualSpacing w:val="0"/>
        <w:jc w:val="both"/>
        <w:rPr>
          <w:rFonts w:ascii="Arial" w:hAnsi="Arial" w:cs="Arial"/>
          <w:b/>
          <w:bCs/>
        </w:rPr>
      </w:pPr>
    </w:p>
    <w:p w14:paraId="18C014C5" w14:textId="2DF2B2AE" w:rsidR="00020136" w:rsidRPr="004A7171" w:rsidRDefault="00B91E02" w:rsidP="00B91E02">
      <w:pPr>
        <w:pStyle w:val="ListParagraph"/>
        <w:contextualSpacing w:val="0"/>
        <w:jc w:val="both"/>
        <w:rPr>
          <w:rFonts w:ascii="Arial" w:hAnsi="Arial" w:cs="Arial"/>
        </w:rPr>
      </w:pPr>
      <w:bookmarkStart w:id="0" w:name="_GoBack"/>
      <w:bookmarkEnd w:id="0"/>
      <w:r w:rsidRPr="004A7171">
        <w:rPr>
          <w:rFonts w:ascii="Arial" w:hAnsi="Arial" w:cs="Arial"/>
          <w:b/>
          <w:bCs/>
        </w:rPr>
        <w:t xml:space="preserve">AFPA Response: </w:t>
      </w:r>
      <w:r w:rsidR="00687B97" w:rsidRPr="00F874FD">
        <w:rPr>
          <w:rFonts w:ascii="Arial" w:hAnsi="Arial" w:cs="Arial"/>
        </w:rPr>
        <w:t>The subsection does not need to be amended.</w:t>
      </w:r>
    </w:p>
    <w:p w14:paraId="684956D6" w14:textId="60954933" w:rsidR="00020136" w:rsidRPr="00020136" w:rsidRDefault="00020136" w:rsidP="007F303C">
      <w:pPr>
        <w:jc w:val="both"/>
        <w:rPr>
          <w:rFonts w:ascii="Arial" w:hAnsi="Arial" w:cs="Arial"/>
        </w:rPr>
      </w:pPr>
    </w:p>
    <w:p w14:paraId="01E2C1BA" w14:textId="511F3808" w:rsidR="00020136" w:rsidRDefault="00020136" w:rsidP="007F303C">
      <w:pPr>
        <w:jc w:val="both"/>
        <w:outlineLvl w:val="0"/>
        <w:rPr>
          <w:rFonts w:ascii="Arial" w:eastAsiaTheme="minorHAnsi" w:hAnsi="Arial" w:cs="Arial"/>
          <w:b/>
          <w:bCs/>
          <w:color w:val="056B38"/>
          <w:sz w:val="40"/>
          <w:szCs w:val="44"/>
        </w:rPr>
      </w:pPr>
      <w:r w:rsidRPr="00020136">
        <w:rPr>
          <w:rFonts w:ascii="Arial" w:eastAsiaTheme="minorHAnsi" w:hAnsi="Arial" w:cs="Arial"/>
          <w:b/>
          <w:bCs/>
          <w:color w:val="056B38"/>
          <w:sz w:val="40"/>
          <w:szCs w:val="44"/>
        </w:rPr>
        <w:t>Part II: Criminal sanctions</w:t>
      </w:r>
    </w:p>
    <w:p w14:paraId="35B57648" w14:textId="77777777" w:rsidR="00B66AD5" w:rsidRPr="00020136" w:rsidRDefault="00B66AD5" w:rsidP="007F303C">
      <w:pPr>
        <w:jc w:val="both"/>
        <w:outlineLvl w:val="0"/>
        <w:rPr>
          <w:rFonts w:ascii="Arial" w:eastAsiaTheme="minorHAnsi" w:hAnsi="Arial" w:cs="Arial"/>
          <w:b/>
          <w:bCs/>
          <w:color w:val="056B38"/>
          <w:sz w:val="40"/>
          <w:szCs w:val="44"/>
        </w:rPr>
      </w:pPr>
    </w:p>
    <w:p w14:paraId="62BBE48F" w14:textId="77777777" w:rsidR="00B8028D" w:rsidRDefault="00F96227" w:rsidP="007F303C">
      <w:pPr>
        <w:pStyle w:val="ListParagraph"/>
        <w:numPr>
          <w:ilvl w:val="0"/>
          <w:numId w:val="39"/>
        </w:numPr>
        <w:contextualSpacing w:val="0"/>
        <w:jc w:val="both"/>
        <w:rPr>
          <w:rFonts w:ascii="Arial" w:hAnsi="Arial" w:cs="Arial"/>
          <w:i/>
          <w:iCs/>
        </w:rPr>
      </w:pPr>
      <w:r w:rsidRPr="00227C7D">
        <w:rPr>
          <w:rFonts w:ascii="Arial" w:hAnsi="Arial" w:cs="Arial"/>
          <w:i/>
          <w:iCs/>
        </w:rPr>
        <w:t>QUESTION</w:t>
      </w:r>
      <w:r w:rsidR="00B8028D">
        <w:rPr>
          <w:rFonts w:ascii="Arial" w:hAnsi="Arial" w:cs="Arial"/>
          <w:i/>
          <w:iCs/>
        </w:rPr>
        <w:t>S</w:t>
      </w:r>
      <w:r w:rsidRPr="00227C7D">
        <w:rPr>
          <w:rFonts w:ascii="Arial" w:hAnsi="Arial" w:cs="Arial"/>
          <w:i/>
          <w:iCs/>
        </w:rPr>
        <w:t>:</w:t>
      </w:r>
      <w:r>
        <w:rPr>
          <w:rFonts w:ascii="Arial" w:hAnsi="Arial" w:cs="Arial"/>
          <w:i/>
          <w:iCs/>
        </w:rPr>
        <w:t xml:space="preserve"> </w:t>
      </w:r>
    </w:p>
    <w:p w14:paraId="635943F9" w14:textId="07BE3037" w:rsidR="00B66AD5" w:rsidRPr="00B8028D" w:rsidRDefault="00020136" w:rsidP="007F303C">
      <w:pPr>
        <w:pStyle w:val="ListParagraph"/>
        <w:numPr>
          <w:ilvl w:val="1"/>
          <w:numId w:val="39"/>
        </w:numPr>
        <w:contextualSpacing w:val="0"/>
        <w:jc w:val="both"/>
        <w:rPr>
          <w:rFonts w:ascii="Arial" w:hAnsi="Arial" w:cs="Arial"/>
          <w:i/>
          <w:iCs/>
        </w:rPr>
      </w:pPr>
      <w:r w:rsidRPr="00F96227">
        <w:rPr>
          <w:rFonts w:ascii="Arial" w:hAnsi="Arial" w:cs="Arial"/>
          <w:i/>
          <w:iCs/>
        </w:rPr>
        <w:t>In what circumstances should underpayment of wages attract criminal penalties?</w:t>
      </w:r>
    </w:p>
    <w:p w14:paraId="2E74351C" w14:textId="316AF2C6" w:rsidR="00B66AD5" w:rsidRPr="00B8028D" w:rsidRDefault="00020136" w:rsidP="007F303C">
      <w:pPr>
        <w:pStyle w:val="ListParagraph"/>
        <w:numPr>
          <w:ilvl w:val="1"/>
          <w:numId w:val="39"/>
        </w:numPr>
        <w:contextualSpacing w:val="0"/>
        <w:jc w:val="both"/>
        <w:rPr>
          <w:rFonts w:ascii="Arial" w:hAnsi="Arial" w:cs="Arial"/>
          <w:i/>
          <w:iCs/>
        </w:rPr>
      </w:pPr>
      <w:r w:rsidRPr="00F96227">
        <w:rPr>
          <w:rFonts w:ascii="Arial" w:hAnsi="Arial" w:cs="Arial"/>
          <w:i/>
          <w:iCs/>
        </w:rPr>
        <w:t>What consideration/weight should be given to the whether an underpayment was part of a systematic pattern of conduct and whether it was dishonest?</w:t>
      </w:r>
    </w:p>
    <w:p w14:paraId="60C1BB09" w14:textId="191EA825" w:rsidR="00F96227" w:rsidRPr="00B8028D" w:rsidRDefault="00020136" w:rsidP="007F303C">
      <w:pPr>
        <w:pStyle w:val="ListParagraph"/>
        <w:numPr>
          <w:ilvl w:val="1"/>
          <w:numId w:val="39"/>
        </w:numPr>
        <w:contextualSpacing w:val="0"/>
        <w:jc w:val="both"/>
        <w:rPr>
          <w:rFonts w:ascii="Arial" w:hAnsi="Arial" w:cs="Arial"/>
          <w:i/>
          <w:iCs/>
        </w:rPr>
      </w:pPr>
      <w:r w:rsidRPr="00F96227">
        <w:rPr>
          <w:rFonts w:ascii="Arial" w:hAnsi="Arial" w:cs="Arial"/>
          <w:i/>
          <w:iCs/>
        </w:rPr>
        <w:t>What kind of fault elements should apply?</w:t>
      </w:r>
    </w:p>
    <w:p w14:paraId="1B1FC7AA" w14:textId="6B1D6802" w:rsidR="00F96227" w:rsidRPr="00B8028D" w:rsidRDefault="00020136" w:rsidP="007F303C">
      <w:pPr>
        <w:pStyle w:val="ListParagraph"/>
        <w:numPr>
          <w:ilvl w:val="1"/>
          <w:numId w:val="39"/>
        </w:numPr>
        <w:contextualSpacing w:val="0"/>
        <w:jc w:val="both"/>
        <w:rPr>
          <w:rFonts w:ascii="Arial" w:hAnsi="Arial" w:cs="Arial"/>
          <w:i/>
          <w:iCs/>
        </w:rPr>
      </w:pPr>
      <w:r w:rsidRPr="00B8028D">
        <w:rPr>
          <w:rFonts w:ascii="Arial" w:hAnsi="Arial" w:cs="Arial"/>
          <w:i/>
          <w:iCs/>
        </w:rPr>
        <w:t xml:space="preserve">Should the Criminal Code [see the Schedule to the </w:t>
      </w:r>
      <w:r w:rsidRPr="00F96227">
        <w:rPr>
          <w:rFonts w:ascii="Arial" w:hAnsi="Arial" w:cs="Arial"/>
          <w:i/>
          <w:iCs/>
        </w:rPr>
        <w:t>Criminal Code Act 1995 (Cth)] be applied in relation to accessorial liability and corporate criminal responsibility?</w:t>
      </w:r>
    </w:p>
    <w:p w14:paraId="221DCEF2" w14:textId="0688AAFA" w:rsidR="00B66AD5" w:rsidRPr="00B8028D" w:rsidRDefault="00020136" w:rsidP="007F303C">
      <w:pPr>
        <w:pStyle w:val="ListParagraph"/>
        <w:numPr>
          <w:ilvl w:val="1"/>
          <w:numId w:val="39"/>
        </w:numPr>
        <w:contextualSpacing w:val="0"/>
        <w:jc w:val="both"/>
        <w:rPr>
          <w:rFonts w:ascii="Arial" w:hAnsi="Arial" w:cs="Arial"/>
          <w:i/>
          <w:iCs/>
        </w:rPr>
      </w:pPr>
      <w:r w:rsidRPr="00F96227">
        <w:rPr>
          <w:rFonts w:ascii="Arial" w:hAnsi="Arial" w:cs="Arial"/>
          <w:i/>
          <w:iCs/>
        </w:rPr>
        <w:t>What should the maximum penalty be for an individual and for a body corporate?</w:t>
      </w:r>
    </w:p>
    <w:p w14:paraId="10D08017" w14:textId="609079C9" w:rsidR="00F96227" w:rsidRPr="00B8028D" w:rsidRDefault="00020136" w:rsidP="007F303C">
      <w:pPr>
        <w:pStyle w:val="ListParagraph"/>
        <w:numPr>
          <w:ilvl w:val="1"/>
          <w:numId w:val="39"/>
        </w:numPr>
        <w:contextualSpacing w:val="0"/>
        <w:jc w:val="both"/>
        <w:rPr>
          <w:rFonts w:ascii="Arial" w:hAnsi="Arial" w:cs="Arial"/>
          <w:i/>
          <w:iCs/>
        </w:rPr>
      </w:pPr>
      <w:r w:rsidRPr="00F96227">
        <w:rPr>
          <w:rFonts w:ascii="Arial" w:hAnsi="Arial" w:cs="Arial"/>
          <w:i/>
          <w:iCs/>
        </w:rPr>
        <w:lastRenderedPageBreak/>
        <w:t>Are there potential unintended consequences of introducing criminal sanctions for wage underpayment? If so, how might these be avoided?</w:t>
      </w:r>
    </w:p>
    <w:p w14:paraId="465E2FA2" w14:textId="66DD5C39" w:rsidR="00020136" w:rsidRPr="00F96227" w:rsidRDefault="00020136" w:rsidP="007F303C">
      <w:pPr>
        <w:pStyle w:val="ListParagraph"/>
        <w:numPr>
          <w:ilvl w:val="1"/>
          <w:numId w:val="39"/>
        </w:numPr>
        <w:contextualSpacing w:val="0"/>
        <w:jc w:val="both"/>
        <w:rPr>
          <w:rFonts w:ascii="Arial" w:hAnsi="Arial" w:cs="Arial"/>
          <w:i/>
          <w:iCs/>
        </w:rPr>
      </w:pPr>
      <w:r w:rsidRPr="00F96227">
        <w:rPr>
          <w:rFonts w:ascii="Arial" w:hAnsi="Arial" w:cs="Arial"/>
          <w:i/>
          <w:iCs/>
        </w:rPr>
        <w:t>Are there other serious types of exploitation that should also attract criminal penalties? If so, what are these and how should they be delivered?</w:t>
      </w:r>
    </w:p>
    <w:p w14:paraId="5A261439" w14:textId="0F1210F0" w:rsidR="00020136" w:rsidRDefault="00020136" w:rsidP="007F303C">
      <w:pPr>
        <w:spacing w:after="160" w:line="259" w:lineRule="auto"/>
        <w:jc w:val="both"/>
        <w:rPr>
          <w:rFonts w:ascii="Arial" w:hAnsi="Arial" w:cs="Arial"/>
        </w:rPr>
      </w:pPr>
    </w:p>
    <w:p w14:paraId="0F2BD358" w14:textId="78A4F67F" w:rsidR="00E510E7" w:rsidRPr="00E510E7" w:rsidRDefault="004E11C4" w:rsidP="007F303C">
      <w:pPr>
        <w:ind w:left="720"/>
        <w:jc w:val="both"/>
        <w:rPr>
          <w:rFonts w:ascii="Arial" w:hAnsi="Arial" w:cs="Arial"/>
        </w:rPr>
      </w:pPr>
      <w:r w:rsidRPr="004B078D">
        <w:rPr>
          <w:rFonts w:ascii="Arial" w:hAnsi="Arial" w:cs="Arial"/>
          <w:b/>
          <w:bCs/>
        </w:rPr>
        <w:t xml:space="preserve">AFPA Response: </w:t>
      </w:r>
      <w:r w:rsidR="00E510E7">
        <w:rPr>
          <w:rFonts w:ascii="Arial" w:hAnsi="Arial" w:cs="Arial"/>
        </w:rPr>
        <w:t xml:space="preserve">The immediate priority should be </w:t>
      </w:r>
      <w:r w:rsidR="00E510E7" w:rsidRPr="00E510E7">
        <w:rPr>
          <w:rFonts w:ascii="Arial" w:hAnsi="Arial" w:cs="Arial"/>
        </w:rPr>
        <w:t>the</w:t>
      </w:r>
      <w:r w:rsidR="00E510E7">
        <w:rPr>
          <w:rFonts w:ascii="Arial" w:hAnsi="Arial" w:cs="Arial"/>
        </w:rPr>
        <w:t xml:space="preserve"> application of significant</w:t>
      </w:r>
      <w:r w:rsidR="00E510E7" w:rsidRPr="00E510E7">
        <w:rPr>
          <w:rFonts w:ascii="Arial" w:hAnsi="Arial" w:cs="Arial"/>
        </w:rPr>
        <w:t xml:space="preserve"> penalties fo</w:t>
      </w:r>
      <w:r w:rsidR="00E510E7">
        <w:rPr>
          <w:rFonts w:ascii="Arial" w:hAnsi="Arial" w:cs="Arial"/>
        </w:rPr>
        <w:t xml:space="preserve">r </w:t>
      </w:r>
      <w:r w:rsidR="00E510E7" w:rsidRPr="00E510E7">
        <w:rPr>
          <w:rFonts w:ascii="Arial" w:hAnsi="Arial" w:cs="Arial"/>
        </w:rPr>
        <w:t>‘</w:t>
      </w:r>
      <w:r w:rsidR="00E510E7" w:rsidRPr="00E510E7" w:rsidDel="00D22228">
        <w:rPr>
          <w:rFonts w:ascii="Arial" w:hAnsi="Arial" w:cs="Arial"/>
        </w:rPr>
        <w:t>clear, deliberate and systemic</w:t>
      </w:r>
      <w:r w:rsidR="00E510E7">
        <w:rPr>
          <w:rStyle w:val="FootnoteReference"/>
          <w:rFonts w:ascii="Arial" w:hAnsi="Arial" w:cs="Arial"/>
        </w:rPr>
        <w:footnoteReference w:id="9"/>
      </w:r>
      <w:r w:rsidR="00E510E7" w:rsidRPr="00E510E7" w:rsidDel="00D22228">
        <w:rPr>
          <w:rFonts w:ascii="Arial" w:hAnsi="Arial" w:cs="Arial"/>
        </w:rPr>
        <w:t>’</w:t>
      </w:r>
      <w:r w:rsidR="00E510E7" w:rsidRPr="00E510E7">
        <w:rPr>
          <w:rFonts w:ascii="Arial" w:hAnsi="Arial" w:cs="Arial"/>
        </w:rPr>
        <w:t xml:space="preserve"> underpayment by commercial operators</w:t>
      </w:r>
      <w:r w:rsidR="00E510E7">
        <w:rPr>
          <w:rFonts w:ascii="Arial" w:hAnsi="Arial" w:cs="Arial"/>
        </w:rPr>
        <w:t xml:space="preserve">. Once implemented, the impact of these changes should be considered and reviewed prior to the consideration of </w:t>
      </w:r>
      <w:r w:rsidR="00AD5FB2">
        <w:rPr>
          <w:rFonts w:ascii="Arial" w:hAnsi="Arial" w:cs="Arial"/>
        </w:rPr>
        <w:t xml:space="preserve">any </w:t>
      </w:r>
      <w:r w:rsidR="00E510E7">
        <w:rPr>
          <w:rFonts w:ascii="Arial" w:hAnsi="Arial" w:cs="Arial"/>
        </w:rPr>
        <w:t xml:space="preserve">criminal sanctions. </w:t>
      </w:r>
    </w:p>
    <w:p w14:paraId="1BE4B04C" w14:textId="77777777" w:rsidR="00E510E7" w:rsidRDefault="00E510E7" w:rsidP="00E510E7">
      <w:pPr>
        <w:jc w:val="both"/>
        <w:rPr>
          <w:rFonts w:ascii="Arial" w:hAnsi="Arial" w:cs="Arial"/>
          <w:b/>
          <w:bCs/>
        </w:rPr>
      </w:pPr>
    </w:p>
    <w:p w14:paraId="0E17ED2C" w14:textId="03C18B34" w:rsidR="001034E9" w:rsidRDefault="00393158" w:rsidP="00E510E7">
      <w:pPr>
        <w:ind w:left="720"/>
        <w:jc w:val="both"/>
        <w:rPr>
          <w:rFonts w:ascii="Arial" w:hAnsi="Arial" w:cs="Arial"/>
        </w:rPr>
      </w:pPr>
      <w:r>
        <w:rPr>
          <w:rFonts w:ascii="Arial" w:hAnsi="Arial" w:cs="Arial"/>
        </w:rPr>
        <w:t>If</w:t>
      </w:r>
      <w:r w:rsidR="004E11C4" w:rsidRPr="004E11C4">
        <w:rPr>
          <w:rFonts w:ascii="Arial" w:hAnsi="Arial" w:cs="Arial"/>
        </w:rPr>
        <w:t xml:space="preserve"> criminal sanctions </w:t>
      </w:r>
      <w:r w:rsidR="00E510E7">
        <w:rPr>
          <w:rFonts w:ascii="Arial" w:hAnsi="Arial" w:cs="Arial"/>
        </w:rPr>
        <w:t>were</w:t>
      </w:r>
      <w:r w:rsidR="004E11C4" w:rsidRPr="004E11C4">
        <w:rPr>
          <w:rFonts w:ascii="Arial" w:hAnsi="Arial" w:cs="Arial"/>
        </w:rPr>
        <w:t xml:space="preserve"> to </w:t>
      </w:r>
      <w:r w:rsidR="004E11C4">
        <w:rPr>
          <w:rFonts w:ascii="Arial" w:hAnsi="Arial" w:cs="Arial"/>
        </w:rPr>
        <w:t xml:space="preserve">be </w:t>
      </w:r>
      <w:r w:rsidR="004E11C4" w:rsidRPr="004E11C4">
        <w:rPr>
          <w:rFonts w:ascii="Arial" w:hAnsi="Arial" w:cs="Arial"/>
        </w:rPr>
        <w:t>appl</w:t>
      </w:r>
      <w:r w:rsidR="004E11C4">
        <w:rPr>
          <w:rFonts w:ascii="Arial" w:hAnsi="Arial" w:cs="Arial"/>
        </w:rPr>
        <w:t>ied</w:t>
      </w:r>
      <w:r w:rsidR="004E11C4" w:rsidRPr="004E11C4">
        <w:rPr>
          <w:rFonts w:ascii="Arial" w:hAnsi="Arial" w:cs="Arial"/>
        </w:rPr>
        <w:t xml:space="preserve"> to underpayment of wages</w:t>
      </w:r>
      <w:r w:rsidR="004E11C4">
        <w:rPr>
          <w:rFonts w:ascii="Arial" w:hAnsi="Arial" w:cs="Arial"/>
        </w:rPr>
        <w:t>, the threshold for the application of criminal penalties should be high</w:t>
      </w:r>
      <w:r w:rsidR="00DE663A">
        <w:rPr>
          <w:rFonts w:ascii="Arial" w:hAnsi="Arial" w:cs="Arial"/>
        </w:rPr>
        <w:t xml:space="preserve">. Criminal penalties must not apply to </w:t>
      </w:r>
      <w:r w:rsidR="001034E9" w:rsidRPr="001034E9">
        <w:rPr>
          <w:rFonts w:ascii="Arial" w:hAnsi="Arial" w:cs="Arial"/>
        </w:rPr>
        <w:t>employers that have made genuinely unintentional mistakes, for instance due to the complexity of the industrial relations system, which have led to miscalculations and underpayments, but are rectified once identified</w:t>
      </w:r>
      <w:r w:rsidR="001034E9">
        <w:rPr>
          <w:rFonts w:ascii="Arial" w:hAnsi="Arial" w:cs="Arial"/>
        </w:rPr>
        <w:t xml:space="preserve">. </w:t>
      </w:r>
      <w:r w:rsidR="001034E9" w:rsidRPr="001034E9">
        <w:rPr>
          <w:rFonts w:ascii="Arial" w:hAnsi="Arial" w:cs="Arial"/>
        </w:rPr>
        <w:t xml:space="preserve"> </w:t>
      </w:r>
    </w:p>
    <w:p w14:paraId="0BCFEA68" w14:textId="42605333" w:rsidR="001034E9" w:rsidRDefault="001034E9" w:rsidP="007F303C">
      <w:pPr>
        <w:ind w:left="720"/>
        <w:jc w:val="both"/>
        <w:rPr>
          <w:rFonts w:ascii="Arial" w:hAnsi="Arial" w:cs="Arial"/>
        </w:rPr>
      </w:pPr>
    </w:p>
    <w:p w14:paraId="0464A6F2" w14:textId="620B6D12" w:rsidR="001034E9" w:rsidRDefault="001034E9" w:rsidP="007F303C">
      <w:pPr>
        <w:ind w:left="720"/>
        <w:jc w:val="both"/>
        <w:rPr>
          <w:rFonts w:ascii="Arial" w:hAnsi="Arial" w:cs="Arial"/>
        </w:rPr>
      </w:pPr>
      <w:r>
        <w:rPr>
          <w:rFonts w:ascii="Arial" w:hAnsi="Arial" w:cs="Arial"/>
        </w:rPr>
        <w:t xml:space="preserve">Criminal penalties should only apply where it can be proven that underpayment was part of a systemic pattern of conduct where the intent was to underpay employees to minimise business costs. </w:t>
      </w:r>
    </w:p>
    <w:p w14:paraId="6B642EAB" w14:textId="7D5F3BDF" w:rsidR="0069796F" w:rsidRDefault="0069796F" w:rsidP="007F303C">
      <w:pPr>
        <w:ind w:left="720"/>
        <w:jc w:val="both"/>
        <w:rPr>
          <w:rFonts w:ascii="Arial" w:hAnsi="Arial" w:cs="Arial"/>
        </w:rPr>
      </w:pPr>
    </w:p>
    <w:p w14:paraId="4988CDA0" w14:textId="46BEDE44" w:rsidR="0069796F" w:rsidRPr="001034E9" w:rsidRDefault="0069796F" w:rsidP="007F303C">
      <w:pPr>
        <w:ind w:left="720"/>
        <w:jc w:val="both"/>
        <w:rPr>
          <w:rFonts w:ascii="Arial" w:hAnsi="Arial" w:cs="Arial"/>
        </w:rPr>
      </w:pPr>
      <w:r>
        <w:rPr>
          <w:rFonts w:ascii="Arial" w:hAnsi="Arial" w:cs="Arial"/>
        </w:rPr>
        <w:t xml:space="preserve">In terms of other matters where criminal sanctions might apply, further consideration should be given to </w:t>
      </w:r>
      <w:r w:rsidR="004A7171">
        <w:rPr>
          <w:rFonts w:ascii="Arial" w:hAnsi="Arial" w:cs="Arial"/>
        </w:rPr>
        <w:t xml:space="preserve">applying criminal sanctions to the </w:t>
      </w:r>
      <w:r w:rsidR="004A7171" w:rsidRPr="00A61BE5">
        <w:rPr>
          <w:rFonts w:ascii="Arial" w:eastAsiaTheme="minorHAnsi" w:hAnsi="Arial" w:cstheme="minorBidi"/>
          <w:color w:val="000000" w:themeColor="text1"/>
        </w:rPr>
        <w:t>‘clear, deliberate and systemic’</w:t>
      </w:r>
      <w:r w:rsidR="004A7171">
        <w:rPr>
          <w:rFonts w:ascii="Arial" w:eastAsiaTheme="minorHAnsi" w:hAnsi="Arial" w:cstheme="minorBidi"/>
          <w:color w:val="000000" w:themeColor="text1"/>
        </w:rPr>
        <w:t xml:space="preserve"> employment of persons without valid working rights. </w:t>
      </w:r>
    </w:p>
    <w:p w14:paraId="32B59D40" w14:textId="32231D8A" w:rsidR="00DE663A" w:rsidRPr="00DE663A" w:rsidRDefault="00DE663A" w:rsidP="00DE663A">
      <w:pPr>
        <w:ind w:left="720"/>
        <w:rPr>
          <w:rFonts w:ascii="Arial" w:hAnsi="Arial" w:cs="Arial"/>
        </w:rPr>
      </w:pPr>
    </w:p>
    <w:sectPr w:rsidR="00DE663A" w:rsidRPr="00DE663A" w:rsidSect="009450E9">
      <w:type w:val="continuous"/>
      <w:pgSz w:w="11900" w:h="16840"/>
      <w:pgMar w:top="1418" w:right="680" w:bottom="851" w:left="680"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1F8A9" w14:textId="77777777" w:rsidR="00180961" w:rsidRDefault="00180961" w:rsidP="00575B6E">
      <w:r>
        <w:separator/>
      </w:r>
    </w:p>
  </w:endnote>
  <w:endnote w:type="continuationSeparator" w:id="0">
    <w:p w14:paraId="22726D97" w14:textId="77777777" w:rsidR="00180961" w:rsidRDefault="00180961" w:rsidP="0057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8820" w14:textId="77777777" w:rsidR="0036404E" w:rsidRDefault="0036404E" w:rsidP="00710FA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A02DD4" w14:textId="77777777" w:rsidR="0036404E" w:rsidRDefault="00364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E8B05" w14:textId="77777777" w:rsidR="0036404E" w:rsidRPr="00FF7DB4" w:rsidRDefault="0036404E" w:rsidP="00FD5A57">
    <w:pPr>
      <w:pStyle w:val="Footer"/>
      <w:framePr w:wrap="none" w:vAnchor="text" w:hAnchor="page" w:x="8166" w:y="24"/>
      <w:rPr>
        <w:rStyle w:val="PageNumber"/>
        <w:rFonts w:ascii="Arial" w:hAnsi="Arial" w:cs="Arial"/>
        <w:color w:val="056B38"/>
        <w:sz w:val="16"/>
        <w:szCs w:val="16"/>
      </w:rPr>
    </w:pPr>
    <w:r w:rsidRPr="00FF7DB4">
      <w:rPr>
        <w:rStyle w:val="PageNumber"/>
        <w:rFonts w:ascii="Arial" w:hAnsi="Arial" w:cs="Arial"/>
        <w:color w:val="056B38"/>
        <w:sz w:val="16"/>
        <w:szCs w:val="16"/>
      </w:rPr>
      <w:fldChar w:fldCharType="begin"/>
    </w:r>
    <w:r w:rsidRPr="00FF7DB4">
      <w:rPr>
        <w:rStyle w:val="PageNumber"/>
        <w:rFonts w:ascii="Arial" w:hAnsi="Arial" w:cs="Arial"/>
        <w:color w:val="056B38"/>
        <w:sz w:val="16"/>
        <w:szCs w:val="16"/>
      </w:rPr>
      <w:instrText xml:space="preserve">PAGE  </w:instrText>
    </w:r>
    <w:r w:rsidRPr="00FF7DB4">
      <w:rPr>
        <w:rStyle w:val="PageNumber"/>
        <w:rFonts w:ascii="Arial" w:hAnsi="Arial" w:cs="Arial"/>
        <w:color w:val="056B38"/>
        <w:sz w:val="16"/>
        <w:szCs w:val="16"/>
      </w:rPr>
      <w:fldChar w:fldCharType="separate"/>
    </w:r>
    <w:r w:rsidRPr="00FF7DB4">
      <w:rPr>
        <w:rStyle w:val="PageNumber"/>
        <w:rFonts w:ascii="Arial" w:hAnsi="Arial" w:cs="Arial"/>
        <w:noProof/>
        <w:color w:val="056B38"/>
        <w:sz w:val="16"/>
        <w:szCs w:val="16"/>
      </w:rPr>
      <w:t>2</w:t>
    </w:r>
    <w:r w:rsidRPr="00FF7DB4">
      <w:rPr>
        <w:rStyle w:val="PageNumber"/>
        <w:rFonts w:ascii="Arial" w:hAnsi="Arial" w:cs="Arial"/>
        <w:color w:val="056B38"/>
        <w:sz w:val="16"/>
        <w:szCs w:val="16"/>
      </w:rPr>
      <w:fldChar w:fldCharType="end"/>
    </w:r>
  </w:p>
  <w:p w14:paraId="2BFBF90E" w14:textId="79861F45" w:rsidR="0036404E" w:rsidRPr="00F96227" w:rsidRDefault="0036404E" w:rsidP="00F96227">
    <w:pPr>
      <w:pStyle w:val="Footer"/>
      <w:rPr>
        <w:rFonts w:ascii="Arial" w:hAnsi="Arial" w:cs="Arial"/>
        <w:noProof/>
        <w:color w:val="056B38"/>
        <w:sz w:val="14"/>
        <w:szCs w:val="14"/>
      </w:rPr>
    </w:pPr>
    <w:r>
      <w:rPr>
        <w:rFonts w:ascii="Arial" w:hAnsi="Arial" w:cs="Arial"/>
        <w:noProof/>
        <w:color w:val="056B38"/>
        <w:sz w:val="14"/>
        <w:szCs w:val="14"/>
      </w:rPr>
      <w:drawing>
        <wp:anchor distT="0" distB="0" distL="114300" distR="114300" simplePos="0" relativeHeight="251661312" behindDoc="1" locked="0" layoutInCell="1" allowOverlap="1" wp14:anchorId="030A65F1" wp14:editId="243D171E">
          <wp:simplePos x="0" y="0"/>
          <wp:positionH relativeFrom="column">
            <wp:posOffset>6500314</wp:posOffset>
          </wp:positionH>
          <wp:positionV relativeFrom="paragraph">
            <wp:posOffset>-151856</wp:posOffset>
          </wp:positionV>
          <wp:extent cx="608400" cy="558000"/>
          <wp:effectExtent l="0" t="0" r="127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ondry Page Footer.jpg"/>
                  <pic:cNvPicPr/>
                </pic:nvPicPr>
                <pic:blipFill>
                  <a:blip r:embed="rId1">
                    <a:extLst>
                      <a:ext uri="{28A0092B-C50C-407E-A947-70E740481C1C}">
                        <a14:useLocalDpi xmlns:a14="http://schemas.microsoft.com/office/drawing/2010/main" val="0"/>
                      </a:ext>
                    </a:extLst>
                  </a:blip>
                  <a:stretch>
                    <a:fillRect/>
                  </a:stretch>
                </pic:blipFill>
                <pic:spPr>
                  <a:xfrm>
                    <a:off x="0" y="0"/>
                    <a:ext cx="608400" cy="558000"/>
                  </a:xfrm>
                  <a:prstGeom prst="rect">
                    <a:avLst/>
                  </a:prstGeom>
                </pic:spPr>
              </pic:pic>
            </a:graphicData>
          </a:graphic>
          <wp14:sizeRelH relativeFrom="margin">
            <wp14:pctWidth>0</wp14:pctWidth>
          </wp14:sizeRelH>
          <wp14:sizeRelV relativeFrom="margin">
            <wp14:pctHeight>0</wp14:pctHeight>
          </wp14:sizeRelV>
        </wp:anchor>
      </w:drawing>
    </w:r>
    <w:r w:rsidRPr="00F96227">
      <w:rPr>
        <w:rFonts w:ascii="Arial" w:hAnsi="Arial" w:cs="Arial"/>
        <w:noProof/>
        <w:color w:val="056B38"/>
        <w:sz w:val="14"/>
        <w:szCs w:val="14"/>
      </w:rPr>
      <w:t xml:space="preserve">Improving protections of employees’ wages and entitlements: strengthening penalties for non-compliance </w:t>
    </w:r>
  </w:p>
  <w:p w14:paraId="62F81847" w14:textId="19C16993" w:rsidR="0036404E" w:rsidRPr="00444233" w:rsidRDefault="0036404E" w:rsidP="00FF7DB4">
    <w:pPr>
      <w:pStyle w:val="Footer"/>
      <w:rPr>
        <w:rFonts w:ascii="Arial" w:hAnsi="Arial" w:cs="Arial"/>
        <w:b/>
        <w:i/>
        <w:iCs/>
        <w:noProof/>
        <w:color w:val="056B38"/>
        <w:sz w:val="14"/>
        <w:szCs w:val="14"/>
        <w:lang w:val="en-GB"/>
      </w:rPr>
    </w:pPr>
    <w:r>
      <w:rPr>
        <w:rFonts w:ascii="Arial" w:hAnsi="Arial" w:cs="Arial"/>
        <w:color w:val="056B38"/>
        <w:sz w:val="14"/>
        <w:szCs w:val="14"/>
      </w:rPr>
      <w:t xml:space="preserve">|  October  2019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3137" w14:textId="095F8932" w:rsidR="0036404E" w:rsidRDefault="0036404E">
    <w:pPr>
      <w:pStyle w:val="Footer"/>
    </w:pPr>
    <w:r>
      <w:rPr>
        <w:noProof/>
      </w:rPr>
      <w:drawing>
        <wp:anchor distT="0" distB="0" distL="114300" distR="114300" simplePos="0" relativeHeight="251660288" behindDoc="1" locked="0" layoutInCell="1" allowOverlap="1" wp14:anchorId="311EF717" wp14:editId="3AC1FE8B">
          <wp:simplePos x="0" y="0"/>
          <wp:positionH relativeFrom="column">
            <wp:posOffset>4435747</wp:posOffset>
          </wp:positionH>
          <wp:positionV relativeFrom="paragraph">
            <wp:posOffset>-1053737</wp:posOffset>
          </wp:positionV>
          <wp:extent cx="2667600" cy="156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 Footer.jpg"/>
                  <pic:cNvPicPr/>
                </pic:nvPicPr>
                <pic:blipFill>
                  <a:blip r:embed="rId1">
                    <a:extLst>
                      <a:ext uri="{28A0092B-C50C-407E-A947-70E740481C1C}">
                        <a14:useLocalDpi xmlns:a14="http://schemas.microsoft.com/office/drawing/2010/main" val="0"/>
                      </a:ext>
                    </a:extLst>
                  </a:blip>
                  <a:stretch>
                    <a:fillRect/>
                  </a:stretch>
                </pic:blipFill>
                <pic:spPr>
                  <a:xfrm>
                    <a:off x="0" y="0"/>
                    <a:ext cx="2667600" cy="1562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8F99D" w14:textId="77777777" w:rsidR="00180961" w:rsidRDefault="00180961" w:rsidP="00575B6E">
      <w:r>
        <w:separator/>
      </w:r>
    </w:p>
  </w:footnote>
  <w:footnote w:type="continuationSeparator" w:id="0">
    <w:p w14:paraId="1F7D9C91" w14:textId="77777777" w:rsidR="00180961" w:rsidRDefault="00180961" w:rsidP="00575B6E">
      <w:r>
        <w:continuationSeparator/>
      </w:r>
    </w:p>
  </w:footnote>
  <w:footnote w:id="1">
    <w:p w14:paraId="3F35DFDE" w14:textId="77777777" w:rsidR="00A61BE5" w:rsidRPr="00B66AD5" w:rsidRDefault="00A61BE5" w:rsidP="00A61BE5">
      <w:pPr>
        <w:pStyle w:val="FootnoteText"/>
        <w:rPr>
          <w:rFonts w:ascii="Arial" w:hAnsi="Arial" w:cs="Arial"/>
        </w:rPr>
      </w:pPr>
      <w:r w:rsidRPr="00B66AD5">
        <w:rPr>
          <w:rStyle w:val="FootnoteReference"/>
          <w:rFonts w:ascii="Arial" w:hAnsi="Arial" w:cs="Arial"/>
        </w:rPr>
        <w:footnoteRef/>
      </w:r>
      <w:r w:rsidRPr="00B66AD5">
        <w:rPr>
          <w:rFonts w:ascii="Arial" w:hAnsi="Arial" w:cs="Arial"/>
        </w:rPr>
        <w:t xml:space="preserve"> Page 2, Discussion Paper, Improving protections of employees' wages and entitlements: Strengthening penalties for non-compliance</w:t>
      </w:r>
    </w:p>
  </w:footnote>
  <w:footnote w:id="2">
    <w:p w14:paraId="10DA1B59" w14:textId="77777777" w:rsidR="00A61BE5" w:rsidRPr="00B66AD5" w:rsidRDefault="00A61BE5" w:rsidP="00A61BE5">
      <w:pPr>
        <w:pStyle w:val="FootnoteText"/>
        <w:rPr>
          <w:rFonts w:ascii="Arial" w:hAnsi="Arial" w:cs="Arial"/>
        </w:rPr>
      </w:pPr>
      <w:r w:rsidRPr="00B66AD5">
        <w:rPr>
          <w:rStyle w:val="FootnoteReference"/>
          <w:rFonts w:ascii="Arial" w:hAnsi="Arial" w:cs="Arial"/>
        </w:rPr>
        <w:footnoteRef/>
      </w:r>
      <w:r w:rsidRPr="00B66AD5">
        <w:rPr>
          <w:rFonts w:ascii="Arial" w:hAnsi="Arial" w:cs="Arial"/>
        </w:rPr>
        <w:t xml:space="preserve"> Page 5, Discussion Paper, Improving protections of employees' wages and entitlements: Strengthening penalties for non-compliance</w:t>
      </w:r>
    </w:p>
  </w:footnote>
  <w:footnote w:id="3">
    <w:p w14:paraId="1E607B7B" w14:textId="77777777" w:rsidR="00AD5FB2" w:rsidRDefault="00AD5FB2" w:rsidP="00AD5FB2">
      <w:pPr>
        <w:pStyle w:val="FootnoteText"/>
      </w:pPr>
      <w:r w:rsidRPr="00B66AD5">
        <w:rPr>
          <w:rStyle w:val="FootnoteReference"/>
          <w:rFonts w:ascii="Arial" w:hAnsi="Arial" w:cs="Arial"/>
        </w:rPr>
        <w:footnoteRef/>
      </w:r>
      <w:r w:rsidRPr="00B66AD5">
        <w:rPr>
          <w:rFonts w:ascii="Arial" w:hAnsi="Arial" w:cs="Arial"/>
        </w:rPr>
        <w:t xml:space="preserve"> Page 10, Recommendation 6, Report of the Migrant Workers’ Taskforce March 2019</w:t>
      </w:r>
    </w:p>
  </w:footnote>
  <w:footnote w:id="4">
    <w:p w14:paraId="4966888D" w14:textId="6B961CE7" w:rsidR="00A61BE5" w:rsidRDefault="00A61BE5">
      <w:pPr>
        <w:pStyle w:val="FootnoteText"/>
      </w:pPr>
      <w:r>
        <w:rPr>
          <w:rStyle w:val="FootnoteReference"/>
        </w:rPr>
        <w:footnoteRef/>
      </w:r>
      <w:r>
        <w:t xml:space="preserve"> Recommendation 14, Page 11, Migrant Workers Taskforce Report </w:t>
      </w:r>
    </w:p>
  </w:footnote>
  <w:footnote w:id="5">
    <w:p w14:paraId="17E0C02E" w14:textId="5066BCA6" w:rsidR="00A61BE5" w:rsidRDefault="00A61BE5">
      <w:pPr>
        <w:pStyle w:val="FootnoteText"/>
      </w:pPr>
      <w:r>
        <w:rPr>
          <w:rStyle w:val="FootnoteReference"/>
        </w:rPr>
        <w:footnoteRef/>
      </w:r>
      <w:r>
        <w:t xml:space="preserve"> </w:t>
      </w:r>
      <w:hyperlink r:id="rId1" w:history="1">
        <w:r w:rsidRPr="006579A9">
          <w:rPr>
            <w:rStyle w:val="Hyperlink"/>
          </w:rPr>
          <w:t>https://rest.siteplus.com/filestorage-api-service/21577c0bbab07e3e2059d502fcb6b1a8/ps-integrated-systems-and-harmonised-auditing-for-ethical-sourcing.pdf?dl=1</w:t>
        </w:r>
      </w:hyperlink>
      <w:r>
        <w:t xml:space="preserve"> </w:t>
      </w:r>
    </w:p>
  </w:footnote>
  <w:footnote w:id="6">
    <w:p w14:paraId="3466020F" w14:textId="183F3B0D" w:rsidR="0036404E" w:rsidRPr="00B66AD5" w:rsidRDefault="0036404E">
      <w:pPr>
        <w:pStyle w:val="FootnoteText"/>
        <w:rPr>
          <w:rFonts w:ascii="Arial" w:hAnsi="Arial" w:cs="Arial"/>
        </w:rPr>
      </w:pPr>
      <w:r w:rsidRPr="00B66AD5">
        <w:rPr>
          <w:rStyle w:val="FootnoteReference"/>
          <w:rFonts w:ascii="Arial" w:hAnsi="Arial" w:cs="Arial"/>
        </w:rPr>
        <w:footnoteRef/>
      </w:r>
      <w:r w:rsidRPr="00B66AD5">
        <w:rPr>
          <w:rFonts w:ascii="Arial" w:hAnsi="Arial" w:cs="Arial"/>
        </w:rPr>
        <w:t xml:space="preserve"> Page 2, Discussion Paper, Improving protections of employees' wages and entitlements: Strengthening penalties for non-compliance</w:t>
      </w:r>
    </w:p>
  </w:footnote>
  <w:footnote w:id="7">
    <w:p w14:paraId="0101B049" w14:textId="5AC9DAD5" w:rsidR="0036404E" w:rsidRPr="00B66AD5" w:rsidRDefault="0036404E">
      <w:pPr>
        <w:pStyle w:val="FootnoteText"/>
        <w:rPr>
          <w:rFonts w:ascii="Arial" w:hAnsi="Arial" w:cs="Arial"/>
        </w:rPr>
      </w:pPr>
      <w:r w:rsidRPr="00B66AD5">
        <w:rPr>
          <w:rStyle w:val="FootnoteReference"/>
          <w:rFonts w:ascii="Arial" w:hAnsi="Arial" w:cs="Arial"/>
        </w:rPr>
        <w:footnoteRef/>
      </w:r>
      <w:r w:rsidRPr="00B66AD5">
        <w:rPr>
          <w:rFonts w:ascii="Arial" w:hAnsi="Arial" w:cs="Arial"/>
        </w:rPr>
        <w:t xml:space="preserve"> Page 5, Discussion Paper, Improving protections of employees' wages and entitlements: Strengthening penalties for non-compliance</w:t>
      </w:r>
    </w:p>
  </w:footnote>
  <w:footnote w:id="8">
    <w:p w14:paraId="31C7CB8A" w14:textId="57A6C358" w:rsidR="0036404E" w:rsidRDefault="0036404E" w:rsidP="004C4CC7">
      <w:pPr>
        <w:pStyle w:val="FootnoteText"/>
      </w:pPr>
      <w:r w:rsidRPr="00B66AD5">
        <w:rPr>
          <w:rStyle w:val="FootnoteReference"/>
          <w:rFonts w:ascii="Arial" w:hAnsi="Arial" w:cs="Arial"/>
        </w:rPr>
        <w:footnoteRef/>
      </w:r>
      <w:r w:rsidRPr="00B66AD5">
        <w:rPr>
          <w:rFonts w:ascii="Arial" w:hAnsi="Arial" w:cs="Arial"/>
        </w:rPr>
        <w:t xml:space="preserve"> Page 10, Recommendation 6, Report of the Migrant Workers’ Taskforce March 2019</w:t>
      </w:r>
    </w:p>
  </w:footnote>
  <w:footnote w:id="9">
    <w:p w14:paraId="50A7545C" w14:textId="77777777" w:rsidR="00E510E7" w:rsidRDefault="00E510E7" w:rsidP="00E510E7">
      <w:pPr>
        <w:pStyle w:val="FootnoteText"/>
      </w:pPr>
      <w:r w:rsidRPr="00B66AD5">
        <w:rPr>
          <w:rStyle w:val="FootnoteReference"/>
          <w:rFonts w:ascii="Arial" w:hAnsi="Arial" w:cs="Arial"/>
        </w:rPr>
        <w:footnoteRef/>
      </w:r>
      <w:r w:rsidRPr="00B66AD5">
        <w:rPr>
          <w:rFonts w:ascii="Arial" w:hAnsi="Arial" w:cs="Arial"/>
        </w:rPr>
        <w:t xml:space="preserve"> Page 10, Recommendation 6, Report of the Migrant Workers’ Taskforce March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90CF" w14:textId="07BEC424" w:rsidR="0036404E" w:rsidRDefault="0036404E">
    <w:pPr>
      <w:pStyle w:val="Header"/>
    </w:pPr>
    <w:r>
      <w:rPr>
        <w:noProof/>
      </w:rPr>
      <w:drawing>
        <wp:anchor distT="0" distB="0" distL="114300" distR="114300" simplePos="0" relativeHeight="251659264" behindDoc="1" locked="0" layoutInCell="1" allowOverlap="1" wp14:anchorId="3C7756F8" wp14:editId="1ED5C2DA">
          <wp:simplePos x="0" y="0"/>
          <wp:positionH relativeFrom="column">
            <wp:posOffset>2581094</wp:posOffset>
          </wp:positionH>
          <wp:positionV relativeFrom="paragraph">
            <wp:posOffset>-449580</wp:posOffset>
          </wp:positionV>
          <wp:extent cx="4521600" cy="534600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Header.jpg"/>
                  <pic:cNvPicPr/>
                </pic:nvPicPr>
                <pic:blipFill>
                  <a:blip r:embed="rId1">
                    <a:extLst>
                      <a:ext uri="{28A0092B-C50C-407E-A947-70E740481C1C}">
                        <a14:useLocalDpi xmlns:a14="http://schemas.microsoft.com/office/drawing/2010/main" val="0"/>
                      </a:ext>
                    </a:extLst>
                  </a:blip>
                  <a:stretch>
                    <a:fillRect/>
                  </a:stretch>
                </pic:blipFill>
                <pic:spPr>
                  <a:xfrm>
                    <a:off x="0" y="0"/>
                    <a:ext cx="4521600" cy="534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935"/>
    <w:multiLevelType w:val="hybridMultilevel"/>
    <w:tmpl w:val="E6168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F26A0"/>
    <w:multiLevelType w:val="hybridMultilevel"/>
    <w:tmpl w:val="FCAA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C625C0"/>
    <w:multiLevelType w:val="hybridMultilevel"/>
    <w:tmpl w:val="EE1EA2B8"/>
    <w:lvl w:ilvl="0" w:tplc="F89401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746A1"/>
    <w:multiLevelType w:val="hybridMultilevel"/>
    <w:tmpl w:val="C5EA2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B6129"/>
    <w:multiLevelType w:val="hybridMultilevel"/>
    <w:tmpl w:val="4DB8E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28590B"/>
    <w:multiLevelType w:val="hybridMultilevel"/>
    <w:tmpl w:val="84FC329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7728B"/>
    <w:multiLevelType w:val="hybridMultilevel"/>
    <w:tmpl w:val="32ECE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972BAE"/>
    <w:multiLevelType w:val="hybridMultilevel"/>
    <w:tmpl w:val="BDC2572C"/>
    <w:lvl w:ilvl="0" w:tplc="613497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5464B"/>
    <w:multiLevelType w:val="hybridMultilevel"/>
    <w:tmpl w:val="7794EE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3E43D7"/>
    <w:multiLevelType w:val="hybridMultilevel"/>
    <w:tmpl w:val="9F0E6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B0D79"/>
    <w:multiLevelType w:val="hybridMultilevel"/>
    <w:tmpl w:val="2DFCA5B2"/>
    <w:lvl w:ilvl="0" w:tplc="E47AD6D6">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85859"/>
    <w:multiLevelType w:val="hybridMultilevel"/>
    <w:tmpl w:val="31E4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1032D"/>
    <w:multiLevelType w:val="hybridMultilevel"/>
    <w:tmpl w:val="2F2CFA62"/>
    <w:lvl w:ilvl="0" w:tplc="0409000F">
      <w:start w:val="1"/>
      <w:numFmt w:val="decimal"/>
      <w:lvlText w:val="%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1DF027EE"/>
    <w:multiLevelType w:val="hybridMultilevel"/>
    <w:tmpl w:val="341C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061FB"/>
    <w:multiLevelType w:val="hybridMultilevel"/>
    <w:tmpl w:val="4B72AAE2"/>
    <w:lvl w:ilvl="0" w:tplc="4984D524">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20E8D"/>
    <w:multiLevelType w:val="hybridMultilevel"/>
    <w:tmpl w:val="B55C0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1736D3"/>
    <w:multiLevelType w:val="hybridMultilevel"/>
    <w:tmpl w:val="17B0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E4145"/>
    <w:multiLevelType w:val="multilevel"/>
    <w:tmpl w:val="610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74BEB"/>
    <w:multiLevelType w:val="hybridMultilevel"/>
    <w:tmpl w:val="EDDA4D5E"/>
    <w:lvl w:ilvl="0" w:tplc="E9D2B27C">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444E9"/>
    <w:multiLevelType w:val="hybridMultilevel"/>
    <w:tmpl w:val="657CC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1B49DF"/>
    <w:multiLevelType w:val="hybridMultilevel"/>
    <w:tmpl w:val="F0DA5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61229B"/>
    <w:multiLevelType w:val="multilevel"/>
    <w:tmpl w:val="930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14613"/>
    <w:multiLevelType w:val="hybridMultilevel"/>
    <w:tmpl w:val="C93C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E1063"/>
    <w:multiLevelType w:val="hybridMultilevel"/>
    <w:tmpl w:val="47389ED0"/>
    <w:lvl w:ilvl="0" w:tplc="E47AD6D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C63C6"/>
    <w:multiLevelType w:val="multilevel"/>
    <w:tmpl w:val="C3A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A7728"/>
    <w:multiLevelType w:val="hybridMultilevel"/>
    <w:tmpl w:val="F1108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C96FFC"/>
    <w:multiLevelType w:val="multilevel"/>
    <w:tmpl w:val="E4D41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D52110"/>
    <w:multiLevelType w:val="multilevel"/>
    <w:tmpl w:val="258E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975934"/>
    <w:multiLevelType w:val="hybridMultilevel"/>
    <w:tmpl w:val="5A446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3034ED"/>
    <w:multiLevelType w:val="hybridMultilevel"/>
    <w:tmpl w:val="29203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866811"/>
    <w:multiLevelType w:val="hybridMultilevel"/>
    <w:tmpl w:val="DC6EF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6160D"/>
    <w:multiLevelType w:val="hybridMultilevel"/>
    <w:tmpl w:val="07FA797E"/>
    <w:lvl w:ilvl="0" w:tplc="F89401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7556FD"/>
    <w:multiLevelType w:val="hybridMultilevel"/>
    <w:tmpl w:val="3C7819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AE6989"/>
    <w:multiLevelType w:val="hybridMultilevel"/>
    <w:tmpl w:val="32684C7C"/>
    <w:lvl w:ilvl="0" w:tplc="F89401F2">
      <w:start w:val="2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D3289F"/>
    <w:multiLevelType w:val="hybridMultilevel"/>
    <w:tmpl w:val="B07E5154"/>
    <w:lvl w:ilvl="0" w:tplc="2BA23228">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177BFD"/>
    <w:multiLevelType w:val="hybridMultilevel"/>
    <w:tmpl w:val="FA065CD8"/>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3519ED"/>
    <w:multiLevelType w:val="hybridMultilevel"/>
    <w:tmpl w:val="B934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9717B"/>
    <w:multiLevelType w:val="hybridMultilevel"/>
    <w:tmpl w:val="5350A978"/>
    <w:lvl w:ilvl="0" w:tplc="5CC4279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B05D23"/>
    <w:multiLevelType w:val="hybridMultilevel"/>
    <w:tmpl w:val="8620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AD4C95"/>
    <w:multiLevelType w:val="hybridMultilevel"/>
    <w:tmpl w:val="49829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BB7163"/>
    <w:multiLevelType w:val="hybridMultilevel"/>
    <w:tmpl w:val="1E90E832"/>
    <w:lvl w:ilvl="0" w:tplc="4282D3E8">
      <w:numFmt w:val="bullet"/>
      <w:lvlText w:val="-"/>
      <w:lvlJc w:val="left"/>
      <w:pPr>
        <w:ind w:left="1080" w:hanging="360"/>
      </w:pPr>
      <w:rPr>
        <w:rFonts w:ascii="Arial" w:eastAsia="Times New Roman" w:hAnsi="Arial" w:cs="Arial" w:hint="default"/>
        <w:b/>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4"/>
  </w:num>
  <w:num w:numId="4">
    <w:abstractNumId w:val="0"/>
  </w:num>
  <w:num w:numId="5">
    <w:abstractNumId w:val="15"/>
  </w:num>
  <w:num w:numId="6">
    <w:abstractNumId w:val="38"/>
  </w:num>
  <w:num w:numId="7">
    <w:abstractNumId w:val="1"/>
  </w:num>
  <w:num w:numId="8">
    <w:abstractNumId w:val="35"/>
  </w:num>
  <w:num w:numId="9">
    <w:abstractNumId w:val="24"/>
  </w:num>
  <w:num w:numId="10">
    <w:abstractNumId w:val="27"/>
  </w:num>
  <w:num w:numId="11">
    <w:abstractNumId w:val="5"/>
  </w:num>
  <w:num w:numId="12">
    <w:abstractNumId w:val="23"/>
  </w:num>
  <w:num w:numId="13">
    <w:abstractNumId w:val="10"/>
  </w:num>
  <w:num w:numId="14">
    <w:abstractNumId w:val="3"/>
  </w:num>
  <w:num w:numId="15">
    <w:abstractNumId w:val="26"/>
  </w:num>
  <w:num w:numId="16">
    <w:abstractNumId w:val="39"/>
  </w:num>
  <w:num w:numId="17">
    <w:abstractNumId w:val="29"/>
  </w:num>
  <w:num w:numId="18">
    <w:abstractNumId w:val="34"/>
  </w:num>
  <w:num w:numId="19">
    <w:abstractNumId w:val="14"/>
  </w:num>
  <w:num w:numId="20">
    <w:abstractNumId w:val="21"/>
  </w:num>
  <w:num w:numId="21">
    <w:abstractNumId w:val="6"/>
  </w:num>
  <w:num w:numId="22">
    <w:abstractNumId w:val="25"/>
  </w:num>
  <w:num w:numId="23">
    <w:abstractNumId w:val="7"/>
  </w:num>
  <w:num w:numId="24">
    <w:abstractNumId w:val="18"/>
  </w:num>
  <w:num w:numId="25">
    <w:abstractNumId w:val="19"/>
  </w:num>
  <w:num w:numId="26">
    <w:abstractNumId w:val="31"/>
  </w:num>
  <w:num w:numId="27">
    <w:abstractNumId w:val="12"/>
  </w:num>
  <w:num w:numId="28">
    <w:abstractNumId w:val="36"/>
  </w:num>
  <w:num w:numId="29">
    <w:abstractNumId w:val="11"/>
  </w:num>
  <w:num w:numId="30">
    <w:abstractNumId w:val="9"/>
  </w:num>
  <w:num w:numId="31">
    <w:abstractNumId w:val="8"/>
  </w:num>
  <w:num w:numId="32">
    <w:abstractNumId w:val="22"/>
  </w:num>
  <w:num w:numId="33">
    <w:abstractNumId w:val="2"/>
  </w:num>
  <w:num w:numId="34">
    <w:abstractNumId w:val="20"/>
  </w:num>
  <w:num w:numId="35">
    <w:abstractNumId w:val="32"/>
  </w:num>
  <w:num w:numId="36">
    <w:abstractNumId w:val="28"/>
  </w:num>
  <w:num w:numId="37">
    <w:abstractNumId w:val="37"/>
  </w:num>
  <w:num w:numId="38">
    <w:abstractNumId w:val="33"/>
  </w:num>
  <w:num w:numId="39">
    <w:abstractNumId w:val="30"/>
  </w:num>
  <w:num w:numId="40">
    <w:abstractNumId w:val="40"/>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35"/>
    <w:rsid w:val="00004AF6"/>
    <w:rsid w:val="00017C15"/>
    <w:rsid w:val="00020136"/>
    <w:rsid w:val="0002586E"/>
    <w:rsid w:val="00087DA6"/>
    <w:rsid w:val="00093592"/>
    <w:rsid w:val="00096C56"/>
    <w:rsid w:val="000B1D9E"/>
    <w:rsid w:val="000C29C0"/>
    <w:rsid w:val="000C376E"/>
    <w:rsid w:val="001034E9"/>
    <w:rsid w:val="001469EA"/>
    <w:rsid w:val="00147044"/>
    <w:rsid w:val="0016084C"/>
    <w:rsid w:val="001650A7"/>
    <w:rsid w:val="00176E5F"/>
    <w:rsid w:val="00180961"/>
    <w:rsid w:val="001B1C33"/>
    <w:rsid w:val="001B1E18"/>
    <w:rsid w:val="001D61E7"/>
    <w:rsid w:val="001D651E"/>
    <w:rsid w:val="001D6550"/>
    <w:rsid w:val="001F0182"/>
    <w:rsid w:val="001F0A6C"/>
    <w:rsid w:val="0020308F"/>
    <w:rsid w:val="00227C7D"/>
    <w:rsid w:val="00231469"/>
    <w:rsid w:val="00236BE2"/>
    <w:rsid w:val="002547B1"/>
    <w:rsid w:val="00257E71"/>
    <w:rsid w:val="002A22B7"/>
    <w:rsid w:val="002A2619"/>
    <w:rsid w:val="002C6FDB"/>
    <w:rsid w:val="002E0DD5"/>
    <w:rsid w:val="002F0A68"/>
    <w:rsid w:val="00300D73"/>
    <w:rsid w:val="00354DEE"/>
    <w:rsid w:val="0035505C"/>
    <w:rsid w:val="0036404E"/>
    <w:rsid w:val="0036510E"/>
    <w:rsid w:val="00366C7A"/>
    <w:rsid w:val="00393158"/>
    <w:rsid w:val="003B6253"/>
    <w:rsid w:val="003C2FB4"/>
    <w:rsid w:val="003C566D"/>
    <w:rsid w:val="003D0C56"/>
    <w:rsid w:val="003E440B"/>
    <w:rsid w:val="00400755"/>
    <w:rsid w:val="00444233"/>
    <w:rsid w:val="004743A5"/>
    <w:rsid w:val="00483D3B"/>
    <w:rsid w:val="00486202"/>
    <w:rsid w:val="00491149"/>
    <w:rsid w:val="004A53F4"/>
    <w:rsid w:val="004A7171"/>
    <w:rsid w:val="004B078D"/>
    <w:rsid w:val="004C4CC7"/>
    <w:rsid w:val="004E11C4"/>
    <w:rsid w:val="004F1E5B"/>
    <w:rsid w:val="004F277E"/>
    <w:rsid w:val="004F53EB"/>
    <w:rsid w:val="0050080F"/>
    <w:rsid w:val="00511225"/>
    <w:rsid w:val="00534927"/>
    <w:rsid w:val="00544113"/>
    <w:rsid w:val="00567C5D"/>
    <w:rsid w:val="00575B6E"/>
    <w:rsid w:val="005A2E3F"/>
    <w:rsid w:val="005B5E6D"/>
    <w:rsid w:val="005C5E78"/>
    <w:rsid w:val="005C75C8"/>
    <w:rsid w:val="005E1393"/>
    <w:rsid w:val="00600597"/>
    <w:rsid w:val="00600C4E"/>
    <w:rsid w:val="00637F35"/>
    <w:rsid w:val="006477DA"/>
    <w:rsid w:val="00677F4A"/>
    <w:rsid w:val="00687B97"/>
    <w:rsid w:val="00694D8F"/>
    <w:rsid w:val="0069796F"/>
    <w:rsid w:val="006D2878"/>
    <w:rsid w:val="006F6536"/>
    <w:rsid w:val="00703B89"/>
    <w:rsid w:val="00710AFF"/>
    <w:rsid w:val="00710FA6"/>
    <w:rsid w:val="007129FB"/>
    <w:rsid w:val="00716C33"/>
    <w:rsid w:val="00796124"/>
    <w:rsid w:val="007C338D"/>
    <w:rsid w:val="007E32B6"/>
    <w:rsid w:val="007E49AC"/>
    <w:rsid w:val="007F303C"/>
    <w:rsid w:val="007F3718"/>
    <w:rsid w:val="008275AD"/>
    <w:rsid w:val="0083396D"/>
    <w:rsid w:val="00862BE8"/>
    <w:rsid w:val="008D4540"/>
    <w:rsid w:val="008D729E"/>
    <w:rsid w:val="008D7637"/>
    <w:rsid w:val="008E1D81"/>
    <w:rsid w:val="008F53BF"/>
    <w:rsid w:val="009238BC"/>
    <w:rsid w:val="00927B99"/>
    <w:rsid w:val="009423CE"/>
    <w:rsid w:val="009450E9"/>
    <w:rsid w:val="00945454"/>
    <w:rsid w:val="00946A4B"/>
    <w:rsid w:val="00950F73"/>
    <w:rsid w:val="00964BC3"/>
    <w:rsid w:val="009863C2"/>
    <w:rsid w:val="0099014B"/>
    <w:rsid w:val="009D318B"/>
    <w:rsid w:val="009D3453"/>
    <w:rsid w:val="009E6F34"/>
    <w:rsid w:val="00A22A72"/>
    <w:rsid w:val="00A32E26"/>
    <w:rsid w:val="00A35244"/>
    <w:rsid w:val="00A37D64"/>
    <w:rsid w:val="00A54080"/>
    <w:rsid w:val="00A61BE5"/>
    <w:rsid w:val="00A7155B"/>
    <w:rsid w:val="00A832E0"/>
    <w:rsid w:val="00AA12E1"/>
    <w:rsid w:val="00AA60A2"/>
    <w:rsid w:val="00AB3725"/>
    <w:rsid w:val="00AC6CDA"/>
    <w:rsid w:val="00AD18CB"/>
    <w:rsid w:val="00AD5FB2"/>
    <w:rsid w:val="00AE258D"/>
    <w:rsid w:val="00B34816"/>
    <w:rsid w:val="00B41D53"/>
    <w:rsid w:val="00B5398C"/>
    <w:rsid w:val="00B66AD5"/>
    <w:rsid w:val="00B71C1D"/>
    <w:rsid w:val="00B74DEB"/>
    <w:rsid w:val="00B8028D"/>
    <w:rsid w:val="00B91E02"/>
    <w:rsid w:val="00BB3EBB"/>
    <w:rsid w:val="00BC2BCF"/>
    <w:rsid w:val="00BD6D0E"/>
    <w:rsid w:val="00BF6909"/>
    <w:rsid w:val="00C169C4"/>
    <w:rsid w:val="00C21AEC"/>
    <w:rsid w:val="00C25ACB"/>
    <w:rsid w:val="00C8671C"/>
    <w:rsid w:val="00C957D2"/>
    <w:rsid w:val="00C965AB"/>
    <w:rsid w:val="00CA6EB6"/>
    <w:rsid w:val="00CC31FA"/>
    <w:rsid w:val="00D20DF0"/>
    <w:rsid w:val="00D22B04"/>
    <w:rsid w:val="00D51471"/>
    <w:rsid w:val="00D775C7"/>
    <w:rsid w:val="00D86E81"/>
    <w:rsid w:val="00DC7E30"/>
    <w:rsid w:val="00DD6F34"/>
    <w:rsid w:val="00DE29AA"/>
    <w:rsid w:val="00DE5F97"/>
    <w:rsid w:val="00DE663A"/>
    <w:rsid w:val="00DF73B7"/>
    <w:rsid w:val="00E05F24"/>
    <w:rsid w:val="00E31683"/>
    <w:rsid w:val="00E510E7"/>
    <w:rsid w:val="00E66082"/>
    <w:rsid w:val="00E73BAB"/>
    <w:rsid w:val="00E748CD"/>
    <w:rsid w:val="00E95EE7"/>
    <w:rsid w:val="00EC0B61"/>
    <w:rsid w:val="00EC508C"/>
    <w:rsid w:val="00EF6470"/>
    <w:rsid w:val="00F03CC5"/>
    <w:rsid w:val="00F161F4"/>
    <w:rsid w:val="00F63B47"/>
    <w:rsid w:val="00F64A12"/>
    <w:rsid w:val="00F822FB"/>
    <w:rsid w:val="00F874FD"/>
    <w:rsid w:val="00F91AD8"/>
    <w:rsid w:val="00F96227"/>
    <w:rsid w:val="00F96CF8"/>
    <w:rsid w:val="00FB3B3D"/>
    <w:rsid w:val="00FB6C6F"/>
    <w:rsid w:val="00FD0E3B"/>
    <w:rsid w:val="00FD219D"/>
    <w:rsid w:val="00FD5A57"/>
    <w:rsid w:val="00FF3844"/>
    <w:rsid w:val="00FF7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DB2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3CC5"/>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F962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136"/>
    <w:pPr>
      <w:keepNext/>
      <w:spacing w:before="240" w:after="60"/>
      <w:outlineLvl w:val="1"/>
    </w:pPr>
    <w:rPr>
      <w:rFonts w:ascii="Calibri" w:eastAsia="SimSun" w:hAnsi="Calibri" w:cs="Angsana New"/>
      <w:b/>
      <w:bCs/>
      <w:iCs/>
      <w:color w:val="4D738A"/>
      <w:w w:val="105"/>
      <w:kern w:val="40"/>
      <w:sz w:val="40"/>
      <w:szCs w:val="48"/>
    </w:rPr>
  </w:style>
  <w:style w:type="paragraph" w:styleId="Heading3">
    <w:name w:val="heading 3"/>
    <w:basedOn w:val="Normal"/>
    <w:next w:val="Normal"/>
    <w:link w:val="Heading3Char"/>
    <w:uiPriority w:val="9"/>
    <w:semiHidden/>
    <w:unhideWhenUsed/>
    <w:qFormat/>
    <w:rsid w:val="000201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Heading">
    <w:name w:val="Page Heading"/>
    <w:basedOn w:val="Normal"/>
    <w:rsid w:val="00FF7DB4"/>
    <w:rPr>
      <w:rFonts w:ascii="Arial" w:hAnsi="Arial"/>
      <w:color w:val="056B38"/>
      <w:sz w:val="40"/>
      <w:szCs w:val="40"/>
    </w:rPr>
  </w:style>
  <w:style w:type="paragraph" w:customStyle="1" w:styleId="PagesectionSubheading">
    <w:name w:val="Page/section Subheading"/>
    <w:basedOn w:val="Normal"/>
    <w:qFormat/>
    <w:rsid w:val="00FF7DB4"/>
    <w:rPr>
      <w:rFonts w:ascii="Arial" w:hAnsi="Arial"/>
      <w:color w:val="056B38"/>
      <w:sz w:val="26"/>
    </w:rPr>
  </w:style>
  <w:style w:type="paragraph" w:customStyle="1" w:styleId="H1">
    <w:name w:val="H1"/>
    <w:basedOn w:val="Normal"/>
    <w:qFormat/>
    <w:rsid w:val="00FF7DB4"/>
    <w:rPr>
      <w:rFonts w:ascii="Arial" w:hAnsi="Arial"/>
      <w:b/>
      <w:bCs/>
      <w:color w:val="056B38"/>
      <w:sz w:val="28"/>
      <w:szCs w:val="26"/>
    </w:rPr>
  </w:style>
  <w:style w:type="paragraph" w:customStyle="1" w:styleId="H2">
    <w:name w:val="H2"/>
    <w:basedOn w:val="Normal"/>
    <w:qFormat/>
    <w:rsid w:val="00FF7DB4"/>
    <w:rPr>
      <w:rFonts w:ascii="Arial" w:hAnsi="Arial"/>
      <w:b/>
      <w:bCs/>
      <w:color w:val="056B38"/>
      <w:sz w:val="23"/>
      <w:szCs w:val="23"/>
    </w:rPr>
  </w:style>
  <w:style w:type="paragraph" w:customStyle="1" w:styleId="H3">
    <w:name w:val="H3"/>
    <w:basedOn w:val="Normal"/>
    <w:qFormat/>
    <w:rsid w:val="00FF7DB4"/>
    <w:rPr>
      <w:rFonts w:ascii="Arial" w:hAnsi="Arial"/>
      <w:b/>
      <w:bCs/>
      <w:color w:val="056B38"/>
      <w:sz w:val="21"/>
      <w:szCs w:val="21"/>
    </w:rPr>
  </w:style>
  <w:style w:type="paragraph" w:customStyle="1" w:styleId="H4">
    <w:name w:val="H4"/>
    <w:basedOn w:val="Normal"/>
    <w:qFormat/>
    <w:rsid w:val="00FF7DB4"/>
    <w:rPr>
      <w:rFonts w:ascii="Arial" w:hAnsi="Arial"/>
      <w:b/>
      <w:bCs/>
      <w:color w:val="056B38"/>
      <w:sz w:val="18"/>
      <w:szCs w:val="18"/>
    </w:rPr>
  </w:style>
  <w:style w:type="paragraph" w:customStyle="1" w:styleId="H5">
    <w:name w:val="H5"/>
    <w:basedOn w:val="Normal"/>
    <w:qFormat/>
    <w:rsid w:val="00FF7DB4"/>
    <w:rPr>
      <w:rFonts w:ascii="Arial" w:hAnsi="Arial"/>
      <w:b/>
      <w:bCs/>
      <w:i/>
      <w:iCs/>
      <w:color w:val="056B38"/>
      <w:sz w:val="18"/>
      <w:szCs w:val="18"/>
    </w:rPr>
  </w:style>
  <w:style w:type="paragraph" w:customStyle="1" w:styleId="Body">
    <w:name w:val="Body"/>
    <w:basedOn w:val="Normal"/>
    <w:qFormat/>
    <w:rsid w:val="00FF7DB4"/>
    <w:rPr>
      <w:rFonts w:ascii="Arial" w:hAnsi="Arial"/>
      <w:sz w:val="17"/>
      <w:szCs w:val="17"/>
    </w:rPr>
  </w:style>
  <w:style w:type="paragraph" w:styleId="Header">
    <w:name w:val="header"/>
    <w:basedOn w:val="Normal"/>
    <w:link w:val="HeaderChar"/>
    <w:uiPriority w:val="99"/>
    <w:unhideWhenUsed/>
    <w:rsid w:val="00575B6E"/>
    <w:pPr>
      <w:tabs>
        <w:tab w:val="center" w:pos="4513"/>
        <w:tab w:val="right" w:pos="9026"/>
      </w:tabs>
    </w:pPr>
  </w:style>
  <w:style w:type="character" w:customStyle="1" w:styleId="HeaderChar">
    <w:name w:val="Header Char"/>
    <w:basedOn w:val="DefaultParagraphFont"/>
    <w:link w:val="Header"/>
    <w:uiPriority w:val="99"/>
    <w:rsid w:val="00575B6E"/>
  </w:style>
  <w:style w:type="paragraph" w:styleId="Footer">
    <w:name w:val="footer"/>
    <w:basedOn w:val="Normal"/>
    <w:link w:val="FooterChar"/>
    <w:uiPriority w:val="99"/>
    <w:unhideWhenUsed/>
    <w:rsid w:val="00575B6E"/>
    <w:pPr>
      <w:tabs>
        <w:tab w:val="center" w:pos="4513"/>
        <w:tab w:val="right" w:pos="9026"/>
      </w:tabs>
    </w:pPr>
  </w:style>
  <w:style w:type="character" w:customStyle="1" w:styleId="FooterChar">
    <w:name w:val="Footer Char"/>
    <w:basedOn w:val="DefaultParagraphFont"/>
    <w:link w:val="Footer"/>
    <w:uiPriority w:val="99"/>
    <w:rsid w:val="00575B6E"/>
  </w:style>
  <w:style w:type="character" w:styleId="PageNumber">
    <w:name w:val="page number"/>
    <w:basedOn w:val="DefaultParagraphFont"/>
    <w:uiPriority w:val="99"/>
    <w:semiHidden/>
    <w:unhideWhenUsed/>
    <w:rsid w:val="00575B6E"/>
  </w:style>
  <w:style w:type="paragraph" w:customStyle="1" w:styleId="PageSectionheading">
    <w:name w:val="Page/Section heading"/>
    <w:basedOn w:val="PageHeading"/>
    <w:qFormat/>
    <w:rsid w:val="00FF7DB4"/>
    <w:pPr>
      <w:outlineLvl w:val="0"/>
    </w:pPr>
    <w:rPr>
      <w:b/>
      <w:bCs/>
      <w:sz w:val="32"/>
      <w:szCs w:val="36"/>
    </w:rPr>
  </w:style>
  <w:style w:type="character" w:customStyle="1" w:styleId="apple-converted-space">
    <w:name w:val="apple-converted-space"/>
    <w:basedOn w:val="DefaultParagraphFont"/>
    <w:rsid w:val="009450E9"/>
  </w:style>
  <w:style w:type="paragraph" w:styleId="NormalWeb">
    <w:name w:val="Normal (Web)"/>
    <w:basedOn w:val="Normal"/>
    <w:uiPriority w:val="99"/>
    <w:unhideWhenUsed/>
    <w:rsid w:val="00FD5A57"/>
    <w:pPr>
      <w:spacing w:before="100" w:beforeAutospacing="1" w:after="100" w:afterAutospacing="1"/>
    </w:pPr>
  </w:style>
  <w:style w:type="paragraph" w:styleId="ListParagraph">
    <w:name w:val="List Paragraph"/>
    <w:aliases w:val="List Paragraph1,Recommendation,List Paragraph11,Brief List Paragraph 1,DDM Gen Text,L,Numbered paragraph,CV text,Table text,F5 List Paragraph,Dot pt,List Paragraph111,Medium Grid 1 - Accent 21,Numbered Paragraph,List Paragraph2,Bullets,列出"/>
    <w:basedOn w:val="Normal"/>
    <w:link w:val="ListParagraphChar"/>
    <w:uiPriority w:val="34"/>
    <w:qFormat/>
    <w:rsid w:val="00FD5A57"/>
    <w:pPr>
      <w:ind w:left="720"/>
      <w:contextualSpacing/>
    </w:pPr>
  </w:style>
  <w:style w:type="character" w:customStyle="1" w:styleId="ListParagraphChar">
    <w:name w:val="List Paragraph Char"/>
    <w:aliases w:val="List Paragraph1 Char,Recommendation Char,List Paragraph11 Char,Brief List Paragraph 1 Char,DDM Gen Text Char,L Char,Numbered paragraph Char,CV text Char,Table text Char,F5 List Paragraph Char,Dot pt Char,List Paragraph111 Char"/>
    <w:basedOn w:val="DefaultParagraphFont"/>
    <w:link w:val="ListParagraph"/>
    <w:uiPriority w:val="34"/>
    <w:rsid w:val="00444233"/>
    <w:rPr>
      <w:rFonts w:ascii="Times New Roman" w:eastAsia="Times New Roman" w:hAnsi="Times New Roman" w:cs="Times New Roman"/>
      <w:lang w:val="en-AU"/>
    </w:rPr>
  </w:style>
  <w:style w:type="paragraph" w:styleId="FootnoteText">
    <w:name w:val="footnote text"/>
    <w:basedOn w:val="Normal"/>
    <w:link w:val="FootnoteTextChar"/>
    <w:uiPriority w:val="99"/>
    <w:semiHidden/>
    <w:unhideWhenUsed/>
    <w:rsid w:val="007129FB"/>
    <w:rPr>
      <w:sz w:val="20"/>
      <w:szCs w:val="20"/>
    </w:rPr>
  </w:style>
  <w:style w:type="character" w:customStyle="1" w:styleId="FootnoteTextChar">
    <w:name w:val="Footnote Text Char"/>
    <w:basedOn w:val="DefaultParagraphFont"/>
    <w:link w:val="FootnoteText"/>
    <w:uiPriority w:val="99"/>
    <w:semiHidden/>
    <w:rsid w:val="007129FB"/>
    <w:rPr>
      <w:rFonts w:ascii="Times New Roman" w:eastAsia="Times New Roman" w:hAnsi="Times New Roman" w:cs="Times New Roman"/>
      <w:sz w:val="20"/>
      <w:szCs w:val="20"/>
      <w:lang w:val="en-AU"/>
    </w:rPr>
  </w:style>
  <w:style w:type="character" w:styleId="FootnoteReference">
    <w:name w:val="footnote reference"/>
    <w:basedOn w:val="DefaultParagraphFont"/>
    <w:uiPriority w:val="99"/>
    <w:semiHidden/>
    <w:unhideWhenUsed/>
    <w:rsid w:val="007129FB"/>
    <w:rPr>
      <w:vertAlign w:val="superscript"/>
    </w:rPr>
  </w:style>
  <w:style w:type="character" w:styleId="Hyperlink">
    <w:name w:val="Hyperlink"/>
    <w:basedOn w:val="DefaultParagraphFont"/>
    <w:uiPriority w:val="99"/>
    <w:unhideWhenUsed/>
    <w:rsid w:val="007129FB"/>
    <w:rPr>
      <w:color w:val="0563C1" w:themeColor="hyperlink"/>
      <w:u w:val="single"/>
    </w:rPr>
  </w:style>
  <w:style w:type="character" w:styleId="UnresolvedMention">
    <w:name w:val="Unresolved Mention"/>
    <w:basedOn w:val="DefaultParagraphFont"/>
    <w:uiPriority w:val="99"/>
    <w:rsid w:val="007129FB"/>
    <w:rPr>
      <w:color w:val="605E5C"/>
      <w:shd w:val="clear" w:color="auto" w:fill="E1DFDD"/>
    </w:rPr>
  </w:style>
  <w:style w:type="paragraph" w:styleId="BalloonText">
    <w:name w:val="Balloon Text"/>
    <w:basedOn w:val="Normal"/>
    <w:link w:val="BalloonTextChar"/>
    <w:uiPriority w:val="99"/>
    <w:semiHidden/>
    <w:unhideWhenUsed/>
    <w:rsid w:val="001469EA"/>
    <w:rPr>
      <w:sz w:val="18"/>
      <w:szCs w:val="18"/>
    </w:rPr>
  </w:style>
  <w:style w:type="character" w:customStyle="1" w:styleId="BalloonTextChar">
    <w:name w:val="Balloon Text Char"/>
    <w:basedOn w:val="DefaultParagraphFont"/>
    <w:link w:val="BalloonText"/>
    <w:uiPriority w:val="99"/>
    <w:semiHidden/>
    <w:rsid w:val="001469EA"/>
    <w:rPr>
      <w:rFonts w:ascii="Times New Roman" w:eastAsia="Times New Roman" w:hAnsi="Times New Roman" w:cs="Times New Roman"/>
      <w:sz w:val="18"/>
      <w:szCs w:val="18"/>
      <w:lang w:val="en-AU"/>
    </w:rPr>
  </w:style>
  <w:style w:type="character" w:customStyle="1" w:styleId="Heading2Char">
    <w:name w:val="Heading 2 Char"/>
    <w:basedOn w:val="DefaultParagraphFont"/>
    <w:link w:val="Heading2"/>
    <w:uiPriority w:val="9"/>
    <w:rsid w:val="00020136"/>
    <w:rPr>
      <w:rFonts w:ascii="Calibri" w:eastAsia="SimSun" w:hAnsi="Calibri" w:cs="Angsana New"/>
      <w:b/>
      <w:bCs/>
      <w:iCs/>
      <w:color w:val="4D738A"/>
      <w:w w:val="105"/>
      <w:kern w:val="40"/>
      <w:sz w:val="40"/>
      <w:szCs w:val="48"/>
      <w:lang w:val="en-AU"/>
    </w:rPr>
  </w:style>
  <w:style w:type="character" w:customStyle="1" w:styleId="Heading3Char">
    <w:name w:val="Heading 3 Char"/>
    <w:basedOn w:val="DefaultParagraphFont"/>
    <w:link w:val="Heading3"/>
    <w:uiPriority w:val="9"/>
    <w:semiHidden/>
    <w:rsid w:val="00020136"/>
    <w:rPr>
      <w:rFonts w:asciiTheme="majorHAnsi" w:eastAsiaTheme="majorEastAsia" w:hAnsiTheme="majorHAnsi" w:cstheme="majorBidi"/>
      <w:color w:val="1F3763" w:themeColor="accent1" w:themeShade="7F"/>
      <w:lang w:val="en-AU"/>
    </w:rPr>
  </w:style>
  <w:style w:type="character" w:customStyle="1" w:styleId="Heading1Char">
    <w:name w:val="Heading 1 Char"/>
    <w:basedOn w:val="DefaultParagraphFont"/>
    <w:link w:val="Heading1"/>
    <w:uiPriority w:val="9"/>
    <w:rsid w:val="00F96227"/>
    <w:rPr>
      <w:rFonts w:asciiTheme="majorHAnsi" w:eastAsiaTheme="majorEastAsia" w:hAnsiTheme="majorHAnsi" w:cstheme="majorBidi"/>
      <w:color w:val="2F5496" w:themeColor="accent1" w:themeShade="BF"/>
      <w:sz w:val="32"/>
      <w:szCs w:val="32"/>
      <w:lang w:val="en-AU"/>
    </w:rPr>
  </w:style>
  <w:style w:type="character" w:styleId="FollowedHyperlink">
    <w:name w:val="FollowedHyperlink"/>
    <w:basedOn w:val="DefaultParagraphFont"/>
    <w:uiPriority w:val="99"/>
    <w:semiHidden/>
    <w:unhideWhenUsed/>
    <w:rsid w:val="00A61BE5"/>
    <w:rPr>
      <w:color w:val="954F72" w:themeColor="followedHyperlink"/>
      <w:u w:val="single"/>
    </w:rPr>
  </w:style>
  <w:style w:type="character" w:styleId="CommentReference">
    <w:name w:val="annotation reference"/>
    <w:basedOn w:val="DefaultParagraphFont"/>
    <w:uiPriority w:val="99"/>
    <w:semiHidden/>
    <w:unhideWhenUsed/>
    <w:rsid w:val="004F1E5B"/>
    <w:rPr>
      <w:sz w:val="16"/>
      <w:szCs w:val="16"/>
    </w:rPr>
  </w:style>
  <w:style w:type="paragraph" w:styleId="CommentText">
    <w:name w:val="annotation text"/>
    <w:basedOn w:val="Normal"/>
    <w:link w:val="CommentTextChar"/>
    <w:uiPriority w:val="99"/>
    <w:semiHidden/>
    <w:unhideWhenUsed/>
    <w:rsid w:val="004F1E5B"/>
    <w:rPr>
      <w:sz w:val="20"/>
      <w:szCs w:val="20"/>
    </w:rPr>
  </w:style>
  <w:style w:type="character" w:customStyle="1" w:styleId="CommentTextChar">
    <w:name w:val="Comment Text Char"/>
    <w:basedOn w:val="DefaultParagraphFont"/>
    <w:link w:val="CommentText"/>
    <w:uiPriority w:val="99"/>
    <w:semiHidden/>
    <w:rsid w:val="004F1E5B"/>
    <w:rPr>
      <w:rFonts w:ascii="Times New Roman" w:eastAsia="Times New Roman"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F1E5B"/>
    <w:rPr>
      <w:b/>
      <w:bCs/>
    </w:rPr>
  </w:style>
  <w:style w:type="character" w:customStyle="1" w:styleId="CommentSubjectChar">
    <w:name w:val="Comment Subject Char"/>
    <w:basedOn w:val="CommentTextChar"/>
    <w:link w:val="CommentSubject"/>
    <w:uiPriority w:val="99"/>
    <w:semiHidden/>
    <w:rsid w:val="004F1E5B"/>
    <w:rPr>
      <w:rFonts w:ascii="Times New Roman" w:eastAsia="Times New Roman"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83077">
      <w:bodyDiv w:val="1"/>
      <w:marLeft w:val="0"/>
      <w:marRight w:val="0"/>
      <w:marTop w:val="0"/>
      <w:marBottom w:val="0"/>
      <w:divBdr>
        <w:top w:val="none" w:sz="0" w:space="0" w:color="auto"/>
        <w:left w:val="none" w:sz="0" w:space="0" w:color="auto"/>
        <w:bottom w:val="none" w:sz="0" w:space="0" w:color="auto"/>
        <w:right w:val="none" w:sz="0" w:space="0" w:color="auto"/>
      </w:divBdr>
      <w:divsChild>
        <w:div w:id="669331817">
          <w:marLeft w:val="0"/>
          <w:marRight w:val="0"/>
          <w:marTop w:val="0"/>
          <w:marBottom w:val="0"/>
          <w:divBdr>
            <w:top w:val="none" w:sz="0" w:space="0" w:color="auto"/>
            <w:left w:val="none" w:sz="0" w:space="0" w:color="auto"/>
            <w:bottom w:val="none" w:sz="0" w:space="0" w:color="auto"/>
            <w:right w:val="none" w:sz="0" w:space="0" w:color="auto"/>
          </w:divBdr>
          <w:divsChild>
            <w:div w:id="1261598155">
              <w:marLeft w:val="0"/>
              <w:marRight w:val="0"/>
              <w:marTop w:val="0"/>
              <w:marBottom w:val="0"/>
              <w:divBdr>
                <w:top w:val="none" w:sz="0" w:space="0" w:color="auto"/>
                <w:left w:val="none" w:sz="0" w:space="0" w:color="auto"/>
                <w:bottom w:val="none" w:sz="0" w:space="0" w:color="auto"/>
                <w:right w:val="none" w:sz="0" w:space="0" w:color="auto"/>
              </w:divBdr>
              <w:divsChild>
                <w:div w:id="1886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6052">
      <w:bodyDiv w:val="1"/>
      <w:marLeft w:val="0"/>
      <w:marRight w:val="0"/>
      <w:marTop w:val="0"/>
      <w:marBottom w:val="0"/>
      <w:divBdr>
        <w:top w:val="none" w:sz="0" w:space="0" w:color="auto"/>
        <w:left w:val="none" w:sz="0" w:space="0" w:color="auto"/>
        <w:bottom w:val="none" w:sz="0" w:space="0" w:color="auto"/>
        <w:right w:val="none" w:sz="0" w:space="0" w:color="auto"/>
      </w:divBdr>
    </w:div>
    <w:div w:id="1083330495">
      <w:bodyDiv w:val="1"/>
      <w:marLeft w:val="0"/>
      <w:marRight w:val="0"/>
      <w:marTop w:val="0"/>
      <w:marBottom w:val="0"/>
      <w:divBdr>
        <w:top w:val="none" w:sz="0" w:space="0" w:color="auto"/>
        <w:left w:val="none" w:sz="0" w:space="0" w:color="auto"/>
        <w:bottom w:val="none" w:sz="0" w:space="0" w:color="auto"/>
        <w:right w:val="none" w:sz="0" w:space="0" w:color="auto"/>
      </w:divBdr>
      <w:divsChild>
        <w:div w:id="549268808">
          <w:marLeft w:val="0"/>
          <w:marRight w:val="0"/>
          <w:marTop w:val="0"/>
          <w:marBottom w:val="0"/>
          <w:divBdr>
            <w:top w:val="none" w:sz="0" w:space="0" w:color="auto"/>
            <w:left w:val="none" w:sz="0" w:space="0" w:color="auto"/>
            <w:bottom w:val="none" w:sz="0" w:space="0" w:color="auto"/>
            <w:right w:val="none" w:sz="0" w:space="0" w:color="auto"/>
          </w:divBdr>
          <w:divsChild>
            <w:div w:id="1839496959">
              <w:marLeft w:val="0"/>
              <w:marRight w:val="0"/>
              <w:marTop w:val="0"/>
              <w:marBottom w:val="0"/>
              <w:divBdr>
                <w:top w:val="none" w:sz="0" w:space="0" w:color="auto"/>
                <w:left w:val="none" w:sz="0" w:space="0" w:color="auto"/>
                <w:bottom w:val="none" w:sz="0" w:space="0" w:color="auto"/>
                <w:right w:val="none" w:sz="0" w:space="0" w:color="auto"/>
              </w:divBdr>
              <w:divsChild>
                <w:div w:id="1664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28280">
      <w:bodyDiv w:val="1"/>
      <w:marLeft w:val="0"/>
      <w:marRight w:val="0"/>
      <w:marTop w:val="0"/>
      <w:marBottom w:val="0"/>
      <w:divBdr>
        <w:top w:val="none" w:sz="0" w:space="0" w:color="auto"/>
        <w:left w:val="none" w:sz="0" w:space="0" w:color="auto"/>
        <w:bottom w:val="none" w:sz="0" w:space="0" w:color="auto"/>
        <w:right w:val="none" w:sz="0" w:space="0" w:color="auto"/>
      </w:divBdr>
    </w:div>
    <w:div w:id="1402941325">
      <w:bodyDiv w:val="1"/>
      <w:marLeft w:val="0"/>
      <w:marRight w:val="0"/>
      <w:marTop w:val="0"/>
      <w:marBottom w:val="0"/>
      <w:divBdr>
        <w:top w:val="none" w:sz="0" w:space="0" w:color="auto"/>
        <w:left w:val="none" w:sz="0" w:space="0" w:color="auto"/>
        <w:bottom w:val="none" w:sz="0" w:space="0" w:color="auto"/>
        <w:right w:val="none" w:sz="0" w:space="0" w:color="auto"/>
      </w:divBdr>
    </w:div>
    <w:div w:id="1414621566">
      <w:bodyDiv w:val="1"/>
      <w:marLeft w:val="0"/>
      <w:marRight w:val="0"/>
      <w:marTop w:val="0"/>
      <w:marBottom w:val="0"/>
      <w:divBdr>
        <w:top w:val="none" w:sz="0" w:space="0" w:color="auto"/>
        <w:left w:val="none" w:sz="0" w:space="0" w:color="auto"/>
        <w:bottom w:val="none" w:sz="0" w:space="0" w:color="auto"/>
        <w:right w:val="none" w:sz="0" w:space="0" w:color="auto"/>
      </w:divBdr>
      <w:divsChild>
        <w:div w:id="490103106">
          <w:marLeft w:val="0"/>
          <w:marRight w:val="0"/>
          <w:marTop w:val="0"/>
          <w:marBottom w:val="0"/>
          <w:divBdr>
            <w:top w:val="none" w:sz="0" w:space="0" w:color="auto"/>
            <w:left w:val="none" w:sz="0" w:space="0" w:color="auto"/>
            <w:bottom w:val="none" w:sz="0" w:space="0" w:color="auto"/>
            <w:right w:val="none" w:sz="0" w:space="0" w:color="auto"/>
          </w:divBdr>
          <w:divsChild>
            <w:div w:id="909772921">
              <w:marLeft w:val="0"/>
              <w:marRight w:val="0"/>
              <w:marTop w:val="0"/>
              <w:marBottom w:val="0"/>
              <w:divBdr>
                <w:top w:val="none" w:sz="0" w:space="0" w:color="auto"/>
                <w:left w:val="none" w:sz="0" w:space="0" w:color="auto"/>
                <w:bottom w:val="none" w:sz="0" w:space="0" w:color="auto"/>
                <w:right w:val="none" w:sz="0" w:space="0" w:color="auto"/>
              </w:divBdr>
              <w:divsChild>
                <w:div w:id="1663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2560">
      <w:bodyDiv w:val="1"/>
      <w:marLeft w:val="0"/>
      <w:marRight w:val="0"/>
      <w:marTop w:val="0"/>
      <w:marBottom w:val="0"/>
      <w:divBdr>
        <w:top w:val="none" w:sz="0" w:space="0" w:color="auto"/>
        <w:left w:val="none" w:sz="0" w:space="0" w:color="auto"/>
        <w:bottom w:val="none" w:sz="0" w:space="0" w:color="auto"/>
        <w:right w:val="none" w:sz="0" w:space="0" w:color="auto"/>
      </w:divBdr>
      <w:divsChild>
        <w:div w:id="742917480">
          <w:marLeft w:val="0"/>
          <w:marRight w:val="0"/>
          <w:marTop w:val="0"/>
          <w:marBottom w:val="0"/>
          <w:divBdr>
            <w:top w:val="none" w:sz="0" w:space="0" w:color="auto"/>
            <w:left w:val="none" w:sz="0" w:space="0" w:color="auto"/>
            <w:bottom w:val="none" w:sz="0" w:space="0" w:color="auto"/>
            <w:right w:val="none" w:sz="0" w:space="0" w:color="auto"/>
          </w:divBdr>
          <w:divsChild>
            <w:div w:id="230502167">
              <w:marLeft w:val="0"/>
              <w:marRight w:val="0"/>
              <w:marTop w:val="0"/>
              <w:marBottom w:val="0"/>
              <w:divBdr>
                <w:top w:val="none" w:sz="0" w:space="0" w:color="auto"/>
                <w:left w:val="none" w:sz="0" w:space="0" w:color="auto"/>
                <w:bottom w:val="none" w:sz="0" w:space="0" w:color="auto"/>
                <w:right w:val="none" w:sz="0" w:space="0" w:color="auto"/>
              </w:divBdr>
              <w:divsChild>
                <w:div w:id="15952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7551">
      <w:bodyDiv w:val="1"/>
      <w:marLeft w:val="0"/>
      <w:marRight w:val="0"/>
      <w:marTop w:val="0"/>
      <w:marBottom w:val="0"/>
      <w:divBdr>
        <w:top w:val="none" w:sz="0" w:space="0" w:color="auto"/>
        <w:left w:val="none" w:sz="0" w:space="0" w:color="auto"/>
        <w:bottom w:val="none" w:sz="0" w:space="0" w:color="auto"/>
        <w:right w:val="none" w:sz="0" w:space="0" w:color="auto"/>
      </w:divBdr>
    </w:div>
    <w:div w:id="2067027790">
      <w:bodyDiv w:val="1"/>
      <w:marLeft w:val="0"/>
      <w:marRight w:val="0"/>
      <w:marTop w:val="0"/>
      <w:marBottom w:val="0"/>
      <w:divBdr>
        <w:top w:val="none" w:sz="0" w:space="0" w:color="auto"/>
        <w:left w:val="none" w:sz="0" w:space="0" w:color="auto"/>
        <w:bottom w:val="none" w:sz="0" w:space="0" w:color="auto"/>
        <w:right w:val="none" w:sz="0" w:space="0" w:color="auto"/>
      </w:divBdr>
      <w:divsChild>
        <w:div w:id="1027636666">
          <w:marLeft w:val="0"/>
          <w:marRight w:val="0"/>
          <w:marTop w:val="0"/>
          <w:marBottom w:val="0"/>
          <w:divBdr>
            <w:top w:val="none" w:sz="0" w:space="0" w:color="auto"/>
            <w:left w:val="none" w:sz="0" w:space="0" w:color="auto"/>
            <w:bottom w:val="none" w:sz="0" w:space="0" w:color="auto"/>
            <w:right w:val="none" w:sz="0" w:space="0" w:color="auto"/>
          </w:divBdr>
          <w:divsChild>
            <w:div w:id="2053461206">
              <w:marLeft w:val="0"/>
              <w:marRight w:val="0"/>
              <w:marTop w:val="0"/>
              <w:marBottom w:val="0"/>
              <w:divBdr>
                <w:top w:val="none" w:sz="0" w:space="0" w:color="auto"/>
                <w:left w:val="none" w:sz="0" w:space="0" w:color="auto"/>
                <w:bottom w:val="none" w:sz="0" w:space="0" w:color="auto"/>
                <w:right w:val="none" w:sz="0" w:space="0" w:color="auto"/>
              </w:divBdr>
              <w:divsChild>
                <w:div w:id="6595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rest.siteplus.com/filestorage-api-service/21577c0bbab07e3e2059d502fcb6b1a8/ps-integrated-systems-and-harmonised-auditing-for-ethical-sourcing.pdf?dl=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89D7DBA-6DB7-8C40-B5D6-8E7C12580EC8}"/>
</file>

<file path=customXml/itemProps2.xml><?xml version="1.0" encoding="utf-8"?>
<ds:datastoreItem xmlns:ds="http://schemas.openxmlformats.org/officeDocument/2006/customXml" ds:itemID="{479A9376-C0A7-4636-B4F6-C00DE75E6D41}"/>
</file>

<file path=customXml/itemProps3.xml><?xml version="1.0" encoding="utf-8"?>
<ds:datastoreItem xmlns:ds="http://schemas.openxmlformats.org/officeDocument/2006/customXml" ds:itemID="{1DD92772-7FA2-49FE-8532-158CD9223AB0}"/>
</file>

<file path=customXml/itemProps4.xml><?xml version="1.0" encoding="utf-8"?>
<ds:datastoreItem xmlns:ds="http://schemas.openxmlformats.org/officeDocument/2006/customXml" ds:itemID="{9AE5A316-FEA2-4FEB-A2BA-F4E58FE580EA}"/>
</file>

<file path=docProps/app.xml><?xml version="1.0" encoding="utf-8"?>
<Properties xmlns="http://schemas.openxmlformats.org/officeDocument/2006/extended-properties" xmlns:vt="http://schemas.openxmlformats.org/officeDocument/2006/docPropsVTypes">
  <Template>Normal.dotm</Template>
  <TotalTime>1</TotalTime>
  <Pages>9</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 Design</dc:creator>
  <cp:keywords/>
  <dc:description/>
  <cp:lastModifiedBy>Michael Rogers</cp:lastModifiedBy>
  <cp:revision>3</cp:revision>
  <cp:lastPrinted>2019-11-04T08:01:00Z</cp:lastPrinted>
  <dcterms:created xsi:type="dcterms:W3CDTF">2019-11-04T08:01:00Z</dcterms:created>
  <dcterms:modified xsi:type="dcterms:W3CDTF">2019-11-04T08:01:00Z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