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C8A55" w14:textId="77777777" w:rsidR="00912815" w:rsidRPr="00134FB8" w:rsidRDefault="00A7030C" w:rsidP="00134FB8">
      <w:pPr>
        <w:pStyle w:val="Title"/>
      </w:pPr>
      <w:r w:rsidRPr="00134FB8">
        <w:t>Greenfield Agreements Review</w:t>
      </w:r>
    </w:p>
    <w:p w14:paraId="46459EEB" w14:textId="77777777" w:rsidR="00A7030C" w:rsidRPr="00134FB8" w:rsidRDefault="00E6297F" w:rsidP="00134FB8">
      <w:pPr>
        <w:pStyle w:val="Title"/>
        <w:spacing w:before="1320"/>
      </w:pPr>
      <w:r w:rsidRPr="00134FB8">
        <w:t>Submissions of the Construction Forestry Mining and Energy Union – Construction and General Division</w:t>
      </w:r>
    </w:p>
    <w:p w14:paraId="30429AED" w14:textId="77777777" w:rsidR="00AD03A1" w:rsidRPr="003A3032" w:rsidRDefault="00AD03A1" w:rsidP="00134FB8">
      <w:pPr>
        <w:spacing w:before="4440"/>
        <w:jc w:val="center"/>
        <w:rPr>
          <w:rFonts w:cstheme="minorHAnsi"/>
          <w:b/>
          <w:sz w:val="28"/>
          <w:szCs w:val="28"/>
          <w:lang w:val="en-US"/>
        </w:rPr>
      </w:pPr>
      <w:r w:rsidRPr="004D6B34">
        <w:rPr>
          <w:noProof/>
          <w:sz w:val="32"/>
          <w:szCs w:val="32"/>
          <w:lang w:eastAsia="en-AU"/>
        </w:rPr>
        <w:drawing>
          <wp:inline distT="0" distB="0" distL="0" distR="0" wp14:anchorId="574BB89E" wp14:editId="0EF664B6">
            <wp:extent cx="5543550" cy="1165225"/>
            <wp:effectExtent l="0" t="0" r="0" b="0"/>
            <wp:docPr id="1" name="Picture 1" descr="Y:\Graphics\Logos\CFMEU\CFMEU Brand 2013_all states\CFMEU NAT C&amp;G\CFMEU NAT LOGOS\CFMEUlogopl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Graphics\Logos\CFMEU\CFMEU Brand 2013_all states\CFMEU NAT C&amp;G\CFMEU NAT LOGOS\CFMEUlogopla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1165225"/>
                    </a:xfrm>
                    <a:prstGeom prst="rect">
                      <a:avLst/>
                    </a:prstGeom>
                    <a:noFill/>
                    <a:ln>
                      <a:noFill/>
                    </a:ln>
                  </pic:spPr>
                </pic:pic>
              </a:graphicData>
            </a:graphic>
          </wp:inline>
        </w:drawing>
      </w:r>
    </w:p>
    <w:p w14:paraId="063E533D" w14:textId="77777777" w:rsidR="00AD03A1" w:rsidRDefault="00AD03A1">
      <w:pPr>
        <w:rPr>
          <w:rFonts w:cstheme="minorHAnsi"/>
          <w:sz w:val="24"/>
          <w:szCs w:val="24"/>
          <w:lang w:val="en-US"/>
        </w:rPr>
      </w:pPr>
      <w:r>
        <w:rPr>
          <w:rFonts w:cstheme="minorHAnsi"/>
          <w:sz w:val="24"/>
          <w:szCs w:val="24"/>
          <w:lang w:val="en-US"/>
        </w:rPr>
        <w:br w:type="page"/>
      </w:r>
    </w:p>
    <w:p w14:paraId="05EFB381" w14:textId="77777777" w:rsidR="00A7030C" w:rsidRPr="00134FB8" w:rsidRDefault="009C1D22" w:rsidP="00134FB8">
      <w:pPr>
        <w:pStyle w:val="Heading1"/>
      </w:pPr>
      <w:r w:rsidRPr="00134FB8">
        <w:lastRenderedPageBreak/>
        <w:t>Introduction</w:t>
      </w:r>
    </w:p>
    <w:p w14:paraId="57C61435" w14:textId="77777777" w:rsidR="00E6297F" w:rsidRDefault="00E6297F" w:rsidP="00F87C1D">
      <w:pPr>
        <w:pStyle w:val="ListParagraph"/>
        <w:numPr>
          <w:ilvl w:val="0"/>
          <w:numId w:val="1"/>
        </w:numPr>
        <w:spacing w:after="0"/>
        <w:rPr>
          <w:rFonts w:cstheme="minorHAnsi"/>
          <w:sz w:val="24"/>
          <w:szCs w:val="24"/>
          <w:lang w:val="en-US"/>
        </w:rPr>
      </w:pPr>
      <w:r w:rsidRPr="00F87C1D">
        <w:rPr>
          <w:rFonts w:cstheme="minorHAnsi"/>
          <w:sz w:val="24"/>
          <w:szCs w:val="24"/>
          <w:lang w:val="en-US"/>
        </w:rPr>
        <w:t>The Construction, Forestry, Mining and Energy Union -</w:t>
      </w:r>
      <w:r w:rsidR="00284803" w:rsidRPr="00F87C1D">
        <w:rPr>
          <w:rFonts w:cstheme="minorHAnsi"/>
          <w:sz w:val="24"/>
          <w:szCs w:val="24"/>
          <w:lang w:val="en-US"/>
        </w:rPr>
        <w:t xml:space="preserve"> Construction and General Division</w:t>
      </w:r>
      <w:r w:rsidR="003B5FC4" w:rsidRPr="00F87C1D">
        <w:rPr>
          <w:rFonts w:cstheme="minorHAnsi"/>
          <w:sz w:val="24"/>
          <w:szCs w:val="24"/>
          <w:lang w:val="en-US"/>
        </w:rPr>
        <w:t xml:space="preserve"> (CFMEU)</w:t>
      </w:r>
      <w:r w:rsidR="00284803" w:rsidRPr="00F87C1D">
        <w:rPr>
          <w:rFonts w:cstheme="minorHAnsi"/>
          <w:sz w:val="24"/>
          <w:szCs w:val="24"/>
          <w:lang w:val="en-US"/>
        </w:rPr>
        <w:t xml:space="preserve"> welcome</w:t>
      </w:r>
      <w:r w:rsidRPr="00F87C1D">
        <w:rPr>
          <w:rFonts w:cstheme="minorHAnsi"/>
          <w:sz w:val="24"/>
          <w:szCs w:val="24"/>
          <w:lang w:val="en-US"/>
        </w:rPr>
        <w:t>s</w:t>
      </w:r>
      <w:r w:rsidR="00284803" w:rsidRPr="00F87C1D">
        <w:rPr>
          <w:rFonts w:cstheme="minorHAnsi"/>
          <w:sz w:val="24"/>
          <w:szCs w:val="24"/>
          <w:lang w:val="en-US"/>
        </w:rPr>
        <w:t xml:space="preserve"> the o</w:t>
      </w:r>
      <w:r w:rsidRPr="00F87C1D">
        <w:rPr>
          <w:rFonts w:cstheme="minorHAnsi"/>
          <w:sz w:val="24"/>
          <w:szCs w:val="24"/>
          <w:lang w:val="en-US"/>
        </w:rPr>
        <w:t>pportunity to participate in this</w:t>
      </w:r>
      <w:r w:rsidR="00284803" w:rsidRPr="00F87C1D">
        <w:rPr>
          <w:rFonts w:cstheme="minorHAnsi"/>
          <w:sz w:val="24"/>
          <w:szCs w:val="24"/>
          <w:lang w:val="en-US"/>
        </w:rPr>
        <w:t xml:space="preserve"> review of the</w:t>
      </w:r>
      <w:r w:rsidRPr="00F87C1D">
        <w:rPr>
          <w:rFonts w:cstheme="minorHAnsi"/>
          <w:sz w:val="24"/>
          <w:szCs w:val="24"/>
          <w:lang w:val="en-US"/>
        </w:rPr>
        <w:t xml:space="preserve"> greenfield agreement provisions of the </w:t>
      </w:r>
      <w:r w:rsidRPr="00F87C1D">
        <w:rPr>
          <w:rFonts w:cstheme="minorHAnsi"/>
          <w:i/>
          <w:sz w:val="24"/>
          <w:szCs w:val="24"/>
          <w:lang w:val="en-US"/>
        </w:rPr>
        <w:t xml:space="preserve">Fair Work Act </w:t>
      </w:r>
      <w:r w:rsidRPr="00F87C1D">
        <w:rPr>
          <w:rFonts w:cstheme="minorHAnsi"/>
          <w:sz w:val="24"/>
          <w:szCs w:val="24"/>
          <w:lang w:val="en-US"/>
        </w:rPr>
        <w:t xml:space="preserve">2009 following the amendments made to these provisions in the </w:t>
      </w:r>
      <w:r w:rsidRPr="00F87C1D">
        <w:rPr>
          <w:rFonts w:cstheme="minorHAnsi"/>
          <w:i/>
          <w:sz w:val="24"/>
          <w:szCs w:val="24"/>
          <w:lang w:val="en-US"/>
        </w:rPr>
        <w:t xml:space="preserve">Fair Work Amendment Act </w:t>
      </w:r>
      <w:r w:rsidRPr="00F87C1D">
        <w:rPr>
          <w:rFonts w:cstheme="minorHAnsi"/>
          <w:sz w:val="24"/>
          <w:szCs w:val="24"/>
          <w:lang w:val="en-US"/>
        </w:rPr>
        <w:t>2015</w:t>
      </w:r>
      <w:r w:rsidRPr="00F87C1D">
        <w:rPr>
          <w:rStyle w:val="FootnoteReference"/>
          <w:rFonts w:cstheme="minorHAnsi"/>
          <w:sz w:val="24"/>
          <w:szCs w:val="24"/>
          <w:lang w:val="en-US"/>
        </w:rPr>
        <w:footnoteReference w:id="1"/>
      </w:r>
      <w:r w:rsidRPr="00F87C1D">
        <w:rPr>
          <w:rFonts w:cstheme="minorHAnsi"/>
          <w:sz w:val="24"/>
          <w:szCs w:val="24"/>
          <w:lang w:val="en-US"/>
        </w:rPr>
        <w:t xml:space="preserve">. </w:t>
      </w:r>
    </w:p>
    <w:p w14:paraId="650225DF" w14:textId="77777777" w:rsidR="00F87C1D" w:rsidRDefault="00F87C1D" w:rsidP="00F87C1D">
      <w:pPr>
        <w:pStyle w:val="ListParagraph"/>
        <w:spacing w:after="0"/>
        <w:ind w:left="360"/>
        <w:rPr>
          <w:rFonts w:cstheme="minorHAnsi"/>
          <w:sz w:val="24"/>
          <w:szCs w:val="24"/>
          <w:lang w:val="en-US"/>
        </w:rPr>
      </w:pPr>
    </w:p>
    <w:p w14:paraId="1E73B614" w14:textId="77777777" w:rsidR="00E6297F" w:rsidRDefault="003B5FC4" w:rsidP="00E6297F">
      <w:pPr>
        <w:pStyle w:val="ListParagraph"/>
        <w:numPr>
          <w:ilvl w:val="0"/>
          <w:numId w:val="1"/>
        </w:numPr>
        <w:spacing w:after="0"/>
        <w:rPr>
          <w:rFonts w:cstheme="minorHAnsi"/>
          <w:sz w:val="24"/>
          <w:szCs w:val="24"/>
          <w:lang w:val="en-US"/>
        </w:rPr>
      </w:pPr>
      <w:r w:rsidRPr="00F87C1D">
        <w:rPr>
          <w:rFonts w:cstheme="minorHAnsi"/>
          <w:sz w:val="24"/>
          <w:szCs w:val="24"/>
          <w:lang w:val="en-US"/>
        </w:rPr>
        <w:t xml:space="preserve">The CFMEU is the principal union in the building and construction industry with tens of thousands of members across the country. </w:t>
      </w:r>
      <w:r w:rsidR="00536BD5" w:rsidRPr="00F87C1D">
        <w:rPr>
          <w:rFonts w:cstheme="minorHAnsi"/>
          <w:sz w:val="24"/>
          <w:szCs w:val="24"/>
          <w:lang w:val="en-US"/>
        </w:rPr>
        <w:t>W</w:t>
      </w:r>
      <w:r w:rsidR="0060047C" w:rsidRPr="00F87C1D">
        <w:rPr>
          <w:rFonts w:cstheme="minorHAnsi"/>
          <w:sz w:val="24"/>
          <w:szCs w:val="24"/>
          <w:lang w:val="en-US"/>
        </w:rPr>
        <w:t xml:space="preserve">e proudly </w:t>
      </w:r>
      <w:r w:rsidRPr="00F87C1D">
        <w:rPr>
          <w:rFonts w:cstheme="minorHAnsi"/>
          <w:sz w:val="24"/>
          <w:szCs w:val="24"/>
          <w:lang w:val="en-US"/>
        </w:rPr>
        <w:t xml:space="preserve">provide a voice for building </w:t>
      </w:r>
      <w:r w:rsidR="00536BD5" w:rsidRPr="00F87C1D">
        <w:rPr>
          <w:rFonts w:cstheme="minorHAnsi"/>
          <w:sz w:val="24"/>
          <w:szCs w:val="24"/>
          <w:lang w:val="en-US"/>
        </w:rPr>
        <w:t>and construction workers, and workers</w:t>
      </w:r>
      <w:r w:rsidRPr="00F87C1D">
        <w:rPr>
          <w:rFonts w:cstheme="minorHAnsi"/>
          <w:sz w:val="24"/>
          <w:szCs w:val="24"/>
          <w:lang w:val="en-US"/>
        </w:rPr>
        <w:t xml:space="preserve"> </w:t>
      </w:r>
      <w:r w:rsidR="00536BD5" w:rsidRPr="00F87C1D">
        <w:rPr>
          <w:rFonts w:cstheme="minorHAnsi"/>
          <w:sz w:val="24"/>
          <w:szCs w:val="24"/>
          <w:lang w:val="en-US"/>
        </w:rPr>
        <w:t xml:space="preserve">generally, in </w:t>
      </w:r>
      <w:r w:rsidRPr="00F87C1D">
        <w:rPr>
          <w:rFonts w:cstheme="minorHAnsi"/>
          <w:sz w:val="24"/>
          <w:szCs w:val="24"/>
          <w:lang w:val="en-US"/>
        </w:rPr>
        <w:t>seek</w:t>
      </w:r>
      <w:r w:rsidR="00536BD5" w:rsidRPr="00F87C1D">
        <w:rPr>
          <w:rFonts w:cstheme="minorHAnsi"/>
          <w:sz w:val="24"/>
          <w:szCs w:val="24"/>
          <w:lang w:val="en-US"/>
        </w:rPr>
        <w:t>ing, with the utmost</w:t>
      </w:r>
      <w:r w:rsidR="00536BD5" w:rsidRPr="00D16B09">
        <w:rPr>
          <w:rFonts w:cstheme="minorHAnsi"/>
          <w:sz w:val="24"/>
          <w:szCs w:val="24"/>
        </w:rPr>
        <w:t xml:space="preserve"> vigour</w:t>
      </w:r>
      <w:r w:rsidR="00536BD5" w:rsidRPr="00F87C1D">
        <w:rPr>
          <w:rFonts w:cstheme="minorHAnsi"/>
          <w:sz w:val="24"/>
          <w:szCs w:val="24"/>
          <w:lang w:val="en-US"/>
        </w:rPr>
        <w:t>,</w:t>
      </w:r>
      <w:r w:rsidRPr="00F87C1D">
        <w:rPr>
          <w:rFonts w:cstheme="minorHAnsi"/>
          <w:sz w:val="24"/>
          <w:szCs w:val="24"/>
          <w:lang w:val="en-US"/>
        </w:rPr>
        <w:t xml:space="preserve"> to </w:t>
      </w:r>
      <w:r w:rsidR="00536BD5" w:rsidRPr="00F87C1D">
        <w:rPr>
          <w:rFonts w:cstheme="minorHAnsi"/>
          <w:sz w:val="24"/>
          <w:szCs w:val="24"/>
          <w:lang w:val="en-US"/>
        </w:rPr>
        <w:t xml:space="preserve">build </w:t>
      </w:r>
      <w:r w:rsidRPr="00F87C1D">
        <w:rPr>
          <w:rFonts w:cstheme="minorHAnsi"/>
          <w:sz w:val="24"/>
          <w:szCs w:val="24"/>
          <w:lang w:val="en-US"/>
        </w:rPr>
        <w:t xml:space="preserve">workplaces </w:t>
      </w:r>
      <w:r w:rsidR="00536BD5" w:rsidRPr="00F87C1D">
        <w:rPr>
          <w:rFonts w:cstheme="minorHAnsi"/>
          <w:sz w:val="24"/>
          <w:szCs w:val="24"/>
          <w:lang w:val="en-US"/>
        </w:rPr>
        <w:t xml:space="preserve">that provide well paid, </w:t>
      </w:r>
      <w:r w:rsidR="00475448">
        <w:rPr>
          <w:rFonts w:cstheme="minorHAnsi"/>
          <w:sz w:val="24"/>
          <w:szCs w:val="24"/>
          <w:lang w:val="en-US"/>
        </w:rPr>
        <w:t xml:space="preserve">fair, </w:t>
      </w:r>
      <w:r w:rsidR="00536BD5" w:rsidRPr="00F87C1D">
        <w:rPr>
          <w:rFonts w:cstheme="minorHAnsi"/>
          <w:sz w:val="24"/>
          <w:szCs w:val="24"/>
          <w:lang w:val="en-US"/>
        </w:rPr>
        <w:t xml:space="preserve">secure and safe work. </w:t>
      </w:r>
    </w:p>
    <w:p w14:paraId="581CDD7A" w14:textId="77777777" w:rsidR="00F87C1D" w:rsidRPr="00F87C1D" w:rsidRDefault="00F87C1D" w:rsidP="00F87C1D">
      <w:pPr>
        <w:pStyle w:val="ListParagraph"/>
        <w:rPr>
          <w:rFonts w:cstheme="minorHAnsi"/>
          <w:sz w:val="24"/>
          <w:szCs w:val="24"/>
          <w:lang w:val="en-US"/>
        </w:rPr>
      </w:pPr>
    </w:p>
    <w:p w14:paraId="666984B5" w14:textId="77777777" w:rsidR="00536BD5" w:rsidRDefault="00E507C5" w:rsidP="00F87C1D">
      <w:pPr>
        <w:pStyle w:val="ListParagraph"/>
        <w:numPr>
          <w:ilvl w:val="0"/>
          <w:numId w:val="1"/>
        </w:numPr>
        <w:spacing w:after="0"/>
        <w:rPr>
          <w:rFonts w:cstheme="minorHAnsi"/>
          <w:sz w:val="24"/>
          <w:szCs w:val="24"/>
          <w:lang w:val="en-US"/>
        </w:rPr>
      </w:pPr>
      <w:r w:rsidRPr="00F87C1D">
        <w:rPr>
          <w:rFonts w:cstheme="minorHAnsi"/>
          <w:sz w:val="24"/>
          <w:szCs w:val="24"/>
          <w:lang w:val="en-US"/>
        </w:rPr>
        <w:t xml:space="preserve">Greenfield agreements are highly prevalent, for obvious reasons, in the building and construction industry. In reviewing the number of </w:t>
      </w:r>
      <w:r w:rsidR="00475448">
        <w:rPr>
          <w:rFonts w:cstheme="minorHAnsi"/>
          <w:sz w:val="24"/>
          <w:szCs w:val="24"/>
          <w:lang w:val="en-US"/>
        </w:rPr>
        <w:t>greenfield agreements registered</w:t>
      </w:r>
      <w:r w:rsidR="007419B4" w:rsidRPr="00F87C1D">
        <w:rPr>
          <w:rFonts w:cstheme="minorHAnsi"/>
          <w:sz w:val="24"/>
          <w:szCs w:val="24"/>
          <w:lang w:val="en-US"/>
        </w:rPr>
        <w:t xml:space="preserve"> </w:t>
      </w:r>
      <w:r w:rsidR="007419B4" w:rsidRPr="00F87C1D">
        <w:rPr>
          <w:rStyle w:val="FootnoteReference"/>
          <w:rFonts w:cstheme="minorHAnsi"/>
          <w:sz w:val="24"/>
          <w:szCs w:val="24"/>
          <w:lang w:val="en-US"/>
        </w:rPr>
        <w:footnoteReference w:id="2"/>
      </w:r>
      <w:r w:rsidR="007419B4" w:rsidRPr="00F87C1D">
        <w:rPr>
          <w:rFonts w:cstheme="minorHAnsi"/>
          <w:sz w:val="24"/>
          <w:szCs w:val="24"/>
          <w:lang w:val="en-US"/>
        </w:rPr>
        <w:t xml:space="preserve">since the enactment of the </w:t>
      </w:r>
      <w:r w:rsidR="007419B4" w:rsidRPr="00F87C1D">
        <w:rPr>
          <w:rFonts w:cstheme="minorHAnsi"/>
          <w:i/>
          <w:sz w:val="24"/>
          <w:szCs w:val="24"/>
          <w:lang w:val="en-US"/>
        </w:rPr>
        <w:t xml:space="preserve">Fair Work Amendment Act </w:t>
      </w:r>
      <w:r w:rsidR="00475448">
        <w:rPr>
          <w:rFonts w:cstheme="minorHAnsi"/>
          <w:sz w:val="24"/>
          <w:szCs w:val="24"/>
          <w:lang w:val="en-US"/>
        </w:rPr>
        <w:t>2015, in</w:t>
      </w:r>
      <w:r w:rsidR="007419B4" w:rsidRPr="00F87C1D">
        <w:rPr>
          <w:rFonts w:cstheme="minorHAnsi"/>
          <w:sz w:val="24"/>
          <w:szCs w:val="24"/>
          <w:lang w:val="en-US"/>
        </w:rPr>
        <w:t xml:space="preserve"> November 2015</w:t>
      </w:r>
      <w:r w:rsidR="00475448">
        <w:rPr>
          <w:rFonts w:cstheme="minorHAnsi"/>
          <w:sz w:val="24"/>
          <w:szCs w:val="24"/>
          <w:lang w:val="en-US"/>
        </w:rPr>
        <w:t>,</w:t>
      </w:r>
      <w:r w:rsidR="007419B4" w:rsidRPr="00F87C1D">
        <w:rPr>
          <w:rFonts w:cstheme="minorHAnsi"/>
          <w:sz w:val="24"/>
          <w:szCs w:val="24"/>
          <w:lang w:val="en-US"/>
        </w:rPr>
        <w:t xml:space="preserve"> around</w:t>
      </w:r>
      <w:r w:rsidR="007419B4" w:rsidRPr="00EF696C">
        <w:rPr>
          <w:rFonts w:cstheme="minorHAnsi"/>
          <w:sz w:val="24"/>
          <w:szCs w:val="24"/>
          <w:lang w:val="en-US"/>
        </w:rPr>
        <w:t xml:space="preserve"> 60% have been negotiated with the CFMEU.</w:t>
      </w:r>
      <w:r w:rsidR="007419B4" w:rsidRPr="00F87C1D">
        <w:rPr>
          <w:rFonts w:cstheme="minorHAnsi"/>
          <w:sz w:val="24"/>
          <w:szCs w:val="24"/>
          <w:lang w:val="en-US"/>
        </w:rPr>
        <w:t xml:space="preserve"> We are thus </w:t>
      </w:r>
      <w:r w:rsidR="00C35A97">
        <w:rPr>
          <w:rFonts w:cstheme="minorHAnsi"/>
          <w:sz w:val="24"/>
          <w:szCs w:val="24"/>
          <w:lang w:val="en-US"/>
        </w:rPr>
        <w:t>no</w:t>
      </w:r>
      <w:r w:rsidR="00475448">
        <w:rPr>
          <w:rFonts w:cstheme="minorHAnsi"/>
          <w:sz w:val="24"/>
          <w:szCs w:val="24"/>
          <w:lang w:val="en-US"/>
        </w:rPr>
        <w:t>t</w:t>
      </w:r>
      <w:r w:rsidR="00C35A97">
        <w:rPr>
          <w:rFonts w:cstheme="minorHAnsi"/>
          <w:sz w:val="24"/>
          <w:szCs w:val="24"/>
          <w:lang w:val="en-US"/>
        </w:rPr>
        <w:t xml:space="preserve"> just an important voice but the</w:t>
      </w:r>
      <w:r w:rsidR="007419B4" w:rsidRPr="00F87C1D">
        <w:rPr>
          <w:rFonts w:cstheme="minorHAnsi"/>
          <w:sz w:val="24"/>
          <w:szCs w:val="24"/>
          <w:lang w:val="en-US"/>
        </w:rPr>
        <w:t xml:space="preserve"> critical voice to be heard in regard to the interests of workers in </w:t>
      </w:r>
      <w:r w:rsidR="00475448">
        <w:rPr>
          <w:rFonts w:cstheme="minorHAnsi"/>
          <w:sz w:val="24"/>
          <w:szCs w:val="24"/>
          <w:lang w:val="en-US"/>
        </w:rPr>
        <w:t>the greenfield agreement making process.</w:t>
      </w:r>
    </w:p>
    <w:p w14:paraId="79150977" w14:textId="77777777" w:rsidR="00F87C1D" w:rsidRPr="00F87C1D" w:rsidRDefault="00F87C1D" w:rsidP="00F87C1D">
      <w:pPr>
        <w:pStyle w:val="ListParagraph"/>
        <w:spacing w:after="0" w:line="240" w:lineRule="auto"/>
        <w:rPr>
          <w:rFonts w:cstheme="minorHAnsi"/>
          <w:b/>
          <w:sz w:val="24"/>
          <w:szCs w:val="24"/>
          <w:lang w:val="en-US"/>
        </w:rPr>
      </w:pPr>
    </w:p>
    <w:p w14:paraId="556630B1" w14:textId="4CC85679" w:rsidR="00F87C1D" w:rsidRPr="00134FB8" w:rsidRDefault="00F87C1D" w:rsidP="00134FB8">
      <w:pPr>
        <w:pStyle w:val="Heading1"/>
      </w:pPr>
      <w:r w:rsidRPr="00F87C1D">
        <w:t>Greenfield Agree</w:t>
      </w:r>
      <w:bookmarkStart w:id="0" w:name="_GoBack"/>
      <w:bookmarkEnd w:id="0"/>
      <w:r w:rsidRPr="00F87C1D">
        <w:t>ments</w:t>
      </w:r>
    </w:p>
    <w:p w14:paraId="4C66EABD" w14:textId="77777777" w:rsidR="00F87C1D" w:rsidRPr="00F87C1D" w:rsidRDefault="00F87C1D" w:rsidP="00F87C1D">
      <w:pPr>
        <w:pStyle w:val="ListParagraph"/>
        <w:numPr>
          <w:ilvl w:val="0"/>
          <w:numId w:val="1"/>
        </w:numPr>
        <w:spacing w:after="0" w:line="240" w:lineRule="auto"/>
        <w:rPr>
          <w:rFonts w:cstheme="minorHAnsi"/>
          <w:sz w:val="24"/>
          <w:szCs w:val="24"/>
          <w:lang w:val="en-US"/>
        </w:rPr>
      </w:pPr>
      <w:r>
        <w:rPr>
          <w:rFonts w:cstheme="minorHAnsi"/>
          <w:sz w:val="24"/>
          <w:szCs w:val="24"/>
        </w:rPr>
        <w:t>It is trite that greenfield</w:t>
      </w:r>
      <w:r w:rsidRPr="00F87C1D">
        <w:rPr>
          <w:rFonts w:cstheme="minorHAnsi"/>
          <w:sz w:val="24"/>
          <w:szCs w:val="24"/>
        </w:rPr>
        <w:t xml:space="preserve"> agreements are exceptional in the collective bargaining regime established by the </w:t>
      </w:r>
      <w:r w:rsidR="00136D31" w:rsidRPr="00136D31">
        <w:rPr>
          <w:rFonts w:cstheme="minorHAnsi"/>
          <w:i/>
          <w:sz w:val="24"/>
          <w:szCs w:val="24"/>
        </w:rPr>
        <w:t xml:space="preserve">Fair Work </w:t>
      </w:r>
      <w:r w:rsidRPr="00136D31">
        <w:rPr>
          <w:rFonts w:cstheme="minorHAnsi"/>
          <w:i/>
          <w:sz w:val="24"/>
          <w:szCs w:val="24"/>
        </w:rPr>
        <w:t>Act</w:t>
      </w:r>
      <w:r w:rsidRPr="00F87C1D">
        <w:rPr>
          <w:rFonts w:cstheme="minorHAnsi"/>
          <w:sz w:val="24"/>
          <w:szCs w:val="24"/>
        </w:rPr>
        <w:t>. That regime places primacy on bargaining between employees and employers. A greenfields agreement reached between a union and employer is anomalous in this context. It is an abnormality the Act imposes strictures around. These strictures seek to ensure that the circumstances in which a greenfields agr</w:t>
      </w:r>
      <w:r w:rsidR="00475448">
        <w:rPr>
          <w:rFonts w:cstheme="minorHAnsi"/>
          <w:sz w:val="24"/>
          <w:szCs w:val="24"/>
        </w:rPr>
        <w:t xml:space="preserve">eement can be made are </w:t>
      </w:r>
      <w:r w:rsidRPr="00F87C1D">
        <w:rPr>
          <w:rFonts w:cstheme="minorHAnsi"/>
          <w:sz w:val="24"/>
          <w:szCs w:val="24"/>
        </w:rPr>
        <w:t xml:space="preserve">circumscribed. This flows from the fact that approval of a greenfields agreement means: </w:t>
      </w:r>
    </w:p>
    <w:p w14:paraId="234838D7" w14:textId="77777777" w:rsidR="00F87C1D" w:rsidRPr="00F87C1D" w:rsidRDefault="00F87C1D" w:rsidP="00F87C1D">
      <w:pPr>
        <w:pStyle w:val="ListParagraph"/>
        <w:spacing w:after="0" w:line="240" w:lineRule="auto"/>
        <w:ind w:left="567"/>
        <w:rPr>
          <w:rFonts w:cstheme="minorHAnsi"/>
          <w:sz w:val="24"/>
          <w:szCs w:val="24"/>
        </w:rPr>
      </w:pPr>
    </w:p>
    <w:p w14:paraId="24B96454" w14:textId="024D414D" w:rsidR="00F87C1D" w:rsidRDefault="00F87C1D" w:rsidP="00F87C1D">
      <w:pPr>
        <w:pStyle w:val="ListParagraph"/>
        <w:numPr>
          <w:ilvl w:val="1"/>
          <w:numId w:val="1"/>
        </w:numPr>
        <w:spacing w:after="0" w:line="240" w:lineRule="auto"/>
        <w:rPr>
          <w:rFonts w:cstheme="minorHAnsi"/>
          <w:sz w:val="24"/>
          <w:szCs w:val="24"/>
        </w:rPr>
      </w:pPr>
      <w:r w:rsidRPr="00F87C1D">
        <w:rPr>
          <w:rFonts w:cstheme="minorHAnsi"/>
          <w:sz w:val="24"/>
          <w:szCs w:val="24"/>
        </w:rPr>
        <w:t xml:space="preserve">employees </w:t>
      </w:r>
      <w:r w:rsidR="00271B6D">
        <w:rPr>
          <w:rFonts w:cstheme="minorHAnsi"/>
          <w:sz w:val="24"/>
          <w:szCs w:val="24"/>
        </w:rPr>
        <w:t xml:space="preserve">do not </w:t>
      </w:r>
      <w:r w:rsidRPr="00F87C1D">
        <w:rPr>
          <w:rFonts w:cstheme="minorHAnsi"/>
          <w:sz w:val="24"/>
          <w:szCs w:val="24"/>
        </w:rPr>
        <w:t>participate in bargaining to determine their terms and conditions of employment;</w:t>
      </w:r>
    </w:p>
    <w:p w14:paraId="774AA448" w14:textId="77777777" w:rsidR="00F87C1D" w:rsidRDefault="00F87C1D" w:rsidP="00F87C1D">
      <w:pPr>
        <w:pStyle w:val="ListParagraph"/>
        <w:spacing w:after="0" w:line="240" w:lineRule="auto"/>
        <w:ind w:left="1080"/>
        <w:rPr>
          <w:rFonts w:cstheme="minorHAnsi"/>
          <w:sz w:val="24"/>
          <w:szCs w:val="24"/>
        </w:rPr>
      </w:pPr>
    </w:p>
    <w:p w14:paraId="058D6016" w14:textId="77777777" w:rsidR="00F87C1D" w:rsidRDefault="00F87C1D" w:rsidP="00F87C1D">
      <w:pPr>
        <w:pStyle w:val="ListParagraph"/>
        <w:numPr>
          <w:ilvl w:val="1"/>
          <w:numId w:val="1"/>
        </w:numPr>
        <w:spacing w:after="0" w:line="240" w:lineRule="auto"/>
        <w:rPr>
          <w:rFonts w:cstheme="minorHAnsi"/>
          <w:sz w:val="24"/>
          <w:szCs w:val="24"/>
        </w:rPr>
      </w:pPr>
      <w:r w:rsidRPr="00F87C1D">
        <w:rPr>
          <w:rFonts w:cstheme="minorHAnsi"/>
          <w:sz w:val="24"/>
          <w:szCs w:val="24"/>
        </w:rPr>
        <w:t>employees are locked out of bargaining for the nominal term of the agreement; and</w:t>
      </w:r>
    </w:p>
    <w:p w14:paraId="1BABDE46" w14:textId="77777777" w:rsidR="00F87C1D" w:rsidRPr="00F87C1D" w:rsidRDefault="00F87C1D" w:rsidP="00F87C1D">
      <w:pPr>
        <w:spacing w:after="0" w:line="240" w:lineRule="auto"/>
        <w:rPr>
          <w:rFonts w:cstheme="minorHAnsi"/>
          <w:sz w:val="24"/>
          <w:szCs w:val="24"/>
        </w:rPr>
      </w:pPr>
    </w:p>
    <w:p w14:paraId="2B7AD256" w14:textId="68CEDFD7" w:rsidR="00F87C1D" w:rsidRPr="00F87C1D" w:rsidRDefault="00F87C1D" w:rsidP="00F87C1D">
      <w:pPr>
        <w:pStyle w:val="ListParagraph"/>
        <w:numPr>
          <w:ilvl w:val="1"/>
          <w:numId w:val="1"/>
        </w:numPr>
        <w:spacing w:after="0" w:line="240" w:lineRule="auto"/>
        <w:rPr>
          <w:rFonts w:cstheme="minorHAnsi"/>
          <w:sz w:val="24"/>
          <w:szCs w:val="24"/>
        </w:rPr>
      </w:pPr>
      <w:r w:rsidRPr="00F87C1D">
        <w:rPr>
          <w:rFonts w:cstheme="minorHAnsi"/>
          <w:sz w:val="24"/>
          <w:szCs w:val="24"/>
        </w:rPr>
        <w:t xml:space="preserve">employees have their terms and conditions of employment </w:t>
      </w:r>
      <w:r w:rsidR="00271B6D">
        <w:rPr>
          <w:rFonts w:cstheme="minorHAnsi"/>
          <w:sz w:val="24"/>
          <w:szCs w:val="24"/>
        </w:rPr>
        <w:t xml:space="preserve">determined </w:t>
      </w:r>
      <w:r w:rsidRPr="00F87C1D">
        <w:rPr>
          <w:rFonts w:cstheme="minorHAnsi"/>
          <w:sz w:val="24"/>
          <w:szCs w:val="24"/>
        </w:rPr>
        <w:t>by a union and employer</w:t>
      </w:r>
      <w:r w:rsidR="00136D31">
        <w:rPr>
          <w:rFonts w:cstheme="minorHAnsi"/>
          <w:sz w:val="24"/>
          <w:szCs w:val="24"/>
        </w:rPr>
        <w:t xml:space="preserve"> (and currently possibly just an employer, s.182 (4))</w:t>
      </w:r>
      <w:r w:rsidRPr="00F87C1D">
        <w:rPr>
          <w:rFonts w:cstheme="minorHAnsi"/>
          <w:sz w:val="24"/>
          <w:szCs w:val="24"/>
        </w:rPr>
        <w:t>.</w:t>
      </w:r>
    </w:p>
    <w:p w14:paraId="21E3FBD8" w14:textId="77777777" w:rsidR="00F87C1D" w:rsidRPr="00F87C1D" w:rsidRDefault="00F87C1D" w:rsidP="00F87C1D">
      <w:pPr>
        <w:pStyle w:val="ListParagraph"/>
        <w:spacing w:after="0" w:line="240" w:lineRule="auto"/>
        <w:ind w:left="567"/>
        <w:rPr>
          <w:rFonts w:cstheme="minorHAnsi"/>
          <w:sz w:val="24"/>
          <w:szCs w:val="24"/>
        </w:rPr>
      </w:pPr>
    </w:p>
    <w:p w14:paraId="424155B3" w14:textId="77777777" w:rsidR="00F87C1D" w:rsidRDefault="00F87C1D" w:rsidP="00F87C1D">
      <w:pPr>
        <w:pStyle w:val="ListParagraph"/>
        <w:numPr>
          <w:ilvl w:val="0"/>
          <w:numId w:val="2"/>
        </w:numPr>
        <w:spacing w:after="0" w:line="240" w:lineRule="auto"/>
        <w:rPr>
          <w:rFonts w:cstheme="minorHAnsi"/>
          <w:sz w:val="24"/>
          <w:szCs w:val="24"/>
        </w:rPr>
      </w:pPr>
      <w:r>
        <w:rPr>
          <w:rFonts w:cstheme="minorHAnsi"/>
          <w:sz w:val="24"/>
          <w:szCs w:val="24"/>
        </w:rPr>
        <w:t>The bargaining and</w:t>
      </w:r>
      <w:r w:rsidRPr="00F87C1D">
        <w:rPr>
          <w:rFonts w:cstheme="minorHAnsi"/>
          <w:sz w:val="24"/>
          <w:szCs w:val="24"/>
        </w:rPr>
        <w:t xml:space="preserve"> approval </w:t>
      </w:r>
      <w:r>
        <w:rPr>
          <w:rFonts w:cstheme="minorHAnsi"/>
          <w:sz w:val="24"/>
          <w:szCs w:val="24"/>
        </w:rPr>
        <w:t xml:space="preserve">regime for </w:t>
      </w:r>
      <w:r w:rsidRPr="00F87C1D">
        <w:rPr>
          <w:rFonts w:cstheme="minorHAnsi"/>
          <w:sz w:val="24"/>
          <w:szCs w:val="24"/>
        </w:rPr>
        <w:t>greenfield</w:t>
      </w:r>
      <w:r>
        <w:rPr>
          <w:rFonts w:cstheme="minorHAnsi"/>
          <w:sz w:val="24"/>
          <w:szCs w:val="24"/>
        </w:rPr>
        <w:t xml:space="preserve"> </w:t>
      </w:r>
      <w:r w:rsidRPr="00F87C1D">
        <w:rPr>
          <w:rFonts w:cstheme="minorHAnsi"/>
          <w:sz w:val="24"/>
          <w:szCs w:val="24"/>
        </w:rPr>
        <w:t>agreement</w:t>
      </w:r>
      <w:r>
        <w:rPr>
          <w:rFonts w:cstheme="minorHAnsi"/>
          <w:sz w:val="24"/>
          <w:szCs w:val="24"/>
        </w:rPr>
        <w:t>s</w:t>
      </w:r>
      <w:r w:rsidRPr="00F87C1D">
        <w:rPr>
          <w:rFonts w:cstheme="minorHAnsi"/>
          <w:sz w:val="24"/>
          <w:szCs w:val="24"/>
        </w:rPr>
        <w:t xml:space="preserve"> must therefore be approached w</w:t>
      </w:r>
      <w:r w:rsidR="00136D31">
        <w:rPr>
          <w:rFonts w:cstheme="minorHAnsi"/>
          <w:sz w:val="24"/>
          <w:szCs w:val="24"/>
        </w:rPr>
        <w:t>ith particular care and caution</w:t>
      </w:r>
      <w:r w:rsidRPr="00F87C1D">
        <w:rPr>
          <w:rFonts w:cstheme="minorHAnsi"/>
          <w:sz w:val="24"/>
          <w:szCs w:val="24"/>
        </w:rPr>
        <w:t xml:space="preserve"> and ought</w:t>
      </w:r>
      <w:r w:rsidR="00475448">
        <w:rPr>
          <w:rFonts w:cstheme="minorHAnsi"/>
          <w:sz w:val="24"/>
          <w:szCs w:val="24"/>
        </w:rPr>
        <w:t xml:space="preserve"> to</w:t>
      </w:r>
      <w:r w:rsidRPr="00F87C1D">
        <w:rPr>
          <w:rFonts w:cstheme="minorHAnsi"/>
          <w:sz w:val="24"/>
          <w:szCs w:val="24"/>
        </w:rPr>
        <w:t xml:space="preserve"> be subject to rigorous </w:t>
      </w:r>
      <w:r>
        <w:rPr>
          <w:rFonts w:cstheme="minorHAnsi"/>
          <w:sz w:val="24"/>
          <w:szCs w:val="24"/>
        </w:rPr>
        <w:t xml:space="preserve">scrutiny by the </w:t>
      </w:r>
      <w:r w:rsidR="00475448">
        <w:rPr>
          <w:rFonts w:cstheme="minorHAnsi"/>
          <w:sz w:val="24"/>
          <w:szCs w:val="24"/>
        </w:rPr>
        <w:t xml:space="preserve">Fair Work </w:t>
      </w:r>
      <w:r>
        <w:rPr>
          <w:rFonts w:cstheme="minorHAnsi"/>
          <w:sz w:val="24"/>
          <w:szCs w:val="24"/>
        </w:rPr>
        <w:t>Commission.</w:t>
      </w:r>
    </w:p>
    <w:p w14:paraId="5F8191C3" w14:textId="77777777" w:rsidR="00F87C1D" w:rsidRDefault="00F87C1D" w:rsidP="00F87C1D">
      <w:pPr>
        <w:pStyle w:val="ListParagraph"/>
        <w:spacing w:after="0" w:line="240" w:lineRule="auto"/>
        <w:ind w:left="360"/>
        <w:rPr>
          <w:rFonts w:cstheme="minorHAnsi"/>
          <w:sz w:val="24"/>
          <w:szCs w:val="24"/>
        </w:rPr>
      </w:pPr>
    </w:p>
    <w:p w14:paraId="08C1C899" w14:textId="58AE28DF" w:rsidR="00F87C1D" w:rsidRDefault="00E76A66" w:rsidP="00F87C1D">
      <w:pPr>
        <w:pStyle w:val="ListParagraph"/>
        <w:numPr>
          <w:ilvl w:val="0"/>
          <w:numId w:val="2"/>
        </w:numPr>
        <w:spacing w:after="0" w:line="240" w:lineRule="auto"/>
        <w:rPr>
          <w:rFonts w:cstheme="minorHAnsi"/>
          <w:sz w:val="24"/>
          <w:szCs w:val="24"/>
        </w:rPr>
      </w:pPr>
      <w:r>
        <w:rPr>
          <w:rFonts w:cstheme="minorHAnsi"/>
          <w:sz w:val="24"/>
          <w:szCs w:val="24"/>
        </w:rPr>
        <w:t>The consistent m</w:t>
      </w:r>
      <w:r w:rsidR="00F87C1D">
        <w:rPr>
          <w:rFonts w:cstheme="minorHAnsi"/>
          <w:sz w:val="24"/>
          <w:szCs w:val="24"/>
        </w:rPr>
        <w:t>yopic and neo-liberal ideological claims for employer unilateralism</w:t>
      </w:r>
      <w:r w:rsidR="003A3032">
        <w:rPr>
          <w:rFonts w:cstheme="minorHAnsi"/>
          <w:sz w:val="24"/>
          <w:szCs w:val="24"/>
        </w:rPr>
        <w:t xml:space="preserve"> for greenfield agreements</w:t>
      </w:r>
      <w:r w:rsidR="00F87C1D">
        <w:rPr>
          <w:rFonts w:cstheme="minorHAnsi"/>
          <w:sz w:val="24"/>
          <w:szCs w:val="24"/>
        </w:rPr>
        <w:t xml:space="preserve"> must be rejected</w:t>
      </w:r>
      <w:r>
        <w:rPr>
          <w:rStyle w:val="FootnoteReference"/>
          <w:rFonts w:cstheme="minorHAnsi"/>
          <w:sz w:val="24"/>
          <w:szCs w:val="24"/>
        </w:rPr>
        <w:footnoteReference w:id="3"/>
      </w:r>
      <w:r w:rsidR="00F87C1D">
        <w:rPr>
          <w:rFonts w:cstheme="minorHAnsi"/>
          <w:sz w:val="24"/>
          <w:szCs w:val="24"/>
        </w:rPr>
        <w:t xml:space="preserve">. This </w:t>
      </w:r>
      <w:r w:rsidR="003A3032">
        <w:rPr>
          <w:rFonts w:cstheme="minorHAnsi"/>
          <w:sz w:val="24"/>
          <w:szCs w:val="24"/>
        </w:rPr>
        <w:t xml:space="preserve">philosophical approach </w:t>
      </w:r>
      <w:r w:rsidR="00F87C1D">
        <w:rPr>
          <w:rFonts w:cstheme="minorHAnsi"/>
          <w:sz w:val="24"/>
          <w:szCs w:val="24"/>
        </w:rPr>
        <w:t>was rejected by the pe</w:t>
      </w:r>
      <w:r w:rsidR="003A3032">
        <w:rPr>
          <w:rFonts w:cstheme="minorHAnsi"/>
          <w:sz w:val="24"/>
          <w:szCs w:val="24"/>
        </w:rPr>
        <w:t>ople of Australia in the 2007 ‘</w:t>
      </w:r>
      <w:r w:rsidR="00271B6D">
        <w:rPr>
          <w:rFonts w:cstheme="minorHAnsi"/>
          <w:sz w:val="24"/>
          <w:szCs w:val="24"/>
        </w:rPr>
        <w:t>W</w:t>
      </w:r>
      <w:r w:rsidR="00F87C1D">
        <w:rPr>
          <w:rFonts w:cstheme="minorHAnsi"/>
          <w:sz w:val="24"/>
          <w:szCs w:val="24"/>
        </w:rPr>
        <w:t>orkchoices’ ele</w:t>
      </w:r>
      <w:r w:rsidR="00C35A97">
        <w:rPr>
          <w:rFonts w:cstheme="minorHAnsi"/>
          <w:sz w:val="24"/>
          <w:szCs w:val="24"/>
        </w:rPr>
        <w:t xml:space="preserve">ction. The researched </w:t>
      </w:r>
      <w:r w:rsidR="00F87C1D">
        <w:rPr>
          <w:rFonts w:cstheme="minorHAnsi"/>
          <w:sz w:val="24"/>
          <w:szCs w:val="24"/>
        </w:rPr>
        <w:t>analysis of employer unilateralism during the</w:t>
      </w:r>
      <w:r w:rsidR="002E1D3F">
        <w:rPr>
          <w:rFonts w:cstheme="minorHAnsi"/>
          <w:sz w:val="24"/>
          <w:szCs w:val="24"/>
        </w:rPr>
        <w:t xml:space="preserve"> discredited </w:t>
      </w:r>
      <w:r w:rsidR="00271B6D">
        <w:rPr>
          <w:rFonts w:cstheme="minorHAnsi"/>
          <w:sz w:val="24"/>
          <w:szCs w:val="24"/>
        </w:rPr>
        <w:t>W</w:t>
      </w:r>
      <w:r w:rsidR="002E1D3F">
        <w:rPr>
          <w:rFonts w:cstheme="minorHAnsi"/>
          <w:sz w:val="24"/>
          <w:szCs w:val="24"/>
        </w:rPr>
        <w:t>orkchoices era</w:t>
      </w:r>
      <w:r w:rsidR="00C35A97">
        <w:rPr>
          <w:rFonts w:cstheme="minorHAnsi"/>
          <w:sz w:val="24"/>
          <w:szCs w:val="24"/>
        </w:rPr>
        <w:t xml:space="preserve"> </w:t>
      </w:r>
      <w:r w:rsidR="00F87C1D">
        <w:rPr>
          <w:rFonts w:cstheme="minorHAnsi"/>
          <w:sz w:val="24"/>
          <w:szCs w:val="24"/>
        </w:rPr>
        <w:t>established that such unilateralism was simply bad for workers. An ana</w:t>
      </w:r>
      <w:r w:rsidR="002E1D3F">
        <w:rPr>
          <w:rFonts w:cstheme="minorHAnsi"/>
          <w:sz w:val="24"/>
          <w:szCs w:val="24"/>
        </w:rPr>
        <w:t xml:space="preserve">lysis of greenfield agreements </w:t>
      </w:r>
      <w:r w:rsidR="00F87C1D">
        <w:rPr>
          <w:rFonts w:cstheme="minorHAnsi"/>
          <w:sz w:val="24"/>
          <w:szCs w:val="24"/>
        </w:rPr>
        <w:t>and AWA’</w:t>
      </w:r>
      <w:r w:rsidR="00A522CE">
        <w:rPr>
          <w:rFonts w:cstheme="minorHAnsi"/>
          <w:sz w:val="24"/>
          <w:szCs w:val="24"/>
        </w:rPr>
        <w:t>s during this period (</w:t>
      </w:r>
      <w:r w:rsidR="00F87C1D">
        <w:rPr>
          <w:rFonts w:cstheme="minorHAnsi"/>
          <w:sz w:val="24"/>
          <w:szCs w:val="24"/>
        </w:rPr>
        <w:t xml:space="preserve">such as was able to occur given the </w:t>
      </w:r>
      <w:r w:rsidR="00A522CE">
        <w:rPr>
          <w:rFonts w:cstheme="minorHAnsi"/>
          <w:sz w:val="24"/>
          <w:szCs w:val="24"/>
        </w:rPr>
        <w:t xml:space="preserve">employer </w:t>
      </w:r>
      <w:r w:rsidR="00F87C1D">
        <w:rPr>
          <w:rFonts w:cstheme="minorHAnsi"/>
          <w:sz w:val="24"/>
          <w:szCs w:val="24"/>
        </w:rPr>
        <w:t xml:space="preserve">unilateralism of </w:t>
      </w:r>
      <w:r w:rsidR="00271B6D">
        <w:rPr>
          <w:rFonts w:cstheme="minorHAnsi"/>
          <w:sz w:val="24"/>
          <w:szCs w:val="24"/>
        </w:rPr>
        <w:t>W</w:t>
      </w:r>
      <w:r w:rsidR="00F87C1D">
        <w:rPr>
          <w:rFonts w:cstheme="minorHAnsi"/>
          <w:sz w:val="24"/>
          <w:szCs w:val="24"/>
        </w:rPr>
        <w:t xml:space="preserve">orkchoices acted in concert with </w:t>
      </w:r>
      <w:r w:rsidR="00C35A97">
        <w:rPr>
          <w:rFonts w:cstheme="minorHAnsi"/>
          <w:sz w:val="24"/>
          <w:szCs w:val="24"/>
        </w:rPr>
        <w:t xml:space="preserve">the </w:t>
      </w:r>
      <w:r w:rsidR="00F87C1D">
        <w:rPr>
          <w:rFonts w:cstheme="minorHAnsi"/>
          <w:sz w:val="24"/>
          <w:szCs w:val="24"/>
        </w:rPr>
        <w:t xml:space="preserve">diminution of </w:t>
      </w:r>
      <w:r w:rsidR="00A522CE">
        <w:rPr>
          <w:rFonts w:cstheme="minorHAnsi"/>
          <w:sz w:val="24"/>
          <w:szCs w:val="24"/>
        </w:rPr>
        <w:t xml:space="preserve">transparency and </w:t>
      </w:r>
      <w:r w:rsidR="00F87C1D">
        <w:rPr>
          <w:rFonts w:cstheme="minorHAnsi"/>
          <w:sz w:val="24"/>
          <w:szCs w:val="24"/>
        </w:rPr>
        <w:t>tribunal oversight</w:t>
      </w:r>
      <w:r w:rsidR="00A522CE">
        <w:rPr>
          <w:rFonts w:cstheme="minorHAnsi"/>
          <w:sz w:val="24"/>
          <w:szCs w:val="24"/>
        </w:rPr>
        <w:t>) saw the loss of protected award conditions without compensation</w:t>
      </w:r>
      <w:r w:rsidR="00EF4F29">
        <w:rPr>
          <w:rFonts w:cstheme="minorHAnsi"/>
          <w:sz w:val="24"/>
          <w:szCs w:val="24"/>
        </w:rPr>
        <w:t xml:space="preserve"> and some particularly egregious employer behaviour</w:t>
      </w:r>
      <w:r w:rsidR="002E1D3F">
        <w:rPr>
          <w:rFonts w:cstheme="minorHAnsi"/>
          <w:sz w:val="24"/>
          <w:szCs w:val="24"/>
        </w:rPr>
        <w:t xml:space="preserve"> </w:t>
      </w:r>
      <w:r w:rsidR="005A5A59">
        <w:rPr>
          <w:rFonts w:cstheme="minorHAnsi"/>
          <w:sz w:val="24"/>
          <w:szCs w:val="24"/>
        </w:rPr>
        <w:t>in attacking workers pay and co</w:t>
      </w:r>
      <w:r w:rsidR="00C35A97">
        <w:rPr>
          <w:rFonts w:cstheme="minorHAnsi"/>
          <w:sz w:val="24"/>
          <w:szCs w:val="24"/>
        </w:rPr>
        <w:t xml:space="preserve">nditions </w:t>
      </w:r>
      <w:r w:rsidR="00C82FE6">
        <w:rPr>
          <w:rFonts w:cstheme="minorHAnsi"/>
          <w:sz w:val="24"/>
          <w:szCs w:val="24"/>
        </w:rPr>
        <w:t xml:space="preserve">and </w:t>
      </w:r>
      <w:r w:rsidR="00C35A97">
        <w:rPr>
          <w:rFonts w:cstheme="minorHAnsi"/>
          <w:sz w:val="24"/>
          <w:szCs w:val="24"/>
        </w:rPr>
        <w:t xml:space="preserve">seeking to destroy </w:t>
      </w:r>
      <w:r w:rsidR="00C82FE6">
        <w:rPr>
          <w:rFonts w:cstheme="minorHAnsi"/>
          <w:sz w:val="24"/>
          <w:szCs w:val="24"/>
        </w:rPr>
        <w:t>their bargaining power</w:t>
      </w:r>
      <w:r w:rsidR="00C82FE6">
        <w:rPr>
          <w:rStyle w:val="FootnoteReference"/>
          <w:rFonts w:cstheme="minorHAnsi"/>
          <w:sz w:val="24"/>
          <w:szCs w:val="24"/>
        </w:rPr>
        <w:footnoteReference w:id="4"/>
      </w:r>
      <w:r w:rsidR="00C35A97">
        <w:rPr>
          <w:rFonts w:cstheme="minorHAnsi"/>
          <w:sz w:val="24"/>
          <w:szCs w:val="24"/>
        </w:rPr>
        <w:t>.</w:t>
      </w:r>
    </w:p>
    <w:p w14:paraId="0D39587F" w14:textId="77777777" w:rsidR="00C35A97" w:rsidRPr="00C35A97" w:rsidRDefault="00C35A97" w:rsidP="00C35A97">
      <w:pPr>
        <w:pStyle w:val="ListParagraph"/>
        <w:rPr>
          <w:rFonts w:cstheme="minorHAnsi"/>
          <w:sz w:val="24"/>
          <w:szCs w:val="24"/>
        </w:rPr>
      </w:pPr>
    </w:p>
    <w:p w14:paraId="32DD3113" w14:textId="77777777" w:rsidR="006800FB" w:rsidRDefault="008007F0" w:rsidP="009B0A3F">
      <w:pPr>
        <w:pStyle w:val="ListParagraph"/>
        <w:numPr>
          <w:ilvl w:val="0"/>
          <w:numId w:val="2"/>
        </w:numPr>
        <w:spacing w:after="0" w:line="240" w:lineRule="auto"/>
        <w:rPr>
          <w:rFonts w:cstheme="minorHAnsi"/>
          <w:sz w:val="24"/>
          <w:szCs w:val="24"/>
        </w:rPr>
      </w:pPr>
      <w:r>
        <w:rPr>
          <w:rFonts w:cstheme="minorHAnsi"/>
          <w:sz w:val="24"/>
          <w:szCs w:val="24"/>
        </w:rPr>
        <w:t xml:space="preserve">In the contemporary economic climate a </w:t>
      </w:r>
      <w:r w:rsidR="00C35A97">
        <w:rPr>
          <w:rFonts w:cstheme="minorHAnsi"/>
          <w:sz w:val="24"/>
          <w:szCs w:val="24"/>
        </w:rPr>
        <w:t>substantial economic concern is the now apparent systemic problem of low wage growth. It is now br</w:t>
      </w:r>
      <w:r w:rsidR="00136D31">
        <w:rPr>
          <w:rFonts w:cstheme="minorHAnsi"/>
          <w:sz w:val="24"/>
          <w:szCs w:val="24"/>
        </w:rPr>
        <w:t xml:space="preserve">oadly accepted, </w:t>
      </w:r>
      <w:r w:rsidR="00C35A97">
        <w:rPr>
          <w:rFonts w:cstheme="minorHAnsi"/>
          <w:sz w:val="24"/>
          <w:szCs w:val="24"/>
        </w:rPr>
        <w:t>across the partisan political divide</w:t>
      </w:r>
      <w:r w:rsidR="00BF6A6C">
        <w:rPr>
          <w:rFonts w:cstheme="minorHAnsi"/>
          <w:sz w:val="24"/>
          <w:szCs w:val="24"/>
        </w:rPr>
        <w:t>,</w:t>
      </w:r>
      <w:r w:rsidR="00C35A97">
        <w:rPr>
          <w:rFonts w:cstheme="minorHAnsi"/>
          <w:sz w:val="24"/>
          <w:szCs w:val="24"/>
        </w:rPr>
        <w:t xml:space="preserve"> that low wage growth is not just a direct concern for workers</w:t>
      </w:r>
      <w:r w:rsidR="00C35A97">
        <w:rPr>
          <w:rStyle w:val="FootnoteReference"/>
          <w:rFonts w:cstheme="minorHAnsi"/>
          <w:sz w:val="24"/>
          <w:szCs w:val="24"/>
        </w:rPr>
        <w:footnoteReference w:id="5"/>
      </w:r>
      <w:r w:rsidR="00C35A97">
        <w:rPr>
          <w:rFonts w:cstheme="minorHAnsi"/>
          <w:sz w:val="24"/>
          <w:szCs w:val="24"/>
        </w:rPr>
        <w:t xml:space="preserve"> </w:t>
      </w:r>
      <w:r w:rsidR="00E210B6">
        <w:rPr>
          <w:rFonts w:cstheme="minorHAnsi"/>
          <w:sz w:val="24"/>
          <w:szCs w:val="24"/>
        </w:rPr>
        <w:t xml:space="preserve">but for the health of the economy as a whole. </w:t>
      </w:r>
      <w:r w:rsidR="00C35A97">
        <w:rPr>
          <w:rFonts w:cstheme="minorHAnsi"/>
          <w:sz w:val="24"/>
          <w:szCs w:val="24"/>
        </w:rPr>
        <w:t xml:space="preserve">The current economic </w:t>
      </w:r>
      <w:r w:rsidR="005101F5">
        <w:rPr>
          <w:rFonts w:cstheme="minorHAnsi"/>
          <w:sz w:val="24"/>
          <w:szCs w:val="24"/>
        </w:rPr>
        <w:t xml:space="preserve">climate </w:t>
      </w:r>
      <w:r w:rsidR="00136D31">
        <w:rPr>
          <w:rFonts w:cstheme="minorHAnsi"/>
          <w:sz w:val="24"/>
          <w:szCs w:val="24"/>
        </w:rPr>
        <w:t xml:space="preserve">calls </w:t>
      </w:r>
      <w:r w:rsidR="00BF6A6C">
        <w:rPr>
          <w:rFonts w:cstheme="minorHAnsi"/>
          <w:sz w:val="24"/>
          <w:szCs w:val="24"/>
        </w:rPr>
        <w:t xml:space="preserve">on policy makers </w:t>
      </w:r>
      <w:r w:rsidR="005101F5">
        <w:rPr>
          <w:rFonts w:cstheme="minorHAnsi"/>
          <w:sz w:val="24"/>
          <w:szCs w:val="24"/>
        </w:rPr>
        <w:t xml:space="preserve">to address </w:t>
      </w:r>
      <w:r w:rsidR="00BF6A6C">
        <w:rPr>
          <w:rFonts w:cstheme="minorHAnsi"/>
          <w:sz w:val="24"/>
          <w:szCs w:val="24"/>
        </w:rPr>
        <w:t xml:space="preserve">low wage growth and its accompanying </w:t>
      </w:r>
      <w:r w:rsidR="005101F5">
        <w:rPr>
          <w:rFonts w:cstheme="minorHAnsi"/>
          <w:sz w:val="24"/>
          <w:szCs w:val="24"/>
        </w:rPr>
        <w:t>inequality</w:t>
      </w:r>
      <w:r w:rsidR="00BF6A6C">
        <w:rPr>
          <w:rFonts w:cstheme="minorHAnsi"/>
          <w:sz w:val="24"/>
          <w:szCs w:val="24"/>
        </w:rPr>
        <w:t>. T</w:t>
      </w:r>
      <w:r w:rsidR="005101F5">
        <w:rPr>
          <w:rFonts w:cstheme="minorHAnsi"/>
          <w:sz w:val="24"/>
          <w:szCs w:val="24"/>
        </w:rPr>
        <w:t xml:space="preserve">his is patently not done by shifting greater </w:t>
      </w:r>
      <w:r w:rsidR="00BF6A6C">
        <w:rPr>
          <w:rFonts w:cstheme="minorHAnsi"/>
          <w:sz w:val="24"/>
          <w:szCs w:val="24"/>
        </w:rPr>
        <w:t>power to employers</w:t>
      </w:r>
      <w:r w:rsidR="005101F5">
        <w:rPr>
          <w:rFonts w:cstheme="minorHAnsi"/>
          <w:sz w:val="24"/>
          <w:szCs w:val="24"/>
        </w:rPr>
        <w:t xml:space="preserve"> but by address</w:t>
      </w:r>
      <w:r w:rsidR="0004553C">
        <w:rPr>
          <w:rFonts w:cstheme="minorHAnsi"/>
          <w:sz w:val="24"/>
          <w:szCs w:val="24"/>
        </w:rPr>
        <w:t>ing</w:t>
      </w:r>
      <w:r w:rsidR="005101F5">
        <w:rPr>
          <w:rFonts w:cstheme="minorHAnsi"/>
          <w:sz w:val="24"/>
          <w:szCs w:val="24"/>
        </w:rPr>
        <w:t xml:space="preserve"> the power </w:t>
      </w:r>
      <w:r w:rsidR="00BF6A6C">
        <w:rPr>
          <w:rFonts w:cstheme="minorHAnsi"/>
          <w:sz w:val="24"/>
          <w:szCs w:val="24"/>
        </w:rPr>
        <w:t xml:space="preserve">imbalance and </w:t>
      </w:r>
      <w:r w:rsidR="00BF6A6C" w:rsidRPr="009B0A3F">
        <w:rPr>
          <w:rFonts w:cstheme="minorHAnsi"/>
          <w:sz w:val="24"/>
          <w:szCs w:val="24"/>
        </w:rPr>
        <w:t>implementing</w:t>
      </w:r>
      <w:r w:rsidR="005101F5" w:rsidRPr="009B0A3F">
        <w:rPr>
          <w:rFonts w:cstheme="minorHAnsi"/>
          <w:sz w:val="24"/>
          <w:szCs w:val="24"/>
        </w:rPr>
        <w:t xml:space="preserve"> measure</w:t>
      </w:r>
      <w:r w:rsidR="00D02B4B" w:rsidRPr="009B0A3F">
        <w:rPr>
          <w:rFonts w:cstheme="minorHAnsi"/>
          <w:sz w:val="24"/>
          <w:szCs w:val="24"/>
        </w:rPr>
        <w:t>s</w:t>
      </w:r>
      <w:r w:rsidR="005101F5" w:rsidRPr="009B0A3F">
        <w:rPr>
          <w:rFonts w:cstheme="minorHAnsi"/>
          <w:sz w:val="24"/>
          <w:szCs w:val="24"/>
        </w:rPr>
        <w:t xml:space="preserve"> to increase the power and influence of trade union</w:t>
      </w:r>
      <w:r w:rsidR="00BF6A6C" w:rsidRPr="009B0A3F">
        <w:rPr>
          <w:rFonts w:cstheme="minorHAnsi"/>
          <w:sz w:val="24"/>
          <w:szCs w:val="24"/>
        </w:rPr>
        <w:t>s</w:t>
      </w:r>
      <w:r w:rsidR="005101F5" w:rsidRPr="009B0A3F">
        <w:rPr>
          <w:rFonts w:cstheme="minorHAnsi"/>
          <w:sz w:val="24"/>
          <w:szCs w:val="24"/>
        </w:rPr>
        <w:t xml:space="preserve"> and workers.</w:t>
      </w:r>
      <w:r w:rsidR="0004553C" w:rsidRPr="009B0A3F">
        <w:rPr>
          <w:rFonts w:cstheme="minorHAnsi"/>
          <w:sz w:val="24"/>
          <w:szCs w:val="24"/>
        </w:rPr>
        <w:t xml:space="preserve"> </w:t>
      </w:r>
    </w:p>
    <w:p w14:paraId="1265EFE7" w14:textId="77777777" w:rsidR="006800FB" w:rsidRPr="006800FB" w:rsidRDefault="006800FB" w:rsidP="006800FB">
      <w:pPr>
        <w:pStyle w:val="ListParagraph"/>
        <w:rPr>
          <w:rFonts w:cstheme="minorHAnsi"/>
          <w:sz w:val="24"/>
          <w:szCs w:val="24"/>
        </w:rPr>
      </w:pPr>
    </w:p>
    <w:p w14:paraId="045A07CC" w14:textId="77777777" w:rsidR="006800FB" w:rsidRDefault="006800FB" w:rsidP="006800FB">
      <w:pPr>
        <w:pStyle w:val="ListParagraph"/>
        <w:spacing w:after="0" w:line="240" w:lineRule="auto"/>
        <w:ind w:left="360"/>
        <w:rPr>
          <w:rFonts w:cstheme="minorHAnsi"/>
          <w:sz w:val="24"/>
          <w:szCs w:val="24"/>
        </w:rPr>
      </w:pPr>
    </w:p>
    <w:p w14:paraId="3E860051" w14:textId="6AD9D4CA" w:rsidR="006800FB" w:rsidRDefault="006800FB" w:rsidP="006800FB">
      <w:pPr>
        <w:pStyle w:val="ListParagraph"/>
        <w:rPr>
          <w:rFonts w:cstheme="minorHAnsi"/>
          <w:sz w:val="24"/>
          <w:szCs w:val="24"/>
        </w:rPr>
      </w:pPr>
    </w:p>
    <w:p w14:paraId="41C533C8" w14:textId="7243A870" w:rsidR="006800FB" w:rsidRDefault="006800FB" w:rsidP="006800FB">
      <w:pPr>
        <w:pStyle w:val="ListParagraph"/>
        <w:rPr>
          <w:rFonts w:cstheme="minorHAnsi"/>
          <w:sz w:val="24"/>
          <w:szCs w:val="24"/>
        </w:rPr>
      </w:pPr>
    </w:p>
    <w:p w14:paraId="28A1BB3D" w14:textId="77777777" w:rsidR="006800FB" w:rsidRPr="006800FB" w:rsidRDefault="006800FB" w:rsidP="006800FB">
      <w:pPr>
        <w:pStyle w:val="ListParagraph"/>
        <w:rPr>
          <w:rFonts w:cstheme="minorHAnsi"/>
          <w:sz w:val="24"/>
          <w:szCs w:val="24"/>
        </w:rPr>
      </w:pPr>
    </w:p>
    <w:p w14:paraId="6C24EABC" w14:textId="08AB7D60" w:rsidR="00633C7F" w:rsidRPr="006800FB" w:rsidRDefault="0004553C" w:rsidP="006800FB">
      <w:pPr>
        <w:pStyle w:val="ListParagraph"/>
        <w:numPr>
          <w:ilvl w:val="0"/>
          <w:numId w:val="2"/>
        </w:numPr>
        <w:spacing w:after="0" w:line="240" w:lineRule="auto"/>
        <w:rPr>
          <w:rFonts w:cstheme="minorHAnsi"/>
          <w:sz w:val="24"/>
          <w:szCs w:val="24"/>
        </w:rPr>
      </w:pPr>
      <w:r w:rsidRPr="009B0A3F">
        <w:rPr>
          <w:rFonts w:cstheme="minorHAnsi"/>
          <w:sz w:val="24"/>
          <w:szCs w:val="24"/>
        </w:rPr>
        <w:t xml:space="preserve">The evidence </w:t>
      </w:r>
      <w:r w:rsidR="00BF6A6C" w:rsidRPr="009B0A3F">
        <w:rPr>
          <w:rFonts w:cstheme="minorHAnsi"/>
          <w:sz w:val="24"/>
          <w:szCs w:val="24"/>
        </w:rPr>
        <w:t xml:space="preserve">has </w:t>
      </w:r>
      <w:r w:rsidRPr="009B0A3F">
        <w:rPr>
          <w:rFonts w:cstheme="minorHAnsi"/>
          <w:sz w:val="24"/>
          <w:szCs w:val="24"/>
        </w:rPr>
        <w:t>establish</w:t>
      </w:r>
      <w:r w:rsidR="00BF6A6C" w:rsidRPr="009B0A3F">
        <w:rPr>
          <w:rFonts w:cstheme="minorHAnsi"/>
          <w:sz w:val="24"/>
          <w:szCs w:val="24"/>
        </w:rPr>
        <w:t>ed</w:t>
      </w:r>
      <w:r w:rsidRPr="009B0A3F">
        <w:rPr>
          <w:rFonts w:cstheme="minorHAnsi"/>
          <w:sz w:val="24"/>
          <w:szCs w:val="24"/>
        </w:rPr>
        <w:t xml:space="preserve"> that collective agreements deliver better outcomes for workers</w:t>
      </w:r>
      <w:r>
        <w:rPr>
          <w:rStyle w:val="FootnoteReference"/>
          <w:rFonts w:cstheme="minorHAnsi"/>
          <w:sz w:val="24"/>
          <w:szCs w:val="24"/>
        </w:rPr>
        <w:footnoteReference w:id="6"/>
      </w:r>
      <w:r w:rsidR="00633C7F" w:rsidRPr="009B0A3F">
        <w:rPr>
          <w:rFonts w:cstheme="minorHAnsi"/>
          <w:sz w:val="24"/>
          <w:szCs w:val="24"/>
        </w:rPr>
        <w:t>.</w:t>
      </w:r>
      <w:r w:rsidR="003A3032" w:rsidRPr="009B0A3F">
        <w:rPr>
          <w:rFonts w:cstheme="minorHAnsi"/>
          <w:sz w:val="24"/>
          <w:szCs w:val="24"/>
        </w:rPr>
        <w:t xml:space="preserve"> For greenfield agreements this review ought to explicitly reject employer </w:t>
      </w:r>
      <w:r w:rsidR="003A3032" w:rsidRPr="006800FB">
        <w:rPr>
          <w:rFonts w:cstheme="minorHAnsi"/>
          <w:sz w:val="24"/>
          <w:szCs w:val="24"/>
        </w:rPr>
        <w:t>unilateralism</w:t>
      </w:r>
      <w:r w:rsidR="00BF6A6C" w:rsidRPr="006800FB">
        <w:rPr>
          <w:rFonts w:cstheme="minorHAnsi"/>
          <w:sz w:val="24"/>
          <w:szCs w:val="24"/>
        </w:rPr>
        <w:t xml:space="preserve">. The review should </w:t>
      </w:r>
      <w:r w:rsidR="003A3032" w:rsidRPr="006800FB">
        <w:rPr>
          <w:rFonts w:cstheme="minorHAnsi"/>
          <w:sz w:val="24"/>
          <w:szCs w:val="24"/>
        </w:rPr>
        <w:t>state that greenfield agreements are a unique and critical area of agreement</w:t>
      </w:r>
      <w:r w:rsidR="00271B6D" w:rsidRPr="006800FB">
        <w:rPr>
          <w:rFonts w:cstheme="minorHAnsi"/>
          <w:sz w:val="24"/>
          <w:szCs w:val="24"/>
        </w:rPr>
        <w:t>-</w:t>
      </w:r>
      <w:r w:rsidR="003A3032" w:rsidRPr="006800FB">
        <w:rPr>
          <w:rFonts w:cstheme="minorHAnsi"/>
          <w:sz w:val="24"/>
          <w:szCs w:val="24"/>
        </w:rPr>
        <w:t xml:space="preserve">making under the </w:t>
      </w:r>
      <w:r w:rsidR="00BF6A6C" w:rsidRPr="006800FB">
        <w:rPr>
          <w:rFonts w:cstheme="minorHAnsi"/>
          <w:i/>
          <w:sz w:val="24"/>
          <w:szCs w:val="24"/>
        </w:rPr>
        <w:t xml:space="preserve">Fair Work </w:t>
      </w:r>
      <w:r w:rsidR="003A3032" w:rsidRPr="006800FB">
        <w:rPr>
          <w:rFonts w:cstheme="minorHAnsi"/>
          <w:i/>
          <w:sz w:val="24"/>
          <w:szCs w:val="24"/>
        </w:rPr>
        <w:t>Act</w:t>
      </w:r>
      <w:r w:rsidR="003A3032" w:rsidRPr="006800FB">
        <w:rPr>
          <w:rFonts w:cstheme="minorHAnsi"/>
          <w:sz w:val="24"/>
          <w:szCs w:val="24"/>
        </w:rPr>
        <w:t xml:space="preserve"> that requires employee protection and representation through the requiremen</w:t>
      </w:r>
      <w:r w:rsidR="00BF6A6C" w:rsidRPr="006800FB">
        <w:rPr>
          <w:rFonts w:cstheme="minorHAnsi"/>
          <w:sz w:val="24"/>
          <w:szCs w:val="24"/>
        </w:rPr>
        <w:t xml:space="preserve">t </w:t>
      </w:r>
      <w:r w:rsidR="00B7315F" w:rsidRPr="006800FB">
        <w:rPr>
          <w:rFonts w:cstheme="minorHAnsi"/>
          <w:sz w:val="24"/>
          <w:szCs w:val="24"/>
        </w:rPr>
        <w:t xml:space="preserve">that all </w:t>
      </w:r>
      <w:r w:rsidR="00BF6A6C" w:rsidRPr="006800FB">
        <w:rPr>
          <w:rFonts w:cstheme="minorHAnsi"/>
          <w:sz w:val="24"/>
          <w:szCs w:val="24"/>
        </w:rPr>
        <w:t xml:space="preserve">greenfield </w:t>
      </w:r>
      <w:r w:rsidR="00B7315F" w:rsidRPr="006800FB">
        <w:rPr>
          <w:rFonts w:cstheme="minorHAnsi"/>
          <w:sz w:val="24"/>
          <w:szCs w:val="24"/>
        </w:rPr>
        <w:t>agreements must</w:t>
      </w:r>
      <w:r w:rsidR="003A3032" w:rsidRPr="006800FB">
        <w:rPr>
          <w:rFonts w:cstheme="minorHAnsi"/>
          <w:sz w:val="24"/>
          <w:szCs w:val="24"/>
        </w:rPr>
        <w:t xml:space="preserve"> be struck with employee registered organisations. </w:t>
      </w:r>
    </w:p>
    <w:p w14:paraId="5F4E2AD3" w14:textId="77777777" w:rsidR="00633C7F" w:rsidRDefault="00633C7F" w:rsidP="00633C7F">
      <w:pPr>
        <w:spacing w:after="0" w:line="240" w:lineRule="auto"/>
        <w:rPr>
          <w:rFonts w:cstheme="minorHAnsi"/>
          <w:sz w:val="24"/>
          <w:szCs w:val="24"/>
        </w:rPr>
      </w:pPr>
    </w:p>
    <w:p w14:paraId="78970A78" w14:textId="0EFF3825" w:rsidR="00633C7F" w:rsidRPr="00134FB8" w:rsidRDefault="00633C7F" w:rsidP="00134FB8">
      <w:pPr>
        <w:pStyle w:val="Heading1"/>
      </w:pPr>
      <w:r w:rsidRPr="00633C7F">
        <w:t xml:space="preserve">Greenfield Agreements and the </w:t>
      </w:r>
      <w:r w:rsidRPr="00633C7F">
        <w:rPr>
          <w:i/>
        </w:rPr>
        <w:t>Fair Work Amendment Act</w:t>
      </w:r>
      <w:r w:rsidRPr="00633C7F">
        <w:t xml:space="preserve"> 2015</w:t>
      </w:r>
    </w:p>
    <w:p w14:paraId="55799DF2" w14:textId="36A1C9FD" w:rsidR="00633C7F" w:rsidRDefault="00633C7F" w:rsidP="00633C7F">
      <w:pPr>
        <w:pStyle w:val="ListParagraph"/>
        <w:numPr>
          <w:ilvl w:val="0"/>
          <w:numId w:val="2"/>
        </w:numPr>
        <w:spacing w:after="0" w:line="240" w:lineRule="auto"/>
        <w:rPr>
          <w:rFonts w:cstheme="minorHAnsi"/>
          <w:sz w:val="24"/>
          <w:szCs w:val="24"/>
        </w:rPr>
      </w:pPr>
      <w:r>
        <w:rPr>
          <w:rFonts w:cstheme="minorHAnsi"/>
          <w:sz w:val="24"/>
          <w:szCs w:val="24"/>
        </w:rPr>
        <w:t>The review</w:t>
      </w:r>
      <w:r w:rsidR="00136D31">
        <w:rPr>
          <w:rFonts w:cstheme="minorHAnsi"/>
          <w:sz w:val="24"/>
          <w:szCs w:val="24"/>
        </w:rPr>
        <w:t>’s background review paper,</w:t>
      </w:r>
      <w:r>
        <w:rPr>
          <w:rFonts w:cstheme="minorHAnsi"/>
          <w:sz w:val="24"/>
          <w:szCs w:val="24"/>
        </w:rPr>
        <w:t xml:space="preserve"> note</w:t>
      </w:r>
      <w:r w:rsidR="003A3032">
        <w:rPr>
          <w:rFonts w:cstheme="minorHAnsi"/>
          <w:sz w:val="24"/>
          <w:szCs w:val="24"/>
        </w:rPr>
        <w:t>s</w:t>
      </w:r>
      <w:r>
        <w:rPr>
          <w:rFonts w:cstheme="minorHAnsi"/>
          <w:sz w:val="24"/>
          <w:szCs w:val="24"/>
        </w:rPr>
        <w:t xml:space="preserve"> the two changes to the making of greenfield agreements that arose from the 2015 amendments</w:t>
      </w:r>
      <w:r w:rsidR="00BF6A6C">
        <w:rPr>
          <w:rFonts w:cstheme="minorHAnsi"/>
          <w:sz w:val="24"/>
          <w:szCs w:val="24"/>
        </w:rPr>
        <w:t xml:space="preserve"> to the </w:t>
      </w:r>
      <w:r w:rsidR="00BF6A6C">
        <w:rPr>
          <w:rFonts w:cstheme="minorHAnsi"/>
          <w:i/>
          <w:sz w:val="24"/>
          <w:szCs w:val="24"/>
        </w:rPr>
        <w:t>Fair Work Act</w:t>
      </w:r>
      <w:r w:rsidR="00590E31">
        <w:rPr>
          <w:rFonts w:cstheme="minorHAnsi"/>
          <w:sz w:val="24"/>
          <w:szCs w:val="24"/>
        </w:rPr>
        <w:t xml:space="preserve"> w</w:t>
      </w:r>
      <w:r>
        <w:rPr>
          <w:rFonts w:cstheme="minorHAnsi"/>
          <w:sz w:val="24"/>
          <w:szCs w:val="24"/>
        </w:rPr>
        <w:t>ere the following;</w:t>
      </w:r>
    </w:p>
    <w:p w14:paraId="35AD2C99" w14:textId="77777777" w:rsidR="00633C7F" w:rsidRDefault="00633C7F" w:rsidP="00633C7F">
      <w:pPr>
        <w:pStyle w:val="ListParagraph"/>
        <w:spacing w:after="0" w:line="240" w:lineRule="auto"/>
        <w:ind w:left="360"/>
        <w:rPr>
          <w:rFonts w:cstheme="minorHAnsi"/>
          <w:sz w:val="24"/>
          <w:szCs w:val="24"/>
        </w:rPr>
      </w:pPr>
    </w:p>
    <w:p w14:paraId="4F94C1B2" w14:textId="77777777" w:rsidR="00633C7F" w:rsidRDefault="003A3032" w:rsidP="003A3032">
      <w:pPr>
        <w:pStyle w:val="ListParagraph"/>
        <w:numPr>
          <w:ilvl w:val="0"/>
          <w:numId w:val="3"/>
        </w:numPr>
        <w:spacing w:after="0" w:line="240" w:lineRule="auto"/>
        <w:rPr>
          <w:rFonts w:cstheme="minorHAnsi"/>
          <w:sz w:val="24"/>
          <w:szCs w:val="24"/>
        </w:rPr>
      </w:pPr>
      <w:r>
        <w:rPr>
          <w:rFonts w:cstheme="minorHAnsi"/>
          <w:sz w:val="24"/>
          <w:szCs w:val="24"/>
        </w:rPr>
        <w:t xml:space="preserve">That </w:t>
      </w:r>
      <w:r w:rsidR="00BF6A6C">
        <w:rPr>
          <w:rFonts w:cstheme="minorHAnsi"/>
          <w:sz w:val="24"/>
          <w:szCs w:val="24"/>
        </w:rPr>
        <w:t xml:space="preserve">the bargaining representatives for </w:t>
      </w:r>
      <w:r>
        <w:rPr>
          <w:rFonts w:cstheme="minorHAnsi"/>
          <w:sz w:val="24"/>
          <w:szCs w:val="24"/>
        </w:rPr>
        <w:t>greenfield agreement</w:t>
      </w:r>
      <w:r w:rsidR="00BF6A6C">
        <w:rPr>
          <w:rFonts w:cstheme="minorHAnsi"/>
          <w:sz w:val="24"/>
          <w:szCs w:val="24"/>
        </w:rPr>
        <w:t>s</w:t>
      </w:r>
      <w:r>
        <w:rPr>
          <w:rFonts w:cstheme="minorHAnsi"/>
          <w:sz w:val="24"/>
          <w:szCs w:val="24"/>
        </w:rPr>
        <w:t xml:space="preserve"> would now be covered by the good faith bargaining rules</w:t>
      </w:r>
      <w:r w:rsidR="00BF6A6C">
        <w:rPr>
          <w:rFonts w:cstheme="minorHAnsi"/>
          <w:sz w:val="24"/>
          <w:szCs w:val="24"/>
        </w:rPr>
        <w:t xml:space="preserve"> pursuant to the </w:t>
      </w:r>
      <w:r w:rsidR="00BF6A6C" w:rsidRPr="00BF6A6C">
        <w:rPr>
          <w:rFonts w:cstheme="minorHAnsi"/>
          <w:i/>
          <w:sz w:val="24"/>
          <w:szCs w:val="24"/>
        </w:rPr>
        <w:t>Fair Work Act</w:t>
      </w:r>
      <w:r w:rsidR="000C3272">
        <w:rPr>
          <w:rFonts w:cstheme="minorHAnsi"/>
          <w:sz w:val="24"/>
          <w:szCs w:val="24"/>
        </w:rPr>
        <w:t xml:space="preserve">, section 177; and </w:t>
      </w:r>
    </w:p>
    <w:p w14:paraId="18D7BAE2" w14:textId="77777777" w:rsidR="000C3272" w:rsidRDefault="000C3272" w:rsidP="000C3272">
      <w:pPr>
        <w:pStyle w:val="ListParagraph"/>
        <w:spacing w:after="0" w:line="240" w:lineRule="auto"/>
        <w:rPr>
          <w:rFonts w:cstheme="minorHAnsi"/>
          <w:sz w:val="24"/>
          <w:szCs w:val="24"/>
        </w:rPr>
      </w:pPr>
    </w:p>
    <w:p w14:paraId="27293530" w14:textId="77CEBAE2" w:rsidR="003A3032" w:rsidRDefault="00E03A91" w:rsidP="003A3032">
      <w:pPr>
        <w:pStyle w:val="ListParagraph"/>
        <w:numPr>
          <w:ilvl w:val="0"/>
          <w:numId w:val="3"/>
        </w:numPr>
        <w:spacing w:after="0" w:line="240" w:lineRule="auto"/>
        <w:rPr>
          <w:rFonts w:cstheme="minorHAnsi"/>
          <w:sz w:val="24"/>
          <w:szCs w:val="24"/>
        </w:rPr>
      </w:pPr>
      <w:r>
        <w:rPr>
          <w:rFonts w:cstheme="minorHAnsi"/>
          <w:sz w:val="24"/>
          <w:szCs w:val="24"/>
        </w:rPr>
        <w:t>That employer</w:t>
      </w:r>
      <w:r w:rsidR="000C3272">
        <w:rPr>
          <w:rFonts w:cstheme="minorHAnsi"/>
          <w:sz w:val="24"/>
          <w:szCs w:val="24"/>
        </w:rPr>
        <w:t>s</w:t>
      </w:r>
      <w:r w:rsidR="00136D31">
        <w:rPr>
          <w:rFonts w:cstheme="minorHAnsi"/>
          <w:sz w:val="24"/>
          <w:szCs w:val="24"/>
        </w:rPr>
        <w:t xml:space="preserve"> can</w:t>
      </w:r>
      <w:r>
        <w:rPr>
          <w:rFonts w:cstheme="minorHAnsi"/>
          <w:sz w:val="24"/>
          <w:szCs w:val="24"/>
        </w:rPr>
        <w:t xml:space="preserve"> un</w:t>
      </w:r>
      <w:r w:rsidR="003A3032">
        <w:rPr>
          <w:rFonts w:cstheme="minorHAnsi"/>
          <w:sz w:val="24"/>
          <w:szCs w:val="24"/>
        </w:rPr>
        <w:t>ilaterally seek to register greenfield agreements in circ</w:t>
      </w:r>
      <w:r w:rsidR="000C3272">
        <w:rPr>
          <w:rFonts w:cstheme="minorHAnsi"/>
          <w:sz w:val="24"/>
          <w:szCs w:val="24"/>
        </w:rPr>
        <w:t xml:space="preserve">umstances of </w:t>
      </w:r>
      <w:r w:rsidR="003A3032">
        <w:rPr>
          <w:rFonts w:cstheme="minorHAnsi"/>
          <w:sz w:val="24"/>
          <w:szCs w:val="24"/>
        </w:rPr>
        <w:t xml:space="preserve">protracted bargaining </w:t>
      </w:r>
      <w:r w:rsidR="00136D31">
        <w:rPr>
          <w:rFonts w:cstheme="minorHAnsi"/>
          <w:sz w:val="24"/>
          <w:szCs w:val="24"/>
        </w:rPr>
        <w:t xml:space="preserve">where agreement has not been </w:t>
      </w:r>
      <w:r w:rsidR="003A3032">
        <w:rPr>
          <w:rFonts w:cstheme="minorHAnsi"/>
          <w:sz w:val="24"/>
          <w:szCs w:val="24"/>
        </w:rPr>
        <w:t>reached</w:t>
      </w:r>
      <w:r w:rsidR="00C9503A">
        <w:rPr>
          <w:rFonts w:cstheme="minorHAnsi"/>
          <w:sz w:val="24"/>
          <w:szCs w:val="24"/>
        </w:rPr>
        <w:t>, section 182 (4)</w:t>
      </w:r>
      <w:r w:rsidR="00EF696C">
        <w:rPr>
          <w:rFonts w:cstheme="minorHAnsi"/>
          <w:sz w:val="24"/>
          <w:szCs w:val="24"/>
        </w:rPr>
        <w:t>.</w:t>
      </w:r>
    </w:p>
    <w:p w14:paraId="72EA380B" w14:textId="77777777" w:rsidR="00633C7F" w:rsidRDefault="00633C7F" w:rsidP="00633C7F">
      <w:pPr>
        <w:pStyle w:val="ListParagraph"/>
        <w:spacing w:after="0" w:line="240" w:lineRule="auto"/>
        <w:ind w:left="360"/>
        <w:rPr>
          <w:rFonts w:cstheme="minorHAnsi"/>
          <w:sz w:val="24"/>
          <w:szCs w:val="24"/>
        </w:rPr>
      </w:pPr>
    </w:p>
    <w:p w14:paraId="1E74F463" w14:textId="118CED44" w:rsidR="00633C7F" w:rsidRDefault="003A3032" w:rsidP="00633C7F">
      <w:pPr>
        <w:pStyle w:val="ListParagraph"/>
        <w:numPr>
          <w:ilvl w:val="0"/>
          <w:numId w:val="2"/>
        </w:numPr>
        <w:spacing w:after="0" w:line="240" w:lineRule="auto"/>
        <w:rPr>
          <w:rFonts w:cstheme="minorHAnsi"/>
          <w:sz w:val="24"/>
          <w:szCs w:val="24"/>
        </w:rPr>
      </w:pPr>
      <w:r>
        <w:rPr>
          <w:rFonts w:cstheme="minorHAnsi"/>
          <w:sz w:val="24"/>
          <w:szCs w:val="24"/>
        </w:rPr>
        <w:t>The result of the amendments</w:t>
      </w:r>
      <w:r w:rsidR="00EF696C">
        <w:rPr>
          <w:rFonts w:cstheme="minorHAnsi"/>
          <w:sz w:val="24"/>
          <w:szCs w:val="24"/>
        </w:rPr>
        <w:t xml:space="preserve"> appear to be exceedingly limited. At the time of writing th</w:t>
      </w:r>
      <w:r w:rsidR="00271B6D">
        <w:rPr>
          <w:rFonts w:cstheme="minorHAnsi"/>
          <w:sz w:val="24"/>
          <w:szCs w:val="24"/>
        </w:rPr>
        <w:t>is</w:t>
      </w:r>
      <w:r w:rsidR="00EF696C">
        <w:rPr>
          <w:rFonts w:cstheme="minorHAnsi"/>
          <w:sz w:val="24"/>
          <w:szCs w:val="24"/>
        </w:rPr>
        <w:t xml:space="preserve"> submission the CFMEU is unaware of any application for good faith bargaining orders for a greenfield </w:t>
      </w:r>
      <w:r w:rsidR="000C3272">
        <w:rPr>
          <w:rFonts w:cstheme="minorHAnsi"/>
          <w:sz w:val="24"/>
          <w:szCs w:val="24"/>
        </w:rPr>
        <w:t>agreement</w:t>
      </w:r>
      <w:r w:rsidR="00EF696C">
        <w:rPr>
          <w:rFonts w:cstheme="minorHAnsi"/>
          <w:sz w:val="24"/>
          <w:szCs w:val="24"/>
        </w:rPr>
        <w:t xml:space="preserve"> or of any application for the registration of a greenfield agreement without the consent of a registered employee organisation.</w:t>
      </w:r>
    </w:p>
    <w:p w14:paraId="07D02D25" w14:textId="77777777" w:rsidR="00633C7F" w:rsidRPr="00EF696C" w:rsidRDefault="00633C7F" w:rsidP="00EF696C">
      <w:pPr>
        <w:spacing w:after="0" w:line="240" w:lineRule="auto"/>
        <w:rPr>
          <w:rFonts w:cstheme="minorHAnsi"/>
          <w:sz w:val="24"/>
          <w:szCs w:val="24"/>
        </w:rPr>
      </w:pPr>
    </w:p>
    <w:p w14:paraId="58609A3D" w14:textId="1416F44E" w:rsidR="00633C7F" w:rsidRDefault="005C2A70" w:rsidP="00633C7F">
      <w:pPr>
        <w:pStyle w:val="ListParagraph"/>
        <w:numPr>
          <w:ilvl w:val="0"/>
          <w:numId w:val="2"/>
        </w:numPr>
        <w:spacing w:after="0" w:line="240" w:lineRule="auto"/>
        <w:rPr>
          <w:rFonts w:cstheme="minorHAnsi"/>
          <w:sz w:val="24"/>
          <w:szCs w:val="24"/>
        </w:rPr>
      </w:pPr>
      <w:r>
        <w:rPr>
          <w:rFonts w:cstheme="minorHAnsi"/>
          <w:sz w:val="24"/>
          <w:szCs w:val="24"/>
        </w:rPr>
        <w:t xml:space="preserve">The claims of </w:t>
      </w:r>
      <w:r w:rsidR="000C3272">
        <w:rPr>
          <w:rFonts w:cstheme="minorHAnsi"/>
          <w:sz w:val="24"/>
          <w:szCs w:val="24"/>
        </w:rPr>
        <w:t xml:space="preserve">trade unions being engaged in </w:t>
      </w:r>
      <w:r>
        <w:rPr>
          <w:rFonts w:cstheme="minorHAnsi"/>
          <w:sz w:val="24"/>
          <w:szCs w:val="24"/>
        </w:rPr>
        <w:t>capricious</w:t>
      </w:r>
      <w:r w:rsidR="00271B6D">
        <w:rPr>
          <w:rFonts w:cstheme="minorHAnsi"/>
          <w:sz w:val="24"/>
          <w:szCs w:val="24"/>
        </w:rPr>
        <w:t xml:space="preserve"> or obstructionist</w:t>
      </w:r>
      <w:r>
        <w:rPr>
          <w:rFonts w:cstheme="minorHAnsi"/>
          <w:sz w:val="24"/>
          <w:szCs w:val="24"/>
        </w:rPr>
        <w:t xml:space="preserve"> bargaining</w:t>
      </w:r>
      <w:r w:rsidR="000C3272">
        <w:rPr>
          <w:rFonts w:cstheme="minorHAnsi"/>
          <w:sz w:val="24"/>
          <w:szCs w:val="24"/>
        </w:rPr>
        <w:t xml:space="preserve"> in negotiations for greenfield agreements, as levelled</w:t>
      </w:r>
      <w:r>
        <w:rPr>
          <w:rFonts w:cstheme="minorHAnsi"/>
          <w:sz w:val="24"/>
          <w:szCs w:val="24"/>
        </w:rPr>
        <w:t xml:space="preserve"> by employer groups</w:t>
      </w:r>
      <w:r w:rsidR="00136D31">
        <w:rPr>
          <w:rFonts w:cstheme="minorHAnsi"/>
          <w:sz w:val="24"/>
          <w:szCs w:val="24"/>
        </w:rPr>
        <w:t xml:space="preserve"> in seeking the amendments</w:t>
      </w:r>
      <w:r w:rsidR="000C3272">
        <w:rPr>
          <w:rFonts w:cstheme="minorHAnsi"/>
          <w:sz w:val="24"/>
          <w:szCs w:val="24"/>
        </w:rPr>
        <w:t>,</w:t>
      </w:r>
      <w:r>
        <w:rPr>
          <w:rFonts w:cstheme="minorHAnsi"/>
          <w:sz w:val="24"/>
          <w:szCs w:val="24"/>
        </w:rPr>
        <w:t xml:space="preserve"> should now be seen as problematic. </w:t>
      </w:r>
    </w:p>
    <w:p w14:paraId="0D0A000A" w14:textId="77777777" w:rsidR="00B47543" w:rsidRPr="00B47543" w:rsidRDefault="00B47543" w:rsidP="00B47543">
      <w:pPr>
        <w:pStyle w:val="ListParagraph"/>
        <w:rPr>
          <w:rFonts w:cstheme="minorHAnsi"/>
          <w:sz w:val="24"/>
          <w:szCs w:val="24"/>
        </w:rPr>
      </w:pPr>
    </w:p>
    <w:p w14:paraId="53B025FF" w14:textId="66771262" w:rsidR="00B47543" w:rsidRDefault="00271B6D" w:rsidP="00633C7F">
      <w:pPr>
        <w:pStyle w:val="ListParagraph"/>
        <w:numPr>
          <w:ilvl w:val="0"/>
          <w:numId w:val="2"/>
        </w:numPr>
        <w:spacing w:after="0" w:line="240" w:lineRule="auto"/>
        <w:rPr>
          <w:rFonts w:cstheme="minorHAnsi"/>
          <w:sz w:val="24"/>
          <w:szCs w:val="24"/>
        </w:rPr>
      </w:pPr>
      <w:r>
        <w:rPr>
          <w:rFonts w:cstheme="minorHAnsi"/>
          <w:sz w:val="24"/>
          <w:szCs w:val="24"/>
        </w:rPr>
        <w:t xml:space="preserve">The union </w:t>
      </w:r>
      <w:r w:rsidR="00B47543">
        <w:rPr>
          <w:rFonts w:cstheme="minorHAnsi"/>
          <w:sz w:val="24"/>
          <w:szCs w:val="24"/>
        </w:rPr>
        <w:t>approach to negotiating greenfield agreements</w:t>
      </w:r>
      <w:r>
        <w:rPr>
          <w:rFonts w:cstheme="minorHAnsi"/>
          <w:sz w:val="24"/>
          <w:szCs w:val="24"/>
        </w:rPr>
        <w:t xml:space="preserve"> has not changed</w:t>
      </w:r>
      <w:r w:rsidR="00B47543">
        <w:rPr>
          <w:rFonts w:cstheme="minorHAnsi"/>
          <w:sz w:val="24"/>
          <w:szCs w:val="24"/>
        </w:rPr>
        <w:t xml:space="preserve">. We have remained focused on securing safe and fair jobs for our members and workers in the industry. </w:t>
      </w:r>
    </w:p>
    <w:p w14:paraId="27AE817A" w14:textId="63741363" w:rsidR="00B7315F" w:rsidRDefault="00B7315F" w:rsidP="005C2A70">
      <w:pPr>
        <w:pStyle w:val="ListParagraph"/>
        <w:rPr>
          <w:rFonts w:cstheme="minorHAnsi"/>
          <w:sz w:val="24"/>
          <w:szCs w:val="24"/>
        </w:rPr>
      </w:pPr>
    </w:p>
    <w:p w14:paraId="77189E25" w14:textId="768F7F54" w:rsidR="006800FB" w:rsidRDefault="006800FB" w:rsidP="005C2A70">
      <w:pPr>
        <w:pStyle w:val="ListParagraph"/>
        <w:rPr>
          <w:rFonts w:cstheme="minorHAnsi"/>
          <w:sz w:val="24"/>
          <w:szCs w:val="24"/>
        </w:rPr>
      </w:pPr>
    </w:p>
    <w:p w14:paraId="7A14C0D5" w14:textId="6ABEBFF9" w:rsidR="006800FB" w:rsidRDefault="006800FB" w:rsidP="005C2A70">
      <w:pPr>
        <w:pStyle w:val="ListParagraph"/>
        <w:rPr>
          <w:rFonts w:cstheme="minorHAnsi"/>
          <w:sz w:val="24"/>
          <w:szCs w:val="24"/>
        </w:rPr>
      </w:pPr>
    </w:p>
    <w:p w14:paraId="32D798E9" w14:textId="28D9A1FF" w:rsidR="006800FB" w:rsidRDefault="006800FB" w:rsidP="005C2A70">
      <w:pPr>
        <w:pStyle w:val="ListParagraph"/>
        <w:rPr>
          <w:rFonts w:cstheme="minorHAnsi"/>
          <w:sz w:val="24"/>
          <w:szCs w:val="24"/>
        </w:rPr>
      </w:pPr>
    </w:p>
    <w:p w14:paraId="402886E2" w14:textId="77777777" w:rsidR="006800FB" w:rsidRPr="005C2A70" w:rsidRDefault="006800FB" w:rsidP="005C2A70">
      <w:pPr>
        <w:pStyle w:val="ListParagraph"/>
        <w:rPr>
          <w:rFonts w:cstheme="minorHAnsi"/>
          <w:sz w:val="24"/>
          <w:szCs w:val="24"/>
        </w:rPr>
      </w:pPr>
    </w:p>
    <w:p w14:paraId="6CA9F6FD" w14:textId="07E4A425" w:rsidR="005C2A70" w:rsidRDefault="005C2A70" w:rsidP="00633C7F">
      <w:pPr>
        <w:pStyle w:val="ListParagraph"/>
        <w:numPr>
          <w:ilvl w:val="0"/>
          <w:numId w:val="2"/>
        </w:numPr>
        <w:spacing w:after="0" w:line="240" w:lineRule="auto"/>
        <w:rPr>
          <w:rFonts w:cstheme="minorHAnsi"/>
          <w:sz w:val="24"/>
          <w:szCs w:val="24"/>
        </w:rPr>
      </w:pPr>
      <w:r>
        <w:rPr>
          <w:rFonts w:cstheme="minorHAnsi"/>
          <w:sz w:val="24"/>
          <w:szCs w:val="24"/>
        </w:rPr>
        <w:t xml:space="preserve">We note the decline in greenfield agreements lodged for the period 2015/16 and </w:t>
      </w:r>
      <w:r w:rsidR="00E03A91">
        <w:rPr>
          <w:rFonts w:cstheme="minorHAnsi"/>
          <w:sz w:val="24"/>
          <w:szCs w:val="24"/>
        </w:rPr>
        <w:t xml:space="preserve">the </w:t>
      </w:r>
      <w:r>
        <w:rPr>
          <w:rFonts w:cstheme="minorHAnsi"/>
          <w:sz w:val="24"/>
          <w:szCs w:val="24"/>
        </w:rPr>
        <w:t>review</w:t>
      </w:r>
      <w:r w:rsidR="00027755">
        <w:rPr>
          <w:rFonts w:cstheme="minorHAnsi"/>
          <w:sz w:val="24"/>
          <w:szCs w:val="24"/>
        </w:rPr>
        <w:t>’</w:t>
      </w:r>
      <w:r>
        <w:rPr>
          <w:rFonts w:cstheme="minorHAnsi"/>
          <w:sz w:val="24"/>
          <w:szCs w:val="24"/>
        </w:rPr>
        <w:t>s backgrou</w:t>
      </w:r>
      <w:r w:rsidR="00E03A91">
        <w:rPr>
          <w:rFonts w:cstheme="minorHAnsi"/>
          <w:sz w:val="24"/>
          <w:szCs w:val="24"/>
        </w:rPr>
        <w:t>nd paper indicating</w:t>
      </w:r>
      <w:r>
        <w:rPr>
          <w:rFonts w:cstheme="minorHAnsi"/>
          <w:sz w:val="24"/>
          <w:szCs w:val="24"/>
        </w:rPr>
        <w:t xml:space="preserve"> that this may be linked to the reduction in investment in the mining industry</w:t>
      </w:r>
      <w:r w:rsidR="00B47543">
        <w:rPr>
          <w:rFonts w:cstheme="minorHAnsi"/>
          <w:sz w:val="24"/>
          <w:szCs w:val="24"/>
        </w:rPr>
        <w:t>. W</w:t>
      </w:r>
      <w:r>
        <w:rPr>
          <w:rFonts w:cstheme="minorHAnsi"/>
          <w:sz w:val="24"/>
          <w:szCs w:val="24"/>
        </w:rPr>
        <w:t>e would comment that we believe the downturn in the mining industry has had an impact</w:t>
      </w:r>
      <w:r w:rsidR="00590E31">
        <w:rPr>
          <w:rFonts w:cstheme="minorHAnsi"/>
          <w:sz w:val="24"/>
          <w:szCs w:val="24"/>
        </w:rPr>
        <w:t>, along with the completion of a number of major resource projects</w:t>
      </w:r>
      <w:r w:rsidR="00271B6D">
        <w:rPr>
          <w:rFonts w:cstheme="minorHAnsi"/>
          <w:sz w:val="24"/>
          <w:szCs w:val="24"/>
        </w:rPr>
        <w:t xml:space="preserve"> although</w:t>
      </w:r>
      <w:r>
        <w:rPr>
          <w:rFonts w:cstheme="minorHAnsi"/>
          <w:sz w:val="24"/>
          <w:szCs w:val="24"/>
        </w:rPr>
        <w:t xml:space="preserve"> the extent of the impact</w:t>
      </w:r>
      <w:r w:rsidR="00271B6D">
        <w:rPr>
          <w:rFonts w:cstheme="minorHAnsi"/>
          <w:sz w:val="24"/>
          <w:szCs w:val="24"/>
        </w:rPr>
        <w:t xml:space="preserve"> is difficult to assess</w:t>
      </w:r>
      <w:r>
        <w:rPr>
          <w:rFonts w:cstheme="minorHAnsi"/>
          <w:sz w:val="24"/>
          <w:szCs w:val="24"/>
        </w:rPr>
        <w:t xml:space="preserve">. We make no further comment on the basis for the reduction in greenfield </w:t>
      </w:r>
      <w:r w:rsidR="00B47543">
        <w:rPr>
          <w:rFonts w:cstheme="minorHAnsi"/>
          <w:sz w:val="24"/>
          <w:szCs w:val="24"/>
        </w:rPr>
        <w:t>agreements other than to note the assertion by employer groups that the previous legislation was</w:t>
      </w:r>
      <w:r w:rsidR="000C3272">
        <w:rPr>
          <w:rFonts w:cstheme="minorHAnsi"/>
          <w:sz w:val="24"/>
          <w:szCs w:val="24"/>
        </w:rPr>
        <w:t xml:space="preserve"> a disincentive to employers</w:t>
      </w:r>
      <w:r w:rsidR="00B47543">
        <w:rPr>
          <w:rFonts w:cstheme="minorHAnsi"/>
          <w:sz w:val="24"/>
          <w:szCs w:val="24"/>
        </w:rPr>
        <w:t xml:space="preserve"> to enter into greenfield </w:t>
      </w:r>
      <w:r w:rsidR="000C3272">
        <w:rPr>
          <w:rFonts w:cstheme="minorHAnsi"/>
          <w:sz w:val="24"/>
          <w:szCs w:val="24"/>
        </w:rPr>
        <w:t>arrangements is entirely</w:t>
      </w:r>
      <w:r w:rsidR="00B47543">
        <w:rPr>
          <w:rFonts w:cstheme="minorHAnsi"/>
          <w:sz w:val="24"/>
          <w:szCs w:val="24"/>
        </w:rPr>
        <w:t xml:space="preserve"> at odds with this outcome.</w:t>
      </w:r>
    </w:p>
    <w:p w14:paraId="4F7547AA" w14:textId="77777777" w:rsidR="00B47543" w:rsidRPr="00B47543" w:rsidRDefault="00B47543" w:rsidP="00B47543">
      <w:pPr>
        <w:pStyle w:val="ListParagraph"/>
        <w:rPr>
          <w:rFonts w:cstheme="minorHAnsi"/>
          <w:sz w:val="24"/>
          <w:szCs w:val="24"/>
        </w:rPr>
      </w:pPr>
    </w:p>
    <w:p w14:paraId="614B130E" w14:textId="0E40DFEE" w:rsidR="005F52E9" w:rsidRDefault="005F52E9" w:rsidP="00633C7F">
      <w:pPr>
        <w:pStyle w:val="ListParagraph"/>
        <w:numPr>
          <w:ilvl w:val="0"/>
          <w:numId w:val="2"/>
        </w:numPr>
        <w:spacing w:after="0" w:line="240" w:lineRule="auto"/>
        <w:rPr>
          <w:rFonts w:cstheme="minorHAnsi"/>
          <w:sz w:val="24"/>
          <w:szCs w:val="24"/>
        </w:rPr>
      </w:pPr>
      <w:r>
        <w:rPr>
          <w:rFonts w:cstheme="minorHAnsi"/>
          <w:sz w:val="24"/>
          <w:szCs w:val="24"/>
        </w:rPr>
        <w:t xml:space="preserve">The provisions providing for </w:t>
      </w:r>
      <w:r w:rsidR="000C3272">
        <w:rPr>
          <w:rFonts w:cstheme="minorHAnsi"/>
          <w:sz w:val="24"/>
          <w:szCs w:val="24"/>
        </w:rPr>
        <w:t xml:space="preserve">employer </w:t>
      </w:r>
      <w:r>
        <w:rPr>
          <w:rFonts w:cstheme="minorHAnsi"/>
          <w:sz w:val="24"/>
          <w:szCs w:val="24"/>
        </w:rPr>
        <w:t>uni</w:t>
      </w:r>
      <w:r w:rsidR="000C3272">
        <w:rPr>
          <w:rFonts w:cstheme="minorHAnsi"/>
          <w:sz w:val="24"/>
          <w:szCs w:val="24"/>
        </w:rPr>
        <w:t xml:space="preserve">lateral agreement </w:t>
      </w:r>
      <w:r>
        <w:rPr>
          <w:rFonts w:cstheme="minorHAnsi"/>
          <w:sz w:val="24"/>
          <w:szCs w:val="24"/>
        </w:rPr>
        <w:t>making for greenfield agreements</w:t>
      </w:r>
      <w:r w:rsidR="00CC63F8">
        <w:rPr>
          <w:rFonts w:cstheme="minorHAnsi"/>
          <w:sz w:val="24"/>
          <w:szCs w:val="24"/>
        </w:rPr>
        <w:t>, section 182 (4),</w:t>
      </w:r>
      <w:r>
        <w:rPr>
          <w:rFonts w:cstheme="minorHAnsi"/>
          <w:sz w:val="24"/>
          <w:szCs w:val="24"/>
        </w:rPr>
        <w:t xml:space="preserve"> w</w:t>
      </w:r>
      <w:r w:rsidR="00CC63F8">
        <w:rPr>
          <w:rFonts w:cstheme="minorHAnsi"/>
          <w:sz w:val="24"/>
          <w:szCs w:val="24"/>
        </w:rPr>
        <w:t>as</w:t>
      </w:r>
      <w:r>
        <w:rPr>
          <w:rFonts w:cstheme="minorHAnsi"/>
          <w:sz w:val="24"/>
          <w:szCs w:val="24"/>
        </w:rPr>
        <w:t xml:space="preserve"> based on assertions of capricious</w:t>
      </w:r>
      <w:r w:rsidR="00CC63F8">
        <w:rPr>
          <w:rFonts w:cstheme="minorHAnsi"/>
          <w:sz w:val="24"/>
          <w:szCs w:val="24"/>
        </w:rPr>
        <w:t xml:space="preserve"> conduct</w:t>
      </w:r>
      <w:r>
        <w:rPr>
          <w:rFonts w:cstheme="minorHAnsi"/>
          <w:sz w:val="24"/>
          <w:szCs w:val="24"/>
        </w:rPr>
        <w:t xml:space="preserve"> by trade unions in the greenfield bargaining processes</w:t>
      </w:r>
      <w:r>
        <w:rPr>
          <w:rStyle w:val="FootnoteReference"/>
          <w:rFonts w:cstheme="minorHAnsi"/>
          <w:sz w:val="24"/>
          <w:szCs w:val="24"/>
        </w:rPr>
        <w:footnoteReference w:id="7"/>
      </w:r>
      <w:r>
        <w:rPr>
          <w:rFonts w:cstheme="minorHAnsi"/>
          <w:sz w:val="24"/>
          <w:szCs w:val="24"/>
        </w:rPr>
        <w:t xml:space="preserve">. The failure to see any good faith bargaining applications </w:t>
      </w:r>
      <w:r w:rsidR="00271B6D">
        <w:rPr>
          <w:rFonts w:cstheme="minorHAnsi"/>
          <w:sz w:val="24"/>
          <w:szCs w:val="24"/>
        </w:rPr>
        <w:t xml:space="preserve">or the invocation of s 182(4) to conclude agreement-making </w:t>
      </w:r>
      <w:r>
        <w:rPr>
          <w:rFonts w:cstheme="minorHAnsi"/>
          <w:sz w:val="24"/>
          <w:szCs w:val="24"/>
        </w:rPr>
        <w:t xml:space="preserve">raises </w:t>
      </w:r>
      <w:r w:rsidR="00CC63F8">
        <w:rPr>
          <w:rFonts w:cstheme="minorHAnsi"/>
          <w:sz w:val="24"/>
          <w:szCs w:val="24"/>
        </w:rPr>
        <w:t xml:space="preserve">serious </w:t>
      </w:r>
      <w:r>
        <w:rPr>
          <w:rFonts w:cstheme="minorHAnsi"/>
          <w:sz w:val="24"/>
          <w:szCs w:val="24"/>
        </w:rPr>
        <w:t>concerns about the basis for these assertion</w:t>
      </w:r>
      <w:r w:rsidR="000C3272">
        <w:rPr>
          <w:rFonts w:cstheme="minorHAnsi"/>
          <w:sz w:val="24"/>
          <w:szCs w:val="24"/>
        </w:rPr>
        <w:t>s</w:t>
      </w:r>
      <w:r>
        <w:rPr>
          <w:rFonts w:cstheme="minorHAnsi"/>
          <w:sz w:val="24"/>
          <w:szCs w:val="24"/>
        </w:rPr>
        <w:t>. We ought</w:t>
      </w:r>
      <w:r w:rsidR="00D02B4B">
        <w:rPr>
          <w:rFonts w:cstheme="minorHAnsi"/>
          <w:sz w:val="24"/>
          <w:szCs w:val="24"/>
        </w:rPr>
        <w:t xml:space="preserve"> to</w:t>
      </w:r>
      <w:r>
        <w:rPr>
          <w:rFonts w:cstheme="minorHAnsi"/>
          <w:sz w:val="24"/>
          <w:szCs w:val="24"/>
        </w:rPr>
        <w:t xml:space="preserve"> at the very least acknowledge reliance was wrongly placed on these assertio</w:t>
      </w:r>
      <w:r w:rsidR="00D02B4B">
        <w:rPr>
          <w:rFonts w:cstheme="minorHAnsi"/>
          <w:sz w:val="24"/>
          <w:szCs w:val="24"/>
        </w:rPr>
        <w:t>ns</w:t>
      </w:r>
      <w:r>
        <w:rPr>
          <w:rFonts w:cstheme="minorHAnsi"/>
          <w:sz w:val="24"/>
          <w:szCs w:val="24"/>
        </w:rPr>
        <w:t xml:space="preserve"> by employers. </w:t>
      </w:r>
      <w:r w:rsidR="003261D1">
        <w:rPr>
          <w:rFonts w:cstheme="minorHAnsi"/>
          <w:sz w:val="24"/>
          <w:szCs w:val="24"/>
        </w:rPr>
        <w:t>The good faith</w:t>
      </w:r>
      <w:r w:rsidR="00D02B4B">
        <w:rPr>
          <w:rFonts w:cstheme="minorHAnsi"/>
          <w:sz w:val="24"/>
          <w:szCs w:val="24"/>
        </w:rPr>
        <w:t xml:space="preserve"> bargaining provisions and their</w:t>
      </w:r>
      <w:r w:rsidR="003261D1">
        <w:rPr>
          <w:rFonts w:cstheme="minorHAnsi"/>
          <w:sz w:val="24"/>
          <w:szCs w:val="24"/>
        </w:rPr>
        <w:t xml:space="preserve"> application to greenfield agreements allow</w:t>
      </w:r>
      <w:r w:rsidR="00D02B4B">
        <w:rPr>
          <w:rFonts w:cstheme="minorHAnsi"/>
          <w:sz w:val="24"/>
          <w:szCs w:val="24"/>
        </w:rPr>
        <w:t>s actual</w:t>
      </w:r>
      <w:r w:rsidR="003261D1">
        <w:rPr>
          <w:rFonts w:cstheme="minorHAnsi"/>
          <w:sz w:val="24"/>
          <w:szCs w:val="24"/>
        </w:rPr>
        <w:t xml:space="preserve"> eviden</w:t>
      </w:r>
      <w:r w:rsidR="00CC63F8">
        <w:rPr>
          <w:rFonts w:cstheme="minorHAnsi"/>
          <w:sz w:val="24"/>
          <w:szCs w:val="24"/>
        </w:rPr>
        <w:t>ce to be put before the Commission</w:t>
      </w:r>
      <w:r w:rsidR="003261D1">
        <w:rPr>
          <w:rFonts w:cstheme="minorHAnsi"/>
          <w:sz w:val="24"/>
          <w:szCs w:val="24"/>
        </w:rPr>
        <w:t xml:space="preserve"> about capricious or indeed unreasonable conduct. This has not occurred. Employer unilateralism for greenfield agreements must now be abolished</w:t>
      </w:r>
      <w:r w:rsidR="00027755">
        <w:rPr>
          <w:rFonts w:cstheme="minorHAnsi"/>
          <w:sz w:val="24"/>
          <w:szCs w:val="24"/>
        </w:rPr>
        <w:t>.</w:t>
      </w:r>
    </w:p>
    <w:p w14:paraId="1826F92C" w14:textId="77777777" w:rsidR="005F52E9" w:rsidRPr="005F52E9" w:rsidRDefault="005F52E9" w:rsidP="005F52E9">
      <w:pPr>
        <w:pStyle w:val="ListParagraph"/>
        <w:rPr>
          <w:rFonts w:cstheme="minorHAnsi"/>
          <w:sz w:val="24"/>
          <w:szCs w:val="24"/>
        </w:rPr>
      </w:pPr>
    </w:p>
    <w:p w14:paraId="2A31D4D8" w14:textId="61C43C70" w:rsidR="00B47543" w:rsidRDefault="000C3272" w:rsidP="00633C7F">
      <w:pPr>
        <w:pStyle w:val="ListParagraph"/>
        <w:numPr>
          <w:ilvl w:val="0"/>
          <w:numId w:val="2"/>
        </w:numPr>
        <w:spacing w:after="0" w:line="240" w:lineRule="auto"/>
        <w:rPr>
          <w:rFonts w:cstheme="minorHAnsi"/>
          <w:sz w:val="24"/>
          <w:szCs w:val="24"/>
        </w:rPr>
      </w:pPr>
      <w:r>
        <w:rPr>
          <w:rFonts w:cstheme="minorHAnsi"/>
          <w:sz w:val="24"/>
          <w:szCs w:val="24"/>
        </w:rPr>
        <w:t>We note the r</w:t>
      </w:r>
      <w:r w:rsidR="003261D1">
        <w:rPr>
          <w:rFonts w:cstheme="minorHAnsi"/>
          <w:sz w:val="24"/>
          <w:szCs w:val="24"/>
        </w:rPr>
        <w:t>eview</w:t>
      </w:r>
      <w:r w:rsidR="00891D9D">
        <w:rPr>
          <w:rFonts w:cstheme="minorHAnsi"/>
          <w:sz w:val="24"/>
          <w:szCs w:val="24"/>
        </w:rPr>
        <w:t>’</w:t>
      </w:r>
      <w:r w:rsidR="003261D1">
        <w:rPr>
          <w:rFonts w:cstheme="minorHAnsi"/>
          <w:sz w:val="24"/>
          <w:szCs w:val="24"/>
        </w:rPr>
        <w:t xml:space="preserve">s background paper acknowledges the position </w:t>
      </w:r>
      <w:r w:rsidR="00891D9D">
        <w:rPr>
          <w:rFonts w:cstheme="minorHAnsi"/>
          <w:sz w:val="24"/>
          <w:szCs w:val="24"/>
        </w:rPr>
        <w:t>of the P</w:t>
      </w:r>
      <w:r w:rsidR="003261D1">
        <w:rPr>
          <w:rFonts w:cstheme="minorHAnsi"/>
          <w:sz w:val="24"/>
          <w:szCs w:val="24"/>
        </w:rPr>
        <w:t>roductivit</w:t>
      </w:r>
      <w:r w:rsidR="00891D9D">
        <w:rPr>
          <w:rFonts w:cstheme="minorHAnsi"/>
          <w:sz w:val="24"/>
          <w:szCs w:val="24"/>
        </w:rPr>
        <w:t>y C</w:t>
      </w:r>
      <w:r w:rsidR="003261D1">
        <w:rPr>
          <w:rFonts w:cstheme="minorHAnsi"/>
          <w:sz w:val="24"/>
          <w:szCs w:val="24"/>
        </w:rPr>
        <w:t xml:space="preserve">ommission in rejecting a return to </w:t>
      </w:r>
      <w:r w:rsidR="00891D9D">
        <w:rPr>
          <w:rFonts w:cstheme="minorHAnsi"/>
          <w:sz w:val="24"/>
          <w:szCs w:val="24"/>
        </w:rPr>
        <w:t>the ‘</w:t>
      </w:r>
      <w:r w:rsidR="00271B6D">
        <w:rPr>
          <w:rFonts w:cstheme="minorHAnsi"/>
          <w:sz w:val="24"/>
          <w:szCs w:val="24"/>
        </w:rPr>
        <w:t>W</w:t>
      </w:r>
      <w:r w:rsidR="00891D9D">
        <w:rPr>
          <w:rFonts w:cstheme="minorHAnsi"/>
          <w:sz w:val="24"/>
          <w:szCs w:val="24"/>
        </w:rPr>
        <w:t xml:space="preserve">orkchoices’ era of </w:t>
      </w:r>
      <w:r w:rsidR="003261D1">
        <w:rPr>
          <w:rFonts w:cstheme="minorHAnsi"/>
          <w:sz w:val="24"/>
          <w:szCs w:val="24"/>
        </w:rPr>
        <w:t>employer unilateralism for greenfield agreements</w:t>
      </w:r>
      <w:r w:rsidR="003261D1">
        <w:rPr>
          <w:rStyle w:val="FootnoteReference"/>
          <w:rFonts w:cstheme="minorHAnsi"/>
          <w:sz w:val="24"/>
          <w:szCs w:val="24"/>
        </w:rPr>
        <w:footnoteReference w:id="8"/>
      </w:r>
      <w:r w:rsidR="003261D1">
        <w:rPr>
          <w:rFonts w:cstheme="minorHAnsi"/>
          <w:sz w:val="24"/>
          <w:szCs w:val="24"/>
        </w:rPr>
        <w:t xml:space="preserve">. Having regard to the failure, </w:t>
      </w:r>
      <w:r w:rsidR="00027755">
        <w:rPr>
          <w:rFonts w:cstheme="minorHAnsi"/>
          <w:sz w:val="24"/>
          <w:szCs w:val="24"/>
        </w:rPr>
        <w:t xml:space="preserve">as noted above, </w:t>
      </w:r>
      <w:r w:rsidR="003261D1">
        <w:rPr>
          <w:rFonts w:cstheme="minorHAnsi"/>
          <w:sz w:val="24"/>
          <w:szCs w:val="24"/>
        </w:rPr>
        <w:t>for employers to provide any evidence of unreasonable conduct in bargaining</w:t>
      </w:r>
      <w:r w:rsidR="00CC63F8">
        <w:rPr>
          <w:rFonts w:cstheme="minorHAnsi"/>
          <w:sz w:val="24"/>
          <w:szCs w:val="24"/>
        </w:rPr>
        <w:t xml:space="preserve"> for greenfield</w:t>
      </w:r>
      <w:r w:rsidR="00B7315F">
        <w:rPr>
          <w:rFonts w:cstheme="minorHAnsi"/>
          <w:sz w:val="24"/>
          <w:szCs w:val="24"/>
        </w:rPr>
        <w:t xml:space="preserve"> agreements</w:t>
      </w:r>
      <w:r w:rsidR="003261D1">
        <w:rPr>
          <w:rFonts w:cstheme="minorHAnsi"/>
          <w:sz w:val="24"/>
          <w:szCs w:val="24"/>
        </w:rPr>
        <w:t xml:space="preserve"> the other measure</w:t>
      </w:r>
      <w:r>
        <w:rPr>
          <w:rFonts w:cstheme="minorHAnsi"/>
          <w:sz w:val="24"/>
          <w:szCs w:val="24"/>
        </w:rPr>
        <w:t>s</w:t>
      </w:r>
      <w:r w:rsidR="003261D1">
        <w:rPr>
          <w:rFonts w:cstheme="minorHAnsi"/>
          <w:sz w:val="24"/>
          <w:szCs w:val="24"/>
        </w:rPr>
        <w:t xml:space="preserve"> proposed by the </w:t>
      </w:r>
      <w:r>
        <w:rPr>
          <w:rFonts w:cstheme="minorHAnsi"/>
          <w:sz w:val="24"/>
          <w:szCs w:val="24"/>
        </w:rPr>
        <w:t>P</w:t>
      </w:r>
      <w:r w:rsidR="003261D1">
        <w:rPr>
          <w:rFonts w:cstheme="minorHAnsi"/>
          <w:sz w:val="24"/>
          <w:szCs w:val="24"/>
        </w:rPr>
        <w:t xml:space="preserve">roductivity </w:t>
      </w:r>
      <w:r>
        <w:rPr>
          <w:rFonts w:cstheme="minorHAnsi"/>
          <w:sz w:val="24"/>
          <w:szCs w:val="24"/>
        </w:rPr>
        <w:t>C</w:t>
      </w:r>
      <w:r w:rsidR="00027755">
        <w:rPr>
          <w:rFonts w:cstheme="minorHAnsi"/>
          <w:sz w:val="24"/>
          <w:szCs w:val="24"/>
        </w:rPr>
        <w:t xml:space="preserve">ommission are without merit and are simply variations on </w:t>
      </w:r>
      <w:r w:rsidR="00D61179">
        <w:rPr>
          <w:rFonts w:cstheme="minorHAnsi"/>
          <w:sz w:val="24"/>
          <w:szCs w:val="24"/>
        </w:rPr>
        <w:t>e</w:t>
      </w:r>
      <w:r w:rsidR="00027755">
        <w:rPr>
          <w:rFonts w:cstheme="minorHAnsi"/>
          <w:sz w:val="24"/>
          <w:szCs w:val="24"/>
        </w:rPr>
        <w:t xml:space="preserve">mployer unilateralism, </w:t>
      </w:r>
      <w:r w:rsidR="00271B6D">
        <w:rPr>
          <w:rFonts w:cstheme="minorHAnsi"/>
          <w:sz w:val="24"/>
          <w:szCs w:val="24"/>
        </w:rPr>
        <w:t xml:space="preserve">albeit </w:t>
      </w:r>
      <w:r w:rsidR="00027755">
        <w:rPr>
          <w:rFonts w:cstheme="minorHAnsi"/>
          <w:sz w:val="24"/>
          <w:szCs w:val="24"/>
        </w:rPr>
        <w:t xml:space="preserve">a step back from the </w:t>
      </w:r>
      <w:r w:rsidR="00271B6D">
        <w:rPr>
          <w:rFonts w:cstheme="minorHAnsi"/>
          <w:sz w:val="24"/>
          <w:szCs w:val="24"/>
        </w:rPr>
        <w:t>W</w:t>
      </w:r>
      <w:r w:rsidR="00027755">
        <w:rPr>
          <w:rFonts w:cstheme="minorHAnsi"/>
          <w:sz w:val="24"/>
          <w:szCs w:val="24"/>
        </w:rPr>
        <w:t>orkchoices regime.</w:t>
      </w:r>
    </w:p>
    <w:p w14:paraId="54BF1D5D" w14:textId="77777777" w:rsidR="003261D1" w:rsidRPr="003261D1" w:rsidRDefault="003261D1" w:rsidP="003261D1">
      <w:pPr>
        <w:pStyle w:val="ListParagraph"/>
        <w:rPr>
          <w:rFonts w:cstheme="minorHAnsi"/>
          <w:sz w:val="24"/>
          <w:szCs w:val="24"/>
        </w:rPr>
      </w:pPr>
    </w:p>
    <w:p w14:paraId="4908A230" w14:textId="77777777" w:rsidR="006800FB" w:rsidRDefault="00643175" w:rsidP="00623896">
      <w:pPr>
        <w:pStyle w:val="ListParagraph"/>
        <w:numPr>
          <w:ilvl w:val="0"/>
          <w:numId w:val="2"/>
        </w:numPr>
        <w:spacing w:after="0" w:line="240" w:lineRule="auto"/>
        <w:rPr>
          <w:rFonts w:cstheme="minorHAnsi"/>
          <w:sz w:val="24"/>
          <w:szCs w:val="24"/>
        </w:rPr>
      </w:pPr>
      <w:r>
        <w:rPr>
          <w:rFonts w:cstheme="minorHAnsi"/>
          <w:sz w:val="24"/>
          <w:szCs w:val="24"/>
        </w:rPr>
        <w:t>E</w:t>
      </w:r>
      <w:r w:rsidR="003261D1">
        <w:rPr>
          <w:rFonts w:cstheme="minorHAnsi"/>
          <w:sz w:val="24"/>
          <w:szCs w:val="24"/>
        </w:rPr>
        <w:t>mployer groups have engaged with the</w:t>
      </w:r>
      <w:r w:rsidR="00891D9D">
        <w:rPr>
          <w:rFonts w:cstheme="minorHAnsi"/>
          <w:sz w:val="24"/>
          <w:szCs w:val="24"/>
        </w:rPr>
        <w:t xml:space="preserve"> good faith bargaining regime</w:t>
      </w:r>
      <w:r w:rsidR="003261D1">
        <w:rPr>
          <w:rFonts w:cstheme="minorHAnsi"/>
          <w:sz w:val="24"/>
          <w:szCs w:val="24"/>
        </w:rPr>
        <w:t xml:space="preserve"> </w:t>
      </w:r>
      <w:r w:rsidR="00891D9D">
        <w:rPr>
          <w:rFonts w:cstheme="minorHAnsi"/>
          <w:sz w:val="24"/>
          <w:szCs w:val="24"/>
        </w:rPr>
        <w:t xml:space="preserve">in the </w:t>
      </w:r>
      <w:r w:rsidR="00891D9D" w:rsidRPr="00891D9D">
        <w:rPr>
          <w:rFonts w:cstheme="minorHAnsi"/>
          <w:i/>
          <w:sz w:val="24"/>
          <w:szCs w:val="24"/>
        </w:rPr>
        <w:t>Fair Work Act</w:t>
      </w:r>
      <w:r w:rsidR="00891D9D">
        <w:rPr>
          <w:rFonts w:cstheme="minorHAnsi"/>
          <w:sz w:val="24"/>
          <w:szCs w:val="24"/>
        </w:rPr>
        <w:t xml:space="preserve"> </w:t>
      </w:r>
      <w:r w:rsidR="003261D1">
        <w:rPr>
          <w:rFonts w:cstheme="minorHAnsi"/>
          <w:sz w:val="24"/>
          <w:szCs w:val="24"/>
        </w:rPr>
        <w:t>in their advocacy regarding the JJ Richards Case</w:t>
      </w:r>
      <w:r w:rsidR="00C4365E">
        <w:rPr>
          <w:rStyle w:val="FootnoteReference"/>
          <w:rFonts w:cstheme="minorHAnsi"/>
          <w:sz w:val="24"/>
          <w:szCs w:val="24"/>
        </w:rPr>
        <w:footnoteReference w:id="9"/>
      </w:r>
      <w:r w:rsidR="00CC63F8">
        <w:rPr>
          <w:rFonts w:cstheme="minorHAnsi"/>
          <w:sz w:val="24"/>
          <w:szCs w:val="24"/>
        </w:rPr>
        <w:t xml:space="preserve"> (</w:t>
      </w:r>
      <w:r w:rsidR="003261D1">
        <w:rPr>
          <w:rFonts w:cstheme="minorHAnsi"/>
          <w:sz w:val="24"/>
          <w:szCs w:val="24"/>
        </w:rPr>
        <w:t xml:space="preserve">which was wrongly labelled as </w:t>
      </w:r>
      <w:r w:rsidR="000C3272">
        <w:rPr>
          <w:rFonts w:cstheme="minorHAnsi"/>
          <w:sz w:val="24"/>
          <w:szCs w:val="24"/>
        </w:rPr>
        <w:t>‘</w:t>
      </w:r>
      <w:r w:rsidR="003261D1">
        <w:rPr>
          <w:rFonts w:cstheme="minorHAnsi"/>
          <w:sz w:val="24"/>
          <w:szCs w:val="24"/>
        </w:rPr>
        <w:t>strike first talk later</w:t>
      </w:r>
      <w:r w:rsidR="000C3272">
        <w:rPr>
          <w:rFonts w:cstheme="minorHAnsi"/>
          <w:sz w:val="24"/>
          <w:szCs w:val="24"/>
        </w:rPr>
        <w:t>’</w:t>
      </w:r>
      <w:r w:rsidR="003261D1">
        <w:rPr>
          <w:rStyle w:val="FootnoteReference"/>
          <w:rFonts w:cstheme="minorHAnsi"/>
          <w:sz w:val="24"/>
          <w:szCs w:val="24"/>
        </w:rPr>
        <w:footnoteReference w:id="10"/>
      </w:r>
      <w:r w:rsidR="00CC63F8">
        <w:rPr>
          <w:rFonts w:cstheme="minorHAnsi"/>
          <w:sz w:val="24"/>
          <w:szCs w:val="24"/>
        </w:rPr>
        <w:t>)</w:t>
      </w:r>
      <w:r w:rsidR="00C4365E">
        <w:rPr>
          <w:rFonts w:cstheme="minorHAnsi"/>
          <w:sz w:val="24"/>
          <w:szCs w:val="24"/>
        </w:rPr>
        <w:t xml:space="preserve"> in seeking </w:t>
      </w:r>
      <w:r w:rsidR="00271B6D">
        <w:rPr>
          <w:rFonts w:cstheme="minorHAnsi"/>
          <w:sz w:val="24"/>
          <w:szCs w:val="24"/>
        </w:rPr>
        <w:t xml:space="preserve">that </w:t>
      </w:r>
      <w:r w:rsidR="00C4365E">
        <w:rPr>
          <w:rFonts w:cstheme="minorHAnsi"/>
          <w:sz w:val="24"/>
          <w:szCs w:val="24"/>
        </w:rPr>
        <w:t>bargaining occur before the capacity to strike is engaged</w:t>
      </w:r>
      <w:r>
        <w:rPr>
          <w:rFonts w:cstheme="minorHAnsi"/>
          <w:sz w:val="24"/>
          <w:szCs w:val="24"/>
        </w:rPr>
        <w:t>. The provisions</w:t>
      </w:r>
      <w:r w:rsidR="00891D9D">
        <w:rPr>
          <w:rFonts w:cstheme="minorHAnsi"/>
          <w:sz w:val="24"/>
          <w:szCs w:val="24"/>
        </w:rPr>
        <w:t xml:space="preserve"> are thus broadly accepted by stakeholders and </w:t>
      </w:r>
      <w:r>
        <w:rPr>
          <w:rFonts w:cstheme="minorHAnsi"/>
          <w:sz w:val="24"/>
          <w:szCs w:val="24"/>
        </w:rPr>
        <w:t>ensure</w:t>
      </w:r>
      <w:r w:rsidR="00623896">
        <w:rPr>
          <w:rFonts w:cstheme="minorHAnsi"/>
          <w:sz w:val="24"/>
          <w:szCs w:val="24"/>
        </w:rPr>
        <w:t>s</w:t>
      </w:r>
      <w:r w:rsidR="00C4365E">
        <w:rPr>
          <w:rFonts w:cstheme="minorHAnsi"/>
          <w:sz w:val="24"/>
          <w:szCs w:val="24"/>
        </w:rPr>
        <w:t xml:space="preserve"> </w:t>
      </w:r>
      <w:r>
        <w:rPr>
          <w:rFonts w:cstheme="minorHAnsi"/>
          <w:sz w:val="24"/>
          <w:szCs w:val="24"/>
        </w:rPr>
        <w:t>that g</w:t>
      </w:r>
      <w:r w:rsidR="00C4365E">
        <w:rPr>
          <w:rFonts w:cstheme="minorHAnsi"/>
          <w:sz w:val="24"/>
          <w:szCs w:val="24"/>
        </w:rPr>
        <w:t>ood faith bargaining must occur</w:t>
      </w:r>
      <w:r w:rsidR="00B7315F">
        <w:rPr>
          <w:rFonts w:cstheme="minorHAnsi"/>
          <w:sz w:val="24"/>
          <w:szCs w:val="24"/>
        </w:rPr>
        <w:t xml:space="preserve"> and if it is not occurring there are simple and easily accessible measure</w:t>
      </w:r>
      <w:r w:rsidR="00027755">
        <w:rPr>
          <w:rFonts w:cstheme="minorHAnsi"/>
          <w:sz w:val="24"/>
          <w:szCs w:val="24"/>
        </w:rPr>
        <w:t>s</w:t>
      </w:r>
      <w:r w:rsidR="00B7315F">
        <w:rPr>
          <w:rFonts w:cstheme="minorHAnsi"/>
          <w:sz w:val="24"/>
          <w:szCs w:val="24"/>
        </w:rPr>
        <w:t xml:space="preserve"> to gain relief through the good faith bargaining rules and the Fair Work Commission</w:t>
      </w:r>
      <w:r w:rsidR="00C4365E">
        <w:rPr>
          <w:rFonts w:cstheme="minorHAnsi"/>
          <w:sz w:val="24"/>
          <w:szCs w:val="24"/>
        </w:rPr>
        <w:t xml:space="preserve">. Employers seeking greenfield agreements </w:t>
      </w:r>
      <w:r w:rsidR="00891D9D">
        <w:rPr>
          <w:rFonts w:cstheme="minorHAnsi"/>
          <w:sz w:val="24"/>
          <w:szCs w:val="24"/>
        </w:rPr>
        <w:t xml:space="preserve">should require nothing more. We </w:t>
      </w:r>
      <w:r w:rsidR="00C4365E">
        <w:rPr>
          <w:rFonts w:cstheme="minorHAnsi"/>
          <w:sz w:val="24"/>
          <w:szCs w:val="24"/>
        </w:rPr>
        <w:t xml:space="preserve">note despite the now questionable assertions of capricious conduct there was no evidence </w:t>
      </w:r>
    </w:p>
    <w:p w14:paraId="78092FD2" w14:textId="77777777" w:rsidR="006800FB" w:rsidRPr="006800FB" w:rsidRDefault="006800FB" w:rsidP="006800FB">
      <w:pPr>
        <w:pStyle w:val="ListParagraph"/>
        <w:rPr>
          <w:rFonts w:cstheme="minorHAnsi"/>
          <w:sz w:val="24"/>
          <w:szCs w:val="24"/>
        </w:rPr>
      </w:pPr>
    </w:p>
    <w:p w14:paraId="42D649C8" w14:textId="278C3637" w:rsidR="003261D1" w:rsidRPr="00623896" w:rsidRDefault="00C4365E" w:rsidP="006800FB">
      <w:pPr>
        <w:pStyle w:val="ListParagraph"/>
        <w:spacing w:after="0" w:line="240" w:lineRule="auto"/>
        <w:ind w:left="360"/>
        <w:rPr>
          <w:rFonts w:cstheme="minorHAnsi"/>
          <w:sz w:val="24"/>
          <w:szCs w:val="24"/>
        </w:rPr>
      </w:pPr>
      <w:r>
        <w:rPr>
          <w:rFonts w:cstheme="minorHAnsi"/>
          <w:sz w:val="24"/>
          <w:szCs w:val="24"/>
        </w:rPr>
        <w:t>of any project not proceeding by wa</w:t>
      </w:r>
      <w:r w:rsidR="00643175">
        <w:rPr>
          <w:rFonts w:cstheme="minorHAnsi"/>
          <w:sz w:val="24"/>
          <w:szCs w:val="24"/>
        </w:rPr>
        <w:t xml:space="preserve">nt of an agreement in the 2012 </w:t>
      </w:r>
      <w:r>
        <w:rPr>
          <w:rFonts w:cstheme="minorHAnsi"/>
          <w:sz w:val="24"/>
          <w:szCs w:val="24"/>
        </w:rPr>
        <w:t>Fair Work Act Review</w:t>
      </w:r>
      <w:r>
        <w:rPr>
          <w:rStyle w:val="FootnoteReference"/>
          <w:rFonts w:cstheme="minorHAnsi"/>
          <w:sz w:val="24"/>
          <w:szCs w:val="24"/>
        </w:rPr>
        <w:footnoteReference w:id="11"/>
      </w:r>
      <w:r w:rsidR="00891D9D">
        <w:rPr>
          <w:rFonts w:cstheme="minorHAnsi"/>
          <w:sz w:val="24"/>
          <w:szCs w:val="24"/>
        </w:rPr>
        <w:t>. Regardless</w:t>
      </w:r>
      <w:r w:rsidR="00271B6D">
        <w:rPr>
          <w:rFonts w:cstheme="minorHAnsi"/>
          <w:sz w:val="24"/>
          <w:szCs w:val="24"/>
        </w:rPr>
        <w:t>,</w:t>
      </w:r>
      <w:r w:rsidR="00891D9D">
        <w:rPr>
          <w:rFonts w:cstheme="minorHAnsi"/>
          <w:sz w:val="24"/>
          <w:szCs w:val="24"/>
        </w:rPr>
        <w:t xml:space="preserve"> </w:t>
      </w:r>
      <w:r w:rsidR="00891D9D" w:rsidRPr="00623896">
        <w:rPr>
          <w:rFonts w:cstheme="minorHAnsi"/>
          <w:sz w:val="24"/>
          <w:szCs w:val="24"/>
        </w:rPr>
        <w:t>employe</w:t>
      </w:r>
      <w:r w:rsidR="00D16B09" w:rsidRPr="00623896">
        <w:rPr>
          <w:rFonts w:cstheme="minorHAnsi"/>
          <w:sz w:val="24"/>
          <w:szCs w:val="24"/>
        </w:rPr>
        <w:t>r unilateralism</w:t>
      </w:r>
      <w:r w:rsidR="00271B6D">
        <w:rPr>
          <w:rFonts w:cstheme="minorHAnsi"/>
          <w:sz w:val="24"/>
          <w:szCs w:val="24"/>
        </w:rPr>
        <w:t>,</w:t>
      </w:r>
      <w:r w:rsidR="00D16B09" w:rsidRPr="00623896">
        <w:rPr>
          <w:rFonts w:cstheme="minorHAnsi"/>
          <w:sz w:val="24"/>
          <w:szCs w:val="24"/>
        </w:rPr>
        <w:t xml:space="preserve"> is </w:t>
      </w:r>
      <w:r w:rsidR="00271B6D">
        <w:rPr>
          <w:rFonts w:cstheme="minorHAnsi"/>
          <w:sz w:val="24"/>
          <w:szCs w:val="24"/>
        </w:rPr>
        <w:t xml:space="preserve">not </w:t>
      </w:r>
      <w:r w:rsidR="00D16B09" w:rsidRPr="00623896">
        <w:rPr>
          <w:rFonts w:cstheme="minorHAnsi"/>
          <w:sz w:val="24"/>
          <w:szCs w:val="24"/>
        </w:rPr>
        <w:t>the solution</w:t>
      </w:r>
      <w:r w:rsidR="00891D9D" w:rsidRPr="00623896">
        <w:rPr>
          <w:rFonts w:cstheme="minorHAnsi"/>
          <w:sz w:val="24"/>
          <w:szCs w:val="24"/>
        </w:rPr>
        <w:t xml:space="preserve"> to any assertion of bad faith bargaining for all stakeholders involved in the pursuit of a greenfield agreement.</w:t>
      </w:r>
    </w:p>
    <w:p w14:paraId="31D9650F" w14:textId="77777777" w:rsidR="00200D11" w:rsidRPr="00200D11" w:rsidRDefault="00200D11" w:rsidP="00200D11">
      <w:pPr>
        <w:pStyle w:val="ListParagraph"/>
        <w:rPr>
          <w:rFonts w:cstheme="minorHAnsi"/>
          <w:sz w:val="24"/>
          <w:szCs w:val="24"/>
        </w:rPr>
      </w:pPr>
    </w:p>
    <w:p w14:paraId="7C06BD66" w14:textId="703E0912" w:rsidR="00200D11" w:rsidRDefault="00200D11" w:rsidP="00200D11">
      <w:pPr>
        <w:pStyle w:val="ListParagraph"/>
        <w:numPr>
          <w:ilvl w:val="0"/>
          <w:numId w:val="2"/>
        </w:numPr>
        <w:spacing w:after="0" w:line="240" w:lineRule="auto"/>
        <w:rPr>
          <w:rFonts w:cstheme="minorHAnsi"/>
          <w:sz w:val="24"/>
          <w:szCs w:val="24"/>
        </w:rPr>
      </w:pPr>
      <w:r>
        <w:rPr>
          <w:rFonts w:cstheme="minorHAnsi"/>
          <w:sz w:val="24"/>
          <w:szCs w:val="24"/>
        </w:rPr>
        <w:t xml:space="preserve">In response to the outcome of the 2015 amendments to the </w:t>
      </w:r>
      <w:r w:rsidRPr="00D02B4B">
        <w:rPr>
          <w:rFonts w:cstheme="minorHAnsi"/>
          <w:i/>
          <w:sz w:val="24"/>
          <w:szCs w:val="24"/>
        </w:rPr>
        <w:t>Fair Work Act</w:t>
      </w:r>
      <w:r>
        <w:rPr>
          <w:rFonts w:cstheme="minorHAnsi"/>
          <w:sz w:val="24"/>
          <w:szCs w:val="24"/>
        </w:rPr>
        <w:t>, the CFMEU, as the primary organisation representing greenfield employees</w:t>
      </w:r>
      <w:r w:rsidR="00663E06">
        <w:rPr>
          <w:rFonts w:cstheme="minorHAnsi"/>
          <w:sz w:val="24"/>
          <w:szCs w:val="24"/>
        </w:rPr>
        <w:t>,</w:t>
      </w:r>
      <w:r>
        <w:rPr>
          <w:rFonts w:cstheme="minorHAnsi"/>
          <w:sz w:val="24"/>
          <w:szCs w:val="24"/>
        </w:rPr>
        <w:t xml:space="preserve"> seeks this review recommend the </w:t>
      </w:r>
      <w:r w:rsidR="00492D9C">
        <w:rPr>
          <w:rFonts w:cstheme="minorHAnsi"/>
          <w:sz w:val="24"/>
          <w:szCs w:val="24"/>
        </w:rPr>
        <w:t xml:space="preserve">repeal </w:t>
      </w:r>
      <w:r>
        <w:rPr>
          <w:rFonts w:cstheme="minorHAnsi"/>
          <w:sz w:val="24"/>
          <w:szCs w:val="24"/>
        </w:rPr>
        <w:t>of section 182 (4)</w:t>
      </w:r>
      <w:r w:rsidR="00663E06">
        <w:rPr>
          <w:rFonts w:cstheme="minorHAnsi"/>
          <w:sz w:val="24"/>
          <w:szCs w:val="24"/>
        </w:rPr>
        <w:t xml:space="preserve"> of the </w:t>
      </w:r>
      <w:r w:rsidR="00663E06">
        <w:rPr>
          <w:rFonts w:cstheme="minorHAnsi"/>
          <w:i/>
          <w:sz w:val="24"/>
          <w:szCs w:val="24"/>
        </w:rPr>
        <w:t>Fair Work Act</w:t>
      </w:r>
      <w:r>
        <w:rPr>
          <w:rFonts w:cstheme="minorHAnsi"/>
          <w:sz w:val="24"/>
          <w:szCs w:val="24"/>
        </w:rPr>
        <w:t>.</w:t>
      </w:r>
    </w:p>
    <w:p w14:paraId="299CE0CD" w14:textId="77777777" w:rsidR="00200D11" w:rsidRPr="00200D11" w:rsidRDefault="00200D11" w:rsidP="00200D11">
      <w:pPr>
        <w:spacing w:after="0" w:line="240" w:lineRule="auto"/>
        <w:rPr>
          <w:rFonts w:cstheme="minorHAnsi"/>
          <w:sz w:val="24"/>
          <w:szCs w:val="24"/>
        </w:rPr>
      </w:pPr>
    </w:p>
    <w:p w14:paraId="0C16DBEA" w14:textId="77777777" w:rsidR="00643175" w:rsidRDefault="00643073" w:rsidP="00134FB8">
      <w:pPr>
        <w:pStyle w:val="Heading1"/>
      </w:pPr>
      <w:r>
        <w:t xml:space="preserve">Other issues </w:t>
      </w:r>
      <w:r w:rsidR="00643175">
        <w:t>in regard to greenfield agreements</w:t>
      </w:r>
    </w:p>
    <w:p w14:paraId="778EDD62" w14:textId="5596918F" w:rsidR="000F7266" w:rsidRDefault="00643073" w:rsidP="00633C7F">
      <w:pPr>
        <w:pStyle w:val="ListParagraph"/>
        <w:numPr>
          <w:ilvl w:val="0"/>
          <w:numId w:val="2"/>
        </w:numPr>
        <w:spacing w:after="0" w:line="240" w:lineRule="auto"/>
        <w:rPr>
          <w:rFonts w:cstheme="minorHAnsi"/>
          <w:sz w:val="24"/>
          <w:szCs w:val="24"/>
        </w:rPr>
      </w:pPr>
      <w:r>
        <w:rPr>
          <w:rFonts w:cstheme="minorHAnsi"/>
          <w:sz w:val="24"/>
          <w:szCs w:val="24"/>
        </w:rPr>
        <w:t>The CFMEU has serious</w:t>
      </w:r>
      <w:r w:rsidR="00D02B4B">
        <w:rPr>
          <w:rFonts w:cstheme="minorHAnsi"/>
          <w:sz w:val="24"/>
          <w:szCs w:val="24"/>
        </w:rPr>
        <w:t xml:space="preserve"> concerns with what has</w:t>
      </w:r>
      <w:r w:rsidR="00643175">
        <w:rPr>
          <w:rFonts w:cstheme="minorHAnsi"/>
          <w:sz w:val="24"/>
          <w:szCs w:val="24"/>
        </w:rPr>
        <w:t xml:space="preserve"> been termed</w:t>
      </w:r>
      <w:r w:rsidR="00D02B4B">
        <w:rPr>
          <w:rFonts w:cstheme="minorHAnsi"/>
          <w:sz w:val="24"/>
          <w:szCs w:val="24"/>
        </w:rPr>
        <w:t>,</w:t>
      </w:r>
      <w:r w:rsidR="00643175">
        <w:rPr>
          <w:rFonts w:cstheme="minorHAnsi"/>
          <w:sz w:val="24"/>
          <w:szCs w:val="24"/>
        </w:rPr>
        <w:t xml:space="preserve"> ‘brownfield agreements’</w:t>
      </w:r>
      <w:r w:rsidR="003E6087">
        <w:rPr>
          <w:rStyle w:val="FootnoteReference"/>
          <w:rFonts w:cstheme="minorHAnsi"/>
          <w:sz w:val="24"/>
          <w:szCs w:val="24"/>
        </w:rPr>
        <w:footnoteReference w:id="12"/>
      </w:r>
      <w:r w:rsidR="00D02B4B">
        <w:rPr>
          <w:rFonts w:cstheme="minorHAnsi"/>
          <w:sz w:val="24"/>
          <w:szCs w:val="24"/>
        </w:rPr>
        <w:t>,</w:t>
      </w:r>
      <w:r w:rsidR="00643175">
        <w:rPr>
          <w:rFonts w:cstheme="minorHAnsi"/>
          <w:sz w:val="24"/>
          <w:szCs w:val="24"/>
        </w:rPr>
        <w:t xml:space="preserve"> that is agreements that have nominal employees in comparison to the scope and coverage of the agreement being sought. </w:t>
      </w:r>
      <w:r w:rsidR="003E6087">
        <w:rPr>
          <w:rFonts w:cstheme="minorHAnsi"/>
          <w:sz w:val="24"/>
          <w:szCs w:val="24"/>
        </w:rPr>
        <w:t>Following t</w:t>
      </w:r>
      <w:r w:rsidR="00643175">
        <w:rPr>
          <w:rFonts w:cstheme="minorHAnsi"/>
          <w:sz w:val="24"/>
          <w:szCs w:val="24"/>
        </w:rPr>
        <w:t xml:space="preserve">he </w:t>
      </w:r>
      <w:r w:rsidR="00643175" w:rsidRPr="00663E06">
        <w:rPr>
          <w:rFonts w:cstheme="minorHAnsi"/>
          <w:i/>
          <w:sz w:val="24"/>
          <w:szCs w:val="24"/>
        </w:rPr>
        <w:t>John Holland</w:t>
      </w:r>
      <w:r w:rsidR="00643175">
        <w:rPr>
          <w:rFonts w:cstheme="minorHAnsi"/>
          <w:sz w:val="24"/>
          <w:szCs w:val="24"/>
        </w:rPr>
        <w:t xml:space="preserve"> case</w:t>
      </w:r>
      <w:r>
        <w:rPr>
          <w:rStyle w:val="FootnoteReference"/>
          <w:rFonts w:cstheme="minorHAnsi"/>
          <w:sz w:val="24"/>
          <w:szCs w:val="24"/>
        </w:rPr>
        <w:footnoteReference w:id="13"/>
      </w:r>
      <w:r w:rsidR="00723EA0">
        <w:rPr>
          <w:rFonts w:cstheme="minorHAnsi"/>
          <w:sz w:val="24"/>
          <w:szCs w:val="24"/>
        </w:rPr>
        <w:t xml:space="preserve">, </w:t>
      </w:r>
      <w:r w:rsidR="00BD19B5">
        <w:rPr>
          <w:rFonts w:cstheme="minorHAnsi"/>
          <w:sz w:val="24"/>
          <w:szCs w:val="24"/>
        </w:rPr>
        <w:t>probably the</w:t>
      </w:r>
      <w:r w:rsidR="00CC63F8">
        <w:rPr>
          <w:rFonts w:cstheme="minorHAnsi"/>
          <w:sz w:val="24"/>
          <w:szCs w:val="24"/>
        </w:rPr>
        <w:t xml:space="preserve"> sem</w:t>
      </w:r>
      <w:r w:rsidR="003E6087">
        <w:rPr>
          <w:rFonts w:cstheme="minorHAnsi"/>
          <w:sz w:val="24"/>
          <w:szCs w:val="24"/>
        </w:rPr>
        <w:t xml:space="preserve">inal case </w:t>
      </w:r>
      <w:r w:rsidR="00BD19B5">
        <w:rPr>
          <w:rFonts w:cstheme="minorHAnsi"/>
          <w:sz w:val="24"/>
          <w:szCs w:val="24"/>
        </w:rPr>
        <w:t>in dealing</w:t>
      </w:r>
      <w:r w:rsidR="00643175">
        <w:rPr>
          <w:rFonts w:cstheme="minorHAnsi"/>
          <w:sz w:val="24"/>
          <w:szCs w:val="24"/>
        </w:rPr>
        <w:t xml:space="preserve"> with the </w:t>
      </w:r>
      <w:r w:rsidR="00CC63F8">
        <w:rPr>
          <w:rFonts w:cstheme="minorHAnsi"/>
          <w:sz w:val="24"/>
          <w:szCs w:val="24"/>
        </w:rPr>
        <w:t xml:space="preserve">requirement for the employee cohort in an agreement to be </w:t>
      </w:r>
      <w:r w:rsidR="003E6087">
        <w:rPr>
          <w:rFonts w:cstheme="minorHAnsi"/>
          <w:sz w:val="24"/>
          <w:szCs w:val="24"/>
        </w:rPr>
        <w:t>fairly chosen, w</w:t>
      </w:r>
      <w:r w:rsidR="00643175">
        <w:rPr>
          <w:rFonts w:cstheme="minorHAnsi"/>
          <w:sz w:val="24"/>
          <w:szCs w:val="24"/>
        </w:rPr>
        <w:t>e have un</w:t>
      </w:r>
      <w:r w:rsidR="008D4F25">
        <w:rPr>
          <w:rFonts w:cstheme="minorHAnsi"/>
          <w:sz w:val="24"/>
          <w:szCs w:val="24"/>
        </w:rPr>
        <w:t xml:space="preserve">fortunately seen employers placing reliance on </w:t>
      </w:r>
      <w:r w:rsidR="008D4F25" w:rsidRPr="008D4F25">
        <w:rPr>
          <w:rFonts w:cstheme="minorHAnsi"/>
          <w:i/>
          <w:sz w:val="24"/>
          <w:szCs w:val="24"/>
        </w:rPr>
        <w:t>John Holland</w:t>
      </w:r>
      <w:r w:rsidR="008D4F25">
        <w:rPr>
          <w:rFonts w:cstheme="minorHAnsi"/>
          <w:sz w:val="24"/>
          <w:szCs w:val="24"/>
        </w:rPr>
        <w:t xml:space="preserve"> to act to manipulate th</w:t>
      </w:r>
      <w:r w:rsidR="00723EA0">
        <w:rPr>
          <w:rFonts w:cstheme="minorHAnsi"/>
          <w:sz w:val="24"/>
          <w:szCs w:val="24"/>
        </w:rPr>
        <w:t>e bargaining process</w:t>
      </w:r>
      <w:r w:rsidR="003E6087">
        <w:rPr>
          <w:rFonts w:cstheme="minorHAnsi"/>
          <w:sz w:val="24"/>
          <w:szCs w:val="24"/>
        </w:rPr>
        <w:t>. To ‘</w:t>
      </w:r>
      <w:r w:rsidR="008D4F25">
        <w:rPr>
          <w:rFonts w:cstheme="minorHAnsi"/>
          <w:sz w:val="24"/>
          <w:szCs w:val="24"/>
        </w:rPr>
        <w:t>game the system</w:t>
      </w:r>
      <w:r w:rsidR="003E6087">
        <w:rPr>
          <w:rFonts w:cstheme="minorHAnsi"/>
          <w:sz w:val="24"/>
          <w:szCs w:val="24"/>
        </w:rPr>
        <w:t>’</w:t>
      </w:r>
      <w:r w:rsidR="00027755">
        <w:rPr>
          <w:rFonts w:cstheme="minorHAnsi"/>
          <w:sz w:val="24"/>
          <w:szCs w:val="24"/>
        </w:rPr>
        <w:t>,</w:t>
      </w:r>
      <w:r w:rsidR="008D4F25">
        <w:rPr>
          <w:rFonts w:cstheme="minorHAnsi"/>
          <w:sz w:val="24"/>
          <w:szCs w:val="24"/>
        </w:rPr>
        <w:t xml:space="preserve"> by making agreements with a small number of employees (sometimes handpicked) to seek to secure agreement</w:t>
      </w:r>
      <w:r w:rsidR="000C3272">
        <w:rPr>
          <w:rFonts w:cstheme="minorHAnsi"/>
          <w:sz w:val="24"/>
          <w:szCs w:val="24"/>
        </w:rPr>
        <w:t>s</w:t>
      </w:r>
      <w:r w:rsidR="008D4F25">
        <w:rPr>
          <w:rFonts w:cstheme="minorHAnsi"/>
          <w:sz w:val="24"/>
          <w:szCs w:val="24"/>
        </w:rPr>
        <w:t xml:space="preserve"> with massive </w:t>
      </w:r>
      <w:r w:rsidR="00663E06">
        <w:rPr>
          <w:rFonts w:cstheme="minorHAnsi"/>
          <w:sz w:val="24"/>
          <w:szCs w:val="24"/>
        </w:rPr>
        <w:t xml:space="preserve">scope and </w:t>
      </w:r>
      <w:r w:rsidR="008D4F25">
        <w:rPr>
          <w:rFonts w:cstheme="minorHAnsi"/>
          <w:sz w:val="24"/>
          <w:szCs w:val="24"/>
        </w:rPr>
        <w:t>coverage</w:t>
      </w:r>
      <w:r w:rsidR="00663E06">
        <w:rPr>
          <w:rFonts w:cstheme="minorHAnsi"/>
          <w:sz w:val="24"/>
          <w:szCs w:val="24"/>
        </w:rPr>
        <w:t>,</w:t>
      </w:r>
      <w:r w:rsidR="000C3272">
        <w:rPr>
          <w:rFonts w:cstheme="minorHAnsi"/>
          <w:sz w:val="24"/>
          <w:szCs w:val="24"/>
        </w:rPr>
        <w:t xml:space="preserve"> invariably</w:t>
      </w:r>
      <w:r w:rsidR="00CC63F8">
        <w:rPr>
          <w:rFonts w:cstheme="minorHAnsi"/>
          <w:sz w:val="24"/>
          <w:szCs w:val="24"/>
        </w:rPr>
        <w:t xml:space="preserve"> </w:t>
      </w:r>
      <w:r w:rsidR="00101CC3">
        <w:rPr>
          <w:rFonts w:cstheme="minorHAnsi"/>
          <w:sz w:val="24"/>
          <w:szCs w:val="24"/>
        </w:rPr>
        <w:t xml:space="preserve">at </w:t>
      </w:r>
      <w:r w:rsidR="00663E06">
        <w:rPr>
          <w:rFonts w:cstheme="minorHAnsi"/>
          <w:sz w:val="24"/>
          <w:szCs w:val="24"/>
        </w:rPr>
        <w:t xml:space="preserve">or </w:t>
      </w:r>
      <w:r w:rsidR="008D4F25">
        <w:rPr>
          <w:rFonts w:cstheme="minorHAnsi"/>
          <w:sz w:val="24"/>
          <w:szCs w:val="24"/>
        </w:rPr>
        <w:t>around legal minima</w:t>
      </w:r>
      <w:r w:rsidR="00663E06">
        <w:rPr>
          <w:rFonts w:cstheme="minorHAnsi"/>
          <w:sz w:val="24"/>
          <w:szCs w:val="24"/>
        </w:rPr>
        <w:t xml:space="preserve"> </w:t>
      </w:r>
      <w:r w:rsidR="00101CC3">
        <w:rPr>
          <w:rFonts w:cstheme="minorHAnsi"/>
          <w:sz w:val="24"/>
          <w:szCs w:val="24"/>
        </w:rPr>
        <w:t>wage rates</w:t>
      </w:r>
      <w:r w:rsidR="00101CC3">
        <w:rPr>
          <w:rStyle w:val="FootnoteReference"/>
          <w:rFonts w:cstheme="minorHAnsi"/>
          <w:sz w:val="24"/>
          <w:szCs w:val="24"/>
        </w:rPr>
        <w:footnoteReference w:id="14"/>
      </w:r>
      <w:r w:rsidR="008D4F25">
        <w:rPr>
          <w:rFonts w:cstheme="minorHAnsi"/>
          <w:sz w:val="24"/>
          <w:szCs w:val="24"/>
        </w:rPr>
        <w:t xml:space="preserve">. A classic example of this conduct was disclosed in </w:t>
      </w:r>
      <w:r w:rsidR="00856D2B">
        <w:rPr>
          <w:rFonts w:cstheme="minorHAnsi"/>
          <w:sz w:val="24"/>
          <w:szCs w:val="24"/>
        </w:rPr>
        <w:t xml:space="preserve">the </w:t>
      </w:r>
      <w:r w:rsidR="00856D2B">
        <w:rPr>
          <w:rFonts w:cstheme="minorHAnsi"/>
          <w:i/>
          <w:sz w:val="24"/>
          <w:szCs w:val="24"/>
        </w:rPr>
        <w:t xml:space="preserve">Site Fleet Services </w:t>
      </w:r>
      <w:r w:rsidR="00856D2B">
        <w:rPr>
          <w:rFonts w:cstheme="minorHAnsi"/>
          <w:sz w:val="24"/>
          <w:szCs w:val="24"/>
        </w:rPr>
        <w:t>case</w:t>
      </w:r>
      <w:r w:rsidR="00856D2B">
        <w:rPr>
          <w:rStyle w:val="FootnoteReference"/>
          <w:rFonts w:cstheme="minorHAnsi"/>
          <w:sz w:val="24"/>
          <w:szCs w:val="24"/>
        </w:rPr>
        <w:footnoteReference w:id="15"/>
      </w:r>
      <w:r w:rsidR="0006662F">
        <w:rPr>
          <w:rFonts w:cstheme="minorHAnsi"/>
          <w:sz w:val="24"/>
          <w:szCs w:val="24"/>
        </w:rPr>
        <w:t>.</w:t>
      </w:r>
      <w:r w:rsidR="000F7266">
        <w:rPr>
          <w:rFonts w:cstheme="minorHAnsi"/>
          <w:sz w:val="24"/>
          <w:szCs w:val="24"/>
        </w:rPr>
        <w:t xml:space="preserve"> In </w:t>
      </w:r>
      <w:r w:rsidR="000F7266" w:rsidRPr="003E6087">
        <w:rPr>
          <w:rFonts w:cstheme="minorHAnsi"/>
          <w:i/>
          <w:sz w:val="24"/>
          <w:szCs w:val="24"/>
        </w:rPr>
        <w:t>Site Fleet Services</w:t>
      </w:r>
      <w:r w:rsidR="000F7266">
        <w:rPr>
          <w:rFonts w:cstheme="minorHAnsi"/>
          <w:sz w:val="24"/>
          <w:szCs w:val="24"/>
        </w:rPr>
        <w:t xml:space="preserve">, </w:t>
      </w:r>
      <w:r w:rsidR="003E6087">
        <w:rPr>
          <w:rFonts w:cstheme="minorHAnsi"/>
          <w:sz w:val="24"/>
          <w:szCs w:val="24"/>
        </w:rPr>
        <w:t>a labour hire group</w:t>
      </w:r>
      <w:r w:rsidR="000F7266">
        <w:rPr>
          <w:rFonts w:cstheme="minorHAnsi"/>
          <w:sz w:val="24"/>
          <w:szCs w:val="24"/>
        </w:rPr>
        <w:t xml:space="preserve"> set up a new entity</w:t>
      </w:r>
      <w:r w:rsidR="00BD19B5">
        <w:rPr>
          <w:rFonts w:cstheme="minorHAnsi"/>
          <w:sz w:val="24"/>
          <w:szCs w:val="24"/>
        </w:rPr>
        <w:t xml:space="preserve"> and the</w:t>
      </w:r>
      <w:r w:rsidR="000F7266">
        <w:rPr>
          <w:rFonts w:cstheme="minorHAnsi"/>
          <w:sz w:val="24"/>
          <w:szCs w:val="24"/>
        </w:rPr>
        <w:t>n</w:t>
      </w:r>
      <w:r w:rsidR="00BD19B5">
        <w:rPr>
          <w:rFonts w:cstheme="minorHAnsi"/>
          <w:sz w:val="24"/>
          <w:szCs w:val="24"/>
        </w:rPr>
        <w:t xml:space="preserve"> hand-</w:t>
      </w:r>
      <w:r w:rsidR="000F7266">
        <w:rPr>
          <w:rFonts w:cstheme="minorHAnsi"/>
          <w:sz w:val="24"/>
          <w:szCs w:val="24"/>
        </w:rPr>
        <w:t>picked</w:t>
      </w:r>
      <w:r w:rsidR="00BD19B5">
        <w:rPr>
          <w:rFonts w:cstheme="minorHAnsi"/>
          <w:sz w:val="24"/>
          <w:szCs w:val="24"/>
        </w:rPr>
        <w:t xml:space="preserve"> 14</w:t>
      </w:r>
      <w:r w:rsidR="000F7266">
        <w:rPr>
          <w:rFonts w:cstheme="minorHAnsi"/>
          <w:sz w:val="24"/>
          <w:szCs w:val="24"/>
        </w:rPr>
        <w:t xml:space="preserve"> ‘employees’ of</w:t>
      </w:r>
      <w:r w:rsidR="003E6087">
        <w:rPr>
          <w:rFonts w:cstheme="minorHAnsi"/>
          <w:sz w:val="24"/>
          <w:szCs w:val="24"/>
        </w:rPr>
        <w:t>f</w:t>
      </w:r>
      <w:r w:rsidR="000F7266">
        <w:rPr>
          <w:rFonts w:cstheme="minorHAnsi"/>
          <w:sz w:val="24"/>
          <w:szCs w:val="24"/>
        </w:rPr>
        <w:t xml:space="preserve"> its database to allegedly ‘bargain’ for a new enterprise agreement with national coverage and</w:t>
      </w:r>
      <w:r w:rsidR="003E6087">
        <w:rPr>
          <w:rFonts w:cstheme="minorHAnsi"/>
          <w:sz w:val="24"/>
          <w:szCs w:val="24"/>
        </w:rPr>
        <w:t xml:space="preserve"> job </w:t>
      </w:r>
      <w:r w:rsidR="000F7266">
        <w:rPr>
          <w:rFonts w:cstheme="minorHAnsi"/>
          <w:sz w:val="24"/>
          <w:szCs w:val="24"/>
        </w:rPr>
        <w:t>classifications covering same 10 modern awards</w:t>
      </w:r>
      <w:r w:rsidR="00856D2B">
        <w:rPr>
          <w:rStyle w:val="FootnoteReference"/>
          <w:rFonts w:cstheme="minorHAnsi"/>
          <w:sz w:val="24"/>
          <w:szCs w:val="24"/>
        </w:rPr>
        <w:footnoteReference w:id="16"/>
      </w:r>
      <w:r w:rsidR="00856D2B">
        <w:rPr>
          <w:rFonts w:cstheme="minorHAnsi"/>
          <w:sz w:val="24"/>
          <w:szCs w:val="24"/>
        </w:rPr>
        <w:t>!</w:t>
      </w:r>
      <w:r w:rsidR="000F7266">
        <w:rPr>
          <w:rFonts w:cstheme="minorHAnsi"/>
          <w:sz w:val="24"/>
          <w:szCs w:val="24"/>
        </w:rPr>
        <w:t xml:space="preserve"> The case highlighted a disgraceful attempt to game the system. In rejecting the agreement for approval Commissioner Roe stated;</w:t>
      </w:r>
    </w:p>
    <w:p w14:paraId="4D5F58BD" w14:textId="77777777" w:rsidR="000F7266" w:rsidRDefault="000F7266" w:rsidP="003E6087">
      <w:pPr>
        <w:pStyle w:val="ListParagraph"/>
        <w:spacing w:after="0" w:line="240" w:lineRule="auto"/>
        <w:ind w:left="360"/>
        <w:rPr>
          <w:rFonts w:cstheme="minorHAnsi"/>
          <w:sz w:val="24"/>
          <w:szCs w:val="24"/>
        </w:rPr>
      </w:pPr>
    </w:p>
    <w:p w14:paraId="28C97117" w14:textId="77777777" w:rsidR="003E6087" w:rsidRDefault="000F7266" w:rsidP="003E6087">
      <w:pPr>
        <w:pStyle w:val="ListParagraph"/>
        <w:spacing w:after="0" w:line="240" w:lineRule="auto"/>
        <w:ind w:left="360"/>
        <w:rPr>
          <w:rFonts w:cstheme="minorHAnsi"/>
          <w:sz w:val="24"/>
          <w:szCs w:val="24"/>
        </w:rPr>
      </w:pPr>
      <w:r>
        <w:rPr>
          <w:rFonts w:cstheme="minorHAnsi"/>
          <w:i/>
          <w:sz w:val="24"/>
          <w:szCs w:val="24"/>
        </w:rPr>
        <w:t xml:space="preserve">‘..the process of making the agreement lacked authenticity and moral authority’ </w:t>
      </w:r>
      <w:r>
        <w:rPr>
          <w:rFonts w:cstheme="minorHAnsi"/>
          <w:sz w:val="24"/>
          <w:szCs w:val="24"/>
        </w:rPr>
        <w:t>(at [45])</w:t>
      </w:r>
      <w:r w:rsidR="00643073">
        <w:rPr>
          <w:rFonts w:cstheme="minorHAnsi"/>
          <w:sz w:val="24"/>
          <w:szCs w:val="24"/>
        </w:rPr>
        <w:t xml:space="preserve"> </w:t>
      </w:r>
    </w:p>
    <w:p w14:paraId="17B52A39" w14:textId="55EEEFC4" w:rsidR="003E6087" w:rsidRDefault="003E6087" w:rsidP="003E6087">
      <w:pPr>
        <w:pStyle w:val="ListParagraph"/>
        <w:spacing w:after="0" w:line="240" w:lineRule="auto"/>
        <w:ind w:left="360"/>
        <w:rPr>
          <w:rFonts w:cstheme="minorHAnsi"/>
          <w:sz w:val="24"/>
          <w:szCs w:val="24"/>
        </w:rPr>
      </w:pPr>
    </w:p>
    <w:p w14:paraId="4A710779" w14:textId="1546774C" w:rsidR="006800FB" w:rsidRDefault="006800FB" w:rsidP="003E6087">
      <w:pPr>
        <w:pStyle w:val="ListParagraph"/>
        <w:spacing w:after="0" w:line="240" w:lineRule="auto"/>
        <w:ind w:left="360"/>
        <w:rPr>
          <w:rFonts w:cstheme="minorHAnsi"/>
          <w:sz w:val="24"/>
          <w:szCs w:val="24"/>
        </w:rPr>
      </w:pPr>
    </w:p>
    <w:p w14:paraId="4B5B6B1C" w14:textId="38D67F10" w:rsidR="006800FB" w:rsidRDefault="006800FB" w:rsidP="003E6087">
      <w:pPr>
        <w:pStyle w:val="ListParagraph"/>
        <w:spacing w:after="0" w:line="240" w:lineRule="auto"/>
        <w:ind w:left="360"/>
        <w:rPr>
          <w:rFonts w:cstheme="minorHAnsi"/>
          <w:sz w:val="24"/>
          <w:szCs w:val="24"/>
        </w:rPr>
      </w:pPr>
    </w:p>
    <w:p w14:paraId="17D54834" w14:textId="043A2FFA" w:rsidR="006800FB" w:rsidRDefault="006800FB" w:rsidP="003E6087">
      <w:pPr>
        <w:pStyle w:val="ListParagraph"/>
        <w:spacing w:after="0" w:line="240" w:lineRule="auto"/>
        <w:ind w:left="360"/>
        <w:rPr>
          <w:rFonts w:cstheme="minorHAnsi"/>
          <w:sz w:val="24"/>
          <w:szCs w:val="24"/>
        </w:rPr>
      </w:pPr>
    </w:p>
    <w:p w14:paraId="474F36ED" w14:textId="0AFCDF74" w:rsidR="006800FB" w:rsidRDefault="006800FB" w:rsidP="003E6087">
      <w:pPr>
        <w:pStyle w:val="ListParagraph"/>
        <w:spacing w:after="0" w:line="240" w:lineRule="auto"/>
        <w:ind w:left="360"/>
        <w:rPr>
          <w:rFonts w:cstheme="minorHAnsi"/>
          <w:sz w:val="24"/>
          <w:szCs w:val="24"/>
        </w:rPr>
      </w:pPr>
    </w:p>
    <w:p w14:paraId="22152CC6" w14:textId="77777777" w:rsidR="006800FB" w:rsidRDefault="006800FB" w:rsidP="003E6087">
      <w:pPr>
        <w:pStyle w:val="ListParagraph"/>
        <w:spacing w:after="0" w:line="240" w:lineRule="auto"/>
        <w:ind w:left="360"/>
        <w:rPr>
          <w:rFonts w:cstheme="minorHAnsi"/>
          <w:sz w:val="24"/>
          <w:szCs w:val="24"/>
        </w:rPr>
      </w:pPr>
    </w:p>
    <w:p w14:paraId="56635701" w14:textId="03E14105" w:rsidR="00643175" w:rsidRPr="003E6087" w:rsidRDefault="00643073" w:rsidP="006800FB">
      <w:pPr>
        <w:pStyle w:val="ListParagraph"/>
        <w:numPr>
          <w:ilvl w:val="0"/>
          <w:numId w:val="2"/>
        </w:numPr>
        <w:spacing w:after="0" w:line="240" w:lineRule="auto"/>
        <w:rPr>
          <w:rFonts w:cstheme="minorHAnsi"/>
          <w:sz w:val="24"/>
          <w:szCs w:val="24"/>
        </w:rPr>
      </w:pPr>
      <w:r w:rsidRPr="003E6087">
        <w:rPr>
          <w:rFonts w:cstheme="minorHAnsi"/>
          <w:sz w:val="24"/>
          <w:szCs w:val="24"/>
        </w:rPr>
        <w:t xml:space="preserve">We are concerned </w:t>
      </w:r>
      <w:r w:rsidR="003E6087">
        <w:rPr>
          <w:rFonts w:cstheme="minorHAnsi"/>
          <w:sz w:val="24"/>
          <w:szCs w:val="24"/>
        </w:rPr>
        <w:t>‘</w:t>
      </w:r>
      <w:r w:rsidRPr="003E6087">
        <w:rPr>
          <w:rFonts w:cstheme="minorHAnsi"/>
          <w:sz w:val="24"/>
          <w:szCs w:val="24"/>
        </w:rPr>
        <w:t>brownfield agreement</w:t>
      </w:r>
      <w:r w:rsidR="003E6087">
        <w:rPr>
          <w:rFonts w:cstheme="minorHAnsi"/>
          <w:sz w:val="24"/>
          <w:szCs w:val="24"/>
        </w:rPr>
        <w:t xml:space="preserve">s’ are being </w:t>
      </w:r>
      <w:r w:rsidR="00891D9D" w:rsidRPr="003E6087">
        <w:rPr>
          <w:rFonts w:cstheme="minorHAnsi"/>
          <w:sz w:val="24"/>
          <w:szCs w:val="24"/>
        </w:rPr>
        <w:t>used to avoid coverage</w:t>
      </w:r>
      <w:r w:rsidRPr="003E6087">
        <w:rPr>
          <w:rFonts w:cstheme="minorHAnsi"/>
          <w:sz w:val="24"/>
          <w:szCs w:val="24"/>
        </w:rPr>
        <w:t xml:space="preserve"> of existing agreements, to avoid the greenfield agreement </w:t>
      </w:r>
      <w:r w:rsidR="00891D9D" w:rsidRPr="003E6087">
        <w:rPr>
          <w:rFonts w:cstheme="minorHAnsi"/>
          <w:sz w:val="24"/>
          <w:szCs w:val="24"/>
        </w:rPr>
        <w:t xml:space="preserve">making </w:t>
      </w:r>
      <w:r w:rsidRPr="003E6087">
        <w:rPr>
          <w:rFonts w:cstheme="minorHAnsi"/>
          <w:sz w:val="24"/>
          <w:szCs w:val="24"/>
        </w:rPr>
        <w:t>obligation</w:t>
      </w:r>
      <w:r w:rsidR="00891D9D" w:rsidRPr="003E6087">
        <w:rPr>
          <w:rFonts w:cstheme="minorHAnsi"/>
          <w:sz w:val="24"/>
          <w:szCs w:val="24"/>
        </w:rPr>
        <w:t>s</w:t>
      </w:r>
      <w:r w:rsidRPr="003E6087">
        <w:rPr>
          <w:rFonts w:cstheme="minorHAnsi"/>
          <w:sz w:val="24"/>
          <w:szCs w:val="24"/>
        </w:rPr>
        <w:t xml:space="preserve"> in the </w:t>
      </w:r>
      <w:r w:rsidR="00891D9D" w:rsidRPr="003E6087">
        <w:rPr>
          <w:rFonts w:cstheme="minorHAnsi"/>
          <w:i/>
          <w:sz w:val="24"/>
          <w:szCs w:val="24"/>
        </w:rPr>
        <w:t>Fair Work A</w:t>
      </w:r>
      <w:r w:rsidRPr="003E6087">
        <w:rPr>
          <w:rFonts w:cstheme="minorHAnsi"/>
          <w:i/>
          <w:sz w:val="24"/>
          <w:szCs w:val="24"/>
        </w:rPr>
        <w:t>ct</w:t>
      </w:r>
      <w:r w:rsidRPr="003E6087">
        <w:rPr>
          <w:rFonts w:cstheme="minorHAnsi"/>
          <w:sz w:val="24"/>
          <w:szCs w:val="24"/>
        </w:rPr>
        <w:t xml:space="preserve"> and to ‘bargain’ in a</w:t>
      </w:r>
      <w:r w:rsidR="00D02B4B" w:rsidRPr="003E6087">
        <w:rPr>
          <w:rFonts w:cstheme="minorHAnsi"/>
          <w:sz w:val="24"/>
          <w:szCs w:val="24"/>
        </w:rPr>
        <w:t xml:space="preserve"> manner contrary to the</w:t>
      </w:r>
      <w:r w:rsidRPr="003E6087">
        <w:rPr>
          <w:rFonts w:cstheme="minorHAnsi"/>
          <w:sz w:val="24"/>
          <w:szCs w:val="24"/>
        </w:rPr>
        <w:t xml:space="preserve"> objectives of the </w:t>
      </w:r>
      <w:r w:rsidRPr="003E6087">
        <w:rPr>
          <w:rFonts w:cstheme="minorHAnsi"/>
          <w:i/>
          <w:sz w:val="24"/>
          <w:szCs w:val="24"/>
        </w:rPr>
        <w:t>Fair Work Act</w:t>
      </w:r>
      <w:r w:rsidR="00D02B4B">
        <w:rPr>
          <w:rStyle w:val="FootnoteReference"/>
          <w:rFonts w:cstheme="minorHAnsi"/>
          <w:i/>
          <w:sz w:val="24"/>
          <w:szCs w:val="24"/>
        </w:rPr>
        <w:footnoteReference w:id="17"/>
      </w:r>
      <w:r w:rsidRPr="003E6087">
        <w:rPr>
          <w:rFonts w:cstheme="minorHAnsi"/>
          <w:i/>
          <w:sz w:val="24"/>
          <w:szCs w:val="24"/>
        </w:rPr>
        <w:t>.</w:t>
      </w:r>
    </w:p>
    <w:p w14:paraId="3C0D99EE" w14:textId="77777777" w:rsidR="00643175" w:rsidRPr="00643175" w:rsidRDefault="00643175" w:rsidP="00643175">
      <w:pPr>
        <w:pStyle w:val="ListParagraph"/>
        <w:rPr>
          <w:rFonts w:cstheme="minorHAnsi"/>
          <w:sz w:val="24"/>
          <w:szCs w:val="24"/>
        </w:rPr>
      </w:pPr>
    </w:p>
    <w:p w14:paraId="70D70DC2" w14:textId="5EC97DD4" w:rsidR="00643175" w:rsidRPr="006800FB" w:rsidRDefault="00E87457" w:rsidP="006800FB">
      <w:pPr>
        <w:pStyle w:val="ListParagraph"/>
        <w:numPr>
          <w:ilvl w:val="0"/>
          <w:numId w:val="6"/>
        </w:numPr>
        <w:spacing w:after="0" w:line="240" w:lineRule="auto"/>
        <w:rPr>
          <w:rFonts w:cstheme="minorHAnsi"/>
          <w:sz w:val="24"/>
          <w:szCs w:val="24"/>
        </w:rPr>
      </w:pPr>
      <w:r>
        <w:rPr>
          <w:rFonts w:cstheme="minorHAnsi"/>
          <w:sz w:val="24"/>
          <w:szCs w:val="24"/>
        </w:rPr>
        <w:t xml:space="preserve">Whilst </w:t>
      </w:r>
      <w:r w:rsidR="003E6087">
        <w:rPr>
          <w:rFonts w:cstheme="minorHAnsi"/>
          <w:sz w:val="24"/>
          <w:szCs w:val="24"/>
        </w:rPr>
        <w:t xml:space="preserve">possibly </w:t>
      </w:r>
      <w:r>
        <w:rPr>
          <w:rFonts w:cstheme="minorHAnsi"/>
          <w:sz w:val="24"/>
          <w:szCs w:val="24"/>
        </w:rPr>
        <w:t>outside the purview</w:t>
      </w:r>
      <w:r w:rsidR="0006662F">
        <w:rPr>
          <w:rFonts w:cstheme="minorHAnsi"/>
          <w:sz w:val="24"/>
          <w:szCs w:val="24"/>
        </w:rPr>
        <w:t xml:space="preserve"> of this review</w:t>
      </w:r>
      <w:r w:rsidR="003E6087">
        <w:rPr>
          <w:rStyle w:val="FootnoteReference"/>
          <w:rFonts w:cstheme="minorHAnsi"/>
          <w:sz w:val="24"/>
          <w:szCs w:val="24"/>
        </w:rPr>
        <w:footnoteReference w:id="18"/>
      </w:r>
      <w:r w:rsidR="0006662F">
        <w:rPr>
          <w:rFonts w:cstheme="minorHAnsi"/>
          <w:sz w:val="24"/>
          <w:szCs w:val="24"/>
        </w:rPr>
        <w:t xml:space="preserve"> we would</w:t>
      </w:r>
      <w:r w:rsidR="00643073">
        <w:rPr>
          <w:rFonts w:cstheme="minorHAnsi"/>
          <w:sz w:val="24"/>
          <w:szCs w:val="24"/>
        </w:rPr>
        <w:t xml:space="preserve"> welcome the reviewer noting the</w:t>
      </w:r>
      <w:r w:rsidR="0006662F">
        <w:rPr>
          <w:rFonts w:cstheme="minorHAnsi"/>
          <w:sz w:val="24"/>
          <w:szCs w:val="24"/>
        </w:rPr>
        <w:t xml:space="preserve"> </w:t>
      </w:r>
      <w:r w:rsidR="00643073">
        <w:rPr>
          <w:rFonts w:cstheme="minorHAnsi"/>
          <w:sz w:val="24"/>
          <w:szCs w:val="24"/>
        </w:rPr>
        <w:t>‘</w:t>
      </w:r>
      <w:r w:rsidR="0006662F">
        <w:rPr>
          <w:rFonts w:cstheme="minorHAnsi"/>
          <w:sz w:val="24"/>
          <w:szCs w:val="24"/>
        </w:rPr>
        <w:t>brownfield agreement</w:t>
      </w:r>
      <w:r w:rsidR="00643073">
        <w:rPr>
          <w:rFonts w:cstheme="minorHAnsi"/>
          <w:sz w:val="24"/>
          <w:szCs w:val="24"/>
        </w:rPr>
        <w:t>’</w:t>
      </w:r>
      <w:r w:rsidR="0006662F">
        <w:rPr>
          <w:rFonts w:cstheme="minorHAnsi"/>
          <w:sz w:val="24"/>
          <w:szCs w:val="24"/>
        </w:rPr>
        <w:t xml:space="preserve"> phenomenon</w:t>
      </w:r>
      <w:r w:rsidR="00643073">
        <w:rPr>
          <w:rFonts w:cstheme="minorHAnsi"/>
          <w:sz w:val="24"/>
          <w:szCs w:val="24"/>
        </w:rPr>
        <w:t xml:space="preserve"> and that it</w:t>
      </w:r>
      <w:r w:rsidR="0006662F">
        <w:rPr>
          <w:rFonts w:cstheme="minorHAnsi"/>
          <w:sz w:val="24"/>
          <w:szCs w:val="24"/>
        </w:rPr>
        <w:t xml:space="preserve"> constitutes attempts by employers to bargain in </w:t>
      </w:r>
      <w:r w:rsidR="00643073">
        <w:rPr>
          <w:rFonts w:cstheme="minorHAnsi"/>
          <w:sz w:val="24"/>
          <w:szCs w:val="24"/>
        </w:rPr>
        <w:t xml:space="preserve">a </w:t>
      </w:r>
      <w:r w:rsidR="0006662F">
        <w:rPr>
          <w:rFonts w:cstheme="minorHAnsi"/>
          <w:sz w:val="24"/>
          <w:szCs w:val="24"/>
        </w:rPr>
        <w:t xml:space="preserve">manner </w:t>
      </w:r>
      <w:r w:rsidR="00643073">
        <w:rPr>
          <w:rFonts w:cstheme="minorHAnsi"/>
          <w:sz w:val="24"/>
          <w:szCs w:val="24"/>
        </w:rPr>
        <w:t>in</w:t>
      </w:r>
      <w:r w:rsidR="0006662F">
        <w:rPr>
          <w:rFonts w:cstheme="minorHAnsi"/>
          <w:sz w:val="24"/>
          <w:szCs w:val="24"/>
        </w:rPr>
        <w:t xml:space="preserve">consistent with </w:t>
      </w:r>
      <w:r w:rsidR="00643073">
        <w:rPr>
          <w:rFonts w:cstheme="minorHAnsi"/>
          <w:sz w:val="24"/>
          <w:szCs w:val="24"/>
        </w:rPr>
        <w:t xml:space="preserve">the </w:t>
      </w:r>
      <w:r w:rsidR="0006662F">
        <w:rPr>
          <w:rFonts w:cstheme="minorHAnsi"/>
          <w:sz w:val="24"/>
          <w:szCs w:val="24"/>
        </w:rPr>
        <w:t>objectives</w:t>
      </w:r>
      <w:r w:rsidR="00643073">
        <w:rPr>
          <w:rFonts w:cstheme="minorHAnsi"/>
          <w:sz w:val="24"/>
          <w:szCs w:val="24"/>
        </w:rPr>
        <w:t xml:space="preserve"> and intention</w:t>
      </w:r>
      <w:r w:rsidR="0006662F">
        <w:rPr>
          <w:rFonts w:cstheme="minorHAnsi"/>
          <w:sz w:val="24"/>
          <w:szCs w:val="24"/>
        </w:rPr>
        <w:t xml:space="preserve"> of the </w:t>
      </w:r>
      <w:r w:rsidR="00643073" w:rsidRPr="00643073">
        <w:rPr>
          <w:rFonts w:cstheme="minorHAnsi"/>
          <w:i/>
          <w:sz w:val="24"/>
          <w:szCs w:val="24"/>
        </w:rPr>
        <w:t xml:space="preserve">Fair Work </w:t>
      </w:r>
      <w:r w:rsidR="0006662F" w:rsidRPr="00643073">
        <w:rPr>
          <w:rFonts w:cstheme="minorHAnsi"/>
          <w:i/>
          <w:sz w:val="24"/>
          <w:szCs w:val="24"/>
        </w:rPr>
        <w:t>Act</w:t>
      </w:r>
      <w:r w:rsidR="0006662F">
        <w:rPr>
          <w:rFonts w:cstheme="minorHAnsi"/>
          <w:sz w:val="24"/>
          <w:szCs w:val="24"/>
        </w:rPr>
        <w:t xml:space="preserve"> and</w:t>
      </w:r>
      <w:r w:rsidR="006800FB">
        <w:rPr>
          <w:rFonts w:cstheme="minorHAnsi"/>
          <w:sz w:val="24"/>
          <w:szCs w:val="24"/>
        </w:rPr>
        <w:t xml:space="preserve"> </w:t>
      </w:r>
      <w:r w:rsidR="0092168C" w:rsidRPr="006800FB">
        <w:rPr>
          <w:rFonts w:cstheme="minorHAnsi"/>
          <w:sz w:val="24"/>
          <w:szCs w:val="24"/>
        </w:rPr>
        <w:t>in some</w:t>
      </w:r>
      <w:r w:rsidR="0006662F" w:rsidRPr="006800FB">
        <w:rPr>
          <w:rFonts w:cstheme="minorHAnsi"/>
          <w:sz w:val="24"/>
          <w:szCs w:val="24"/>
        </w:rPr>
        <w:t xml:space="preserve"> cases </w:t>
      </w:r>
      <w:r w:rsidR="00643073" w:rsidRPr="006800FB">
        <w:rPr>
          <w:rFonts w:cstheme="minorHAnsi"/>
          <w:sz w:val="24"/>
          <w:szCs w:val="24"/>
        </w:rPr>
        <w:t>to seek</w:t>
      </w:r>
      <w:r w:rsidR="00631C99" w:rsidRPr="006800FB">
        <w:rPr>
          <w:rFonts w:cstheme="minorHAnsi"/>
          <w:sz w:val="24"/>
          <w:szCs w:val="24"/>
        </w:rPr>
        <w:t xml:space="preserve"> </w:t>
      </w:r>
      <w:r w:rsidR="00643073" w:rsidRPr="006800FB">
        <w:rPr>
          <w:rFonts w:cstheme="minorHAnsi"/>
          <w:sz w:val="24"/>
          <w:szCs w:val="24"/>
        </w:rPr>
        <w:t>to avoid the</w:t>
      </w:r>
      <w:r w:rsidR="000C3272" w:rsidRPr="006800FB">
        <w:rPr>
          <w:rFonts w:cstheme="minorHAnsi"/>
          <w:sz w:val="24"/>
          <w:szCs w:val="24"/>
        </w:rPr>
        <w:t xml:space="preserve"> employer</w:t>
      </w:r>
      <w:r w:rsidR="00E80BA4" w:rsidRPr="006800FB">
        <w:rPr>
          <w:rFonts w:cstheme="minorHAnsi"/>
          <w:sz w:val="24"/>
          <w:szCs w:val="24"/>
        </w:rPr>
        <w:t>’</w:t>
      </w:r>
      <w:r w:rsidR="000C3272" w:rsidRPr="006800FB">
        <w:rPr>
          <w:rFonts w:cstheme="minorHAnsi"/>
          <w:sz w:val="24"/>
          <w:szCs w:val="24"/>
        </w:rPr>
        <w:t>s obligation</w:t>
      </w:r>
      <w:r w:rsidR="00643073" w:rsidRPr="006800FB">
        <w:rPr>
          <w:rFonts w:cstheme="minorHAnsi"/>
          <w:sz w:val="24"/>
          <w:szCs w:val="24"/>
        </w:rPr>
        <w:t xml:space="preserve"> to negotiate a greenfield agreement</w:t>
      </w:r>
      <w:r w:rsidR="000C3272" w:rsidRPr="006800FB">
        <w:rPr>
          <w:rFonts w:cstheme="minorHAnsi"/>
          <w:sz w:val="24"/>
          <w:szCs w:val="24"/>
        </w:rPr>
        <w:t xml:space="preserve"> with a registered employee organisation</w:t>
      </w:r>
      <w:r w:rsidR="00643073" w:rsidRPr="006800FB">
        <w:rPr>
          <w:rFonts w:cstheme="minorHAnsi"/>
          <w:sz w:val="24"/>
          <w:szCs w:val="24"/>
        </w:rPr>
        <w:t>.</w:t>
      </w:r>
    </w:p>
    <w:p w14:paraId="0537C491" w14:textId="77777777" w:rsidR="00643175" w:rsidRPr="00643175" w:rsidRDefault="00643175" w:rsidP="00643175">
      <w:pPr>
        <w:pStyle w:val="ListParagraph"/>
        <w:rPr>
          <w:rFonts w:cstheme="minorHAnsi"/>
          <w:sz w:val="24"/>
          <w:szCs w:val="24"/>
        </w:rPr>
      </w:pPr>
    </w:p>
    <w:p w14:paraId="477C902B" w14:textId="5C3A9E07" w:rsidR="00643175" w:rsidRPr="006C1E6F" w:rsidRDefault="00643073" w:rsidP="006C1E6F">
      <w:pPr>
        <w:pStyle w:val="ListParagraph"/>
        <w:numPr>
          <w:ilvl w:val="0"/>
          <w:numId w:val="6"/>
        </w:numPr>
        <w:spacing w:after="0" w:line="240" w:lineRule="auto"/>
        <w:rPr>
          <w:rFonts w:cstheme="minorHAnsi"/>
          <w:sz w:val="24"/>
          <w:szCs w:val="24"/>
        </w:rPr>
      </w:pPr>
      <w:r>
        <w:rPr>
          <w:rFonts w:cstheme="minorHAnsi"/>
          <w:sz w:val="24"/>
          <w:szCs w:val="24"/>
        </w:rPr>
        <w:t>The length of greenfield agreements is raised for possible comment. We do no propose any changes to the current arrangement</w:t>
      </w:r>
      <w:r w:rsidR="008D050A">
        <w:rPr>
          <w:rFonts w:cstheme="minorHAnsi"/>
          <w:sz w:val="24"/>
          <w:szCs w:val="24"/>
        </w:rPr>
        <w:t>s,</w:t>
      </w:r>
      <w:r>
        <w:rPr>
          <w:rFonts w:cstheme="minorHAnsi"/>
          <w:sz w:val="24"/>
          <w:szCs w:val="24"/>
        </w:rPr>
        <w:t xml:space="preserve"> </w:t>
      </w:r>
      <w:r w:rsidR="008D050A">
        <w:rPr>
          <w:rFonts w:cstheme="minorHAnsi"/>
          <w:sz w:val="24"/>
          <w:szCs w:val="24"/>
        </w:rPr>
        <w:t xml:space="preserve">where </w:t>
      </w:r>
      <w:r>
        <w:rPr>
          <w:rFonts w:cstheme="minorHAnsi"/>
          <w:sz w:val="24"/>
          <w:szCs w:val="24"/>
        </w:rPr>
        <w:t>the provisions are consistent wit</w:t>
      </w:r>
      <w:r w:rsidR="008D050A">
        <w:rPr>
          <w:rFonts w:cstheme="minorHAnsi"/>
          <w:sz w:val="24"/>
          <w:szCs w:val="24"/>
        </w:rPr>
        <w:t>h</w:t>
      </w:r>
      <w:r>
        <w:rPr>
          <w:rFonts w:cstheme="minorHAnsi"/>
          <w:sz w:val="24"/>
          <w:szCs w:val="24"/>
        </w:rPr>
        <w:t xml:space="preserve"> non</w:t>
      </w:r>
      <w:r w:rsidR="00D16B09">
        <w:rPr>
          <w:rFonts w:cstheme="minorHAnsi"/>
          <w:sz w:val="24"/>
          <w:szCs w:val="24"/>
        </w:rPr>
        <w:t>-</w:t>
      </w:r>
      <w:r>
        <w:rPr>
          <w:rFonts w:cstheme="minorHAnsi"/>
          <w:sz w:val="24"/>
          <w:szCs w:val="24"/>
        </w:rPr>
        <w:t>greenfield agreements</w:t>
      </w:r>
      <w:r w:rsidR="000C3272">
        <w:rPr>
          <w:rFonts w:cstheme="minorHAnsi"/>
          <w:sz w:val="24"/>
          <w:szCs w:val="24"/>
        </w:rPr>
        <w:t>, that is</w:t>
      </w:r>
      <w:r w:rsidR="00492D9C">
        <w:rPr>
          <w:rFonts w:cstheme="minorHAnsi"/>
          <w:sz w:val="24"/>
          <w:szCs w:val="24"/>
        </w:rPr>
        <w:t>,</w:t>
      </w:r>
      <w:r w:rsidR="000C3272">
        <w:rPr>
          <w:rFonts w:cstheme="minorHAnsi"/>
          <w:sz w:val="24"/>
          <w:szCs w:val="24"/>
        </w:rPr>
        <w:t xml:space="preserve"> one to four years. Co</w:t>
      </w:r>
      <w:r>
        <w:rPr>
          <w:rFonts w:cstheme="minorHAnsi"/>
          <w:sz w:val="24"/>
          <w:szCs w:val="24"/>
        </w:rPr>
        <w:t>mment</w:t>
      </w:r>
      <w:r w:rsidR="008D050A">
        <w:rPr>
          <w:rFonts w:cstheme="minorHAnsi"/>
          <w:sz w:val="24"/>
          <w:szCs w:val="24"/>
        </w:rPr>
        <w:t>s by the Productivity C</w:t>
      </w:r>
      <w:r>
        <w:rPr>
          <w:rFonts w:cstheme="minorHAnsi"/>
          <w:sz w:val="24"/>
          <w:szCs w:val="24"/>
        </w:rPr>
        <w:t xml:space="preserve">ommission </w:t>
      </w:r>
      <w:r w:rsidRPr="006C1E6F">
        <w:rPr>
          <w:rFonts w:cstheme="minorHAnsi"/>
          <w:sz w:val="24"/>
          <w:szCs w:val="24"/>
        </w:rPr>
        <w:t>that greenfield agreements could be extended to 5 years and or the length of the proje</w:t>
      </w:r>
      <w:r w:rsidR="008D050A" w:rsidRPr="006C1E6F">
        <w:rPr>
          <w:rFonts w:cstheme="minorHAnsi"/>
          <w:sz w:val="24"/>
          <w:szCs w:val="24"/>
        </w:rPr>
        <w:t>ct</w:t>
      </w:r>
      <w:r w:rsidR="00D16B09" w:rsidRPr="006C1E6F">
        <w:rPr>
          <w:rFonts w:cstheme="minorHAnsi"/>
          <w:sz w:val="24"/>
          <w:szCs w:val="24"/>
        </w:rPr>
        <w:t>,</w:t>
      </w:r>
      <w:r w:rsidR="008D050A">
        <w:rPr>
          <w:rStyle w:val="FootnoteReference"/>
          <w:rFonts w:cstheme="minorHAnsi"/>
          <w:sz w:val="24"/>
          <w:szCs w:val="24"/>
        </w:rPr>
        <w:footnoteReference w:id="19"/>
      </w:r>
      <w:r w:rsidRPr="006C1E6F">
        <w:rPr>
          <w:rFonts w:cstheme="minorHAnsi"/>
          <w:sz w:val="24"/>
          <w:szCs w:val="24"/>
        </w:rPr>
        <w:t xml:space="preserve"> </w:t>
      </w:r>
      <w:r w:rsidR="008D050A" w:rsidRPr="006C1E6F">
        <w:rPr>
          <w:rFonts w:cstheme="minorHAnsi"/>
          <w:sz w:val="24"/>
          <w:szCs w:val="24"/>
        </w:rPr>
        <w:t>are with respect</w:t>
      </w:r>
      <w:r w:rsidR="00D16B09" w:rsidRPr="006C1E6F">
        <w:rPr>
          <w:rFonts w:cstheme="minorHAnsi"/>
          <w:sz w:val="24"/>
          <w:szCs w:val="24"/>
        </w:rPr>
        <w:t>,</w:t>
      </w:r>
      <w:r w:rsidR="008D050A" w:rsidRPr="006C1E6F">
        <w:rPr>
          <w:rFonts w:cstheme="minorHAnsi"/>
          <w:sz w:val="24"/>
          <w:szCs w:val="24"/>
        </w:rPr>
        <w:t xml:space="preserve"> not appropriate having regard to the nature of greenfield agre</w:t>
      </w:r>
      <w:r w:rsidR="000C3272" w:rsidRPr="006C1E6F">
        <w:rPr>
          <w:rFonts w:cstheme="minorHAnsi"/>
          <w:sz w:val="24"/>
          <w:szCs w:val="24"/>
        </w:rPr>
        <w:t>e</w:t>
      </w:r>
      <w:r w:rsidR="008D050A" w:rsidRPr="006C1E6F">
        <w:rPr>
          <w:rFonts w:cstheme="minorHAnsi"/>
          <w:sz w:val="24"/>
          <w:szCs w:val="24"/>
        </w:rPr>
        <w:t>ments as we note</w:t>
      </w:r>
      <w:r w:rsidR="000C3272" w:rsidRPr="006C1E6F">
        <w:rPr>
          <w:rFonts w:cstheme="minorHAnsi"/>
          <w:sz w:val="24"/>
          <w:szCs w:val="24"/>
        </w:rPr>
        <w:t>d</w:t>
      </w:r>
      <w:r w:rsidR="008D050A" w:rsidRPr="006C1E6F">
        <w:rPr>
          <w:rFonts w:cstheme="minorHAnsi"/>
          <w:sz w:val="24"/>
          <w:szCs w:val="24"/>
        </w:rPr>
        <w:t xml:space="preserve"> earlier in these submissions.</w:t>
      </w:r>
    </w:p>
    <w:p w14:paraId="10B3A2E2" w14:textId="77777777" w:rsidR="008D050A" w:rsidRDefault="008D050A" w:rsidP="008D050A">
      <w:pPr>
        <w:pStyle w:val="ListParagraph"/>
        <w:rPr>
          <w:rFonts w:cstheme="minorHAnsi"/>
          <w:sz w:val="24"/>
          <w:szCs w:val="24"/>
        </w:rPr>
      </w:pPr>
    </w:p>
    <w:p w14:paraId="567C62BC" w14:textId="77777777" w:rsidR="00631C99" w:rsidRDefault="008D050A" w:rsidP="003E6087">
      <w:pPr>
        <w:pStyle w:val="ListParagraph"/>
        <w:numPr>
          <w:ilvl w:val="0"/>
          <w:numId w:val="6"/>
        </w:numPr>
        <w:spacing w:after="0" w:line="240" w:lineRule="auto"/>
        <w:rPr>
          <w:rFonts w:cstheme="minorHAnsi"/>
          <w:sz w:val="24"/>
          <w:szCs w:val="24"/>
        </w:rPr>
      </w:pPr>
      <w:r>
        <w:rPr>
          <w:rFonts w:cstheme="minorHAnsi"/>
          <w:sz w:val="24"/>
          <w:szCs w:val="24"/>
        </w:rPr>
        <w:t xml:space="preserve">In regard to administrative issues we hold some concerns that 32 days from lodgement to approval for a greenfield agreement appears too long. We however hold concerns over the agreement review functions currently being undertaken and what we perceive as the failure </w:t>
      </w:r>
      <w:r w:rsidR="00D16B09">
        <w:rPr>
          <w:rFonts w:cstheme="minorHAnsi"/>
          <w:sz w:val="24"/>
          <w:szCs w:val="24"/>
        </w:rPr>
        <w:t xml:space="preserve">by the Fair Work Commission </w:t>
      </w:r>
      <w:r>
        <w:rPr>
          <w:rFonts w:cstheme="minorHAnsi"/>
          <w:sz w:val="24"/>
          <w:szCs w:val="24"/>
        </w:rPr>
        <w:t xml:space="preserve">to </w:t>
      </w:r>
      <w:r w:rsidR="00D16B09">
        <w:rPr>
          <w:rFonts w:cstheme="minorHAnsi"/>
          <w:sz w:val="24"/>
          <w:szCs w:val="24"/>
        </w:rPr>
        <w:t xml:space="preserve">address </w:t>
      </w:r>
      <w:r>
        <w:rPr>
          <w:rFonts w:cstheme="minorHAnsi"/>
          <w:sz w:val="24"/>
          <w:szCs w:val="24"/>
        </w:rPr>
        <w:t xml:space="preserve">serious </w:t>
      </w:r>
      <w:r w:rsidR="00631C99">
        <w:rPr>
          <w:rFonts w:cstheme="minorHAnsi"/>
          <w:sz w:val="24"/>
          <w:szCs w:val="24"/>
        </w:rPr>
        <w:t>issues r</w:t>
      </w:r>
      <w:r w:rsidR="00D16B09">
        <w:rPr>
          <w:rFonts w:cstheme="minorHAnsi"/>
          <w:sz w:val="24"/>
          <w:szCs w:val="24"/>
        </w:rPr>
        <w:t>e</w:t>
      </w:r>
      <w:r w:rsidR="00631C99">
        <w:rPr>
          <w:rFonts w:cstheme="minorHAnsi"/>
          <w:sz w:val="24"/>
          <w:szCs w:val="24"/>
        </w:rPr>
        <w:t>g</w:t>
      </w:r>
      <w:r w:rsidR="00D16B09">
        <w:rPr>
          <w:rFonts w:cstheme="minorHAnsi"/>
          <w:sz w:val="24"/>
          <w:szCs w:val="24"/>
        </w:rPr>
        <w:t>arding</w:t>
      </w:r>
      <w:r>
        <w:rPr>
          <w:rFonts w:cstheme="minorHAnsi"/>
          <w:sz w:val="24"/>
          <w:szCs w:val="24"/>
        </w:rPr>
        <w:t xml:space="preserve"> </w:t>
      </w:r>
      <w:r w:rsidR="00200D11">
        <w:rPr>
          <w:rFonts w:cstheme="minorHAnsi"/>
          <w:sz w:val="24"/>
          <w:szCs w:val="24"/>
        </w:rPr>
        <w:t xml:space="preserve">the </w:t>
      </w:r>
      <w:r>
        <w:rPr>
          <w:rFonts w:cstheme="minorHAnsi"/>
          <w:sz w:val="24"/>
          <w:szCs w:val="24"/>
        </w:rPr>
        <w:t xml:space="preserve">BOOT and genuine </w:t>
      </w:r>
    </w:p>
    <w:p w14:paraId="7CE4ADB2" w14:textId="77777777" w:rsidR="008D050A" w:rsidRDefault="008D050A" w:rsidP="00631C99">
      <w:pPr>
        <w:pStyle w:val="ListParagraph"/>
        <w:spacing w:after="0" w:line="240" w:lineRule="auto"/>
        <w:ind w:left="360"/>
        <w:rPr>
          <w:rFonts w:cstheme="minorHAnsi"/>
          <w:sz w:val="24"/>
          <w:szCs w:val="24"/>
        </w:rPr>
      </w:pPr>
      <w:r>
        <w:rPr>
          <w:rFonts w:cstheme="minorHAnsi"/>
          <w:sz w:val="24"/>
          <w:szCs w:val="24"/>
        </w:rPr>
        <w:t>agreement</w:t>
      </w:r>
      <w:r w:rsidR="00200D11">
        <w:rPr>
          <w:rFonts w:cstheme="minorHAnsi"/>
          <w:sz w:val="24"/>
          <w:szCs w:val="24"/>
        </w:rPr>
        <w:t xml:space="preserve"> in the </w:t>
      </w:r>
      <w:r w:rsidR="00D16B09">
        <w:rPr>
          <w:rFonts w:cstheme="minorHAnsi"/>
          <w:sz w:val="24"/>
          <w:szCs w:val="24"/>
        </w:rPr>
        <w:t xml:space="preserve">current </w:t>
      </w:r>
      <w:r w:rsidR="00200D11">
        <w:rPr>
          <w:rFonts w:cstheme="minorHAnsi"/>
          <w:sz w:val="24"/>
          <w:szCs w:val="24"/>
        </w:rPr>
        <w:t>assessment</w:t>
      </w:r>
      <w:r w:rsidR="00631C99">
        <w:rPr>
          <w:rFonts w:cstheme="minorHAnsi"/>
          <w:sz w:val="24"/>
          <w:szCs w:val="24"/>
        </w:rPr>
        <w:t xml:space="preserve"> processes for</w:t>
      </w:r>
      <w:r w:rsidR="00D16B09">
        <w:rPr>
          <w:rFonts w:cstheme="minorHAnsi"/>
          <w:sz w:val="24"/>
          <w:szCs w:val="24"/>
        </w:rPr>
        <w:t xml:space="preserve"> </w:t>
      </w:r>
      <w:r w:rsidR="00200D11">
        <w:rPr>
          <w:rFonts w:cstheme="minorHAnsi"/>
          <w:sz w:val="24"/>
          <w:szCs w:val="24"/>
        </w:rPr>
        <w:t>enterprise agreements</w:t>
      </w:r>
      <w:r>
        <w:rPr>
          <w:rFonts w:cstheme="minorHAnsi"/>
          <w:sz w:val="24"/>
          <w:szCs w:val="24"/>
        </w:rPr>
        <w:t>. We would place primacy on this issue as opposed to turnaround time</w:t>
      </w:r>
      <w:r w:rsidR="00D16B09">
        <w:rPr>
          <w:rFonts w:cstheme="minorHAnsi"/>
          <w:sz w:val="24"/>
          <w:szCs w:val="24"/>
        </w:rPr>
        <w:t>s. A</w:t>
      </w:r>
      <w:r w:rsidR="00200D11">
        <w:rPr>
          <w:rFonts w:cstheme="minorHAnsi"/>
          <w:sz w:val="24"/>
          <w:szCs w:val="24"/>
        </w:rPr>
        <w:t xml:space="preserve">lthough we do not see them </w:t>
      </w:r>
      <w:r>
        <w:rPr>
          <w:rFonts w:cstheme="minorHAnsi"/>
          <w:sz w:val="24"/>
          <w:szCs w:val="24"/>
        </w:rPr>
        <w:t xml:space="preserve">in conflict </w:t>
      </w:r>
      <w:r w:rsidR="00200D11">
        <w:rPr>
          <w:rFonts w:cstheme="minorHAnsi"/>
          <w:sz w:val="24"/>
          <w:szCs w:val="24"/>
        </w:rPr>
        <w:t>and both turn</w:t>
      </w:r>
      <w:r>
        <w:rPr>
          <w:rFonts w:cstheme="minorHAnsi"/>
          <w:sz w:val="24"/>
          <w:szCs w:val="24"/>
        </w:rPr>
        <w:t xml:space="preserve">around times and the quality of </w:t>
      </w:r>
      <w:r w:rsidR="00200D11">
        <w:rPr>
          <w:rFonts w:cstheme="minorHAnsi"/>
          <w:sz w:val="24"/>
          <w:szCs w:val="24"/>
        </w:rPr>
        <w:t>the review and analysis of enterprise agreements</w:t>
      </w:r>
      <w:r>
        <w:rPr>
          <w:rFonts w:cstheme="minorHAnsi"/>
          <w:sz w:val="24"/>
          <w:szCs w:val="24"/>
        </w:rPr>
        <w:t xml:space="preserve"> can be improved simultaneously in our view.</w:t>
      </w:r>
    </w:p>
    <w:p w14:paraId="6BE878FA" w14:textId="77777777" w:rsidR="00200D11" w:rsidRDefault="00200D11" w:rsidP="00631C99">
      <w:pPr>
        <w:spacing w:after="0"/>
        <w:rPr>
          <w:rFonts w:cstheme="minorHAnsi"/>
          <w:sz w:val="24"/>
          <w:szCs w:val="24"/>
        </w:rPr>
      </w:pPr>
    </w:p>
    <w:p w14:paraId="5075FDA3" w14:textId="359D25AE" w:rsidR="00631C99" w:rsidRDefault="00631C99" w:rsidP="00631C99">
      <w:pPr>
        <w:spacing w:after="0"/>
        <w:rPr>
          <w:rFonts w:cstheme="minorHAnsi"/>
          <w:sz w:val="24"/>
          <w:szCs w:val="24"/>
        </w:rPr>
      </w:pPr>
    </w:p>
    <w:p w14:paraId="68BB5D60" w14:textId="3E94235E" w:rsidR="006800FB" w:rsidRDefault="006800FB" w:rsidP="00631C99">
      <w:pPr>
        <w:spacing w:after="0"/>
        <w:rPr>
          <w:rFonts w:cstheme="minorHAnsi"/>
          <w:sz w:val="24"/>
          <w:szCs w:val="24"/>
        </w:rPr>
      </w:pPr>
    </w:p>
    <w:p w14:paraId="541DA5CA" w14:textId="27B28E48" w:rsidR="006800FB" w:rsidRDefault="006800FB" w:rsidP="00631C99">
      <w:pPr>
        <w:spacing w:after="0"/>
        <w:rPr>
          <w:rFonts w:cstheme="minorHAnsi"/>
          <w:sz w:val="24"/>
          <w:szCs w:val="24"/>
        </w:rPr>
      </w:pPr>
    </w:p>
    <w:p w14:paraId="080934FB" w14:textId="0CFD5E7B" w:rsidR="006800FB" w:rsidRDefault="006800FB" w:rsidP="00631C99">
      <w:pPr>
        <w:spacing w:after="0"/>
        <w:rPr>
          <w:rFonts w:cstheme="minorHAnsi"/>
          <w:sz w:val="24"/>
          <w:szCs w:val="24"/>
        </w:rPr>
      </w:pPr>
    </w:p>
    <w:p w14:paraId="6F1E4157" w14:textId="4D13D238" w:rsidR="006800FB" w:rsidRDefault="006800FB" w:rsidP="00631C99">
      <w:pPr>
        <w:spacing w:after="0"/>
        <w:rPr>
          <w:rFonts w:cstheme="minorHAnsi"/>
          <w:sz w:val="24"/>
          <w:szCs w:val="24"/>
        </w:rPr>
      </w:pPr>
    </w:p>
    <w:p w14:paraId="0C749556" w14:textId="32214A67" w:rsidR="006800FB" w:rsidRDefault="006800FB" w:rsidP="00631C99">
      <w:pPr>
        <w:spacing w:after="0"/>
        <w:rPr>
          <w:rFonts w:cstheme="minorHAnsi"/>
          <w:sz w:val="24"/>
          <w:szCs w:val="24"/>
        </w:rPr>
      </w:pPr>
    </w:p>
    <w:p w14:paraId="42302BC8" w14:textId="243ABF46" w:rsidR="006800FB" w:rsidRDefault="006800FB" w:rsidP="00631C99">
      <w:pPr>
        <w:spacing w:after="0"/>
        <w:rPr>
          <w:rFonts w:cstheme="minorHAnsi"/>
          <w:sz w:val="24"/>
          <w:szCs w:val="24"/>
        </w:rPr>
      </w:pPr>
    </w:p>
    <w:p w14:paraId="7CC8B82B" w14:textId="23941AA8" w:rsidR="006800FB" w:rsidRDefault="006800FB" w:rsidP="00631C99">
      <w:pPr>
        <w:spacing w:after="0"/>
        <w:rPr>
          <w:rFonts w:cstheme="minorHAnsi"/>
          <w:sz w:val="24"/>
          <w:szCs w:val="24"/>
        </w:rPr>
      </w:pPr>
    </w:p>
    <w:p w14:paraId="03CF6F95" w14:textId="2B858139" w:rsidR="006800FB" w:rsidRDefault="006800FB" w:rsidP="00631C99">
      <w:pPr>
        <w:spacing w:after="0"/>
        <w:rPr>
          <w:rFonts w:cstheme="minorHAnsi"/>
          <w:sz w:val="24"/>
          <w:szCs w:val="24"/>
        </w:rPr>
      </w:pPr>
    </w:p>
    <w:p w14:paraId="3BBB32C9" w14:textId="7B7C69FF" w:rsidR="006800FB" w:rsidRDefault="006800FB" w:rsidP="00631C99">
      <w:pPr>
        <w:spacing w:after="0"/>
        <w:rPr>
          <w:rFonts w:cstheme="minorHAnsi"/>
          <w:sz w:val="24"/>
          <w:szCs w:val="24"/>
        </w:rPr>
      </w:pPr>
    </w:p>
    <w:p w14:paraId="6EFB5CF6" w14:textId="77777777" w:rsidR="006800FB" w:rsidRPr="00631C99" w:rsidRDefault="006800FB" w:rsidP="00631C99">
      <w:pPr>
        <w:spacing w:after="0"/>
        <w:rPr>
          <w:rFonts w:cstheme="minorHAnsi"/>
          <w:sz w:val="24"/>
          <w:szCs w:val="24"/>
        </w:rPr>
      </w:pPr>
    </w:p>
    <w:p w14:paraId="599048EE" w14:textId="77777777" w:rsidR="008D050A" w:rsidRPr="008D050A" w:rsidRDefault="008D050A" w:rsidP="00134FB8">
      <w:pPr>
        <w:pStyle w:val="Heading1"/>
      </w:pPr>
      <w:r>
        <w:t>Concluding Comments</w:t>
      </w:r>
    </w:p>
    <w:p w14:paraId="3F47F191" w14:textId="67EDEDD7" w:rsidR="008D050A" w:rsidRDefault="008D050A" w:rsidP="003E6087">
      <w:pPr>
        <w:pStyle w:val="ListParagraph"/>
        <w:numPr>
          <w:ilvl w:val="0"/>
          <w:numId w:val="6"/>
        </w:numPr>
        <w:spacing w:after="0" w:line="240" w:lineRule="auto"/>
        <w:rPr>
          <w:rFonts w:cstheme="minorHAnsi"/>
          <w:sz w:val="24"/>
          <w:szCs w:val="24"/>
        </w:rPr>
      </w:pPr>
      <w:r>
        <w:rPr>
          <w:rFonts w:cstheme="minorHAnsi"/>
          <w:sz w:val="24"/>
          <w:szCs w:val="24"/>
        </w:rPr>
        <w:t>This review ought to reject employer unilateralism in the unique arrangement</w:t>
      </w:r>
      <w:r w:rsidR="00891D9D">
        <w:rPr>
          <w:rFonts w:cstheme="minorHAnsi"/>
          <w:sz w:val="24"/>
          <w:szCs w:val="24"/>
        </w:rPr>
        <w:t>s</w:t>
      </w:r>
      <w:r>
        <w:rPr>
          <w:rFonts w:cstheme="minorHAnsi"/>
          <w:sz w:val="24"/>
          <w:szCs w:val="24"/>
        </w:rPr>
        <w:t xml:space="preserve"> for </w:t>
      </w:r>
      <w:r w:rsidR="00891D9D">
        <w:rPr>
          <w:rFonts w:cstheme="minorHAnsi"/>
          <w:sz w:val="24"/>
          <w:szCs w:val="24"/>
        </w:rPr>
        <w:t xml:space="preserve">the making of </w:t>
      </w:r>
      <w:r>
        <w:rPr>
          <w:rFonts w:cstheme="minorHAnsi"/>
          <w:sz w:val="24"/>
          <w:szCs w:val="24"/>
        </w:rPr>
        <w:t xml:space="preserve">greenfield </w:t>
      </w:r>
      <w:r w:rsidR="00891D9D">
        <w:rPr>
          <w:rFonts w:cstheme="minorHAnsi"/>
          <w:sz w:val="24"/>
          <w:szCs w:val="24"/>
        </w:rPr>
        <w:t xml:space="preserve">agreements under the </w:t>
      </w:r>
      <w:r w:rsidR="00891D9D" w:rsidRPr="00891D9D">
        <w:rPr>
          <w:rFonts w:cstheme="minorHAnsi"/>
          <w:i/>
          <w:sz w:val="24"/>
          <w:szCs w:val="24"/>
        </w:rPr>
        <w:t>Fair Work Act</w:t>
      </w:r>
      <w:r w:rsidR="00891D9D">
        <w:rPr>
          <w:rFonts w:cstheme="minorHAnsi"/>
          <w:sz w:val="24"/>
          <w:szCs w:val="24"/>
        </w:rPr>
        <w:t>.</w:t>
      </w:r>
      <w:r>
        <w:rPr>
          <w:rFonts w:cstheme="minorHAnsi"/>
          <w:sz w:val="24"/>
          <w:szCs w:val="24"/>
        </w:rPr>
        <w:t xml:space="preserve"> To this end the review must recommend the </w:t>
      </w:r>
      <w:r w:rsidR="00492D9C">
        <w:rPr>
          <w:rFonts w:cstheme="minorHAnsi"/>
          <w:sz w:val="24"/>
          <w:szCs w:val="24"/>
        </w:rPr>
        <w:t xml:space="preserve">repeal of </w:t>
      </w:r>
      <w:r>
        <w:rPr>
          <w:rFonts w:cstheme="minorHAnsi"/>
          <w:sz w:val="24"/>
          <w:szCs w:val="24"/>
        </w:rPr>
        <w:t>section 182 (4)</w:t>
      </w:r>
      <w:r w:rsidR="00663E06">
        <w:rPr>
          <w:rFonts w:cstheme="minorHAnsi"/>
          <w:sz w:val="24"/>
          <w:szCs w:val="24"/>
        </w:rPr>
        <w:t xml:space="preserve"> of the </w:t>
      </w:r>
      <w:r w:rsidR="00663E06">
        <w:rPr>
          <w:rFonts w:cstheme="minorHAnsi"/>
          <w:i/>
          <w:sz w:val="24"/>
          <w:szCs w:val="24"/>
        </w:rPr>
        <w:t>Fair Work Act</w:t>
      </w:r>
      <w:r>
        <w:rPr>
          <w:rFonts w:cstheme="minorHAnsi"/>
          <w:sz w:val="24"/>
          <w:szCs w:val="24"/>
        </w:rPr>
        <w:t xml:space="preserve">. </w:t>
      </w:r>
    </w:p>
    <w:p w14:paraId="460B1F31" w14:textId="77777777" w:rsidR="00200D11" w:rsidRDefault="00200D11" w:rsidP="00200D11">
      <w:pPr>
        <w:spacing w:after="0" w:line="240" w:lineRule="auto"/>
        <w:rPr>
          <w:rFonts w:cstheme="minorHAnsi"/>
          <w:sz w:val="24"/>
          <w:szCs w:val="24"/>
        </w:rPr>
      </w:pPr>
      <w:r w:rsidRPr="005F52E9">
        <w:rPr>
          <w:rFonts w:cstheme="minorHAnsi"/>
          <w:noProof/>
          <w:sz w:val="24"/>
          <w:szCs w:val="24"/>
          <w:lang w:eastAsia="en-AU"/>
        </w:rPr>
        <mc:AlternateContent>
          <mc:Choice Requires="wps">
            <w:drawing>
              <wp:anchor distT="91440" distB="91440" distL="114300" distR="114300" simplePos="0" relativeHeight="251659264" behindDoc="0" locked="0" layoutInCell="1" allowOverlap="1" wp14:anchorId="1D824F65" wp14:editId="2B2C8ECA">
                <wp:simplePos x="0" y="0"/>
                <wp:positionH relativeFrom="page">
                  <wp:posOffset>1149350</wp:posOffset>
                </wp:positionH>
                <wp:positionV relativeFrom="paragraph">
                  <wp:posOffset>459105</wp:posOffset>
                </wp:positionV>
                <wp:extent cx="5162550" cy="1416050"/>
                <wp:effectExtent l="0" t="0" r="19050" b="1270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416050"/>
                        </a:xfrm>
                        <a:prstGeom prst="rect">
                          <a:avLst/>
                        </a:prstGeom>
                        <a:solidFill>
                          <a:schemeClr val="tx1"/>
                        </a:solidFill>
                        <a:ln w="9525">
                          <a:solidFill>
                            <a:schemeClr val="tx1"/>
                          </a:solidFill>
                          <a:miter lim="800000"/>
                          <a:headEnd/>
                          <a:tailEnd/>
                        </a:ln>
                      </wps:spPr>
                      <wps:txbx>
                        <w:txbxContent>
                          <w:p w14:paraId="4A7018E6" w14:textId="77777777" w:rsidR="00A514C7" w:rsidRDefault="00A514C7" w:rsidP="00200D11">
                            <w:pPr>
                              <w:pBdr>
                                <w:top w:val="single" w:sz="24" w:space="8" w:color="5B9BD5" w:themeColor="accent1"/>
                                <w:bottom w:val="single" w:sz="24" w:space="8" w:color="5B9BD5" w:themeColor="accent1"/>
                              </w:pBdr>
                              <w:spacing w:after="0"/>
                              <w:rPr>
                                <w:b/>
                                <w:iCs/>
                                <w:color w:val="FFFFFF" w:themeColor="background1"/>
                                <w:sz w:val="24"/>
                                <w:lang w:val="en-US"/>
                              </w:rPr>
                            </w:pPr>
                            <w:r>
                              <w:rPr>
                                <w:b/>
                                <w:iCs/>
                                <w:color w:val="FFFFFF" w:themeColor="background1"/>
                                <w:sz w:val="24"/>
                                <w:lang w:val="en-US"/>
                              </w:rPr>
                              <w:t>CFMEU Recommendation;</w:t>
                            </w:r>
                          </w:p>
                          <w:p w14:paraId="49780114" w14:textId="77777777" w:rsidR="00A514C7" w:rsidRDefault="00A514C7" w:rsidP="00200D11">
                            <w:pPr>
                              <w:pBdr>
                                <w:top w:val="single" w:sz="24" w:space="8" w:color="5B9BD5" w:themeColor="accent1"/>
                                <w:bottom w:val="single" w:sz="24" w:space="8" w:color="5B9BD5" w:themeColor="accent1"/>
                              </w:pBdr>
                              <w:spacing w:after="0"/>
                              <w:rPr>
                                <w:b/>
                                <w:iCs/>
                                <w:color w:val="FFFFFF" w:themeColor="background1"/>
                                <w:sz w:val="24"/>
                                <w:lang w:val="en-US"/>
                              </w:rPr>
                            </w:pPr>
                          </w:p>
                          <w:p w14:paraId="1BCE27B9" w14:textId="4436C589" w:rsidR="00A514C7" w:rsidRPr="005F52E9" w:rsidRDefault="00A514C7" w:rsidP="00200D11">
                            <w:pPr>
                              <w:pBdr>
                                <w:top w:val="single" w:sz="24" w:space="8" w:color="5B9BD5" w:themeColor="accent1"/>
                                <w:bottom w:val="single" w:sz="24" w:space="8" w:color="5B9BD5" w:themeColor="accent1"/>
                              </w:pBdr>
                              <w:spacing w:after="0"/>
                              <w:rPr>
                                <w:b/>
                                <w:iCs/>
                                <w:color w:val="FFFFFF" w:themeColor="background1"/>
                                <w:sz w:val="24"/>
                                <w:lang w:val="en-US"/>
                              </w:rPr>
                            </w:pPr>
                            <w:r>
                              <w:rPr>
                                <w:b/>
                                <w:iCs/>
                                <w:color w:val="FFFFFF" w:themeColor="background1"/>
                                <w:sz w:val="24"/>
                                <w:lang w:val="en-US"/>
                              </w:rPr>
                              <w:t xml:space="preserve">The amendment arising from the </w:t>
                            </w:r>
                            <w:r w:rsidRPr="00200D11">
                              <w:rPr>
                                <w:b/>
                                <w:i/>
                                <w:iCs/>
                                <w:color w:val="FFFFFF" w:themeColor="background1"/>
                                <w:sz w:val="24"/>
                                <w:lang w:val="en-US"/>
                              </w:rPr>
                              <w:t>Fair Work Amendment Act</w:t>
                            </w:r>
                            <w:r>
                              <w:rPr>
                                <w:b/>
                                <w:iCs/>
                                <w:color w:val="FFFFFF" w:themeColor="background1"/>
                                <w:sz w:val="24"/>
                                <w:lang w:val="en-US"/>
                              </w:rPr>
                              <w:t xml:space="preserve"> 2015 to allow for unilateral employer greenfield agreements, section 182 (4)</w:t>
                            </w:r>
                            <w:r w:rsidR="00CF5359">
                              <w:rPr>
                                <w:b/>
                                <w:iCs/>
                                <w:color w:val="FFFFFF" w:themeColor="background1"/>
                                <w:sz w:val="24"/>
                                <w:lang w:val="en-US"/>
                              </w:rPr>
                              <w:t xml:space="preserve"> of the </w:t>
                            </w:r>
                            <w:r w:rsidR="00CF5359">
                              <w:rPr>
                                <w:b/>
                                <w:i/>
                                <w:iCs/>
                                <w:color w:val="FFFFFF" w:themeColor="background1"/>
                                <w:sz w:val="24"/>
                                <w:lang w:val="en-US"/>
                              </w:rPr>
                              <w:t>Fair Work Act</w:t>
                            </w:r>
                            <w:r>
                              <w:rPr>
                                <w:b/>
                                <w:iCs/>
                                <w:color w:val="FFFFFF" w:themeColor="background1"/>
                                <w:sz w:val="24"/>
                                <w:lang w:val="en-US"/>
                              </w:rPr>
                              <w:t xml:space="preserve">, </w:t>
                            </w:r>
                            <w:r w:rsidR="00492D9C">
                              <w:rPr>
                                <w:b/>
                                <w:iCs/>
                                <w:color w:val="FFFFFF" w:themeColor="background1"/>
                                <w:sz w:val="24"/>
                                <w:lang w:val="en-US"/>
                              </w:rPr>
                              <w:t xml:space="preserve">should </w:t>
                            </w:r>
                            <w:r>
                              <w:rPr>
                                <w:b/>
                                <w:iCs/>
                                <w:color w:val="FFFFFF" w:themeColor="background1"/>
                                <w:sz w:val="24"/>
                                <w:lang w:val="en-US"/>
                              </w:rPr>
                              <w:t>be</w:t>
                            </w:r>
                            <w:r w:rsidR="00492D9C">
                              <w:rPr>
                                <w:b/>
                                <w:iCs/>
                                <w:color w:val="FFFFFF" w:themeColor="background1"/>
                                <w:sz w:val="24"/>
                                <w:lang w:val="en-US"/>
                              </w:rPr>
                              <w:t xml:space="preserve"> repealed</w:t>
                            </w:r>
                            <w:r>
                              <w:rPr>
                                <w:b/>
                                <w:iCs/>
                                <w:color w:val="FFFFFF" w:themeColor="background1"/>
                                <w:sz w:val="24"/>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824F65" id="_x0000_t202" coordsize="21600,21600" o:spt="202" path="m,l,21600r21600,l21600,xe">
                <v:stroke joinstyle="miter"/>
                <v:path gradientshapeok="t" o:connecttype="rect"/>
              </v:shapetype>
              <v:shape id="Text Box 2" o:spid="_x0000_s1026" type="#_x0000_t202" style="position:absolute;margin-left:90.5pt;margin-top:36.15pt;width:406.5pt;height:111.5pt;z-index:25165926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" fillcolor="black [3213]" strokecolor="black [3213]">
                <v:textbox>
                  <w:txbxContent>
                    <w:p w14:paraId="4A7018E6" w14:textId="77777777" w:rsidR="00A514C7" w:rsidRDefault="00A514C7" w:rsidP="00200D11">
                      <w:pPr>
                        <w:pBdr>
                          <w:top w:val="single" w:sz="24" w:space="8" w:color="5B9BD5" w:themeColor="accent1"/>
                          <w:bottom w:val="single" w:sz="24" w:space="8" w:color="5B9BD5" w:themeColor="accent1"/>
                        </w:pBdr>
                        <w:spacing w:after="0"/>
                        <w:rPr>
                          <w:b/>
                          <w:iCs/>
                          <w:color w:val="FFFFFF" w:themeColor="background1"/>
                          <w:sz w:val="24"/>
                          <w:lang w:val="en-US"/>
                        </w:rPr>
                      </w:pPr>
                      <w:r>
                        <w:rPr>
                          <w:b/>
                          <w:iCs/>
                          <w:color w:val="FFFFFF" w:themeColor="background1"/>
                          <w:sz w:val="24"/>
                          <w:lang w:val="en-US"/>
                        </w:rPr>
                        <w:t>CFMEU Recommendation;</w:t>
                      </w:r>
                    </w:p>
                    <w:p w14:paraId="49780114" w14:textId="77777777" w:rsidR="00A514C7" w:rsidRDefault="00A514C7" w:rsidP="00200D11">
                      <w:pPr>
                        <w:pBdr>
                          <w:top w:val="single" w:sz="24" w:space="8" w:color="5B9BD5" w:themeColor="accent1"/>
                          <w:bottom w:val="single" w:sz="24" w:space="8" w:color="5B9BD5" w:themeColor="accent1"/>
                        </w:pBdr>
                        <w:spacing w:after="0"/>
                        <w:rPr>
                          <w:b/>
                          <w:iCs/>
                          <w:color w:val="FFFFFF" w:themeColor="background1"/>
                          <w:sz w:val="24"/>
                          <w:lang w:val="en-US"/>
                        </w:rPr>
                      </w:pPr>
                    </w:p>
                    <w:p w14:paraId="1BCE27B9" w14:textId="4436C589" w:rsidR="00A514C7" w:rsidRPr="005F52E9" w:rsidRDefault="00A514C7" w:rsidP="00200D11">
                      <w:pPr>
                        <w:pBdr>
                          <w:top w:val="single" w:sz="24" w:space="8" w:color="5B9BD5" w:themeColor="accent1"/>
                          <w:bottom w:val="single" w:sz="24" w:space="8" w:color="5B9BD5" w:themeColor="accent1"/>
                        </w:pBdr>
                        <w:spacing w:after="0"/>
                        <w:rPr>
                          <w:b/>
                          <w:iCs/>
                          <w:color w:val="FFFFFF" w:themeColor="background1"/>
                          <w:sz w:val="24"/>
                          <w:lang w:val="en-US"/>
                        </w:rPr>
                      </w:pPr>
                      <w:r>
                        <w:rPr>
                          <w:b/>
                          <w:iCs/>
                          <w:color w:val="FFFFFF" w:themeColor="background1"/>
                          <w:sz w:val="24"/>
                          <w:lang w:val="en-US"/>
                        </w:rPr>
                        <w:t xml:space="preserve">The amendment arising from the </w:t>
                      </w:r>
                      <w:r w:rsidRPr="00200D11">
                        <w:rPr>
                          <w:b/>
                          <w:i/>
                          <w:iCs/>
                          <w:color w:val="FFFFFF" w:themeColor="background1"/>
                          <w:sz w:val="24"/>
                          <w:lang w:val="en-US"/>
                        </w:rPr>
                        <w:t>Fair Work Amendment Act</w:t>
                      </w:r>
                      <w:r>
                        <w:rPr>
                          <w:b/>
                          <w:iCs/>
                          <w:color w:val="FFFFFF" w:themeColor="background1"/>
                          <w:sz w:val="24"/>
                          <w:lang w:val="en-US"/>
                        </w:rPr>
                        <w:t xml:space="preserve"> 2015 to allow for unilateral employer greenfield agreements, section 182 (4)</w:t>
                      </w:r>
                      <w:r w:rsidR="00CF5359">
                        <w:rPr>
                          <w:b/>
                          <w:iCs/>
                          <w:color w:val="FFFFFF" w:themeColor="background1"/>
                          <w:sz w:val="24"/>
                          <w:lang w:val="en-US"/>
                        </w:rPr>
                        <w:t xml:space="preserve"> of the </w:t>
                      </w:r>
                      <w:r w:rsidR="00CF5359">
                        <w:rPr>
                          <w:b/>
                          <w:i/>
                          <w:iCs/>
                          <w:color w:val="FFFFFF" w:themeColor="background1"/>
                          <w:sz w:val="24"/>
                          <w:lang w:val="en-US"/>
                        </w:rPr>
                        <w:t>Fair Work Act</w:t>
                      </w:r>
                      <w:r>
                        <w:rPr>
                          <w:b/>
                          <w:iCs/>
                          <w:color w:val="FFFFFF" w:themeColor="background1"/>
                          <w:sz w:val="24"/>
                          <w:lang w:val="en-US"/>
                        </w:rPr>
                        <w:t xml:space="preserve">, </w:t>
                      </w:r>
                      <w:r w:rsidR="00492D9C">
                        <w:rPr>
                          <w:b/>
                          <w:iCs/>
                          <w:color w:val="FFFFFF" w:themeColor="background1"/>
                          <w:sz w:val="24"/>
                          <w:lang w:val="en-US"/>
                        </w:rPr>
                        <w:t xml:space="preserve">should </w:t>
                      </w:r>
                      <w:r>
                        <w:rPr>
                          <w:b/>
                          <w:iCs/>
                          <w:color w:val="FFFFFF" w:themeColor="background1"/>
                          <w:sz w:val="24"/>
                          <w:lang w:val="en-US"/>
                        </w:rPr>
                        <w:t>be</w:t>
                      </w:r>
                      <w:r w:rsidR="00492D9C">
                        <w:rPr>
                          <w:b/>
                          <w:iCs/>
                          <w:color w:val="FFFFFF" w:themeColor="background1"/>
                          <w:sz w:val="24"/>
                          <w:lang w:val="en-US"/>
                        </w:rPr>
                        <w:t xml:space="preserve"> repealed</w:t>
                      </w:r>
                      <w:r>
                        <w:rPr>
                          <w:b/>
                          <w:iCs/>
                          <w:color w:val="FFFFFF" w:themeColor="background1"/>
                          <w:sz w:val="24"/>
                          <w:lang w:val="en-US"/>
                        </w:rPr>
                        <w:t>.</w:t>
                      </w:r>
                    </w:p>
                  </w:txbxContent>
                </v:textbox>
                <w10:wrap type="topAndBottom" anchorx="page"/>
              </v:shape>
            </w:pict>
          </mc:Fallback>
        </mc:AlternateContent>
      </w:r>
    </w:p>
    <w:p w14:paraId="50224CE4" w14:textId="53FA4CA1" w:rsidR="00AD03A1" w:rsidRDefault="00AD03A1" w:rsidP="00F87C1D">
      <w:pPr>
        <w:spacing w:after="0" w:line="240" w:lineRule="auto"/>
        <w:rPr>
          <w:sz w:val="24"/>
          <w:szCs w:val="24"/>
          <w:lang w:val="en-US"/>
        </w:rPr>
      </w:pPr>
    </w:p>
    <w:p w14:paraId="445A94D4" w14:textId="1EDE5863" w:rsidR="006C1E6F" w:rsidRDefault="006C1E6F" w:rsidP="00F87C1D">
      <w:pPr>
        <w:spacing w:after="0" w:line="240" w:lineRule="auto"/>
        <w:rPr>
          <w:sz w:val="24"/>
          <w:szCs w:val="24"/>
          <w:lang w:val="en-US"/>
        </w:rPr>
      </w:pPr>
    </w:p>
    <w:p w14:paraId="52F1A3C2" w14:textId="02777767" w:rsidR="006800FB" w:rsidRDefault="006800FB" w:rsidP="00F87C1D">
      <w:pPr>
        <w:spacing w:after="0" w:line="240" w:lineRule="auto"/>
        <w:rPr>
          <w:sz w:val="24"/>
          <w:szCs w:val="24"/>
          <w:lang w:val="en-US"/>
        </w:rPr>
      </w:pPr>
    </w:p>
    <w:p w14:paraId="3C2C514E" w14:textId="3595423E" w:rsidR="006800FB" w:rsidRDefault="006800FB" w:rsidP="00F87C1D">
      <w:pPr>
        <w:spacing w:after="0" w:line="240" w:lineRule="auto"/>
        <w:rPr>
          <w:sz w:val="24"/>
          <w:szCs w:val="24"/>
          <w:lang w:val="en-US"/>
        </w:rPr>
      </w:pPr>
    </w:p>
    <w:p w14:paraId="3A1B0C88" w14:textId="77777777" w:rsidR="006800FB" w:rsidRDefault="006800FB" w:rsidP="00F87C1D">
      <w:pPr>
        <w:spacing w:after="0" w:line="240" w:lineRule="auto"/>
        <w:rPr>
          <w:sz w:val="24"/>
          <w:szCs w:val="24"/>
          <w:lang w:val="en-US"/>
        </w:rPr>
      </w:pPr>
    </w:p>
    <w:p w14:paraId="4EECB306" w14:textId="77777777" w:rsidR="00AD03A1" w:rsidRDefault="00AD03A1" w:rsidP="00F87C1D">
      <w:pPr>
        <w:spacing w:after="0" w:line="240" w:lineRule="auto"/>
        <w:rPr>
          <w:b/>
          <w:sz w:val="24"/>
          <w:szCs w:val="24"/>
          <w:lang w:val="en-US"/>
        </w:rPr>
      </w:pPr>
      <w:r>
        <w:rPr>
          <w:b/>
          <w:sz w:val="24"/>
          <w:szCs w:val="24"/>
          <w:lang w:val="en-US"/>
        </w:rPr>
        <w:t>Construction, Forestry, Mining and Energy Union</w:t>
      </w:r>
    </w:p>
    <w:p w14:paraId="40354959" w14:textId="77777777" w:rsidR="00AD03A1" w:rsidRPr="00AD03A1" w:rsidRDefault="00AD03A1" w:rsidP="00F87C1D">
      <w:pPr>
        <w:spacing w:after="0" w:line="240" w:lineRule="auto"/>
        <w:rPr>
          <w:b/>
          <w:sz w:val="24"/>
          <w:szCs w:val="24"/>
          <w:lang w:val="en-US"/>
        </w:rPr>
      </w:pPr>
      <w:r>
        <w:rPr>
          <w:b/>
          <w:sz w:val="24"/>
          <w:szCs w:val="24"/>
          <w:lang w:val="en-US"/>
        </w:rPr>
        <w:t>25 October 2017</w:t>
      </w:r>
    </w:p>
    <w:sectPr w:rsidR="00AD03A1" w:rsidRPr="00AD03A1" w:rsidSect="000D2C3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649FBC" w14:textId="77777777" w:rsidR="00605AFF" w:rsidRDefault="00605AFF" w:rsidP="00E6297F">
      <w:pPr>
        <w:spacing w:after="0" w:line="240" w:lineRule="auto"/>
      </w:pPr>
      <w:r>
        <w:separator/>
      </w:r>
    </w:p>
  </w:endnote>
  <w:endnote w:type="continuationSeparator" w:id="0">
    <w:p w14:paraId="7590B836" w14:textId="77777777" w:rsidR="00605AFF" w:rsidRDefault="00605AFF" w:rsidP="00E62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E90DA" w14:textId="77777777" w:rsidR="000D2C38" w:rsidRDefault="000D2C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161834"/>
      <w:docPartObj>
        <w:docPartGallery w:val="Page Numbers (Bottom of Page)"/>
        <w:docPartUnique/>
      </w:docPartObj>
    </w:sdtPr>
    <w:sdtEndPr>
      <w:rPr>
        <w:color w:val="7F7F7F" w:themeColor="background1" w:themeShade="7F"/>
        <w:spacing w:val="60"/>
      </w:rPr>
    </w:sdtEndPr>
    <w:sdtContent>
      <w:p w14:paraId="5B567D75" w14:textId="2C2CBC42" w:rsidR="00A514C7" w:rsidRDefault="00A514C7">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B81B05" w:rsidRPr="00B81B05">
          <w:rPr>
            <w:b/>
            <w:bCs/>
            <w:noProof/>
          </w:rPr>
          <w:t>4</w:t>
        </w:r>
        <w:r>
          <w:rPr>
            <w:b/>
            <w:bCs/>
            <w:noProof/>
          </w:rPr>
          <w:fldChar w:fldCharType="end"/>
        </w:r>
        <w:r>
          <w:rPr>
            <w:b/>
            <w:bCs/>
          </w:rPr>
          <w:t xml:space="preserve"> | </w:t>
        </w:r>
        <w:r>
          <w:rPr>
            <w:color w:val="7F7F7F" w:themeColor="background1" w:themeShade="7F"/>
            <w:spacing w:val="60"/>
          </w:rPr>
          <w:t>Page</w:t>
        </w:r>
      </w:p>
      <w:p w14:paraId="2017C9B2" w14:textId="77777777" w:rsidR="00A514C7" w:rsidRDefault="00A514C7">
        <w:pPr>
          <w:pStyle w:val="Footer"/>
          <w:pBdr>
            <w:top w:val="single" w:sz="4" w:space="1" w:color="D9D9D9" w:themeColor="background1" w:themeShade="D9"/>
          </w:pBdr>
          <w:rPr>
            <w:color w:val="7F7F7F" w:themeColor="background1" w:themeShade="7F"/>
            <w:spacing w:val="60"/>
          </w:rPr>
        </w:pPr>
      </w:p>
      <w:p w14:paraId="4BA1837C" w14:textId="77777777" w:rsidR="00A514C7" w:rsidRDefault="00A514C7">
        <w:pPr>
          <w:pStyle w:val="Footer"/>
          <w:pBdr>
            <w:top w:val="single" w:sz="4" w:space="1" w:color="D9D9D9" w:themeColor="background1" w:themeShade="D9"/>
          </w:pBdr>
          <w:rPr>
            <w:b/>
            <w:bCs/>
          </w:rPr>
        </w:pPr>
        <w:r w:rsidRPr="00A514C7">
          <w:rPr>
            <w:color w:val="7F7F7F" w:themeColor="background1" w:themeShade="7F"/>
            <w:spacing w:val="60"/>
            <w:sz w:val="18"/>
            <w:szCs w:val="18"/>
          </w:rPr>
          <w:t>Submissions of the Construction</w:t>
        </w:r>
        <w:r>
          <w:rPr>
            <w:color w:val="7F7F7F" w:themeColor="background1" w:themeShade="7F"/>
            <w:spacing w:val="60"/>
            <w:sz w:val="18"/>
            <w:szCs w:val="18"/>
          </w:rPr>
          <w:t>,</w:t>
        </w:r>
        <w:r w:rsidRPr="00A514C7">
          <w:rPr>
            <w:color w:val="7F7F7F" w:themeColor="background1" w:themeShade="7F"/>
            <w:spacing w:val="60"/>
            <w:sz w:val="18"/>
            <w:szCs w:val="18"/>
          </w:rPr>
          <w:t xml:space="preserve"> Forestry</w:t>
        </w:r>
        <w:r>
          <w:rPr>
            <w:color w:val="7F7F7F" w:themeColor="background1" w:themeShade="7F"/>
            <w:spacing w:val="60"/>
            <w:sz w:val="18"/>
            <w:szCs w:val="18"/>
          </w:rPr>
          <w:t>, Mining</w:t>
        </w:r>
        <w:r w:rsidRPr="00A514C7">
          <w:rPr>
            <w:color w:val="7F7F7F" w:themeColor="background1" w:themeShade="7F"/>
            <w:spacing w:val="60"/>
            <w:sz w:val="18"/>
            <w:szCs w:val="18"/>
          </w:rPr>
          <w:t xml:space="preserve"> and Energy Union</w:t>
        </w:r>
      </w:p>
    </w:sdtContent>
  </w:sdt>
  <w:p w14:paraId="0E3E1360" w14:textId="77777777" w:rsidR="00A514C7" w:rsidRDefault="00A514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FC050" w14:textId="77777777" w:rsidR="000D2C38" w:rsidRDefault="000D2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FB079" w14:textId="77777777" w:rsidR="00605AFF" w:rsidRDefault="00605AFF" w:rsidP="00E6297F">
      <w:pPr>
        <w:spacing w:after="0" w:line="240" w:lineRule="auto"/>
      </w:pPr>
      <w:r>
        <w:separator/>
      </w:r>
    </w:p>
  </w:footnote>
  <w:footnote w:type="continuationSeparator" w:id="0">
    <w:p w14:paraId="290AC009" w14:textId="77777777" w:rsidR="00605AFF" w:rsidRDefault="00605AFF" w:rsidP="00E6297F">
      <w:pPr>
        <w:spacing w:after="0" w:line="240" w:lineRule="auto"/>
      </w:pPr>
      <w:r>
        <w:continuationSeparator/>
      </w:r>
    </w:p>
  </w:footnote>
  <w:footnote w:id="1">
    <w:p w14:paraId="42FE238E" w14:textId="77777777" w:rsidR="00A514C7" w:rsidRPr="00E6297F" w:rsidRDefault="00A514C7">
      <w:pPr>
        <w:pStyle w:val="FootnoteText"/>
        <w:rPr>
          <w:lang w:val="en-US"/>
        </w:rPr>
      </w:pPr>
      <w:r>
        <w:rPr>
          <w:rStyle w:val="FootnoteReference"/>
        </w:rPr>
        <w:footnoteRef/>
      </w:r>
      <w:r>
        <w:t xml:space="preserve"> </w:t>
      </w:r>
      <w:r>
        <w:rPr>
          <w:lang w:val="en-US"/>
        </w:rPr>
        <w:t xml:space="preserve">We note the commitment provided by the Government to undertake this review at the passing of the </w:t>
      </w:r>
      <w:r w:rsidRPr="00E6297F">
        <w:rPr>
          <w:i/>
          <w:lang w:val="en-US"/>
        </w:rPr>
        <w:t>Fair Amendment Act</w:t>
      </w:r>
      <w:r>
        <w:rPr>
          <w:lang w:val="en-US"/>
        </w:rPr>
        <w:t xml:space="preserve"> 2015.</w:t>
      </w:r>
    </w:p>
  </w:footnote>
  <w:footnote w:id="2">
    <w:p w14:paraId="2AA6D6C7" w14:textId="77777777" w:rsidR="00A514C7" w:rsidRPr="007419B4" w:rsidRDefault="00A514C7">
      <w:pPr>
        <w:pStyle w:val="FootnoteText"/>
        <w:rPr>
          <w:lang w:val="en-US"/>
        </w:rPr>
      </w:pPr>
      <w:r>
        <w:rPr>
          <w:rStyle w:val="FootnoteReference"/>
        </w:rPr>
        <w:footnoteRef/>
      </w:r>
      <w:r>
        <w:t xml:space="preserve"> </w:t>
      </w:r>
      <w:r>
        <w:rPr>
          <w:lang w:val="en-US"/>
        </w:rPr>
        <w:t xml:space="preserve">As prepared in exel form by the Department of Employment and available at; </w:t>
      </w:r>
      <w:hyperlink r:id="rId1" w:history="1">
        <w:r w:rsidRPr="00A162B0">
          <w:rPr>
            <w:rStyle w:val="Hyperlink"/>
            <w:lang w:val="en-US"/>
          </w:rPr>
          <w:t>https://docs.employment.gov.au/documents/list-greenfield-agreements-made</w:t>
        </w:r>
      </w:hyperlink>
    </w:p>
  </w:footnote>
  <w:footnote w:id="3">
    <w:p w14:paraId="5D8A621D" w14:textId="77777777" w:rsidR="00A514C7" w:rsidRPr="00E76A66" w:rsidRDefault="00A514C7">
      <w:pPr>
        <w:pStyle w:val="FootnoteText"/>
        <w:rPr>
          <w:lang w:val="en-US"/>
        </w:rPr>
      </w:pPr>
      <w:r>
        <w:rPr>
          <w:rStyle w:val="FootnoteReference"/>
        </w:rPr>
        <w:footnoteRef/>
      </w:r>
      <w:r>
        <w:t xml:space="preserve"> </w:t>
      </w:r>
      <w:r>
        <w:rPr>
          <w:lang w:val="en-US"/>
        </w:rPr>
        <w:t>Unfortunately it is anticipated the likes of the Master Builders Association and the Australian Mines and Metals Association will continue to press for employer unilateralism for greenfield agreements.</w:t>
      </w:r>
    </w:p>
  </w:footnote>
  <w:footnote w:id="4">
    <w:p w14:paraId="20E2D9DD" w14:textId="3C04DF77" w:rsidR="00A514C7" w:rsidRPr="008007F0" w:rsidRDefault="00A514C7" w:rsidP="00C82FE6">
      <w:pPr>
        <w:pStyle w:val="FootnoteText"/>
      </w:pPr>
      <w:r>
        <w:rPr>
          <w:rStyle w:val="FootnoteReference"/>
        </w:rPr>
        <w:footnoteRef/>
      </w:r>
      <w:r>
        <w:t>For a strong analysis of the outcome of greenfield agreements and the effects of employe</w:t>
      </w:r>
      <w:r w:rsidR="007B0ECC">
        <w:t>r unilateralism under W</w:t>
      </w:r>
      <w:r>
        <w:t xml:space="preserve">orkchoices including some of the egregious employer behaviour that occurred see the report prepared by Associate Professor, Ms Carolyn Sutherland of Monash University in </w:t>
      </w:r>
      <w:r>
        <w:rPr>
          <w:i/>
        </w:rPr>
        <w:t>‘Agreement-making under Workchoices: The impact of the legal framework on bargaining practices and outcomes, October 2007</w:t>
      </w:r>
      <w:r w:rsidR="00897FB5">
        <w:rPr>
          <w:i/>
        </w:rPr>
        <w:t>’</w:t>
      </w:r>
      <w:r>
        <w:rPr>
          <w:i/>
        </w:rPr>
        <w:t xml:space="preserve">, </w:t>
      </w:r>
      <w:r>
        <w:t xml:space="preserve">see in particular pages 35-37, the report is accessible at </w:t>
      </w:r>
      <w:hyperlink r:id="rId2" w:history="1">
        <w:r w:rsidRPr="00A162B0">
          <w:rPr>
            <w:rStyle w:val="Hyperlink"/>
          </w:rPr>
          <w:t>https://www.monash.edu/__data/assets/pdf_file/0004/901606/4880-agreement-making-web.pdf</w:t>
        </w:r>
      </w:hyperlink>
    </w:p>
  </w:footnote>
  <w:footnote w:id="5">
    <w:p w14:paraId="39CCB945" w14:textId="77777777" w:rsidR="00A514C7" w:rsidRPr="00C35A97" w:rsidRDefault="00A514C7">
      <w:pPr>
        <w:pStyle w:val="FootnoteText"/>
        <w:rPr>
          <w:lang w:val="en-US"/>
        </w:rPr>
      </w:pPr>
      <w:r>
        <w:rPr>
          <w:rStyle w:val="FootnoteReference"/>
        </w:rPr>
        <w:footnoteRef/>
      </w:r>
      <w:r>
        <w:t xml:space="preserve"> </w:t>
      </w:r>
      <w:r>
        <w:rPr>
          <w:lang w:val="en-US"/>
        </w:rPr>
        <w:t>There has been in neo-liberal discourse an attempt to portray employer interests as in the economy’s interests and employee’s interests as antithetical to the ‘economy’. This is quite a perverse argument and one wonders who the economy is meant to represent given members of our society are overwhelming</w:t>
      </w:r>
      <w:r w:rsidR="00BA79D9">
        <w:rPr>
          <w:lang w:val="en-US"/>
        </w:rPr>
        <w:t>ly</w:t>
      </w:r>
      <w:r>
        <w:rPr>
          <w:lang w:val="en-US"/>
        </w:rPr>
        <w:t xml:space="preserve"> remunerated via the</w:t>
      </w:r>
      <w:r w:rsidR="00BA79D9">
        <w:rPr>
          <w:lang w:val="en-US"/>
        </w:rPr>
        <w:t>ir</w:t>
      </w:r>
      <w:r>
        <w:rPr>
          <w:lang w:val="en-US"/>
        </w:rPr>
        <w:t xml:space="preserve"> labour not their ownership of capital. For the recent growing consensus on the need to address low wage growth see the widely reported statement by the Reserve Bank Governor Philip Lowe on the need to address low wage growth; </w:t>
      </w:r>
      <w:hyperlink r:id="rId3" w:history="1">
        <w:r w:rsidRPr="00CF0B62">
          <w:rPr>
            <w:rStyle w:val="Hyperlink"/>
            <w:lang w:val="en-US"/>
          </w:rPr>
          <w:t>http://www.smh.com.au/business/the-economy/rba-governor-philip-lowe-wage-growth-too-low-rates-to-climb-but-not-for-some-time-20170810-gxtb2l.html</w:t>
        </w:r>
      </w:hyperlink>
      <w:r>
        <w:rPr>
          <w:lang w:val="en-US"/>
        </w:rPr>
        <w:t xml:space="preserve"> </w:t>
      </w:r>
      <w:r w:rsidR="00E87457">
        <w:rPr>
          <w:lang w:val="en-US"/>
        </w:rPr>
        <w:t xml:space="preserve">; the ongoing stagnation in wages growth was again highlighted in the June quarter report on bargaining trends released by the Department of Employment on 23 October, available at ; </w:t>
      </w:r>
      <w:hyperlink r:id="rId4" w:history="1">
        <w:r w:rsidR="00E87457" w:rsidRPr="00E528C0">
          <w:rPr>
            <w:rStyle w:val="Hyperlink"/>
            <w:lang w:val="en-US"/>
          </w:rPr>
          <w:t>https://docs.employment.gov.au/system/files/doc/other/trends_j17_v3.pdf</w:t>
        </w:r>
      </w:hyperlink>
      <w:r w:rsidR="00E87457">
        <w:rPr>
          <w:lang w:val="en-US"/>
        </w:rPr>
        <w:t xml:space="preserve"> </w:t>
      </w:r>
    </w:p>
  </w:footnote>
  <w:footnote w:id="6">
    <w:p w14:paraId="7DEC5891" w14:textId="53EC7886" w:rsidR="00A514C7" w:rsidRPr="0004553C" w:rsidRDefault="00A514C7">
      <w:pPr>
        <w:pStyle w:val="FootnoteText"/>
        <w:rPr>
          <w:lang w:val="en-US"/>
        </w:rPr>
      </w:pPr>
      <w:r>
        <w:rPr>
          <w:rStyle w:val="FootnoteReference"/>
        </w:rPr>
        <w:footnoteRef/>
      </w:r>
      <w:r>
        <w:t xml:space="preserve"> </w:t>
      </w:r>
      <w:r>
        <w:rPr>
          <w:lang w:val="en-US"/>
        </w:rPr>
        <w:t>Agreements are available on the FWC website where the outcomes are easily reviewed. The difference is substantial</w:t>
      </w:r>
      <w:r w:rsidR="00F65287">
        <w:rPr>
          <w:lang w:val="en-US"/>
        </w:rPr>
        <w:t>;</w:t>
      </w:r>
      <w:r>
        <w:rPr>
          <w:lang w:val="en-US"/>
        </w:rPr>
        <w:t xml:space="preserve"> estimates vary but the wage differential between a union to non-union job is around a staggering 20%, see</w:t>
      </w:r>
      <w:r w:rsidR="00BA79D9">
        <w:rPr>
          <w:lang w:val="en-US"/>
        </w:rPr>
        <w:t xml:space="preserve"> also</w:t>
      </w:r>
      <w:r>
        <w:rPr>
          <w:lang w:val="en-US"/>
        </w:rPr>
        <w:t xml:space="preserve"> David Peetz, Individual Contracting, Collective Bargaining and Wages In Australia, 2009 at </w:t>
      </w:r>
      <w:hyperlink r:id="rId5" w:history="1">
        <w:r w:rsidRPr="00CF0B62">
          <w:rPr>
            <w:rStyle w:val="Hyperlink"/>
            <w:lang w:val="en-US"/>
          </w:rPr>
          <w:t>https://research-repository.griffith.edu.au/bitstream/handle/10072/29660/59864_1.pdf?sequence=1</w:t>
        </w:r>
      </w:hyperlink>
      <w:r>
        <w:rPr>
          <w:lang w:val="en-US"/>
        </w:rPr>
        <w:t>; we note this is consistent with the international experience</w:t>
      </w:r>
      <w:r w:rsidR="00BA79D9">
        <w:rPr>
          <w:lang w:val="en-US"/>
        </w:rPr>
        <w:t xml:space="preserve"> see</w:t>
      </w:r>
      <w:r>
        <w:rPr>
          <w:lang w:val="en-US"/>
        </w:rPr>
        <w:t xml:space="preserve"> one researched example in the United States, George Long, Differences between union and non-union compensation,</w:t>
      </w:r>
      <w:r w:rsidR="00BA79D9">
        <w:rPr>
          <w:lang w:val="en-US"/>
        </w:rPr>
        <w:t xml:space="preserve"> </w:t>
      </w:r>
      <w:r w:rsidR="007C5DB2">
        <w:rPr>
          <w:lang w:val="en-US"/>
        </w:rPr>
        <w:t>2001 – 2011, Monthly Labo</w:t>
      </w:r>
      <w:r>
        <w:rPr>
          <w:lang w:val="en-US"/>
        </w:rPr>
        <w:t xml:space="preserve">r Review, April 2013 at </w:t>
      </w:r>
      <w:hyperlink r:id="rId6" w:history="1">
        <w:r w:rsidRPr="00CF0B62">
          <w:rPr>
            <w:rStyle w:val="Hyperlink"/>
            <w:lang w:val="en-US"/>
          </w:rPr>
          <w:t>https://www.bls.gov/opub/mlr/2013/04/art2full.pdf</w:t>
        </w:r>
      </w:hyperlink>
      <w:r>
        <w:rPr>
          <w:lang w:val="en-US"/>
        </w:rPr>
        <w:t xml:space="preserve"> </w:t>
      </w:r>
      <w:r w:rsidR="006800FB">
        <w:rPr>
          <w:lang w:val="en-US"/>
        </w:rPr>
        <w:t>.</w:t>
      </w:r>
    </w:p>
  </w:footnote>
  <w:footnote w:id="7">
    <w:p w14:paraId="6F0E9DF8" w14:textId="26F37712" w:rsidR="00A514C7" w:rsidRPr="005F52E9" w:rsidRDefault="00A514C7">
      <w:pPr>
        <w:pStyle w:val="FootnoteText"/>
        <w:rPr>
          <w:lang w:val="en-US"/>
        </w:rPr>
      </w:pPr>
      <w:r>
        <w:rPr>
          <w:rStyle w:val="FootnoteReference"/>
        </w:rPr>
        <w:footnoteRef/>
      </w:r>
      <w:r>
        <w:t xml:space="preserve"> </w:t>
      </w:r>
      <w:r>
        <w:rPr>
          <w:lang w:val="en-US"/>
        </w:rPr>
        <w:t>See the review paper at page 11 in referencing the 2012 Fair Work Act Review</w:t>
      </w:r>
      <w:r w:rsidR="006800FB">
        <w:rPr>
          <w:lang w:val="en-US"/>
        </w:rPr>
        <w:t>.</w:t>
      </w:r>
    </w:p>
  </w:footnote>
  <w:footnote w:id="8">
    <w:p w14:paraId="1ECF377F" w14:textId="77777777" w:rsidR="00A514C7" w:rsidRPr="003261D1" w:rsidRDefault="00A514C7">
      <w:pPr>
        <w:pStyle w:val="FootnoteText"/>
        <w:rPr>
          <w:lang w:val="en-US"/>
        </w:rPr>
      </w:pPr>
      <w:r>
        <w:rPr>
          <w:rStyle w:val="FootnoteReference"/>
        </w:rPr>
        <w:footnoteRef/>
      </w:r>
      <w:r>
        <w:t xml:space="preserve"> </w:t>
      </w:r>
      <w:r>
        <w:rPr>
          <w:lang w:val="en-US"/>
        </w:rPr>
        <w:t>The review’s background paper at page 14.</w:t>
      </w:r>
    </w:p>
  </w:footnote>
  <w:footnote w:id="9">
    <w:p w14:paraId="0E90B51E" w14:textId="38383D0B" w:rsidR="00A514C7" w:rsidRPr="00643175" w:rsidRDefault="00A514C7" w:rsidP="00643175">
      <w:pPr>
        <w:spacing w:after="0"/>
        <w:rPr>
          <w:rFonts w:ascii="Helvetica" w:hAnsi="Helvetica"/>
          <w:color w:val="333333"/>
          <w:shd w:val="clear" w:color="auto" w:fill="F4F4F5"/>
        </w:rPr>
      </w:pPr>
      <w:r>
        <w:rPr>
          <w:rStyle w:val="FootnoteReference"/>
        </w:rPr>
        <w:footnoteRef/>
      </w:r>
      <w:r>
        <w:t xml:space="preserve"> </w:t>
      </w:r>
      <w:r w:rsidRPr="00F65287">
        <w:rPr>
          <w:i/>
          <w:sz w:val="20"/>
          <w:szCs w:val="20"/>
        </w:rPr>
        <w:t>J.J Richards &amp; Sons Pty Ltd v Fair Work Australia</w:t>
      </w:r>
      <w:r w:rsidRPr="00643175">
        <w:rPr>
          <w:i/>
          <w:sz w:val="20"/>
          <w:szCs w:val="20"/>
        </w:rPr>
        <w:t xml:space="preserve"> </w:t>
      </w:r>
      <w:r w:rsidRPr="00643175">
        <w:rPr>
          <w:sz w:val="20"/>
          <w:szCs w:val="20"/>
        </w:rPr>
        <w:t>[2012] FCAFC 53</w:t>
      </w:r>
      <w:r w:rsidR="006800FB">
        <w:rPr>
          <w:sz w:val="20"/>
          <w:szCs w:val="20"/>
        </w:rPr>
        <w:t>.</w:t>
      </w:r>
    </w:p>
  </w:footnote>
  <w:footnote w:id="10">
    <w:p w14:paraId="6080F94B" w14:textId="77777777" w:rsidR="00A514C7" w:rsidRPr="003261D1" w:rsidRDefault="00A514C7" w:rsidP="00643175">
      <w:pPr>
        <w:pStyle w:val="FootnoteText"/>
        <w:rPr>
          <w:lang w:val="en-US"/>
        </w:rPr>
      </w:pPr>
      <w:r>
        <w:rPr>
          <w:rStyle w:val="FootnoteReference"/>
        </w:rPr>
        <w:footnoteRef/>
      </w:r>
      <w:r>
        <w:rPr>
          <w:lang w:val="en-US"/>
        </w:rPr>
        <w:t>A simply false assertion when the facts in this case was that the employer refused to bargain at all. Indeed the amendments successfully sought now advantage employers who act capriciously and counter to the objectives of the Act. It is an example of legislators acting ideological</w:t>
      </w:r>
      <w:r w:rsidR="00027755">
        <w:rPr>
          <w:lang w:val="en-US"/>
        </w:rPr>
        <w:t>ly and or believing the ‘spin’</w:t>
      </w:r>
      <w:r>
        <w:rPr>
          <w:lang w:val="en-US"/>
        </w:rPr>
        <w:t xml:space="preserve"> raised in response to this case by the likes of AMMA. </w:t>
      </w:r>
    </w:p>
  </w:footnote>
  <w:footnote w:id="11">
    <w:p w14:paraId="4EE89154" w14:textId="77777777" w:rsidR="00A514C7" w:rsidRPr="00C4365E" w:rsidRDefault="00A514C7">
      <w:pPr>
        <w:pStyle w:val="FootnoteText"/>
        <w:rPr>
          <w:lang w:val="en-US"/>
        </w:rPr>
      </w:pPr>
      <w:r>
        <w:rPr>
          <w:rStyle w:val="FootnoteReference"/>
        </w:rPr>
        <w:footnoteRef/>
      </w:r>
      <w:r>
        <w:t xml:space="preserve"> </w:t>
      </w:r>
      <w:r>
        <w:rPr>
          <w:lang w:val="en-US"/>
        </w:rPr>
        <w:t>See page 11 of this Reviews background paper.</w:t>
      </w:r>
    </w:p>
  </w:footnote>
  <w:footnote w:id="12">
    <w:p w14:paraId="5A5D49E6" w14:textId="318A757A" w:rsidR="003E6087" w:rsidRPr="003E6087" w:rsidRDefault="003E6087">
      <w:pPr>
        <w:pStyle w:val="FootnoteText"/>
        <w:rPr>
          <w:lang w:val="en-US"/>
        </w:rPr>
      </w:pPr>
      <w:r>
        <w:rPr>
          <w:rStyle w:val="FootnoteReference"/>
        </w:rPr>
        <w:footnoteRef/>
      </w:r>
      <w:r>
        <w:t xml:space="preserve"> </w:t>
      </w:r>
      <w:r>
        <w:rPr>
          <w:lang w:val="en-US"/>
        </w:rPr>
        <w:t xml:space="preserve">Agreements where the </w:t>
      </w:r>
      <w:r w:rsidR="00BD19B5">
        <w:rPr>
          <w:lang w:val="en-US"/>
        </w:rPr>
        <w:t>‘</w:t>
      </w:r>
      <w:r>
        <w:rPr>
          <w:lang w:val="en-US"/>
        </w:rPr>
        <w:t>stake</w:t>
      </w:r>
      <w:r w:rsidR="00BD19B5">
        <w:rPr>
          <w:lang w:val="en-US"/>
        </w:rPr>
        <w:t>’</w:t>
      </w:r>
      <w:r>
        <w:rPr>
          <w:lang w:val="en-US"/>
        </w:rPr>
        <w:t xml:space="preserve"> of employees</w:t>
      </w:r>
      <w:r w:rsidR="00BD19B5">
        <w:rPr>
          <w:lang w:val="en-US"/>
        </w:rPr>
        <w:t xml:space="preserve"> in the agreement</w:t>
      </w:r>
      <w:r>
        <w:rPr>
          <w:lang w:val="en-US"/>
        </w:rPr>
        <w:t xml:space="preserve"> is limited and</w:t>
      </w:r>
      <w:r w:rsidR="00BD19B5">
        <w:rPr>
          <w:lang w:val="en-US"/>
        </w:rPr>
        <w:t xml:space="preserve"> problematic and often coupled with the agreement containing substantial scope and application. </w:t>
      </w:r>
    </w:p>
  </w:footnote>
  <w:footnote w:id="13">
    <w:p w14:paraId="4B1C309C" w14:textId="57D97BC4" w:rsidR="00A514C7" w:rsidRPr="00643073" w:rsidRDefault="00A514C7">
      <w:pPr>
        <w:pStyle w:val="FootnoteText"/>
        <w:rPr>
          <w:lang w:val="en-US"/>
        </w:rPr>
      </w:pPr>
      <w:r>
        <w:rPr>
          <w:rStyle w:val="FootnoteReference"/>
        </w:rPr>
        <w:footnoteRef/>
      </w:r>
      <w:r>
        <w:t xml:space="preserve"> </w:t>
      </w:r>
      <w:r>
        <w:rPr>
          <w:i/>
          <w:lang w:val="en-US"/>
        </w:rPr>
        <w:t xml:space="preserve">John Holland v CFMEU </w:t>
      </w:r>
      <w:r>
        <w:rPr>
          <w:lang w:val="en-US"/>
        </w:rPr>
        <w:t>[2014] FCA 286</w:t>
      </w:r>
      <w:r w:rsidR="006800FB">
        <w:rPr>
          <w:lang w:val="en-US"/>
        </w:rPr>
        <w:t>.</w:t>
      </w:r>
    </w:p>
  </w:footnote>
  <w:footnote w:id="14">
    <w:p w14:paraId="23B6524D" w14:textId="5DE6CC6F" w:rsidR="00101CC3" w:rsidRPr="00101CC3" w:rsidRDefault="00101CC3">
      <w:pPr>
        <w:pStyle w:val="FootnoteText"/>
        <w:rPr>
          <w:lang w:val="en-US"/>
        </w:rPr>
      </w:pPr>
      <w:r>
        <w:rPr>
          <w:rStyle w:val="FootnoteReference"/>
        </w:rPr>
        <w:footnoteRef/>
      </w:r>
      <w:r>
        <w:t xml:space="preserve"> </w:t>
      </w:r>
      <w:r w:rsidR="00856D2B">
        <w:t xml:space="preserve">In our extensive experience </w:t>
      </w:r>
      <w:r w:rsidR="00856D2B">
        <w:rPr>
          <w:lang w:val="en-US"/>
        </w:rPr>
        <w:t xml:space="preserve">often </w:t>
      </w:r>
      <w:r w:rsidR="0092168C">
        <w:rPr>
          <w:lang w:val="en-US"/>
        </w:rPr>
        <w:t>not containing provisions</w:t>
      </w:r>
      <w:r>
        <w:rPr>
          <w:lang w:val="en-US"/>
        </w:rPr>
        <w:t xml:space="preserve"> for wages to be increased</w:t>
      </w:r>
      <w:r w:rsidR="0092168C">
        <w:rPr>
          <w:lang w:val="en-US"/>
        </w:rPr>
        <w:t xml:space="preserve"> over the life of the agreement</w:t>
      </w:r>
      <w:r>
        <w:rPr>
          <w:lang w:val="en-US"/>
        </w:rPr>
        <w:t xml:space="preserve"> or to be increased at the whim and sole discretion of the employer. </w:t>
      </w:r>
      <w:r w:rsidR="00663E06">
        <w:rPr>
          <w:lang w:val="en-US"/>
        </w:rPr>
        <w:t>On numerous occasions</w:t>
      </w:r>
      <w:r w:rsidR="00856D2B">
        <w:rPr>
          <w:lang w:val="en-US"/>
        </w:rPr>
        <w:t>, arising from our objections,</w:t>
      </w:r>
      <w:r w:rsidR="00663E06">
        <w:rPr>
          <w:lang w:val="en-US"/>
        </w:rPr>
        <w:t xml:space="preserve"> agreements have been withdrawn</w:t>
      </w:r>
      <w:r w:rsidR="00856D2B">
        <w:rPr>
          <w:lang w:val="en-US"/>
        </w:rPr>
        <w:t xml:space="preserve"> due to the failure to meet legal minima</w:t>
      </w:r>
      <w:r w:rsidR="00663E06">
        <w:rPr>
          <w:lang w:val="en-US"/>
        </w:rPr>
        <w:t xml:space="preserve"> or undertaking</w:t>
      </w:r>
      <w:r w:rsidR="00856D2B">
        <w:rPr>
          <w:lang w:val="en-US"/>
        </w:rPr>
        <w:t>s (often numerous undertakings) have been required by the Commission.</w:t>
      </w:r>
    </w:p>
  </w:footnote>
  <w:footnote w:id="15">
    <w:p w14:paraId="1075D13F" w14:textId="098F4065" w:rsidR="00856D2B" w:rsidRPr="00856D2B" w:rsidRDefault="00856D2B">
      <w:pPr>
        <w:pStyle w:val="FootnoteText"/>
        <w:rPr>
          <w:lang w:val="en-US"/>
        </w:rPr>
      </w:pPr>
      <w:r>
        <w:rPr>
          <w:rStyle w:val="FootnoteReference"/>
        </w:rPr>
        <w:footnoteRef/>
      </w:r>
      <w:r>
        <w:t xml:space="preserve"> </w:t>
      </w:r>
      <w:r w:rsidRPr="00856D2B">
        <w:rPr>
          <w:rFonts w:cstheme="minorHAnsi"/>
          <w:i/>
        </w:rPr>
        <w:t>Site Fleet Services Pty Ltd</w:t>
      </w:r>
      <w:r w:rsidRPr="00856D2B">
        <w:rPr>
          <w:rFonts w:cstheme="minorHAnsi"/>
        </w:rPr>
        <w:t xml:space="preserve"> [2017] FWC 2163</w:t>
      </w:r>
      <w:r w:rsidR="006800FB">
        <w:rPr>
          <w:rFonts w:cstheme="minorHAnsi"/>
        </w:rPr>
        <w:t>.</w:t>
      </w:r>
    </w:p>
  </w:footnote>
  <w:footnote w:id="16">
    <w:p w14:paraId="0C5B0A12" w14:textId="748BAD02" w:rsidR="00856D2B" w:rsidRPr="00856D2B" w:rsidRDefault="00856D2B">
      <w:pPr>
        <w:pStyle w:val="FootnoteText"/>
        <w:rPr>
          <w:lang w:val="en-US"/>
        </w:rPr>
      </w:pPr>
      <w:r>
        <w:rPr>
          <w:rStyle w:val="FootnoteReference"/>
        </w:rPr>
        <w:footnoteRef/>
      </w:r>
      <w:r>
        <w:t xml:space="preserve"> </w:t>
      </w:r>
      <w:r>
        <w:rPr>
          <w:lang w:val="en-US"/>
        </w:rPr>
        <w:t>The 10 modern award</w:t>
      </w:r>
      <w:r w:rsidR="006C1E6F">
        <w:rPr>
          <w:lang w:val="en-US"/>
        </w:rPr>
        <w:t>s</w:t>
      </w:r>
      <w:r>
        <w:rPr>
          <w:lang w:val="en-US"/>
        </w:rPr>
        <w:t xml:space="preserve"> covered a multitude of industries and in excess o</w:t>
      </w:r>
      <w:r w:rsidR="009923B5">
        <w:rPr>
          <w:lang w:val="en-US"/>
        </w:rPr>
        <w:t>f 100 classifications. The wage</w:t>
      </w:r>
      <w:r>
        <w:rPr>
          <w:lang w:val="en-US"/>
        </w:rPr>
        <w:t xml:space="preserve"> rates offered were around 36 cents an hour above the award, in substance therefore award rates</w:t>
      </w:r>
      <w:r w:rsidR="006C1E6F">
        <w:rPr>
          <w:lang w:val="en-US"/>
        </w:rPr>
        <w:t>,</w:t>
      </w:r>
      <w:r>
        <w:rPr>
          <w:lang w:val="en-US"/>
        </w:rPr>
        <w:t xml:space="preserve"> whilst a host of conditions were less beneficial than the award including conditions that would </w:t>
      </w:r>
      <w:r w:rsidR="006C1E6F">
        <w:rPr>
          <w:lang w:val="en-US"/>
        </w:rPr>
        <w:t>affect</w:t>
      </w:r>
      <w:r>
        <w:rPr>
          <w:lang w:val="en-US"/>
        </w:rPr>
        <w:t xml:space="preserve"> remuneration</w:t>
      </w:r>
      <w:r w:rsidR="006C1E6F">
        <w:rPr>
          <w:lang w:val="en-US"/>
        </w:rPr>
        <w:t>.</w:t>
      </w:r>
    </w:p>
  </w:footnote>
  <w:footnote w:id="17">
    <w:p w14:paraId="1381BC7F" w14:textId="77777777" w:rsidR="00A514C7" w:rsidRPr="00D02B4B" w:rsidRDefault="00A514C7">
      <w:pPr>
        <w:pStyle w:val="FootnoteText"/>
        <w:rPr>
          <w:lang w:val="en-US"/>
        </w:rPr>
      </w:pPr>
      <w:r>
        <w:rPr>
          <w:rStyle w:val="FootnoteReference"/>
        </w:rPr>
        <w:footnoteRef/>
      </w:r>
      <w:r>
        <w:t xml:space="preserve"> </w:t>
      </w:r>
      <w:r>
        <w:rPr>
          <w:lang w:val="en-US"/>
        </w:rPr>
        <w:t>The issue of brownfield agreements was addressed by a number of the submissions to the Senate inquiry into Corporate Avoidance of the Fair Work Act, as some examples we refer to the submissions of the ACTU and Maurice Blackburn Lawyer</w:t>
      </w:r>
      <w:r w:rsidR="008F485D">
        <w:rPr>
          <w:lang w:val="en-US"/>
        </w:rPr>
        <w:t>s</w:t>
      </w:r>
      <w:r>
        <w:rPr>
          <w:lang w:val="en-US"/>
        </w:rPr>
        <w:t>, submission 182 and 157 respectively.</w:t>
      </w:r>
    </w:p>
  </w:footnote>
  <w:footnote w:id="18">
    <w:p w14:paraId="0DC38D2B" w14:textId="3F9C4F82" w:rsidR="003E6087" w:rsidRPr="003E6087" w:rsidRDefault="003E6087">
      <w:pPr>
        <w:pStyle w:val="FootnoteText"/>
        <w:rPr>
          <w:lang w:val="en-US"/>
        </w:rPr>
      </w:pPr>
      <w:r>
        <w:rPr>
          <w:rStyle w:val="FootnoteReference"/>
        </w:rPr>
        <w:footnoteRef/>
      </w:r>
      <w:r>
        <w:t xml:space="preserve"> </w:t>
      </w:r>
      <w:r>
        <w:rPr>
          <w:lang w:val="en-US"/>
        </w:rPr>
        <w:t>We note the scope of the review provides for parties to address systemic issues per dot point 4, page 19 of the background paper for the review</w:t>
      </w:r>
      <w:r w:rsidR="006800FB">
        <w:rPr>
          <w:lang w:val="en-US"/>
        </w:rPr>
        <w:t>.</w:t>
      </w:r>
    </w:p>
  </w:footnote>
  <w:footnote w:id="19">
    <w:p w14:paraId="73291638" w14:textId="29D6C48F" w:rsidR="00A514C7" w:rsidRPr="008D050A" w:rsidRDefault="00A514C7">
      <w:pPr>
        <w:pStyle w:val="FootnoteText"/>
        <w:rPr>
          <w:lang w:val="en-US"/>
        </w:rPr>
      </w:pPr>
      <w:r>
        <w:rPr>
          <w:rStyle w:val="FootnoteReference"/>
        </w:rPr>
        <w:footnoteRef/>
      </w:r>
      <w:r>
        <w:t xml:space="preserve"> </w:t>
      </w:r>
      <w:r>
        <w:rPr>
          <w:lang w:val="en-US"/>
        </w:rPr>
        <w:t>See page 15 of this review’s background paper</w:t>
      </w:r>
      <w:r w:rsidR="006800FB">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DC846" w14:textId="77777777" w:rsidR="000D2C38" w:rsidRDefault="000D2C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EE37A" w14:textId="77777777" w:rsidR="000D2C38" w:rsidRDefault="000D2C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F376D" w14:textId="77777777" w:rsidR="000D2C38" w:rsidRDefault="000D2C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272F7"/>
    <w:multiLevelType w:val="multilevel"/>
    <w:tmpl w:val="B08466F4"/>
    <w:lvl w:ilvl="0">
      <w:start w:val="5"/>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C8020B6"/>
    <w:multiLevelType w:val="multilevel"/>
    <w:tmpl w:val="113EFD70"/>
    <w:lvl w:ilvl="0">
      <w:start w:val="1"/>
      <w:numFmt w:val="decimal"/>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2" w15:restartNumberingAfterBreak="0">
    <w:nsid w:val="619426CC"/>
    <w:multiLevelType w:val="multilevel"/>
    <w:tmpl w:val="CE4CC7C4"/>
    <w:lvl w:ilvl="0">
      <w:start w:val="20"/>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D8E3D4F"/>
    <w:multiLevelType w:val="hybridMultilevel"/>
    <w:tmpl w:val="CE3A1A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6560523"/>
    <w:multiLevelType w:val="hybridMultilevel"/>
    <w:tmpl w:val="5702825C"/>
    <w:lvl w:ilvl="0" w:tplc="6268C71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F4E23B5"/>
    <w:multiLevelType w:val="hybridMultilevel"/>
    <w:tmpl w:val="F272C38C"/>
    <w:lvl w:ilvl="0" w:tplc="4C945AA6">
      <w:start w:val="18"/>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30C"/>
    <w:rsid w:val="00027755"/>
    <w:rsid w:val="0004553C"/>
    <w:rsid w:val="000662F6"/>
    <w:rsid w:val="0006662F"/>
    <w:rsid w:val="000B132E"/>
    <w:rsid w:val="000C3272"/>
    <w:rsid w:val="000D2C38"/>
    <w:rsid w:val="000F7266"/>
    <w:rsid w:val="00101CC3"/>
    <w:rsid w:val="00134FB8"/>
    <w:rsid w:val="00136D31"/>
    <w:rsid w:val="00182D63"/>
    <w:rsid w:val="001858B6"/>
    <w:rsid w:val="001C17A5"/>
    <w:rsid w:val="00200D11"/>
    <w:rsid w:val="00271B6D"/>
    <w:rsid w:val="00284803"/>
    <w:rsid w:val="002E1D3F"/>
    <w:rsid w:val="003261D1"/>
    <w:rsid w:val="003379B2"/>
    <w:rsid w:val="003446E7"/>
    <w:rsid w:val="003A3032"/>
    <w:rsid w:val="003B5FC4"/>
    <w:rsid w:val="003E6087"/>
    <w:rsid w:val="00451E34"/>
    <w:rsid w:val="00475448"/>
    <w:rsid w:val="00492D9C"/>
    <w:rsid w:val="004D6765"/>
    <w:rsid w:val="004F1B9F"/>
    <w:rsid w:val="004F1DE2"/>
    <w:rsid w:val="005101F5"/>
    <w:rsid w:val="00536BD5"/>
    <w:rsid w:val="005568C2"/>
    <w:rsid w:val="00590E31"/>
    <w:rsid w:val="005A5A59"/>
    <w:rsid w:val="005C2A70"/>
    <w:rsid w:val="005D267A"/>
    <w:rsid w:val="005F52E9"/>
    <w:rsid w:val="0060047C"/>
    <w:rsid w:val="00605AFF"/>
    <w:rsid w:val="00623896"/>
    <w:rsid w:val="00631C99"/>
    <w:rsid w:val="00633C7F"/>
    <w:rsid w:val="00643073"/>
    <w:rsid w:val="00643175"/>
    <w:rsid w:val="006461C5"/>
    <w:rsid w:val="00647ED5"/>
    <w:rsid w:val="00660A15"/>
    <w:rsid w:val="00663E06"/>
    <w:rsid w:val="006800FB"/>
    <w:rsid w:val="006C1E6F"/>
    <w:rsid w:val="00723EA0"/>
    <w:rsid w:val="007419B4"/>
    <w:rsid w:val="007B0ECC"/>
    <w:rsid w:val="007C5DB2"/>
    <w:rsid w:val="008007F0"/>
    <w:rsid w:val="00856D2B"/>
    <w:rsid w:val="00891D9D"/>
    <w:rsid w:val="00897FB5"/>
    <w:rsid w:val="008D050A"/>
    <w:rsid w:val="008D4F25"/>
    <w:rsid w:val="008F485D"/>
    <w:rsid w:val="00912815"/>
    <w:rsid w:val="0092168C"/>
    <w:rsid w:val="00982703"/>
    <w:rsid w:val="009923B5"/>
    <w:rsid w:val="009B0A3F"/>
    <w:rsid w:val="009C1D22"/>
    <w:rsid w:val="00A514C7"/>
    <w:rsid w:val="00A522CE"/>
    <w:rsid w:val="00A7030C"/>
    <w:rsid w:val="00AD03A1"/>
    <w:rsid w:val="00B47543"/>
    <w:rsid w:val="00B7315F"/>
    <w:rsid w:val="00B81B05"/>
    <w:rsid w:val="00BA79D9"/>
    <w:rsid w:val="00BD19B5"/>
    <w:rsid w:val="00BF6A6C"/>
    <w:rsid w:val="00C35A97"/>
    <w:rsid w:val="00C4365E"/>
    <w:rsid w:val="00C82FE6"/>
    <w:rsid w:val="00C9503A"/>
    <w:rsid w:val="00CB19A1"/>
    <w:rsid w:val="00CC63F8"/>
    <w:rsid w:val="00CE175C"/>
    <w:rsid w:val="00CF5359"/>
    <w:rsid w:val="00D02B4B"/>
    <w:rsid w:val="00D16B09"/>
    <w:rsid w:val="00D61179"/>
    <w:rsid w:val="00DC5FD8"/>
    <w:rsid w:val="00E03A91"/>
    <w:rsid w:val="00E210B6"/>
    <w:rsid w:val="00E507C5"/>
    <w:rsid w:val="00E6297F"/>
    <w:rsid w:val="00E76A66"/>
    <w:rsid w:val="00E80BA4"/>
    <w:rsid w:val="00E87457"/>
    <w:rsid w:val="00EF4F29"/>
    <w:rsid w:val="00EF696C"/>
    <w:rsid w:val="00F65287"/>
    <w:rsid w:val="00F8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BB1D0E5"/>
  <w15:docId w15:val="{FAFFD474-60B8-4CA3-9277-1D66E62C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134FB8"/>
    <w:pPr>
      <w:outlineLvl w:val="0"/>
    </w:pPr>
    <w:rPr>
      <w:rFonts w:cstheme="minorHAnsi"/>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629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97F"/>
    <w:rPr>
      <w:sz w:val="20"/>
      <w:szCs w:val="20"/>
      <w:lang w:val="en-AU"/>
    </w:rPr>
  </w:style>
  <w:style w:type="character" w:styleId="FootnoteReference">
    <w:name w:val="footnote reference"/>
    <w:basedOn w:val="DefaultParagraphFont"/>
    <w:uiPriority w:val="99"/>
    <w:semiHidden/>
    <w:unhideWhenUsed/>
    <w:rsid w:val="00E6297F"/>
    <w:rPr>
      <w:vertAlign w:val="superscript"/>
    </w:rPr>
  </w:style>
  <w:style w:type="character" w:styleId="Hyperlink">
    <w:name w:val="Hyperlink"/>
    <w:basedOn w:val="DefaultParagraphFont"/>
    <w:uiPriority w:val="99"/>
    <w:unhideWhenUsed/>
    <w:rsid w:val="007419B4"/>
    <w:rPr>
      <w:color w:val="0563C1" w:themeColor="hyperlink"/>
      <w:u w:val="single"/>
    </w:rPr>
  </w:style>
  <w:style w:type="character" w:styleId="FollowedHyperlink">
    <w:name w:val="FollowedHyperlink"/>
    <w:basedOn w:val="DefaultParagraphFont"/>
    <w:uiPriority w:val="99"/>
    <w:semiHidden/>
    <w:unhideWhenUsed/>
    <w:rsid w:val="007419B4"/>
    <w:rPr>
      <w:color w:val="954F72" w:themeColor="followedHyperlink"/>
      <w:u w:val="single"/>
    </w:rPr>
  </w:style>
  <w:style w:type="paragraph" w:styleId="ListParagraph">
    <w:name w:val="List Paragraph"/>
    <w:basedOn w:val="Normal"/>
    <w:uiPriority w:val="34"/>
    <w:qFormat/>
    <w:rsid w:val="00F87C1D"/>
    <w:pPr>
      <w:ind w:left="720"/>
      <w:contextualSpacing/>
    </w:pPr>
  </w:style>
  <w:style w:type="character" w:styleId="Emphasis">
    <w:name w:val="Emphasis"/>
    <w:basedOn w:val="DefaultParagraphFont"/>
    <w:uiPriority w:val="20"/>
    <w:qFormat/>
    <w:rsid w:val="00C4365E"/>
    <w:rPr>
      <w:i/>
      <w:iCs/>
    </w:rPr>
  </w:style>
  <w:style w:type="paragraph" w:styleId="BalloonText">
    <w:name w:val="Balloon Text"/>
    <w:basedOn w:val="Normal"/>
    <w:link w:val="BalloonTextChar"/>
    <w:uiPriority w:val="99"/>
    <w:semiHidden/>
    <w:unhideWhenUsed/>
    <w:rsid w:val="001858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8B6"/>
    <w:rPr>
      <w:rFonts w:ascii="Segoe UI" w:hAnsi="Segoe UI" w:cs="Segoe UI"/>
      <w:sz w:val="18"/>
      <w:szCs w:val="18"/>
      <w:lang w:val="en-AU"/>
    </w:rPr>
  </w:style>
  <w:style w:type="paragraph" w:styleId="Header">
    <w:name w:val="header"/>
    <w:basedOn w:val="Normal"/>
    <w:link w:val="HeaderChar"/>
    <w:uiPriority w:val="99"/>
    <w:unhideWhenUsed/>
    <w:rsid w:val="00A51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4C7"/>
    <w:rPr>
      <w:lang w:val="en-AU"/>
    </w:rPr>
  </w:style>
  <w:style w:type="paragraph" w:styleId="Footer">
    <w:name w:val="footer"/>
    <w:basedOn w:val="Normal"/>
    <w:link w:val="FooterChar"/>
    <w:uiPriority w:val="99"/>
    <w:unhideWhenUsed/>
    <w:rsid w:val="00A51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4C7"/>
    <w:rPr>
      <w:lang w:val="en-AU"/>
    </w:rPr>
  </w:style>
  <w:style w:type="character" w:styleId="CommentReference">
    <w:name w:val="annotation reference"/>
    <w:basedOn w:val="DefaultParagraphFont"/>
    <w:uiPriority w:val="99"/>
    <w:semiHidden/>
    <w:unhideWhenUsed/>
    <w:rsid w:val="00D61179"/>
    <w:rPr>
      <w:sz w:val="16"/>
      <w:szCs w:val="16"/>
    </w:rPr>
  </w:style>
  <w:style w:type="paragraph" w:styleId="CommentText">
    <w:name w:val="annotation text"/>
    <w:basedOn w:val="Normal"/>
    <w:link w:val="CommentTextChar"/>
    <w:uiPriority w:val="99"/>
    <w:semiHidden/>
    <w:unhideWhenUsed/>
    <w:rsid w:val="00D61179"/>
    <w:pPr>
      <w:spacing w:line="240" w:lineRule="auto"/>
    </w:pPr>
    <w:rPr>
      <w:sz w:val="20"/>
      <w:szCs w:val="20"/>
    </w:rPr>
  </w:style>
  <w:style w:type="character" w:customStyle="1" w:styleId="CommentTextChar">
    <w:name w:val="Comment Text Char"/>
    <w:basedOn w:val="DefaultParagraphFont"/>
    <w:link w:val="CommentText"/>
    <w:uiPriority w:val="99"/>
    <w:semiHidden/>
    <w:rsid w:val="00D61179"/>
    <w:rPr>
      <w:sz w:val="20"/>
      <w:szCs w:val="20"/>
      <w:lang w:val="en-AU"/>
    </w:rPr>
  </w:style>
  <w:style w:type="paragraph" w:styleId="CommentSubject">
    <w:name w:val="annotation subject"/>
    <w:basedOn w:val="CommentText"/>
    <w:next w:val="CommentText"/>
    <w:link w:val="CommentSubjectChar"/>
    <w:uiPriority w:val="99"/>
    <w:semiHidden/>
    <w:unhideWhenUsed/>
    <w:rsid w:val="00D61179"/>
    <w:rPr>
      <w:b/>
      <w:bCs/>
    </w:rPr>
  </w:style>
  <w:style w:type="character" w:customStyle="1" w:styleId="CommentSubjectChar">
    <w:name w:val="Comment Subject Char"/>
    <w:basedOn w:val="CommentTextChar"/>
    <w:link w:val="CommentSubject"/>
    <w:uiPriority w:val="99"/>
    <w:semiHidden/>
    <w:rsid w:val="00D61179"/>
    <w:rPr>
      <w:b/>
      <w:bCs/>
      <w:sz w:val="20"/>
      <w:szCs w:val="20"/>
      <w:lang w:val="en-AU"/>
    </w:rPr>
  </w:style>
  <w:style w:type="paragraph" w:styleId="Title">
    <w:name w:val="Title"/>
    <w:basedOn w:val="Normal"/>
    <w:next w:val="Normal"/>
    <w:link w:val="TitleChar"/>
    <w:uiPriority w:val="10"/>
    <w:qFormat/>
    <w:rsid w:val="00134FB8"/>
    <w:pPr>
      <w:spacing w:before="2520"/>
      <w:jc w:val="center"/>
    </w:pPr>
    <w:rPr>
      <w:rFonts w:cstheme="minorHAnsi"/>
      <w:b/>
      <w:sz w:val="28"/>
      <w:szCs w:val="28"/>
      <w:lang w:val="en-US"/>
    </w:rPr>
  </w:style>
  <w:style w:type="character" w:customStyle="1" w:styleId="TitleChar">
    <w:name w:val="Title Char"/>
    <w:basedOn w:val="DefaultParagraphFont"/>
    <w:link w:val="Title"/>
    <w:uiPriority w:val="10"/>
    <w:rsid w:val="00134FB8"/>
    <w:rPr>
      <w:rFonts w:cstheme="minorHAnsi"/>
      <w:b/>
      <w:sz w:val="28"/>
      <w:szCs w:val="28"/>
    </w:rPr>
  </w:style>
  <w:style w:type="character" w:customStyle="1" w:styleId="Heading1Char">
    <w:name w:val="Heading 1 Char"/>
    <w:basedOn w:val="DefaultParagraphFont"/>
    <w:link w:val="Heading1"/>
    <w:uiPriority w:val="9"/>
    <w:rsid w:val="00134FB8"/>
    <w:rPr>
      <w:rFonts w:cs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smh.com.au/business/the-economy/rba-governor-philip-lowe-wage-growth-too-low-rates-to-climb-but-not-for-some-time-20170810-gxtb2l.html" TargetMode="External"/><Relationship Id="rId2" Type="http://schemas.openxmlformats.org/officeDocument/2006/relationships/hyperlink" Target="https://www.monash.edu/__data/assets/pdf_file/0004/901606/4880-agreement-making-web.pdf" TargetMode="External"/><Relationship Id="rId1" Type="http://schemas.openxmlformats.org/officeDocument/2006/relationships/hyperlink" Target="https://docs.employment.gov.au/documents/list-greenfield-agreements-made" TargetMode="External"/><Relationship Id="rId6" Type="http://schemas.openxmlformats.org/officeDocument/2006/relationships/hyperlink" Target="https://www.bls.gov/opub/mlr/2013/04/art2full.pdf" TargetMode="External"/><Relationship Id="rId5" Type="http://schemas.openxmlformats.org/officeDocument/2006/relationships/hyperlink" Target="https://research-repository.griffith.edu.au/bitstream/handle/10072/29660/59864_1.pdf?sequence=1" TargetMode="External"/><Relationship Id="rId4" Type="http://schemas.openxmlformats.org/officeDocument/2006/relationships/hyperlink" Target="https://docs.employment.gov.au/system/files/doc/other/trends_j17_v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9A09D9-56DB-44C0-978C-0B0482E10D9F}"/>
</file>

<file path=customXml/itemProps2.xml><?xml version="1.0" encoding="utf-8"?>
<ds:datastoreItem xmlns:ds="http://schemas.openxmlformats.org/officeDocument/2006/customXml" ds:itemID="{B21AE6D4-88A0-480D-A981-AED20D33678F}"/>
</file>

<file path=customXml/itemProps3.xml><?xml version="1.0" encoding="utf-8"?>
<ds:datastoreItem xmlns:ds="http://schemas.openxmlformats.org/officeDocument/2006/customXml" ds:itemID="{91CE116C-FA44-476F-B5E5-D3D0DDE33CEA}"/>
</file>

<file path=customXml/itemProps4.xml><?xml version="1.0" encoding="utf-8"?>
<ds:datastoreItem xmlns:ds="http://schemas.openxmlformats.org/officeDocument/2006/customXml" ds:itemID="{E88C32A4-DEB9-4993-B8A1-EC160C83F212}"/>
</file>

<file path=docProps/app.xml><?xml version="1.0" encoding="utf-8"?>
<Properties xmlns="http://schemas.openxmlformats.org/officeDocument/2006/extended-properties" xmlns:vt="http://schemas.openxmlformats.org/officeDocument/2006/docPropsVTypes">
  <Template>3C5A0639.dotm</Template>
  <TotalTime>19</TotalTime>
  <Pages>8</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Greenfield Agreements Review - Submissions of the Construction Forestry Mining and Energy Union – Construction and General Division</dc:title>
  <dc:creator/>
  <cp:lastModifiedBy>HELIOS,George</cp:lastModifiedBy>
  <cp:revision>6</cp:revision>
  <cp:lastPrinted>2017-10-25T01:16:00Z</cp:lastPrinted>
  <dcterms:created xsi:type="dcterms:W3CDTF">2017-10-25T04:06:00Z</dcterms:created>
  <dcterms:modified xsi:type="dcterms:W3CDTF">2017-10-26T07:53:00Z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0x0101006F44B46CD48E7D439D0376E9A76A2E31</vt:lpwstr>
  </property>
  <property fmtid="{D5CDD505-2E9C-101B-9397-08002B2CF9AE}" pid="3" name="Order">
    <vt:r8>23500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