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5FEB" w:rsidRPr="008439CB" w:rsidRDefault="00C55FEB">
      <w:pPr>
        <w:rPr>
          <w:rFonts w:asciiTheme="minorHAnsi" w:hAnsiTheme="minorHAnsi" w:cstheme="minorHAnsi"/>
          <w:sz w:val="22"/>
          <w:szCs w:val="22"/>
          <w:lang w:val="en-AU" w:bidi="x-none"/>
        </w:rPr>
      </w:pPr>
      <w:bookmarkStart w:id="0" w:name="_GoBack"/>
      <w:bookmarkEnd w:id="0"/>
    </w:p>
    <w:p w:rsidR="00F645E4" w:rsidRPr="008439CB" w:rsidRDefault="00364CB1">
      <w:pPr>
        <w:rPr>
          <w:rFonts w:asciiTheme="minorHAnsi" w:hAnsiTheme="minorHAnsi" w:cstheme="minorHAnsi"/>
          <w:sz w:val="22"/>
          <w:szCs w:val="22"/>
          <w:lang w:val="en-AU" w:bidi="x-none"/>
        </w:rPr>
      </w:pPr>
      <w:r>
        <w:rPr>
          <w:rFonts w:asciiTheme="minorHAnsi" w:hAnsiTheme="minorHAnsi" w:cstheme="minorHAnsi"/>
          <w:sz w:val="22"/>
          <w:szCs w:val="22"/>
          <w:lang w:val="en-AU" w:bidi="x-none"/>
        </w:rPr>
        <w:t>30 October 2017</w:t>
      </w:r>
    </w:p>
    <w:p w:rsidR="00EA46C2" w:rsidRDefault="00EA46C2">
      <w:pPr>
        <w:rPr>
          <w:rFonts w:asciiTheme="minorHAnsi" w:hAnsiTheme="minorHAnsi" w:cstheme="minorHAnsi"/>
          <w:sz w:val="22"/>
          <w:szCs w:val="22"/>
          <w:lang w:val="en-AU" w:bidi="x-none"/>
        </w:rPr>
      </w:pPr>
    </w:p>
    <w:p w:rsidR="00385811" w:rsidRDefault="00385811">
      <w:pPr>
        <w:rPr>
          <w:rFonts w:asciiTheme="minorHAnsi" w:hAnsiTheme="minorHAnsi" w:cstheme="minorHAnsi"/>
          <w:sz w:val="22"/>
          <w:szCs w:val="22"/>
          <w:lang w:val="en-AU" w:bidi="x-none"/>
        </w:rPr>
      </w:pPr>
    </w:p>
    <w:p w:rsidR="00385811" w:rsidRPr="008439CB" w:rsidRDefault="00385811">
      <w:pPr>
        <w:rPr>
          <w:rFonts w:asciiTheme="minorHAnsi" w:hAnsiTheme="minorHAnsi" w:cstheme="minorHAnsi"/>
          <w:sz w:val="22"/>
          <w:szCs w:val="22"/>
          <w:lang w:val="en-AU" w:bidi="x-none"/>
        </w:rPr>
      </w:pPr>
    </w:p>
    <w:p w:rsidR="00EA46C2" w:rsidRPr="008439CB" w:rsidRDefault="008439CB">
      <w:pPr>
        <w:rPr>
          <w:rFonts w:asciiTheme="minorHAnsi" w:hAnsiTheme="minorHAnsi" w:cstheme="minorHAnsi"/>
          <w:sz w:val="22"/>
          <w:szCs w:val="22"/>
          <w:lang w:val="en-AU" w:bidi="x-none"/>
        </w:rPr>
      </w:pPr>
      <w:r>
        <w:rPr>
          <w:rFonts w:asciiTheme="minorHAnsi" w:hAnsiTheme="minorHAnsi" w:cstheme="minorHAnsi"/>
          <w:sz w:val="22"/>
          <w:szCs w:val="22"/>
        </w:rPr>
        <w:t xml:space="preserve">By </w:t>
      </w:r>
      <w:r w:rsidR="00385811">
        <w:rPr>
          <w:rFonts w:asciiTheme="minorHAnsi" w:hAnsiTheme="minorHAnsi" w:cstheme="minorHAnsi"/>
          <w:sz w:val="22"/>
          <w:szCs w:val="22"/>
        </w:rPr>
        <w:t>E</w:t>
      </w:r>
      <w:r>
        <w:rPr>
          <w:rFonts w:asciiTheme="minorHAnsi" w:hAnsiTheme="minorHAnsi" w:cstheme="minorHAnsi"/>
          <w:sz w:val="22"/>
          <w:szCs w:val="22"/>
        </w:rPr>
        <w:t>mail</w:t>
      </w:r>
      <w:r w:rsidR="00385811">
        <w:rPr>
          <w:rFonts w:asciiTheme="minorHAnsi" w:hAnsiTheme="minorHAnsi" w:cstheme="minorHAnsi"/>
          <w:sz w:val="22"/>
          <w:szCs w:val="22"/>
        </w:rPr>
        <w:t>:</w:t>
      </w:r>
      <w:r>
        <w:rPr>
          <w:rFonts w:asciiTheme="minorHAnsi" w:hAnsiTheme="minorHAnsi" w:cstheme="minorHAnsi"/>
          <w:sz w:val="22"/>
          <w:szCs w:val="22"/>
        </w:rPr>
        <w:t xml:space="preserve"> </w:t>
      </w:r>
      <w:hyperlink r:id="rId7" w:history="1">
        <w:r w:rsidR="00EA46C2" w:rsidRPr="008439CB">
          <w:rPr>
            <w:rStyle w:val="Hyperlink"/>
            <w:rFonts w:asciiTheme="minorHAnsi" w:hAnsiTheme="minorHAnsi" w:cstheme="minorHAnsi"/>
            <w:sz w:val="22"/>
            <w:szCs w:val="22"/>
            <w:lang w:val="en-AU" w:bidi="x-none"/>
          </w:rPr>
          <w:t>greenfieldsreview@employment.gov.au</w:t>
        </w:r>
      </w:hyperlink>
    </w:p>
    <w:p w:rsidR="00EA46C2" w:rsidRPr="008439CB" w:rsidRDefault="00EA46C2">
      <w:pPr>
        <w:rPr>
          <w:rFonts w:asciiTheme="minorHAnsi" w:hAnsiTheme="minorHAnsi" w:cstheme="minorHAnsi"/>
          <w:sz w:val="22"/>
          <w:szCs w:val="22"/>
          <w:lang w:val="en-AU" w:bidi="x-none"/>
        </w:rPr>
      </w:pPr>
    </w:p>
    <w:p w:rsidR="00EA46C2" w:rsidRPr="008439CB" w:rsidRDefault="00EA46C2">
      <w:pPr>
        <w:rPr>
          <w:rFonts w:asciiTheme="minorHAnsi" w:hAnsiTheme="minorHAnsi" w:cstheme="minorHAnsi"/>
          <w:sz w:val="22"/>
          <w:szCs w:val="22"/>
          <w:lang w:val="en-AU" w:bidi="x-none"/>
        </w:rPr>
      </w:pPr>
      <w:r w:rsidRPr="008439CB">
        <w:rPr>
          <w:rFonts w:asciiTheme="minorHAnsi" w:hAnsiTheme="minorHAnsi" w:cstheme="minorHAnsi"/>
          <w:sz w:val="22"/>
          <w:szCs w:val="22"/>
          <w:lang w:val="en-AU" w:bidi="x-none"/>
        </w:rPr>
        <w:t>Dear Sir/Mada</w:t>
      </w:r>
      <w:r w:rsidR="00F8732D" w:rsidRPr="008439CB">
        <w:rPr>
          <w:rFonts w:asciiTheme="minorHAnsi" w:hAnsiTheme="minorHAnsi" w:cstheme="minorHAnsi"/>
          <w:sz w:val="22"/>
          <w:szCs w:val="22"/>
          <w:lang w:val="en-AU" w:bidi="x-none"/>
        </w:rPr>
        <w:t xml:space="preserve">m </w:t>
      </w:r>
    </w:p>
    <w:p w:rsidR="00F8732D" w:rsidRPr="008439CB" w:rsidRDefault="00F8732D">
      <w:pPr>
        <w:rPr>
          <w:rFonts w:asciiTheme="minorHAnsi" w:hAnsiTheme="minorHAnsi" w:cstheme="minorHAnsi"/>
          <w:sz w:val="22"/>
          <w:szCs w:val="22"/>
          <w:lang w:val="en-AU" w:bidi="x-none"/>
        </w:rPr>
      </w:pPr>
    </w:p>
    <w:p w:rsidR="00F8732D" w:rsidRPr="00385811" w:rsidRDefault="00F8732D" w:rsidP="00385811">
      <w:pPr>
        <w:jc w:val="both"/>
        <w:rPr>
          <w:rFonts w:asciiTheme="minorHAnsi" w:hAnsiTheme="minorHAnsi" w:cstheme="minorHAnsi"/>
          <w:sz w:val="21"/>
          <w:szCs w:val="21"/>
          <w:lang w:val="en-AU" w:bidi="x-none"/>
        </w:rPr>
      </w:pPr>
      <w:r w:rsidRPr="00385811">
        <w:rPr>
          <w:rFonts w:asciiTheme="minorHAnsi" w:hAnsiTheme="minorHAnsi" w:cstheme="minorHAnsi"/>
          <w:sz w:val="21"/>
          <w:szCs w:val="21"/>
          <w:lang w:val="en-AU" w:bidi="x-none"/>
        </w:rPr>
        <w:t xml:space="preserve">The Australian Nursing and Midwifery Federation (ANMF) welcomes the opportunity to make this brief submission to the independent </w:t>
      </w:r>
      <w:r w:rsidRPr="00385811">
        <w:rPr>
          <w:rFonts w:asciiTheme="minorHAnsi" w:hAnsiTheme="minorHAnsi" w:cstheme="minorHAnsi"/>
          <w:i/>
          <w:sz w:val="21"/>
          <w:szCs w:val="21"/>
          <w:lang w:val="en-AU" w:bidi="x-none"/>
        </w:rPr>
        <w:t xml:space="preserve">Review into Greenfield Agreements </w:t>
      </w:r>
      <w:r w:rsidR="00D45F2E" w:rsidRPr="00385811">
        <w:rPr>
          <w:rFonts w:asciiTheme="minorHAnsi" w:hAnsiTheme="minorHAnsi" w:cstheme="minorHAnsi"/>
          <w:sz w:val="21"/>
          <w:szCs w:val="21"/>
          <w:lang w:val="en-AU" w:bidi="x-none"/>
        </w:rPr>
        <w:t>(the</w:t>
      </w:r>
      <w:r w:rsidRPr="00385811">
        <w:rPr>
          <w:rFonts w:asciiTheme="minorHAnsi" w:hAnsiTheme="minorHAnsi" w:cstheme="minorHAnsi"/>
          <w:sz w:val="21"/>
          <w:szCs w:val="21"/>
          <w:lang w:val="en-AU" w:bidi="x-none"/>
        </w:rPr>
        <w:t xml:space="preserve"> Review).</w:t>
      </w:r>
    </w:p>
    <w:p w:rsidR="00F8732D" w:rsidRPr="00385811" w:rsidRDefault="00F8732D" w:rsidP="00385811">
      <w:pPr>
        <w:jc w:val="both"/>
        <w:rPr>
          <w:rFonts w:asciiTheme="minorHAnsi" w:hAnsiTheme="minorHAnsi" w:cstheme="minorHAnsi"/>
          <w:sz w:val="21"/>
          <w:szCs w:val="21"/>
          <w:lang w:val="en-AU" w:bidi="x-none"/>
        </w:rPr>
      </w:pPr>
    </w:p>
    <w:p w:rsidR="00F8732D" w:rsidRPr="00385811" w:rsidRDefault="00F8732D" w:rsidP="00385811">
      <w:pPr>
        <w:jc w:val="both"/>
        <w:rPr>
          <w:rFonts w:asciiTheme="minorHAnsi" w:hAnsiTheme="minorHAnsi" w:cstheme="minorHAnsi"/>
          <w:sz w:val="21"/>
          <w:szCs w:val="21"/>
          <w:lang w:val="en-AU" w:bidi="x-none"/>
        </w:rPr>
      </w:pPr>
      <w:r w:rsidRPr="00385811">
        <w:rPr>
          <w:rFonts w:asciiTheme="minorHAnsi" w:hAnsiTheme="minorHAnsi" w:cstheme="minorHAnsi"/>
          <w:sz w:val="21"/>
          <w:szCs w:val="21"/>
          <w:lang w:val="en-AU" w:bidi="x-none"/>
        </w:rPr>
        <w:t xml:space="preserve">ANMF is the largest industrial organisation in Australia for nurses, midwives and carers with branches in each state and territory.  Our 260,000 members are employed in a wide range of settings in both the public and private health, aged and community sectors. </w:t>
      </w:r>
    </w:p>
    <w:p w:rsidR="00EA46C2" w:rsidRPr="00385811" w:rsidRDefault="00EA46C2" w:rsidP="00385811">
      <w:pPr>
        <w:jc w:val="both"/>
        <w:rPr>
          <w:rFonts w:asciiTheme="minorHAnsi" w:hAnsiTheme="minorHAnsi" w:cstheme="minorHAnsi"/>
          <w:sz w:val="21"/>
          <w:szCs w:val="21"/>
          <w:lang w:val="en-AU" w:bidi="x-none"/>
        </w:rPr>
      </w:pPr>
    </w:p>
    <w:p w:rsidR="00F8732D" w:rsidRPr="00385811" w:rsidRDefault="00EA46C2" w:rsidP="00385811">
      <w:pPr>
        <w:jc w:val="both"/>
        <w:rPr>
          <w:rFonts w:asciiTheme="minorHAnsi" w:hAnsiTheme="minorHAnsi" w:cstheme="minorHAnsi"/>
          <w:sz w:val="21"/>
          <w:szCs w:val="21"/>
        </w:rPr>
      </w:pPr>
      <w:r w:rsidRPr="00385811">
        <w:rPr>
          <w:rFonts w:asciiTheme="minorHAnsi" w:hAnsiTheme="minorHAnsi" w:cstheme="minorHAnsi"/>
          <w:sz w:val="21"/>
          <w:szCs w:val="21"/>
        </w:rPr>
        <w:t>In 2016</w:t>
      </w:r>
      <w:r w:rsidR="00385811" w:rsidRPr="00385811">
        <w:rPr>
          <w:rFonts w:asciiTheme="minorHAnsi" w:hAnsiTheme="minorHAnsi" w:cstheme="minorHAnsi"/>
          <w:sz w:val="21"/>
          <w:szCs w:val="21"/>
        </w:rPr>
        <w:t>,</w:t>
      </w:r>
      <w:r w:rsidRPr="00385811">
        <w:rPr>
          <w:rFonts w:asciiTheme="minorHAnsi" w:hAnsiTheme="minorHAnsi" w:cstheme="minorHAnsi"/>
          <w:sz w:val="21"/>
          <w:szCs w:val="21"/>
        </w:rPr>
        <w:t xml:space="preserve"> there were approximately 365,000 registered nurses, </w:t>
      </w:r>
      <w:r w:rsidR="00364CB1" w:rsidRPr="00385811">
        <w:rPr>
          <w:rFonts w:asciiTheme="minorHAnsi" w:hAnsiTheme="minorHAnsi" w:cstheme="minorHAnsi"/>
          <w:sz w:val="21"/>
          <w:szCs w:val="21"/>
        </w:rPr>
        <w:t>midwives, enrolled nurses,</w:t>
      </w:r>
      <w:r w:rsidRPr="00385811">
        <w:rPr>
          <w:rFonts w:asciiTheme="minorHAnsi" w:hAnsiTheme="minorHAnsi" w:cstheme="minorHAnsi"/>
          <w:sz w:val="21"/>
          <w:szCs w:val="21"/>
        </w:rPr>
        <w:t xml:space="preserve"> and over 100,000 carers in the health and aged care workforce. </w:t>
      </w:r>
    </w:p>
    <w:p w:rsidR="00F8732D" w:rsidRPr="00385811" w:rsidRDefault="00F8732D" w:rsidP="00385811">
      <w:pPr>
        <w:jc w:val="both"/>
        <w:rPr>
          <w:rFonts w:asciiTheme="minorHAnsi" w:hAnsiTheme="minorHAnsi" w:cstheme="minorHAnsi"/>
          <w:sz w:val="21"/>
          <w:szCs w:val="21"/>
        </w:rPr>
      </w:pPr>
    </w:p>
    <w:p w:rsidR="00EA46C2" w:rsidRPr="00385811" w:rsidRDefault="00EA46C2" w:rsidP="00385811">
      <w:pPr>
        <w:jc w:val="both"/>
        <w:rPr>
          <w:rFonts w:asciiTheme="minorHAnsi" w:hAnsiTheme="minorHAnsi" w:cstheme="minorHAnsi"/>
          <w:sz w:val="21"/>
          <w:szCs w:val="21"/>
        </w:rPr>
      </w:pPr>
      <w:r w:rsidRPr="00385811">
        <w:rPr>
          <w:rFonts w:asciiTheme="minorHAnsi" w:hAnsiTheme="minorHAnsi" w:cstheme="minorHAnsi"/>
          <w:sz w:val="21"/>
          <w:szCs w:val="21"/>
        </w:rPr>
        <w:t xml:space="preserve">Nursing employment in the main </w:t>
      </w:r>
      <w:r w:rsidR="00F8732D" w:rsidRPr="00385811">
        <w:rPr>
          <w:rFonts w:asciiTheme="minorHAnsi" w:hAnsiTheme="minorHAnsi" w:cstheme="minorHAnsi"/>
          <w:sz w:val="21"/>
          <w:szCs w:val="21"/>
        </w:rPr>
        <w:t>is regulated</w:t>
      </w:r>
      <w:r w:rsidRPr="00385811">
        <w:rPr>
          <w:rFonts w:asciiTheme="minorHAnsi" w:hAnsiTheme="minorHAnsi" w:cstheme="minorHAnsi"/>
          <w:sz w:val="21"/>
          <w:szCs w:val="21"/>
        </w:rPr>
        <w:t xml:space="preserve"> under the Fair Work Act with the major exception being state public sector nursing (other than Victoria).  All nurses and carers in the hospitals sectors and around 90% in the residential aged care sectors are covered by enterprise bargaining agreements.</w:t>
      </w:r>
    </w:p>
    <w:p w:rsidR="007A0C44" w:rsidRPr="00385811" w:rsidRDefault="007A0C44" w:rsidP="00385811">
      <w:pPr>
        <w:jc w:val="both"/>
        <w:rPr>
          <w:rFonts w:asciiTheme="minorHAnsi" w:hAnsiTheme="minorHAnsi" w:cstheme="minorHAnsi"/>
          <w:sz w:val="21"/>
          <w:szCs w:val="21"/>
        </w:rPr>
      </w:pPr>
    </w:p>
    <w:p w:rsidR="007A0C44" w:rsidRPr="00385811" w:rsidRDefault="007A0C44" w:rsidP="00385811">
      <w:pPr>
        <w:jc w:val="both"/>
        <w:rPr>
          <w:rFonts w:asciiTheme="minorHAnsi" w:hAnsiTheme="minorHAnsi" w:cstheme="minorHAnsi"/>
          <w:sz w:val="21"/>
          <w:szCs w:val="21"/>
        </w:rPr>
      </w:pPr>
      <w:r w:rsidRPr="00385811">
        <w:rPr>
          <w:rFonts w:asciiTheme="minorHAnsi" w:hAnsiTheme="minorHAnsi" w:cstheme="minorHAnsi"/>
          <w:sz w:val="21"/>
          <w:szCs w:val="21"/>
        </w:rPr>
        <w:t xml:space="preserve">While it is the case that historically </w:t>
      </w:r>
      <w:r w:rsidR="00364CB1" w:rsidRPr="00385811">
        <w:rPr>
          <w:rFonts w:asciiTheme="minorHAnsi" w:hAnsiTheme="minorHAnsi" w:cstheme="minorHAnsi"/>
          <w:sz w:val="21"/>
          <w:szCs w:val="21"/>
        </w:rPr>
        <w:t>Greenfield</w:t>
      </w:r>
      <w:r w:rsidRPr="00385811">
        <w:rPr>
          <w:rFonts w:asciiTheme="minorHAnsi" w:hAnsiTheme="minorHAnsi" w:cstheme="minorHAnsi"/>
          <w:sz w:val="21"/>
          <w:szCs w:val="21"/>
        </w:rPr>
        <w:t xml:space="preserve"> agreements have not featured significantly in the sectors in which nurses and midwives are normally employed</w:t>
      </w:r>
      <w:r w:rsidR="00CE19B6" w:rsidRPr="00385811">
        <w:rPr>
          <w:rFonts w:asciiTheme="minorHAnsi" w:hAnsiTheme="minorHAnsi" w:cstheme="minorHAnsi"/>
          <w:sz w:val="21"/>
          <w:szCs w:val="21"/>
        </w:rPr>
        <w:t xml:space="preserve">, </w:t>
      </w:r>
      <w:r w:rsidRPr="00385811">
        <w:rPr>
          <w:rFonts w:asciiTheme="minorHAnsi" w:hAnsiTheme="minorHAnsi" w:cstheme="minorHAnsi"/>
          <w:sz w:val="21"/>
          <w:szCs w:val="21"/>
        </w:rPr>
        <w:t xml:space="preserve">the ANMF believe they may become more established. We hold this view </w:t>
      </w:r>
      <w:r w:rsidR="009255B4" w:rsidRPr="00385811">
        <w:rPr>
          <w:rFonts w:asciiTheme="minorHAnsi" w:hAnsiTheme="minorHAnsi" w:cstheme="minorHAnsi"/>
          <w:sz w:val="21"/>
          <w:szCs w:val="21"/>
        </w:rPr>
        <w:t>because of</w:t>
      </w:r>
      <w:r w:rsidRPr="00385811">
        <w:rPr>
          <w:rFonts w:asciiTheme="minorHAnsi" w:hAnsiTheme="minorHAnsi" w:cstheme="minorHAnsi"/>
          <w:sz w:val="21"/>
          <w:szCs w:val="21"/>
        </w:rPr>
        <w:t xml:space="preserve"> the expected growth and </w:t>
      </w:r>
      <w:r w:rsidR="009255B4" w:rsidRPr="00385811">
        <w:rPr>
          <w:rFonts w:asciiTheme="minorHAnsi" w:hAnsiTheme="minorHAnsi" w:cstheme="minorHAnsi"/>
          <w:sz w:val="21"/>
          <w:szCs w:val="21"/>
        </w:rPr>
        <w:t xml:space="preserve">major </w:t>
      </w:r>
      <w:r w:rsidRPr="00385811">
        <w:rPr>
          <w:rFonts w:asciiTheme="minorHAnsi" w:hAnsiTheme="minorHAnsi" w:cstheme="minorHAnsi"/>
          <w:sz w:val="21"/>
          <w:szCs w:val="21"/>
        </w:rPr>
        <w:t xml:space="preserve">restructuring of the </w:t>
      </w:r>
      <w:r w:rsidR="000A3D4E" w:rsidRPr="00385811">
        <w:rPr>
          <w:rFonts w:asciiTheme="minorHAnsi" w:hAnsiTheme="minorHAnsi" w:cstheme="minorHAnsi"/>
          <w:sz w:val="21"/>
          <w:szCs w:val="21"/>
        </w:rPr>
        <w:t>residential,</w:t>
      </w:r>
      <w:r w:rsidRPr="00385811">
        <w:rPr>
          <w:rFonts w:asciiTheme="minorHAnsi" w:hAnsiTheme="minorHAnsi" w:cstheme="minorHAnsi"/>
          <w:sz w:val="21"/>
          <w:szCs w:val="21"/>
        </w:rPr>
        <w:t xml:space="preserve"> disability and community </w:t>
      </w:r>
      <w:r w:rsidR="000A3D4E" w:rsidRPr="00385811">
        <w:rPr>
          <w:rFonts w:asciiTheme="minorHAnsi" w:hAnsiTheme="minorHAnsi" w:cstheme="minorHAnsi"/>
          <w:sz w:val="21"/>
          <w:szCs w:val="21"/>
        </w:rPr>
        <w:t>sectors,</w:t>
      </w:r>
      <w:r w:rsidR="00CE19B6" w:rsidRPr="00385811">
        <w:rPr>
          <w:rFonts w:asciiTheme="minorHAnsi" w:hAnsiTheme="minorHAnsi" w:cstheme="minorHAnsi"/>
          <w:sz w:val="21"/>
          <w:szCs w:val="21"/>
        </w:rPr>
        <w:t xml:space="preserve"> including the decentralis</w:t>
      </w:r>
      <w:r w:rsidRPr="00385811">
        <w:rPr>
          <w:rFonts w:asciiTheme="minorHAnsi" w:hAnsiTheme="minorHAnsi" w:cstheme="minorHAnsi"/>
          <w:sz w:val="21"/>
          <w:szCs w:val="21"/>
        </w:rPr>
        <w:t xml:space="preserve">ation of residential aged services from nursing homes to home care </w:t>
      </w:r>
      <w:r w:rsidR="009255B4" w:rsidRPr="00385811">
        <w:rPr>
          <w:rFonts w:asciiTheme="minorHAnsi" w:hAnsiTheme="minorHAnsi" w:cstheme="minorHAnsi"/>
          <w:sz w:val="21"/>
          <w:szCs w:val="21"/>
        </w:rPr>
        <w:t>and</w:t>
      </w:r>
      <w:r w:rsidRPr="00385811">
        <w:rPr>
          <w:rFonts w:asciiTheme="minorHAnsi" w:hAnsiTheme="minorHAnsi" w:cstheme="minorHAnsi"/>
          <w:sz w:val="21"/>
          <w:szCs w:val="21"/>
        </w:rPr>
        <w:t xml:space="preserve"> the role out of the National Disability Insurance Scheme.   Both exercis</w:t>
      </w:r>
      <w:r w:rsidR="00CE19B6" w:rsidRPr="00385811">
        <w:rPr>
          <w:rFonts w:asciiTheme="minorHAnsi" w:hAnsiTheme="minorHAnsi" w:cstheme="minorHAnsi"/>
          <w:sz w:val="21"/>
          <w:szCs w:val="21"/>
        </w:rPr>
        <w:t>es will result in the rationalis</w:t>
      </w:r>
      <w:r w:rsidRPr="00385811">
        <w:rPr>
          <w:rFonts w:asciiTheme="minorHAnsi" w:hAnsiTheme="minorHAnsi" w:cstheme="minorHAnsi"/>
          <w:sz w:val="21"/>
          <w:szCs w:val="21"/>
        </w:rPr>
        <w:t>ation of existing care providers and the establishment of new places of employment.</w:t>
      </w:r>
    </w:p>
    <w:p w:rsidR="000A3D4E" w:rsidRPr="00385811" w:rsidRDefault="000A3D4E" w:rsidP="00385811">
      <w:pPr>
        <w:jc w:val="both"/>
        <w:rPr>
          <w:rFonts w:asciiTheme="minorHAnsi" w:hAnsiTheme="minorHAnsi" w:cstheme="minorHAnsi"/>
          <w:sz w:val="21"/>
          <w:szCs w:val="21"/>
        </w:rPr>
      </w:pPr>
    </w:p>
    <w:p w:rsidR="007A0C44" w:rsidRPr="00385811" w:rsidRDefault="007A0C44" w:rsidP="00385811">
      <w:pPr>
        <w:jc w:val="both"/>
        <w:rPr>
          <w:rFonts w:asciiTheme="minorHAnsi" w:hAnsiTheme="minorHAnsi" w:cstheme="minorHAnsi"/>
          <w:sz w:val="21"/>
          <w:szCs w:val="21"/>
        </w:rPr>
      </w:pPr>
      <w:r w:rsidRPr="00385811">
        <w:rPr>
          <w:rFonts w:asciiTheme="minorHAnsi" w:hAnsiTheme="minorHAnsi" w:cstheme="minorHAnsi"/>
          <w:sz w:val="21"/>
          <w:szCs w:val="21"/>
        </w:rPr>
        <w:t xml:space="preserve">It is within this context the ANMF makes the following comments on the </w:t>
      </w:r>
      <w:r w:rsidR="000A3D4E" w:rsidRPr="00385811">
        <w:rPr>
          <w:rFonts w:asciiTheme="minorHAnsi" w:hAnsiTheme="minorHAnsi" w:cstheme="minorHAnsi"/>
          <w:sz w:val="21"/>
          <w:szCs w:val="21"/>
        </w:rPr>
        <w:t>Review</w:t>
      </w:r>
      <w:r w:rsidR="00B2415A" w:rsidRPr="00385811">
        <w:rPr>
          <w:rFonts w:asciiTheme="minorHAnsi" w:hAnsiTheme="minorHAnsi" w:cstheme="minorHAnsi"/>
          <w:sz w:val="21"/>
          <w:szCs w:val="21"/>
        </w:rPr>
        <w:t>.</w:t>
      </w:r>
    </w:p>
    <w:p w:rsidR="00B2415A" w:rsidRPr="00385811" w:rsidRDefault="00B2415A" w:rsidP="00385811">
      <w:pPr>
        <w:jc w:val="both"/>
        <w:rPr>
          <w:rFonts w:asciiTheme="minorHAnsi" w:hAnsiTheme="minorHAnsi" w:cstheme="minorHAnsi"/>
          <w:sz w:val="21"/>
          <w:szCs w:val="21"/>
        </w:rPr>
      </w:pPr>
    </w:p>
    <w:p w:rsidR="00B2415A" w:rsidRPr="00385811" w:rsidRDefault="00B2415A" w:rsidP="00385811">
      <w:pPr>
        <w:jc w:val="both"/>
        <w:rPr>
          <w:rFonts w:asciiTheme="minorHAnsi" w:hAnsiTheme="minorHAnsi" w:cstheme="minorHAnsi"/>
          <w:sz w:val="21"/>
          <w:szCs w:val="21"/>
        </w:rPr>
      </w:pPr>
      <w:r w:rsidRPr="00385811">
        <w:rPr>
          <w:rFonts w:asciiTheme="minorHAnsi" w:hAnsiTheme="minorHAnsi" w:cstheme="minorHAnsi"/>
          <w:sz w:val="21"/>
          <w:szCs w:val="21"/>
        </w:rPr>
        <w:t>It is not immediately clear to our union why the negotiation and approval framework for Greenfield agreements needs to differ substantially from other agreements.  While under the Fair Work Act enterprise agreements (other than Greenfield agreements) are reached between the employer and their employees, this a relatively recent feature of our industrial landscape</w:t>
      </w:r>
      <w:r w:rsidR="00CE19B6" w:rsidRPr="00385811">
        <w:rPr>
          <w:rFonts w:asciiTheme="minorHAnsi" w:hAnsiTheme="minorHAnsi" w:cstheme="minorHAnsi"/>
          <w:sz w:val="21"/>
          <w:szCs w:val="21"/>
        </w:rPr>
        <w:t xml:space="preserve"> and is not supported by ANMF. Even though unions</w:t>
      </w:r>
      <w:r w:rsidRPr="00385811">
        <w:rPr>
          <w:rFonts w:asciiTheme="minorHAnsi" w:hAnsiTheme="minorHAnsi" w:cstheme="minorHAnsi"/>
          <w:sz w:val="21"/>
          <w:szCs w:val="21"/>
        </w:rPr>
        <w:t xml:space="preserve"> </w:t>
      </w:r>
      <w:r w:rsidR="00DB0BB2" w:rsidRPr="00385811">
        <w:rPr>
          <w:rFonts w:asciiTheme="minorHAnsi" w:hAnsiTheme="minorHAnsi" w:cstheme="minorHAnsi"/>
          <w:sz w:val="21"/>
          <w:szCs w:val="21"/>
        </w:rPr>
        <w:t>are</w:t>
      </w:r>
      <w:r w:rsidR="00385811">
        <w:rPr>
          <w:rFonts w:asciiTheme="minorHAnsi" w:hAnsiTheme="minorHAnsi" w:cstheme="minorHAnsi"/>
          <w:sz w:val="21"/>
          <w:szCs w:val="21"/>
        </w:rPr>
        <w:t xml:space="preserve"> </w:t>
      </w:r>
      <w:r w:rsidR="00CE19B6" w:rsidRPr="00385811">
        <w:rPr>
          <w:rFonts w:asciiTheme="minorHAnsi" w:hAnsiTheme="minorHAnsi" w:cstheme="minorHAnsi"/>
          <w:sz w:val="21"/>
          <w:szCs w:val="21"/>
        </w:rPr>
        <w:t>presently</w:t>
      </w:r>
      <w:r w:rsidR="00385811">
        <w:rPr>
          <w:rFonts w:asciiTheme="minorHAnsi" w:hAnsiTheme="minorHAnsi" w:cstheme="minorHAnsi"/>
          <w:sz w:val="21"/>
          <w:szCs w:val="21"/>
        </w:rPr>
        <w:t xml:space="preserve"> </w:t>
      </w:r>
      <w:r w:rsidR="00CE19B6" w:rsidRPr="00385811">
        <w:rPr>
          <w:rFonts w:asciiTheme="minorHAnsi" w:hAnsiTheme="minorHAnsi" w:cstheme="minorHAnsi"/>
          <w:sz w:val="21"/>
          <w:szCs w:val="21"/>
        </w:rPr>
        <w:t>marginalised</w:t>
      </w:r>
      <w:r w:rsidR="00385811">
        <w:rPr>
          <w:rFonts w:asciiTheme="minorHAnsi" w:hAnsiTheme="minorHAnsi" w:cstheme="minorHAnsi"/>
          <w:sz w:val="21"/>
          <w:szCs w:val="21"/>
        </w:rPr>
        <w:t xml:space="preserve"> </w:t>
      </w:r>
      <w:r w:rsidR="00CE19B6" w:rsidRPr="00385811">
        <w:rPr>
          <w:rFonts w:asciiTheme="minorHAnsi" w:hAnsiTheme="minorHAnsi" w:cstheme="minorHAnsi"/>
          <w:sz w:val="21"/>
          <w:szCs w:val="21"/>
        </w:rPr>
        <w:t>in the enterprise bargaining processes</w:t>
      </w:r>
      <w:r w:rsidR="00DB0BB2" w:rsidRPr="00385811">
        <w:rPr>
          <w:rFonts w:asciiTheme="minorHAnsi" w:hAnsiTheme="minorHAnsi" w:cstheme="minorHAnsi"/>
          <w:sz w:val="21"/>
          <w:szCs w:val="21"/>
        </w:rPr>
        <w:t xml:space="preserve"> under the </w:t>
      </w:r>
      <w:r w:rsidR="00CE19B6" w:rsidRPr="00385811">
        <w:rPr>
          <w:rFonts w:asciiTheme="minorHAnsi" w:hAnsiTheme="minorHAnsi" w:cstheme="minorHAnsi"/>
          <w:sz w:val="21"/>
          <w:szCs w:val="21"/>
        </w:rPr>
        <w:t>FWA,</w:t>
      </w:r>
      <w:r w:rsidRPr="00385811">
        <w:rPr>
          <w:rFonts w:asciiTheme="minorHAnsi" w:hAnsiTheme="minorHAnsi" w:cstheme="minorHAnsi"/>
          <w:sz w:val="21"/>
          <w:szCs w:val="21"/>
        </w:rPr>
        <w:t xml:space="preserve"> historically collective bargaining on behalf of members ha</w:t>
      </w:r>
      <w:r w:rsidR="00CE19B6" w:rsidRPr="00385811">
        <w:rPr>
          <w:rFonts w:asciiTheme="minorHAnsi" w:hAnsiTheme="minorHAnsi" w:cstheme="minorHAnsi"/>
          <w:sz w:val="21"/>
          <w:szCs w:val="21"/>
        </w:rPr>
        <w:t>s</w:t>
      </w:r>
      <w:r w:rsidRPr="00385811">
        <w:rPr>
          <w:rFonts w:asciiTheme="minorHAnsi" w:hAnsiTheme="minorHAnsi" w:cstheme="minorHAnsi"/>
          <w:sz w:val="21"/>
          <w:szCs w:val="21"/>
        </w:rPr>
        <w:t xml:space="preserve"> been a principle role</w:t>
      </w:r>
      <w:r w:rsidR="00DB0BB2" w:rsidRPr="00385811">
        <w:rPr>
          <w:rFonts w:asciiTheme="minorHAnsi" w:hAnsiTheme="minorHAnsi" w:cstheme="minorHAnsi"/>
          <w:sz w:val="21"/>
          <w:szCs w:val="21"/>
        </w:rPr>
        <w:t xml:space="preserve"> of </w:t>
      </w:r>
      <w:r w:rsidR="00CE19B6" w:rsidRPr="00385811">
        <w:rPr>
          <w:rFonts w:asciiTheme="minorHAnsi" w:hAnsiTheme="minorHAnsi" w:cstheme="minorHAnsi"/>
          <w:sz w:val="21"/>
          <w:szCs w:val="21"/>
        </w:rPr>
        <w:t>all unions.</w:t>
      </w:r>
    </w:p>
    <w:p w:rsidR="00B2415A" w:rsidRPr="00385811" w:rsidRDefault="00B2415A" w:rsidP="00385811">
      <w:pPr>
        <w:jc w:val="both"/>
        <w:rPr>
          <w:rFonts w:asciiTheme="minorHAnsi" w:hAnsiTheme="minorHAnsi" w:cstheme="minorHAnsi"/>
          <w:sz w:val="21"/>
          <w:szCs w:val="21"/>
        </w:rPr>
      </w:pPr>
    </w:p>
    <w:p w:rsidR="00385811" w:rsidRDefault="00385811" w:rsidP="00385811">
      <w:pPr>
        <w:jc w:val="center"/>
        <w:rPr>
          <w:rFonts w:asciiTheme="minorHAnsi" w:hAnsiTheme="minorHAnsi" w:cstheme="minorHAnsi"/>
          <w:sz w:val="21"/>
          <w:szCs w:val="21"/>
        </w:rPr>
      </w:pPr>
      <w:r>
        <w:rPr>
          <w:rFonts w:asciiTheme="minorHAnsi" w:hAnsiTheme="minorHAnsi" w:cstheme="minorHAnsi"/>
          <w:sz w:val="21"/>
          <w:szCs w:val="21"/>
        </w:rPr>
        <w:br w:type="column"/>
      </w:r>
      <w:r>
        <w:rPr>
          <w:rFonts w:asciiTheme="minorHAnsi" w:hAnsiTheme="minorHAnsi" w:cstheme="minorHAnsi"/>
          <w:sz w:val="21"/>
          <w:szCs w:val="21"/>
        </w:rPr>
        <w:lastRenderedPageBreak/>
        <w:t>2.</w:t>
      </w:r>
    </w:p>
    <w:p w:rsidR="00385811" w:rsidRDefault="00385811" w:rsidP="00385811">
      <w:pPr>
        <w:jc w:val="both"/>
        <w:rPr>
          <w:rFonts w:asciiTheme="minorHAnsi" w:hAnsiTheme="minorHAnsi" w:cstheme="minorHAnsi"/>
          <w:sz w:val="21"/>
          <w:szCs w:val="21"/>
        </w:rPr>
      </w:pPr>
    </w:p>
    <w:p w:rsidR="007A0C44" w:rsidRPr="00385811" w:rsidRDefault="00B2415A" w:rsidP="00385811">
      <w:pPr>
        <w:jc w:val="both"/>
        <w:rPr>
          <w:rFonts w:asciiTheme="minorHAnsi" w:hAnsiTheme="minorHAnsi" w:cstheme="minorHAnsi"/>
          <w:sz w:val="21"/>
          <w:szCs w:val="21"/>
        </w:rPr>
      </w:pPr>
      <w:r w:rsidRPr="00385811">
        <w:rPr>
          <w:rFonts w:asciiTheme="minorHAnsi" w:hAnsiTheme="minorHAnsi" w:cstheme="minorHAnsi"/>
          <w:sz w:val="21"/>
          <w:szCs w:val="21"/>
        </w:rPr>
        <w:t xml:space="preserve">We note the </w:t>
      </w:r>
      <w:r w:rsidRPr="00385811">
        <w:rPr>
          <w:rFonts w:asciiTheme="minorHAnsi" w:hAnsiTheme="minorHAnsi" w:cstheme="minorHAnsi"/>
          <w:i/>
          <w:sz w:val="21"/>
          <w:szCs w:val="21"/>
        </w:rPr>
        <w:t>Greenfields Agreements Background Review Background paper</w:t>
      </w:r>
      <w:r w:rsidRPr="00385811">
        <w:rPr>
          <w:rFonts w:asciiTheme="minorHAnsi" w:hAnsiTheme="minorHAnsi" w:cstheme="minorHAnsi"/>
          <w:sz w:val="21"/>
          <w:szCs w:val="21"/>
        </w:rPr>
        <w:t xml:space="preserve"> </w:t>
      </w:r>
      <w:r w:rsidR="00225BDA" w:rsidRPr="00385811">
        <w:rPr>
          <w:rFonts w:asciiTheme="minorHAnsi" w:hAnsiTheme="minorHAnsi" w:cstheme="minorHAnsi"/>
          <w:sz w:val="21"/>
          <w:szCs w:val="21"/>
        </w:rPr>
        <w:t xml:space="preserve">goes to some length in highlighting the concerns of the Business Council of </w:t>
      </w:r>
      <w:r w:rsidR="006F421D" w:rsidRPr="00385811">
        <w:rPr>
          <w:rFonts w:asciiTheme="minorHAnsi" w:hAnsiTheme="minorHAnsi" w:cstheme="minorHAnsi"/>
          <w:sz w:val="21"/>
          <w:szCs w:val="21"/>
        </w:rPr>
        <w:t>Australia,</w:t>
      </w:r>
      <w:r w:rsidR="00225BDA" w:rsidRPr="00385811">
        <w:rPr>
          <w:rFonts w:asciiTheme="minorHAnsi" w:hAnsiTheme="minorHAnsi" w:cstheme="minorHAnsi"/>
          <w:sz w:val="21"/>
          <w:szCs w:val="21"/>
        </w:rPr>
        <w:t xml:space="preserve"> Master Builders </w:t>
      </w:r>
      <w:r w:rsidR="006F421D" w:rsidRPr="00385811">
        <w:rPr>
          <w:rFonts w:asciiTheme="minorHAnsi" w:hAnsiTheme="minorHAnsi" w:cstheme="minorHAnsi"/>
          <w:sz w:val="21"/>
          <w:szCs w:val="21"/>
        </w:rPr>
        <w:t>Association,</w:t>
      </w:r>
      <w:r w:rsidR="00225BDA" w:rsidRPr="00385811">
        <w:rPr>
          <w:rFonts w:asciiTheme="minorHAnsi" w:hAnsiTheme="minorHAnsi" w:cstheme="minorHAnsi"/>
          <w:sz w:val="21"/>
          <w:szCs w:val="21"/>
        </w:rPr>
        <w:t xml:space="preserve"> AIG and others </w:t>
      </w:r>
      <w:r w:rsidR="00572B61" w:rsidRPr="00385811">
        <w:rPr>
          <w:rFonts w:asciiTheme="minorHAnsi" w:hAnsiTheme="minorHAnsi" w:cstheme="minorHAnsi"/>
          <w:sz w:val="21"/>
          <w:szCs w:val="21"/>
        </w:rPr>
        <w:t xml:space="preserve">that the current regulatory arrangements may </w:t>
      </w:r>
      <w:r w:rsidR="00DB0BB2" w:rsidRPr="00385811">
        <w:rPr>
          <w:rFonts w:asciiTheme="minorHAnsi" w:hAnsiTheme="minorHAnsi" w:cstheme="minorHAnsi"/>
          <w:sz w:val="21"/>
          <w:szCs w:val="21"/>
        </w:rPr>
        <w:t xml:space="preserve">delay major capital projects.  </w:t>
      </w:r>
      <w:r w:rsidR="00CE19B6" w:rsidRPr="00385811">
        <w:rPr>
          <w:rFonts w:asciiTheme="minorHAnsi" w:hAnsiTheme="minorHAnsi" w:cstheme="minorHAnsi"/>
          <w:sz w:val="21"/>
          <w:szCs w:val="21"/>
        </w:rPr>
        <w:t>It</w:t>
      </w:r>
      <w:r w:rsidR="00DB0BB2" w:rsidRPr="00385811">
        <w:rPr>
          <w:rFonts w:asciiTheme="minorHAnsi" w:hAnsiTheme="minorHAnsi" w:cstheme="minorHAnsi"/>
          <w:sz w:val="21"/>
          <w:szCs w:val="21"/>
        </w:rPr>
        <w:t xml:space="preserve"> is </w:t>
      </w:r>
      <w:r w:rsidR="003D137A" w:rsidRPr="00385811">
        <w:rPr>
          <w:rFonts w:asciiTheme="minorHAnsi" w:hAnsiTheme="minorHAnsi" w:cstheme="minorHAnsi"/>
          <w:sz w:val="21"/>
          <w:szCs w:val="21"/>
        </w:rPr>
        <w:t>instructive</w:t>
      </w:r>
      <w:r w:rsidR="009255B4" w:rsidRPr="00385811">
        <w:rPr>
          <w:rFonts w:asciiTheme="minorHAnsi" w:hAnsiTheme="minorHAnsi" w:cstheme="minorHAnsi"/>
          <w:sz w:val="21"/>
          <w:szCs w:val="21"/>
        </w:rPr>
        <w:t xml:space="preserve"> that both</w:t>
      </w:r>
      <w:r w:rsidR="00DB0BB2" w:rsidRPr="00385811">
        <w:rPr>
          <w:rFonts w:asciiTheme="minorHAnsi" w:hAnsiTheme="minorHAnsi" w:cstheme="minorHAnsi"/>
          <w:sz w:val="21"/>
          <w:szCs w:val="21"/>
        </w:rPr>
        <w:t xml:space="preserve"> the review</w:t>
      </w:r>
      <w:r w:rsidR="00572B61" w:rsidRPr="00385811">
        <w:rPr>
          <w:rFonts w:asciiTheme="minorHAnsi" w:hAnsiTheme="minorHAnsi" w:cstheme="minorHAnsi"/>
          <w:sz w:val="21"/>
          <w:szCs w:val="21"/>
        </w:rPr>
        <w:t xml:space="preserve"> of the Fair Work Act </w:t>
      </w:r>
      <w:r w:rsidR="00DB0BB2" w:rsidRPr="00385811">
        <w:rPr>
          <w:rFonts w:asciiTheme="minorHAnsi" w:hAnsiTheme="minorHAnsi" w:cstheme="minorHAnsi"/>
          <w:sz w:val="21"/>
          <w:szCs w:val="21"/>
        </w:rPr>
        <w:t xml:space="preserve">(FWA) in 2012 </w:t>
      </w:r>
      <w:r w:rsidR="00572B61" w:rsidRPr="00385811">
        <w:rPr>
          <w:rFonts w:asciiTheme="minorHAnsi" w:hAnsiTheme="minorHAnsi" w:cstheme="minorHAnsi"/>
          <w:sz w:val="21"/>
          <w:szCs w:val="21"/>
        </w:rPr>
        <w:t xml:space="preserve">and the Productivity Commission Inquiry into </w:t>
      </w:r>
      <w:r w:rsidR="00DB0BB2" w:rsidRPr="00385811">
        <w:rPr>
          <w:rFonts w:asciiTheme="minorHAnsi" w:hAnsiTheme="minorHAnsi" w:cstheme="minorHAnsi"/>
          <w:sz w:val="21"/>
          <w:szCs w:val="21"/>
        </w:rPr>
        <w:t>Workplace R</w:t>
      </w:r>
      <w:r w:rsidR="00572B61" w:rsidRPr="00385811">
        <w:rPr>
          <w:rFonts w:asciiTheme="minorHAnsi" w:hAnsiTheme="minorHAnsi" w:cstheme="minorHAnsi"/>
          <w:sz w:val="21"/>
          <w:szCs w:val="21"/>
        </w:rPr>
        <w:t xml:space="preserve">elations </w:t>
      </w:r>
      <w:r w:rsidR="006F421D" w:rsidRPr="00385811">
        <w:rPr>
          <w:rFonts w:asciiTheme="minorHAnsi" w:hAnsiTheme="minorHAnsi" w:cstheme="minorHAnsi"/>
          <w:sz w:val="21"/>
          <w:szCs w:val="21"/>
        </w:rPr>
        <w:t xml:space="preserve">in 2014/15 found little evidence </w:t>
      </w:r>
      <w:r w:rsidR="00707759">
        <w:rPr>
          <w:rFonts w:asciiTheme="minorHAnsi" w:hAnsiTheme="minorHAnsi" w:cstheme="minorHAnsi"/>
          <w:sz w:val="21"/>
          <w:szCs w:val="21"/>
        </w:rPr>
        <w:t xml:space="preserve">in support </w:t>
      </w:r>
      <w:r w:rsidR="006F421D" w:rsidRPr="00385811">
        <w:rPr>
          <w:rFonts w:asciiTheme="minorHAnsi" w:hAnsiTheme="minorHAnsi" w:cstheme="minorHAnsi"/>
          <w:sz w:val="21"/>
          <w:szCs w:val="21"/>
        </w:rPr>
        <w:t xml:space="preserve">of </w:t>
      </w:r>
      <w:r w:rsidR="00CE19B6" w:rsidRPr="00385811">
        <w:rPr>
          <w:rFonts w:asciiTheme="minorHAnsi" w:hAnsiTheme="minorHAnsi" w:cstheme="minorHAnsi"/>
          <w:sz w:val="21"/>
          <w:szCs w:val="21"/>
        </w:rPr>
        <w:t>these claims</w:t>
      </w:r>
      <w:r w:rsidR="006F421D" w:rsidRPr="00385811">
        <w:rPr>
          <w:rFonts w:asciiTheme="minorHAnsi" w:hAnsiTheme="minorHAnsi" w:cstheme="minorHAnsi"/>
          <w:sz w:val="21"/>
          <w:szCs w:val="21"/>
        </w:rPr>
        <w:t xml:space="preserve">.  Whether </w:t>
      </w:r>
      <w:r w:rsidR="00707759">
        <w:rPr>
          <w:rFonts w:asciiTheme="minorHAnsi" w:hAnsiTheme="minorHAnsi" w:cstheme="minorHAnsi"/>
          <w:sz w:val="21"/>
          <w:szCs w:val="21"/>
        </w:rPr>
        <w:t>such</w:t>
      </w:r>
      <w:r w:rsidR="006F421D" w:rsidRPr="00385811">
        <w:rPr>
          <w:rFonts w:asciiTheme="minorHAnsi" w:hAnsiTheme="minorHAnsi" w:cstheme="minorHAnsi"/>
          <w:sz w:val="21"/>
          <w:szCs w:val="21"/>
        </w:rPr>
        <w:t xml:space="preserve"> concerns are </w:t>
      </w:r>
      <w:r w:rsidR="008A4B3C" w:rsidRPr="00385811">
        <w:rPr>
          <w:rFonts w:asciiTheme="minorHAnsi" w:hAnsiTheme="minorHAnsi" w:cstheme="minorHAnsi"/>
          <w:sz w:val="21"/>
          <w:szCs w:val="21"/>
        </w:rPr>
        <w:t>valid</w:t>
      </w:r>
      <w:r w:rsidR="00707759">
        <w:rPr>
          <w:rFonts w:asciiTheme="minorHAnsi" w:hAnsiTheme="minorHAnsi" w:cstheme="minorHAnsi"/>
          <w:sz w:val="21"/>
          <w:szCs w:val="21"/>
        </w:rPr>
        <w:t xml:space="preserve"> or not</w:t>
      </w:r>
      <w:r w:rsidR="008A4B3C" w:rsidRPr="00385811">
        <w:rPr>
          <w:rFonts w:asciiTheme="minorHAnsi" w:hAnsiTheme="minorHAnsi" w:cstheme="minorHAnsi"/>
          <w:sz w:val="21"/>
          <w:szCs w:val="21"/>
        </w:rPr>
        <w:t>,</w:t>
      </w:r>
      <w:r w:rsidR="006F421D" w:rsidRPr="00385811">
        <w:rPr>
          <w:rFonts w:asciiTheme="minorHAnsi" w:hAnsiTheme="minorHAnsi" w:cstheme="minorHAnsi"/>
          <w:sz w:val="21"/>
          <w:szCs w:val="21"/>
        </w:rPr>
        <w:t xml:space="preserve"> it is ironic that these </w:t>
      </w:r>
      <w:r w:rsidR="00CE19B6" w:rsidRPr="00385811">
        <w:rPr>
          <w:rFonts w:asciiTheme="minorHAnsi" w:hAnsiTheme="minorHAnsi" w:cstheme="minorHAnsi"/>
          <w:sz w:val="21"/>
          <w:szCs w:val="21"/>
        </w:rPr>
        <w:t>organisations</w:t>
      </w:r>
      <w:r w:rsidR="00DB0BB2" w:rsidRPr="00385811">
        <w:rPr>
          <w:rFonts w:asciiTheme="minorHAnsi" w:hAnsiTheme="minorHAnsi" w:cstheme="minorHAnsi"/>
          <w:sz w:val="21"/>
          <w:szCs w:val="21"/>
        </w:rPr>
        <w:t>, having</w:t>
      </w:r>
      <w:r w:rsidR="006F421D" w:rsidRPr="00385811">
        <w:rPr>
          <w:rFonts w:asciiTheme="minorHAnsi" w:hAnsiTheme="minorHAnsi" w:cstheme="minorHAnsi"/>
          <w:sz w:val="21"/>
          <w:szCs w:val="21"/>
        </w:rPr>
        <w:t xml:space="preserve"> campaigned successfully to neuter the ability of industrial tribunals to resolve </w:t>
      </w:r>
      <w:r w:rsidR="008A4B3C" w:rsidRPr="00385811">
        <w:rPr>
          <w:rFonts w:asciiTheme="minorHAnsi" w:hAnsiTheme="minorHAnsi" w:cstheme="minorHAnsi"/>
          <w:sz w:val="21"/>
          <w:szCs w:val="21"/>
        </w:rPr>
        <w:t>disputes</w:t>
      </w:r>
      <w:r w:rsidR="00DB0BB2" w:rsidRPr="00385811">
        <w:rPr>
          <w:rFonts w:asciiTheme="minorHAnsi" w:hAnsiTheme="minorHAnsi" w:cstheme="minorHAnsi"/>
          <w:sz w:val="21"/>
          <w:szCs w:val="21"/>
        </w:rPr>
        <w:t>, now</w:t>
      </w:r>
      <w:r w:rsidR="006F421D" w:rsidRPr="00385811">
        <w:rPr>
          <w:rFonts w:asciiTheme="minorHAnsi" w:hAnsiTheme="minorHAnsi" w:cstheme="minorHAnsi"/>
          <w:sz w:val="21"/>
          <w:szCs w:val="21"/>
        </w:rPr>
        <w:t xml:space="preserve"> complain of impasses in agreement </w:t>
      </w:r>
      <w:r w:rsidR="00DB0BB2" w:rsidRPr="00385811">
        <w:rPr>
          <w:rFonts w:asciiTheme="minorHAnsi" w:hAnsiTheme="minorHAnsi" w:cstheme="minorHAnsi"/>
          <w:sz w:val="21"/>
          <w:szCs w:val="21"/>
        </w:rPr>
        <w:t>making</w:t>
      </w:r>
      <w:r w:rsidR="006F421D" w:rsidRPr="00385811">
        <w:rPr>
          <w:rFonts w:asciiTheme="minorHAnsi" w:hAnsiTheme="minorHAnsi" w:cstheme="minorHAnsi"/>
          <w:sz w:val="21"/>
          <w:szCs w:val="21"/>
        </w:rPr>
        <w:t>.</w:t>
      </w:r>
      <w:r w:rsidR="00DB0BB2" w:rsidRPr="00385811">
        <w:rPr>
          <w:rFonts w:asciiTheme="minorHAnsi" w:hAnsiTheme="minorHAnsi" w:cstheme="minorHAnsi"/>
          <w:sz w:val="21"/>
          <w:szCs w:val="21"/>
        </w:rPr>
        <w:t xml:space="preserve"> Further, any delay an employer may experience in securing a Greenfield agreement falls well short of the </w:t>
      </w:r>
      <w:proofErr w:type="gramStart"/>
      <w:r w:rsidR="003D137A" w:rsidRPr="00385811">
        <w:rPr>
          <w:rFonts w:asciiTheme="minorHAnsi" w:hAnsiTheme="minorHAnsi" w:cstheme="minorHAnsi"/>
          <w:sz w:val="21"/>
          <w:szCs w:val="21"/>
        </w:rPr>
        <w:t>years</w:t>
      </w:r>
      <w:proofErr w:type="gramEnd"/>
      <w:r w:rsidR="00DB0BB2" w:rsidRPr="00385811">
        <w:rPr>
          <w:rFonts w:asciiTheme="minorHAnsi" w:hAnsiTheme="minorHAnsi" w:cstheme="minorHAnsi"/>
          <w:sz w:val="21"/>
          <w:szCs w:val="21"/>
        </w:rPr>
        <w:t xml:space="preserve"> employees often have to wait to secure agreements</w:t>
      </w:r>
      <w:r w:rsidR="009255B4" w:rsidRPr="00385811">
        <w:rPr>
          <w:rFonts w:asciiTheme="minorHAnsi" w:hAnsiTheme="minorHAnsi" w:cstheme="minorHAnsi"/>
          <w:sz w:val="21"/>
          <w:szCs w:val="21"/>
        </w:rPr>
        <w:t>,</w:t>
      </w:r>
      <w:r w:rsidR="00DB0BB2" w:rsidRPr="00385811">
        <w:rPr>
          <w:rFonts w:asciiTheme="minorHAnsi" w:hAnsiTheme="minorHAnsi" w:cstheme="minorHAnsi"/>
          <w:sz w:val="21"/>
          <w:szCs w:val="21"/>
        </w:rPr>
        <w:t xml:space="preserve"> without any effective recourse to regulatory support</w:t>
      </w:r>
      <w:r w:rsidR="00707759">
        <w:rPr>
          <w:rFonts w:asciiTheme="minorHAnsi" w:hAnsiTheme="minorHAnsi" w:cstheme="minorHAnsi"/>
          <w:sz w:val="21"/>
          <w:szCs w:val="21"/>
        </w:rPr>
        <w:t xml:space="preserve"> to break the deadlock</w:t>
      </w:r>
      <w:r w:rsidR="00DB0BB2" w:rsidRPr="00385811">
        <w:rPr>
          <w:rFonts w:asciiTheme="minorHAnsi" w:hAnsiTheme="minorHAnsi" w:cstheme="minorHAnsi"/>
          <w:sz w:val="21"/>
          <w:szCs w:val="21"/>
        </w:rPr>
        <w:t>.</w:t>
      </w:r>
    </w:p>
    <w:p w:rsidR="00DB0BB2" w:rsidRPr="00385811" w:rsidRDefault="00DB0BB2" w:rsidP="00385811">
      <w:pPr>
        <w:jc w:val="both"/>
        <w:rPr>
          <w:rFonts w:asciiTheme="minorHAnsi" w:hAnsiTheme="minorHAnsi" w:cstheme="minorHAnsi"/>
          <w:sz w:val="21"/>
          <w:szCs w:val="21"/>
        </w:rPr>
      </w:pPr>
    </w:p>
    <w:p w:rsidR="00DB0BB2" w:rsidRPr="00385811" w:rsidRDefault="00DB0BB2" w:rsidP="00385811">
      <w:pPr>
        <w:jc w:val="both"/>
        <w:rPr>
          <w:rFonts w:asciiTheme="minorHAnsi" w:hAnsiTheme="minorHAnsi" w:cstheme="minorHAnsi"/>
          <w:sz w:val="21"/>
          <w:szCs w:val="21"/>
        </w:rPr>
      </w:pPr>
      <w:r w:rsidRPr="00385811">
        <w:rPr>
          <w:rFonts w:asciiTheme="minorHAnsi" w:hAnsiTheme="minorHAnsi" w:cstheme="minorHAnsi"/>
          <w:sz w:val="21"/>
          <w:szCs w:val="21"/>
        </w:rPr>
        <w:t xml:space="preserve">The changes </w:t>
      </w:r>
      <w:r w:rsidR="00CE19B6" w:rsidRPr="00385811">
        <w:rPr>
          <w:rFonts w:asciiTheme="minorHAnsi" w:hAnsiTheme="minorHAnsi" w:cstheme="minorHAnsi"/>
          <w:sz w:val="21"/>
          <w:szCs w:val="21"/>
        </w:rPr>
        <w:t xml:space="preserve">to the regulatory framework </w:t>
      </w:r>
      <w:r w:rsidR="00707759">
        <w:rPr>
          <w:rFonts w:asciiTheme="minorHAnsi" w:hAnsiTheme="minorHAnsi" w:cstheme="minorHAnsi"/>
          <w:sz w:val="21"/>
          <w:szCs w:val="21"/>
        </w:rPr>
        <w:t>for</w:t>
      </w:r>
      <w:r w:rsidR="00CE19B6" w:rsidRPr="00385811">
        <w:rPr>
          <w:rFonts w:asciiTheme="minorHAnsi" w:hAnsiTheme="minorHAnsi" w:cstheme="minorHAnsi"/>
          <w:sz w:val="21"/>
          <w:szCs w:val="21"/>
        </w:rPr>
        <w:t xml:space="preserve"> Greenfield agreements pursued</w:t>
      </w:r>
      <w:r w:rsidRPr="00385811">
        <w:rPr>
          <w:rFonts w:asciiTheme="minorHAnsi" w:hAnsiTheme="minorHAnsi" w:cstheme="minorHAnsi"/>
          <w:sz w:val="21"/>
          <w:szCs w:val="21"/>
        </w:rPr>
        <w:t xml:space="preserve"> by employer groups are brazen </w:t>
      </w:r>
      <w:r w:rsidR="00CE19B6" w:rsidRPr="00385811">
        <w:rPr>
          <w:rFonts w:asciiTheme="minorHAnsi" w:hAnsiTheme="minorHAnsi" w:cstheme="minorHAnsi"/>
          <w:sz w:val="21"/>
          <w:szCs w:val="21"/>
        </w:rPr>
        <w:t xml:space="preserve">as they are </w:t>
      </w:r>
      <w:proofErr w:type="gramStart"/>
      <w:r w:rsidR="00CE19B6" w:rsidRPr="00385811">
        <w:rPr>
          <w:rFonts w:asciiTheme="minorHAnsi" w:hAnsiTheme="minorHAnsi" w:cstheme="minorHAnsi"/>
          <w:sz w:val="21"/>
          <w:szCs w:val="21"/>
        </w:rPr>
        <w:t xml:space="preserve">clear </w:t>
      </w:r>
      <w:r w:rsidR="00707759">
        <w:rPr>
          <w:rFonts w:asciiTheme="minorHAnsi" w:hAnsiTheme="minorHAnsi" w:cstheme="minorHAnsi"/>
          <w:sz w:val="21"/>
          <w:szCs w:val="21"/>
        </w:rPr>
        <w:t>,</w:t>
      </w:r>
      <w:proofErr w:type="gramEnd"/>
      <w:r w:rsidR="00707759">
        <w:rPr>
          <w:rFonts w:asciiTheme="minorHAnsi" w:hAnsiTheme="minorHAnsi" w:cstheme="minorHAnsi"/>
          <w:sz w:val="21"/>
          <w:szCs w:val="21"/>
        </w:rPr>
        <w:t xml:space="preserve"> </w:t>
      </w:r>
      <w:r w:rsidR="00CE19B6" w:rsidRPr="00385811">
        <w:rPr>
          <w:rFonts w:asciiTheme="minorHAnsi" w:hAnsiTheme="minorHAnsi" w:cstheme="minorHAnsi"/>
          <w:sz w:val="21"/>
          <w:szCs w:val="21"/>
        </w:rPr>
        <w:t>which is to</w:t>
      </w:r>
      <w:r w:rsidRPr="00385811">
        <w:rPr>
          <w:rFonts w:asciiTheme="minorHAnsi" w:hAnsiTheme="minorHAnsi" w:cstheme="minorHAnsi"/>
          <w:sz w:val="21"/>
          <w:szCs w:val="21"/>
        </w:rPr>
        <w:t xml:space="preserve"> place employers in a position where they can dictate the terms of employment at a new project and further sideline the role of unions</w:t>
      </w:r>
      <w:r w:rsidR="00CE19B6" w:rsidRPr="00385811">
        <w:rPr>
          <w:rFonts w:asciiTheme="minorHAnsi" w:hAnsiTheme="minorHAnsi" w:cstheme="minorHAnsi"/>
          <w:sz w:val="21"/>
          <w:szCs w:val="21"/>
        </w:rPr>
        <w:t>.</w:t>
      </w:r>
    </w:p>
    <w:p w:rsidR="00DB0BB2" w:rsidRPr="00385811" w:rsidRDefault="00DB0BB2" w:rsidP="00385811">
      <w:pPr>
        <w:jc w:val="both"/>
        <w:rPr>
          <w:rFonts w:asciiTheme="minorHAnsi" w:hAnsiTheme="minorHAnsi" w:cstheme="minorHAnsi"/>
          <w:sz w:val="21"/>
          <w:szCs w:val="21"/>
        </w:rPr>
      </w:pPr>
    </w:p>
    <w:p w:rsidR="00DB0BB2" w:rsidRPr="00385811" w:rsidRDefault="00DB0BB2" w:rsidP="00385811">
      <w:pPr>
        <w:jc w:val="both"/>
        <w:rPr>
          <w:rFonts w:asciiTheme="minorHAnsi" w:hAnsiTheme="minorHAnsi" w:cstheme="minorHAnsi"/>
          <w:sz w:val="21"/>
          <w:szCs w:val="21"/>
        </w:rPr>
      </w:pPr>
      <w:r w:rsidRPr="00385811">
        <w:rPr>
          <w:rFonts w:asciiTheme="minorHAnsi" w:hAnsiTheme="minorHAnsi" w:cstheme="minorHAnsi"/>
          <w:sz w:val="21"/>
          <w:szCs w:val="21"/>
        </w:rPr>
        <w:t>ANMF supports regulation for Greenfield agreements that recogni</w:t>
      </w:r>
      <w:r w:rsidR="00707759">
        <w:rPr>
          <w:rFonts w:asciiTheme="minorHAnsi" w:hAnsiTheme="minorHAnsi" w:cstheme="minorHAnsi"/>
          <w:sz w:val="21"/>
          <w:szCs w:val="21"/>
        </w:rPr>
        <w:t>s</w:t>
      </w:r>
      <w:r w:rsidRPr="00385811">
        <w:rPr>
          <w:rFonts w:asciiTheme="minorHAnsi" w:hAnsiTheme="minorHAnsi" w:cstheme="minorHAnsi"/>
          <w:sz w:val="21"/>
          <w:szCs w:val="21"/>
        </w:rPr>
        <w:t xml:space="preserve">es the legitimate role of unions and requires the bargaining parties to conduct negotiations and </w:t>
      </w:r>
      <w:r w:rsidR="009255B4" w:rsidRPr="00385811">
        <w:rPr>
          <w:rFonts w:asciiTheme="minorHAnsi" w:hAnsiTheme="minorHAnsi" w:cstheme="minorHAnsi"/>
          <w:sz w:val="21"/>
          <w:szCs w:val="21"/>
        </w:rPr>
        <w:t xml:space="preserve">to </w:t>
      </w:r>
      <w:r w:rsidRPr="00385811">
        <w:rPr>
          <w:rFonts w:asciiTheme="minorHAnsi" w:hAnsiTheme="minorHAnsi" w:cstheme="minorHAnsi"/>
          <w:sz w:val="21"/>
          <w:szCs w:val="21"/>
        </w:rPr>
        <w:t>complete agreements on a fair basis including</w:t>
      </w:r>
      <w:r w:rsidR="00385811">
        <w:rPr>
          <w:rFonts w:asciiTheme="minorHAnsi" w:hAnsiTheme="minorHAnsi" w:cstheme="minorHAnsi"/>
          <w:sz w:val="21"/>
          <w:szCs w:val="21"/>
        </w:rPr>
        <w:t>:</w:t>
      </w:r>
    </w:p>
    <w:p w:rsidR="00DB0BB2" w:rsidRPr="00385811" w:rsidRDefault="00DB0BB2" w:rsidP="00385811">
      <w:pPr>
        <w:jc w:val="both"/>
        <w:rPr>
          <w:rFonts w:asciiTheme="minorHAnsi" w:hAnsiTheme="minorHAnsi" w:cstheme="minorHAnsi"/>
          <w:sz w:val="21"/>
          <w:szCs w:val="21"/>
        </w:rPr>
      </w:pPr>
    </w:p>
    <w:p w:rsidR="00DB0BB2" w:rsidRPr="00385811" w:rsidRDefault="00707759" w:rsidP="00385811">
      <w:pPr>
        <w:pStyle w:val="ListParagraph"/>
        <w:numPr>
          <w:ilvl w:val="0"/>
          <w:numId w:val="1"/>
        </w:numPr>
        <w:jc w:val="both"/>
        <w:rPr>
          <w:rFonts w:asciiTheme="minorHAnsi" w:hAnsiTheme="minorHAnsi" w:cstheme="minorHAnsi"/>
          <w:sz w:val="21"/>
          <w:szCs w:val="21"/>
        </w:rPr>
      </w:pPr>
      <w:r>
        <w:rPr>
          <w:rFonts w:asciiTheme="minorHAnsi" w:hAnsiTheme="minorHAnsi" w:cstheme="minorHAnsi"/>
          <w:sz w:val="21"/>
          <w:szCs w:val="21"/>
        </w:rPr>
        <w:t>There is a</w:t>
      </w:r>
      <w:r w:rsidR="009255B4" w:rsidRPr="00385811">
        <w:rPr>
          <w:rFonts w:asciiTheme="minorHAnsi" w:hAnsiTheme="minorHAnsi" w:cstheme="minorHAnsi"/>
          <w:sz w:val="21"/>
          <w:szCs w:val="21"/>
        </w:rPr>
        <w:t xml:space="preserve"> requirement </w:t>
      </w:r>
      <w:r w:rsidR="00DB0BB2" w:rsidRPr="00385811">
        <w:rPr>
          <w:rFonts w:asciiTheme="minorHAnsi" w:hAnsiTheme="minorHAnsi" w:cstheme="minorHAnsi"/>
          <w:sz w:val="21"/>
          <w:szCs w:val="21"/>
        </w:rPr>
        <w:t xml:space="preserve">the employer </w:t>
      </w:r>
      <w:r w:rsidR="003D137A" w:rsidRPr="00385811">
        <w:rPr>
          <w:rFonts w:asciiTheme="minorHAnsi" w:hAnsiTheme="minorHAnsi" w:cstheme="minorHAnsi"/>
          <w:sz w:val="21"/>
          <w:szCs w:val="21"/>
        </w:rPr>
        <w:t>notify and recogni</w:t>
      </w:r>
      <w:r>
        <w:rPr>
          <w:rFonts w:asciiTheme="minorHAnsi" w:hAnsiTheme="minorHAnsi" w:cstheme="minorHAnsi"/>
          <w:sz w:val="21"/>
          <w:szCs w:val="21"/>
        </w:rPr>
        <w:t>s</w:t>
      </w:r>
      <w:r w:rsidR="003D137A" w:rsidRPr="00385811">
        <w:rPr>
          <w:rFonts w:asciiTheme="minorHAnsi" w:hAnsiTheme="minorHAnsi" w:cstheme="minorHAnsi"/>
          <w:sz w:val="21"/>
          <w:szCs w:val="21"/>
        </w:rPr>
        <w:t>e all unions entitled to represent employees to be covered by the agreement</w:t>
      </w:r>
      <w:r w:rsidR="00385811">
        <w:rPr>
          <w:rFonts w:asciiTheme="minorHAnsi" w:hAnsiTheme="minorHAnsi" w:cstheme="minorHAnsi"/>
          <w:sz w:val="21"/>
          <w:szCs w:val="21"/>
        </w:rPr>
        <w:t>.</w:t>
      </w:r>
    </w:p>
    <w:p w:rsidR="00385811" w:rsidRDefault="00385811" w:rsidP="00385811">
      <w:pPr>
        <w:pStyle w:val="ListParagraph"/>
        <w:jc w:val="both"/>
        <w:rPr>
          <w:rFonts w:asciiTheme="minorHAnsi" w:hAnsiTheme="minorHAnsi" w:cstheme="minorHAnsi"/>
          <w:sz w:val="21"/>
          <w:szCs w:val="21"/>
        </w:rPr>
      </w:pPr>
    </w:p>
    <w:p w:rsidR="003D137A" w:rsidRPr="00385811" w:rsidRDefault="009255B4" w:rsidP="00385811">
      <w:pPr>
        <w:pStyle w:val="ListParagraph"/>
        <w:numPr>
          <w:ilvl w:val="0"/>
          <w:numId w:val="1"/>
        </w:numPr>
        <w:jc w:val="both"/>
        <w:rPr>
          <w:rFonts w:asciiTheme="minorHAnsi" w:hAnsiTheme="minorHAnsi" w:cstheme="minorHAnsi"/>
          <w:sz w:val="21"/>
          <w:szCs w:val="21"/>
        </w:rPr>
      </w:pPr>
      <w:r w:rsidRPr="00385811">
        <w:rPr>
          <w:rFonts w:asciiTheme="minorHAnsi" w:hAnsiTheme="minorHAnsi" w:cstheme="minorHAnsi"/>
          <w:sz w:val="21"/>
          <w:szCs w:val="21"/>
        </w:rPr>
        <w:t>Greenfield agreements</w:t>
      </w:r>
      <w:r w:rsidR="003D137A" w:rsidRPr="00385811">
        <w:rPr>
          <w:rFonts w:asciiTheme="minorHAnsi" w:hAnsiTheme="minorHAnsi" w:cstheme="minorHAnsi"/>
          <w:sz w:val="21"/>
          <w:szCs w:val="21"/>
        </w:rPr>
        <w:t xml:space="preserve"> come within a regulatory framework that has a primary object of collective bargaining in good faith.</w:t>
      </w:r>
    </w:p>
    <w:p w:rsidR="00385811" w:rsidRDefault="00385811" w:rsidP="00385811">
      <w:pPr>
        <w:pStyle w:val="ListParagraph"/>
        <w:jc w:val="both"/>
        <w:rPr>
          <w:rFonts w:asciiTheme="minorHAnsi" w:hAnsiTheme="minorHAnsi" w:cstheme="minorHAnsi"/>
          <w:sz w:val="21"/>
          <w:szCs w:val="21"/>
        </w:rPr>
      </w:pPr>
    </w:p>
    <w:p w:rsidR="00DB0BB2" w:rsidRPr="00385811" w:rsidRDefault="009255B4" w:rsidP="00385811">
      <w:pPr>
        <w:pStyle w:val="ListParagraph"/>
        <w:numPr>
          <w:ilvl w:val="0"/>
          <w:numId w:val="1"/>
        </w:numPr>
        <w:jc w:val="both"/>
        <w:rPr>
          <w:rFonts w:asciiTheme="minorHAnsi" w:hAnsiTheme="minorHAnsi" w:cstheme="minorHAnsi"/>
          <w:sz w:val="21"/>
          <w:szCs w:val="21"/>
        </w:rPr>
      </w:pPr>
      <w:r w:rsidRPr="00385811">
        <w:rPr>
          <w:rFonts w:asciiTheme="minorHAnsi" w:hAnsiTheme="minorHAnsi" w:cstheme="minorHAnsi"/>
          <w:sz w:val="21"/>
          <w:szCs w:val="21"/>
        </w:rPr>
        <w:t>That c</w:t>
      </w:r>
      <w:r w:rsidR="003D137A" w:rsidRPr="00385811">
        <w:rPr>
          <w:rFonts w:asciiTheme="minorHAnsi" w:hAnsiTheme="minorHAnsi" w:cstheme="minorHAnsi"/>
          <w:sz w:val="21"/>
          <w:szCs w:val="21"/>
        </w:rPr>
        <w:t xml:space="preserve">onciliation and/or arbitration of outstanding matters be available on application.  </w:t>
      </w:r>
    </w:p>
    <w:p w:rsidR="00385811" w:rsidRDefault="00385811" w:rsidP="00385811">
      <w:pPr>
        <w:pStyle w:val="ListParagraph"/>
        <w:jc w:val="both"/>
        <w:rPr>
          <w:rFonts w:asciiTheme="minorHAnsi" w:hAnsiTheme="minorHAnsi" w:cstheme="minorHAnsi"/>
          <w:sz w:val="21"/>
          <w:szCs w:val="21"/>
        </w:rPr>
      </w:pPr>
    </w:p>
    <w:p w:rsidR="003D137A" w:rsidRPr="00385811" w:rsidRDefault="003D137A" w:rsidP="00385811">
      <w:pPr>
        <w:pStyle w:val="ListParagraph"/>
        <w:numPr>
          <w:ilvl w:val="0"/>
          <w:numId w:val="1"/>
        </w:numPr>
        <w:jc w:val="both"/>
        <w:rPr>
          <w:rFonts w:asciiTheme="minorHAnsi" w:hAnsiTheme="minorHAnsi" w:cstheme="minorHAnsi"/>
          <w:sz w:val="21"/>
          <w:szCs w:val="21"/>
        </w:rPr>
      </w:pPr>
      <w:r w:rsidRPr="00385811">
        <w:rPr>
          <w:rFonts w:asciiTheme="minorHAnsi" w:hAnsiTheme="minorHAnsi" w:cstheme="minorHAnsi"/>
          <w:sz w:val="21"/>
          <w:szCs w:val="21"/>
        </w:rPr>
        <w:t xml:space="preserve">Where the FWC </w:t>
      </w:r>
      <w:r w:rsidR="009255B4" w:rsidRPr="00385811">
        <w:rPr>
          <w:rFonts w:asciiTheme="minorHAnsi" w:hAnsiTheme="minorHAnsi" w:cstheme="minorHAnsi"/>
          <w:sz w:val="21"/>
          <w:szCs w:val="21"/>
        </w:rPr>
        <w:t>exercises</w:t>
      </w:r>
      <w:r w:rsidRPr="00385811">
        <w:rPr>
          <w:rFonts w:asciiTheme="minorHAnsi" w:hAnsiTheme="minorHAnsi" w:cstheme="minorHAnsi"/>
          <w:sz w:val="21"/>
          <w:szCs w:val="21"/>
        </w:rPr>
        <w:t xml:space="preserve"> arbitral powers to resolve an impasse the </w:t>
      </w:r>
      <w:r w:rsidR="00385811">
        <w:rPr>
          <w:rFonts w:asciiTheme="minorHAnsi" w:hAnsiTheme="minorHAnsi" w:cstheme="minorHAnsi"/>
          <w:sz w:val="21"/>
          <w:szCs w:val="21"/>
        </w:rPr>
        <w:t>T</w:t>
      </w:r>
      <w:r w:rsidRPr="00385811">
        <w:rPr>
          <w:rFonts w:asciiTheme="minorHAnsi" w:hAnsiTheme="minorHAnsi" w:cstheme="minorHAnsi"/>
          <w:sz w:val="21"/>
          <w:szCs w:val="21"/>
        </w:rPr>
        <w:t>ribunal must be required to have regard to prevailing employment conditions in settings of a similar scale or nature.</w:t>
      </w:r>
    </w:p>
    <w:p w:rsidR="003D137A" w:rsidRPr="00385811" w:rsidRDefault="003D137A" w:rsidP="00385811">
      <w:pPr>
        <w:jc w:val="both"/>
        <w:rPr>
          <w:rFonts w:asciiTheme="minorHAnsi" w:hAnsiTheme="minorHAnsi" w:cstheme="minorHAnsi"/>
          <w:sz w:val="21"/>
          <w:szCs w:val="21"/>
        </w:rPr>
      </w:pPr>
    </w:p>
    <w:p w:rsidR="00DB0BB2" w:rsidRPr="00385811" w:rsidRDefault="00DC2D37" w:rsidP="00385811">
      <w:pPr>
        <w:jc w:val="both"/>
        <w:rPr>
          <w:rFonts w:asciiTheme="minorHAnsi" w:hAnsiTheme="minorHAnsi" w:cstheme="minorHAnsi"/>
          <w:sz w:val="21"/>
          <w:szCs w:val="21"/>
        </w:rPr>
      </w:pPr>
      <w:r w:rsidRPr="00385811">
        <w:rPr>
          <w:rFonts w:asciiTheme="minorHAnsi" w:hAnsiTheme="minorHAnsi" w:cstheme="minorHAnsi"/>
          <w:sz w:val="21"/>
          <w:szCs w:val="21"/>
        </w:rPr>
        <w:t>We trust these brief comments are of as</w:t>
      </w:r>
      <w:r w:rsidR="00385811">
        <w:rPr>
          <w:rFonts w:asciiTheme="minorHAnsi" w:hAnsiTheme="minorHAnsi" w:cstheme="minorHAnsi"/>
          <w:sz w:val="21"/>
          <w:szCs w:val="21"/>
        </w:rPr>
        <w:t>sistance and please contact ANM</w:t>
      </w:r>
      <w:r w:rsidR="00707759">
        <w:rPr>
          <w:rFonts w:asciiTheme="minorHAnsi" w:hAnsiTheme="minorHAnsi" w:cstheme="minorHAnsi"/>
          <w:sz w:val="21"/>
          <w:szCs w:val="21"/>
        </w:rPr>
        <w:t>F Senior</w:t>
      </w:r>
      <w:r w:rsidR="00385811">
        <w:rPr>
          <w:rFonts w:asciiTheme="minorHAnsi" w:hAnsiTheme="minorHAnsi" w:cstheme="minorHAnsi"/>
          <w:sz w:val="21"/>
          <w:szCs w:val="21"/>
        </w:rPr>
        <w:t xml:space="preserve"> F</w:t>
      </w:r>
      <w:r w:rsidRPr="00385811">
        <w:rPr>
          <w:rFonts w:asciiTheme="minorHAnsi" w:hAnsiTheme="minorHAnsi" w:cstheme="minorHAnsi"/>
          <w:sz w:val="21"/>
          <w:szCs w:val="21"/>
        </w:rPr>
        <w:t xml:space="preserve">ederal </w:t>
      </w:r>
      <w:r w:rsidR="00385811">
        <w:rPr>
          <w:rFonts w:asciiTheme="minorHAnsi" w:hAnsiTheme="minorHAnsi" w:cstheme="minorHAnsi"/>
          <w:sz w:val="21"/>
          <w:szCs w:val="21"/>
        </w:rPr>
        <w:t>I</w:t>
      </w:r>
      <w:r w:rsidRPr="00385811">
        <w:rPr>
          <w:rFonts w:asciiTheme="minorHAnsi" w:hAnsiTheme="minorHAnsi" w:cstheme="minorHAnsi"/>
          <w:sz w:val="21"/>
          <w:szCs w:val="21"/>
        </w:rPr>
        <w:t xml:space="preserve">ndustrial </w:t>
      </w:r>
      <w:r w:rsidR="00385811">
        <w:rPr>
          <w:rFonts w:asciiTheme="minorHAnsi" w:hAnsiTheme="minorHAnsi" w:cstheme="minorHAnsi"/>
          <w:sz w:val="21"/>
          <w:szCs w:val="21"/>
        </w:rPr>
        <w:t>O</w:t>
      </w:r>
      <w:r w:rsidRPr="00385811">
        <w:rPr>
          <w:rFonts w:asciiTheme="minorHAnsi" w:hAnsiTheme="minorHAnsi" w:cstheme="minorHAnsi"/>
          <w:sz w:val="21"/>
          <w:szCs w:val="21"/>
        </w:rPr>
        <w:t>fficer</w:t>
      </w:r>
      <w:r w:rsidR="00385811">
        <w:rPr>
          <w:rFonts w:asciiTheme="minorHAnsi" w:hAnsiTheme="minorHAnsi" w:cstheme="minorHAnsi"/>
          <w:sz w:val="21"/>
          <w:szCs w:val="21"/>
        </w:rPr>
        <w:t>,</w:t>
      </w:r>
      <w:r w:rsidRPr="00385811">
        <w:rPr>
          <w:rFonts w:asciiTheme="minorHAnsi" w:hAnsiTheme="minorHAnsi" w:cstheme="minorHAnsi"/>
          <w:sz w:val="21"/>
          <w:szCs w:val="21"/>
        </w:rPr>
        <w:t xml:space="preserve"> Nick Blake on 03 9602</w:t>
      </w:r>
      <w:r w:rsidR="00385811">
        <w:rPr>
          <w:rFonts w:asciiTheme="minorHAnsi" w:hAnsiTheme="minorHAnsi" w:cstheme="minorHAnsi"/>
          <w:sz w:val="21"/>
          <w:szCs w:val="21"/>
        </w:rPr>
        <w:t xml:space="preserve"> </w:t>
      </w:r>
      <w:r w:rsidRPr="00385811">
        <w:rPr>
          <w:rFonts w:asciiTheme="minorHAnsi" w:hAnsiTheme="minorHAnsi" w:cstheme="minorHAnsi"/>
          <w:sz w:val="21"/>
          <w:szCs w:val="21"/>
        </w:rPr>
        <w:t>8500 should you wish to discuss this submission.</w:t>
      </w:r>
    </w:p>
    <w:p w:rsidR="006F421D" w:rsidRPr="00385811" w:rsidRDefault="006F421D" w:rsidP="00385811">
      <w:pPr>
        <w:jc w:val="both"/>
        <w:rPr>
          <w:rFonts w:asciiTheme="minorHAnsi" w:hAnsiTheme="minorHAnsi" w:cstheme="minorHAnsi"/>
          <w:sz w:val="21"/>
          <w:szCs w:val="21"/>
          <w:lang w:val="en-AU" w:bidi="x-none"/>
        </w:rPr>
      </w:pPr>
    </w:p>
    <w:p w:rsidR="00E60833" w:rsidRPr="00385811" w:rsidRDefault="00522D18" w:rsidP="00385811">
      <w:pPr>
        <w:jc w:val="both"/>
        <w:rPr>
          <w:rFonts w:asciiTheme="minorHAnsi" w:hAnsiTheme="minorHAnsi" w:cstheme="minorHAnsi"/>
          <w:sz w:val="21"/>
          <w:szCs w:val="21"/>
          <w:lang w:val="en-AU" w:bidi="x-none"/>
        </w:rPr>
      </w:pPr>
      <w:r w:rsidRPr="00385811">
        <w:rPr>
          <w:rFonts w:asciiTheme="minorHAnsi" w:hAnsiTheme="minorHAnsi" w:cstheme="minorHAnsi"/>
          <w:sz w:val="21"/>
          <w:szCs w:val="21"/>
          <w:lang w:val="en-AU" w:bidi="x-none"/>
        </w:rPr>
        <w:t>Yours</w:t>
      </w:r>
      <w:r w:rsidR="00EE3854" w:rsidRPr="00385811">
        <w:rPr>
          <w:rFonts w:asciiTheme="minorHAnsi" w:hAnsiTheme="minorHAnsi" w:cstheme="minorHAnsi"/>
          <w:sz w:val="21"/>
          <w:szCs w:val="21"/>
          <w:lang w:val="en-AU" w:bidi="x-none"/>
        </w:rPr>
        <w:t xml:space="preserve"> sincerely</w:t>
      </w:r>
    </w:p>
    <w:p w:rsidR="00EE3854" w:rsidRPr="00385811" w:rsidRDefault="00EE3854" w:rsidP="00385811">
      <w:pPr>
        <w:jc w:val="both"/>
        <w:rPr>
          <w:rFonts w:asciiTheme="minorHAnsi" w:hAnsiTheme="minorHAnsi" w:cstheme="minorHAnsi"/>
          <w:sz w:val="21"/>
          <w:szCs w:val="21"/>
          <w:lang w:val="en-AU" w:bidi="x-none"/>
        </w:rPr>
      </w:pPr>
    </w:p>
    <w:p w:rsidR="00EE3854" w:rsidRDefault="00EE3854" w:rsidP="00385811">
      <w:pPr>
        <w:jc w:val="both"/>
        <w:rPr>
          <w:rFonts w:asciiTheme="minorHAnsi" w:hAnsiTheme="minorHAnsi" w:cstheme="minorHAnsi"/>
          <w:sz w:val="21"/>
          <w:szCs w:val="21"/>
          <w:lang w:val="en-AU" w:bidi="x-none"/>
        </w:rPr>
      </w:pPr>
    </w:p>
    <w:p w:rsidR="00385811" w:rsidRDefault="00385811" w:rsidP="00385811">
      <w:pPr>
        <w:jc w:val="both"/>
        <w:rPr>
          <w:rFonts w:asciiTheme="minorHAnsi" w:hAnsiTheme="minorHAnsi" w:cstheme="minorHAnsi"/>
          <w:sz w:val="21"/>
          <w:szCs w:val="21"/>
          <w:lang w:val="en-AU" w:bidi="x-none"/>
        </w:rPr>
      </w:pPr>
    </w:p>
    <w:p w:rsidR="00385811" w:rsidRPr="00385811" w:rsidRDefault="00364CB1" w:rsidP="00385811">
      <w:pPr>
        <w:jc w:val="both"/>
        <w:rPr>
          <w:rFonts w:asciiTheme="minorHAnsi" w:hAnsiTheme="minorHAnsi" w:cstheme="minorHAnsi"/>
          <w:sz w:val="21"/>
          <w:szCs w:val="21"/>
          <w:lang w:val="en-AU" w:bidi="x-none"/>
        </w:rPr>
      </w:pPr>
      <w:r>
        <w:rPr>
          <w:noProof/>
          <w:lang w:val="en-AU" w:eastAsia="en-AU"/>
        </w:rPr>
        <w:drawing>
          <wp:inline distT="0" distB="0" distL="0" distR="0" wp14:anchorId="42532B0E" wp14:editId="0BA78FE8">
            <wp:extent cx="1767840" cy="457200"/>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a:stretch>
                      <a:fillRect/>
                    </a:stretch>
                  </pic:blipFill>
                  <pic:spPr>
                    <a:xfrm>
                      <a:off x="0" y="0"/>
                      <a:ext cx="1767840" cy="457200"/>
                    </a:xfrm>
                    <a:prstGeom prst="rect">
                      <a:avLst/>
                    </a:prstGeom>
                  </pic:spPr>
                </pic:pic>
              </a:graphicData>
            </a:graphic>
          </wp:inline>
        </w:drawing>
      </w:r>
    </w:p>
    <w:p w:rsidR="00814647" w:rsidRPr="00385811" w:rsidRDefault="00814647" w:rsidP="00385811">
      <w:pPr>
        <w:jc w:val="both"/>
        <w:rPr>
          <w:rFonts w:asciiTheme="minorHAnsi" w:hAnsiTheme="minorHAnsi" w:cstheme="minorHAnsi"/>
          <w:sz w:val="21"/>
          <w:szCs w:val="21"/>
          <w:lang w:val="en-AU" w:bidi="x-none"/>
        </w:rPr>
      </w:pPr>
    </w:p>
    <w:p w:rsidR="00814647" w:rsidRPr="00385811" w:rsidRDefault="00814647" w:rsidP="00385811">
      <w:pPr>
        <w:jc w:val="both"/>
        <w:rPr>
          <w:rFonts w:asciiTheme="minorHAnsi" w:hAnsiTheme="minorHAnsi" w:cstheme="minorHAnsi"/>
          <w:sz w:val="21"/>
          <w:szCs w:val="21"/>
          <w:lang w:val="en-AU" w:bidi="x-none"/>
        </w:rPr>
      </w:pPr>
    </w:p>
    <w:p w:rsidR="00EE3854" w:rsidRPr="00385811" w:rsidRDefault="00EE3854" w:rsidP="00385811">
      <w:pPr>
        <w:jc w:val="both"/>
        <w:rPr>
          <w:rFonts w:asciiTheme="minorHAnsi" w:hAnsiTheme="minorHAnsi" w:cstheme="minorHAnsi"/>
          <w:sz w:val="21"/>
          <w:szCs w:val="21"/>
          <w:lang w:val="en-AU" w:bidi="x-none"/>
        </w:rPr>
      </w:pPr>
      <w:r w:rsidRPr="00385811">
        <w:rPr>
          <w:rFonts w:asciiTheme="minorHAnsi" w:hAnsiTheme="minorHAnsi" w:cstheme="minorHAnsi"/>
          <w:sz w:val="21"/>
          <w:szCs w:val="21"/>
          <w:lang w:val="en-AU" w:bidi="x-none"/>
        </w:rPr>
        <w:t>Lee Thomas</w:t>
      </w:r>
    </w:p>
    <w:p w:rsidR="00EE3854" w:rsidRPr="00385811" w:rsidRDefault="00EE3854" w:rsidP="00385811">
      <w:pPr>
        <w:jc w:val="both"/>
        <w:rPr>
          <w:rFonts w:asciiTheme="minorHAnsi" w:hAnsiTheme="minorHAnsi" w:cstheme="minorHAnsi"/>
          <w:sz w:val="21"/>
          <w:szCs w:val="21"/>
          <w:lang w:val="en-AU" w:bidi="x-none"/>
        </w:rPr>
      </w:pPr>
      <w:r w:rsidRPr="00385811">
        <w:rPr>
          <w:rFonts w:asciiTheme="minorHAnsi" w:hAnsiTheme="minorHAnsi" w:cstheme="minorHAnsi"/>
          <w:sz w:val="21"/>
          <w:szCs w:val="21"/>
          <w:lang w:val="en-AU" w:bidi="x-none"/>
        </w:rPr>
        <w:t>Federal Secretary</w:t>
      </w:r>
    </w:p>
    <w:p w:rsidR="00EE3854" w:rsidRPr="00385811" w:rsidRDefault="00EE3854" w:rsidP="00385811">
      <w:pPr>
        <w:jc w:val="both"/>
        <w:rPr>
          <w:rFonts w:asciiTheme="minorHAnsi" w:hAnsiTheme="minorHAnsi" w:cstheme="minorHAnsi"/>
          <w:sz w:val="21"/>
          <w:szCs w:val="21"/>
          <w:lang w:val="en-AU" w:bidi="x-none"/>
        </w:rPr>
      </w:pPr>
    </w:p>
    <w:sectPr w:rsidR="00EE3854" w:rsidRPr="00385811" w:rsidSect="00385811">
      <w:headerReference w:type="even" r:id="rId9"/>
      <w:headerReference w:type="default" r:id="rId10"/>
      <w:footerReference w:type="even" r:id="rId11"/>
      <w:footerReference w:type="default" r:id="rId12"/>
      <w:headerReference w:type="first" r:id="rId13"/>
      <w:pgSz w:w="11900" w:h="16840"/>
      <w:pgMar w:top="2211" w:right="2971" w:bottom="1134" w:left="1276" w:header="709" w:footer="851"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286C" w:rsidRDefault="005F286C">
      <w:r>
        <w:separator/>
      </w:r>
    </w:p>
  </w:endnote>
  <w:endnote w:type="continuationSeparator" w:id="0">
    <w:p w:rsidR="005F286C" w:rsidRDefault="005F28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00"/>
    <w:family w:val="roman"/>
    <w:pitch w:val="default"/>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2CF5" w:rsidRDefault="00262CF5">
    <w:pPr>
      <w:pStyle w:val="HeaderFooterA"/>
      <w:tabs>
        <w:tab w:val="clear" w:pos="9632"/>
        <w:tab w:val="right" w:pos="9612"/>
      </w:tabs>
      <w:rPr>
        <w:rFonts w:ascii="Times New Roman" w:eastAsia="Times New Roman" w:hAnsi="Times New Roman"/>
        <w:color w:val="auto"/>
        <w:lang w:val="en-AU" w:bidi="x-none"/>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13CB" w:rsidRDefault="004213CB">
    <w:pPr>
      <w:pStyle w:val="Footer"/>
    </w:pPr>
  </w:p>
  <w:p w:rsidR="00262CF5" w:rsidRDefault="00262CF5">
    <w:pPr>
      <w:pStyle w:val="HeaderFooterA"/>
      <w:tabs>
        <w:tab w:val="clear" w:pos="9632"/>
        <w:tab w:val="right" w:pos="9612"/>
      </w:tabs>
      <w:rPr>
        <w:rFonts w:ascii="Times New Roman" w:eastAsia="Times New Roman" w:hAnsi="Times New Roman"/>
        <w:color w:val="auto"/>
        <w:lang w:val="en-AU" w:bidi="x-none"/>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286C" w:rsidRDefault="005F286C">
      <w:r>
        <w:separator/>
      </w:r>
    </w:p>
  </w:footnote>
  <w:footnote w:type="continuationSeparator" w:id="0">
    <w:p w:rsidR="005F286C" w:rsidRDefault="005F28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2CF5" w:rsidRDefault="00262CF5">
    <w:pPr>
      <w:pStyle w:val="HeaderFooterA"/>
      <w:tabs>
        <w:tab w:val="clear" w:pos="9632"/>
        <w:tab w:val="right" w:pos="9612"/>
      </w:tabs>
      <w:rPr>
        <w:rFonts w:ascii="Times New Roman" w:eastAsia="Times New Roman" w:hAnsi="Times New Roman"/>
        <w:color w:val="auto"/>
        <w:lang w:val="en-AU" w:bidi="x-none"/>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1347" w:rsidRDefault="001B1347">
    <w:pPr>
      <w:pStyle w:val="Header"/>
    </w:pPr>
  </w:p>
  <w:p w:rsidR="00262CF5" w:rsidRDefault="00262CF5">
    <w:pPr>
      <w:pStyle w:val="HeaderFooterA"/>
      <w:tabs>
        <w:tab w:val="clear" w:pos="9632"/>
        <w:tab w:val="right" w:pos="9612"/>
      </w:tabs>
      <w:rPr>
        <w:rFonts w:ascii="Times New Roman" w:eastAsia="Times New Roman" w:hAnsi="Times New Roman"/>
        <w:color w:val="auto"/>
        <w:lang w:val="en-AU" w:bidi="x-none"/>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6813" w:rsidRDefault="00626813">
    <w:pPr>
      <w:pStyle w:val="Header"/>
    </w:pPr>
    <w:r>
      <w:rPr>
        <w:noProof/>
        <w:lang w:val="en-AU" w:eastAsia="en-AU"/>
      </w:rPr>
      <w:drawing>
        <wp:anchor distT="152400" distB="152400" distL="152400" distR="152400" simplePos="0" relativeHeight="251661312" behindDoc="0" locked="0" layoutInCell="1" allowOverlap="1" wp14:anchorId="057ADC8E" wp14:editId="556BE111">
          <wp:simplePos x="0" y="0"/>
          <wp:positionH relativeFrom="page">
            <wp:posOffset>5670550</wp:posOffset>
          </wp:positionH>
          <wp:positionV relativeFrom="page">
            <wp:posOffset>1766570</wp:posOffset>
          </wp:positionV>
          <wp:extent cx="2019300" cy="9458325"/>
          <wp:effectExtent l="0" t="0" r="0" b="9525"/>
          <wp:wrapThrough wrapText="bothSides">
            <wp:wrapPolygon edited="0">
              <wp:start x="0" y="0"/>
              <wp:lineTo x="0" y="21578"/>
              <wp:lineTo x="21396" y="21578"/>
              <wp:lineTo x="21396" y="0"/>
              <wp:lineTo x="0" y="0"/>
            </wp:wrapPolygon>
          </wp:wrapThrough>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19300" cy="9458325"/>
                  </a:xfrm>
                  <a:prstGeom prst="rect">
                    <a:avLst/>
                  </a:prstGeom>
                  <a:solidFill>
                    <a:srgbClr val="FFFFFF"/>
                  </a:solidFill>
                  <a:ln w="12700">
                    <a:noFill/>
                    <a:round/>
                    <a:headEnd/>
                    <a:tailEnd/>
                  </a:ln>
                </pic:spPr>
              </pic:pic>
            </a:graphicData>
          </a:graphic>
          <wp14:sizeRelH relativeFrom="page">
            <wp14:pctWidth>0</wp14:pctWidth>
          </wp14:sizeRelH>
          <wp14:sizeRelV relativeFrom="page">
            <wp14:pctHeight>0</wp14:pctHeight>
          </wp14:sizeRelV>
        </wp:anchor>
      </w:drawing>
    </w:r>
    <w:r>
      <w:rPr>
        <w:noProof/>
        <w:lang w:val="en-AU" w:eastAsia="en-AU"/>
      </w:rPr>
      <w:drawing>
        <wp:anchor distT="152400" distB="152400" distL="152400" distR="152400" simplePos="0" relativeHeight="251657216" behindDoc="0" locked="0" layoutInCell="1" allowOverlap="1">
          <wp:simplePos x="0" y="0"/>
          <wp:positionH relativeFrom="page">
            <wp:posOffset>0</wp:posOffset>
          </wp:positionH>
          <wp:positionV relativeFrom="page">
            <wp:posOffset>-85090</wp:posOffset>
          </wp:positionV>
          <wp:extent cx="7594600" cy="1408430"/>
          <wp:effectExtent l="0" t="0" r="6350" b="1270"/>
          <wp:wrapThrough wrapText="bothSides">
            <wp:wrapPolygon edited="0">
              <wp:start x="0" y="0"/>
              <wp:lineTo x="0" y="21327"/>
              <wp:lineTo x="21564" y="21327"/>
              <wp:lineTo x="21564" y="0"/>
              <wp:lineTo x="0" y="0"/>
            </wp:wrapPolygon>
          </wp:wrapThrough>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94600" cy="1408430"/>
                  </a:xfrm>
                  <a:prstGeom prst="rect">
                    <a:avLst/>
                  </a:prstGeom>
                  <a:solidFill>
                    <a:srgbClr val="FFFFFF"/>
                  </a:solidFill>
                  <a:ln w="12700">
                    <a:noFill/>
                    <a:round/>
                    <a:headEnd/>
                    <a:tailEnd/>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BA2117"/>
    <w:multiLevelType w:val="hybridMultilevel"/>
    <w:tmpl w:val="8F24CD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5E4"/>
    <w:rsid w:val="00002843"/>
    <w:rsid w:val="000A3D4E"/>
    <w:rsid w:val="00123A1D"/>
    <w:rsid w:val="001B1347"/>
    <w:rsid w:val="001E7F59"/>
    <w:rsid w:val="00225BDA"/>
    <w:rsid w:val="00262CF5"/>
    <w:rsid w:val="00272FCB"/>
    <w:rsid w:val="0033293F"/>
    <w:rsid w:val="00364CB1"/>
    <w:rsid w:val="00381073"/>
    <w:rsid w:val="00385811"/>
    <w:rsid w:val="00393849"/>
    <w:rsid w:val="003D137A"/>
    <w:rsid w:val="003F5C07"/>
    <w:rsid w:val="004213CB"/>
    <w:rsid w:val="00430F5B"/>
    <w:rsid w:val="00522D18"/>
    <w:rsid w:val="00525477"/>
    <w:rsid w:val="00572B61"/>
    <w:rsid w:val="005F286C"/>
    <w:rsid w:val="00626813"/>
    <w:rsid w:val="00656690"/>
    <w:rsid w:val="00674A92"/>
    <w:rsid w:val="006F1BB3"/>
    <w:rsid w:val="006F421D"/>
    <w:rsid w:val="00707759"/>
    <w:rsid w:val="0074570E"/>
    <w:rsid w:val="007A0C44"/>
    <w:rsid w:val="00814647"/>
    <w:rsid w:val="008439CB"/>
    <w:rsid w:val="008A4B3C"/>
    <w:rsid w:val="008D4EBA"/>
    <w:rsid w:val="009255B4"/>
    <w:rsid w:val="00927D40"/>
    <w:rsid w:val="00953678"/>
    <w:rsid w:val="00A327E9"/>
    <w:rsid w:val="00A73953"/>
    <w:rsid w:val="00AA2108"/>
    <w:rsid w:val="00B2415A"/>
    <w:rsid w:val="00B93434"/>
    <w:rsid w:val="00BA4DC0"/>
    <w:rsid w:val="00C55FEB"/>
    <w:rsid w:val="00CC15B5"/>
    <w:rsid w:val="00CE19B6"/>
    <w:rsid w:val="00CE7954"/>
    <w:rsid w:val="00D45F2E"/>
    <w:rsid w:val="00D47FE1"/>
    <w:rsid w:val="00D5659B"/>
    <w:rsid w:val="00D75D6C"/>
    <w:rsid w:val="00DB0BB2"/>
    <w:rsid w:val="00DC2D37"/>
    <w:rsid w:val="00DD47FC"/>
    <w:rsid w:val="00DF01C6"/>
    <w:rsid w:val="00E12347"/>
    <w:rsid w:val="00E60833"/>
    <w:rsid w:val="00EA46C2"/>
    <w:rsid w:val="00EE3854"/>
    <w:rsid w:val="00F33069"/>
    <w:rsid w:val="00F645E4"/>
    <w:rsid w:val="00F873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15:docId w15:val="{065D5870-B4E3-4DD4-975A-08CDA01EE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99" w:unhideWhenUsed="1"/>
    <w:lsdException w:name="footer" w:locked="1" w:semiHidden="1" w:uiPriority="99"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pPr>
      <w:tabs>
        <w:tab w:val="right" w:pos="9632"/>
      </w:tabs>
    </w:pPr>
    <w:rPr>
      <w:rFonts w:ascii="Helvetica" w:eastAsia="ヒラギノ角ゴ Pro W3" w:hAnsi="Helvetica"/>
      <w:color w:val="000000"/>
      <w:lang w:val="en-US"/>
    </w:rPr>
  </w:style>
  <w:style w:type="paragraph" w:customStyle="1" w:styleId="BodyA">
    <w:name w:val="Body A"/>
    <w:rPr>
      <w:rFonts w:ascii="Helvetica" w:eastAsia="ヒラギノ角ゴ Pro W3" w:hAnsi="Helvetica"/>
      <w:color w:val="000000"/>
      <w:sz w:val="24"/>
      <w:lang w:val="en-US"/>
    </w:rPr>
  </w:style>
  <w:style w:type="paragraph" w:customStyle="1" w:styleId="FreeForm">
    <w:name w:val="Free Form"/>
    <w:rPr>
      <w:rFonts w:eastAsia="ヒラギノ角ゴ Pro W3"/>
      <w:color w:val="000000"/>
    </w:rPr>
  </w:style>
  <w:style w:type="paragraph" w:styleId="Header">
    <w:name w:val="header"/>
    <w:basedOn w:val="Normal"/>
    <w:link w:val="HeaderChar"/>
    <w:uiPriority w:val="99"/>
    <w:locked/>
    <w:rsid w:val="001B1347"/>
    <w:pPr>
      <w:tabs>
        <w:tab w:val="center" w:pos="4513"/>
        <w:tab w:val="right" w:pos="9026"/>
      </w:tabs>
    </w:pPr>
  </w:style>
  <w:style w:type="character" w:customStyle="1" w:styleId="HeaderChar">
    <w:name w:val="Header Char"/>
    <w:basedOn w:val="DefaultParagraphFont"/>
    <w:link w:val="Header"/>
    <w:uiPriority w:val="99"/>
    <w:rsid w:val="001B1347"/>
    <w:rPr>
      <w:sz w:val="24"/>
      <w:szCs w:val="24"/>
      <w:lang w:val="en-US" w:eastAsia="en-US"/>
    </w:rPr>
  </w:style>
  <w:style w:type="paragraph" w:styleId="Footer">
    <w:name w:val="footer"/>
    <w:basedOn w:val="Normal"/>
    <w:link w:val="FooterChar"/>
    <w:uiPriority w:val="99"/>
    <w:locked/>
    <w:rsid w:val="001B1347"/>
    <w:pPr>
      <w:tabs>
        <w:tab w:val="center" w:pos="4513"/>
        <w:tab w:val="right" w:pos="9026"/>
      </w:tabs>
    </w:pPr>
  </w:style>
  <w:style w:type="character" w:customStyle="1" w:styleId="FooterChar">
    <w:name w:val="Footer Char"/>
    <w:basedOn w:val="DefaultParagraphFont"/>
    <w:link w:val="Footer"/>
    <w:uiPriority w:val="99"/>
    <w:rsid w:val="001B1347"/>
    <w:rPr>
      <w:sz w:val="24"/>
      <w:szCs w:val="24"/>
      <w:lang w:val="en-US" w:eastAsia="en-US"/>
    </w:rPr>
  </w:style>
  <w:style w:type="paragraph" w:styleId="BalloonText">
    <w:name w:val="Balloon Text"/>
    <w:basedOn w:val="Normal"/>
    <w:link w:val="BalloonTextChar"/>
    <w:locked/>
    <w:rsid w:val="001B1347"/>
    <w:rPr>
      <w:rFonts w:ascii="Tahoma" w:hAnsi="Tahoma" w:cs="Tahoma"/>
      <w:sz w:val="16"/>
      <w:szCs w:val="16"/>
    </w:rPr>
  </w:style>
  <w:style w:type="character" w:customStyle="1" w:styleId="BalloonTextChar">
    <w:name w:val="Balloon Text Char"/>
    <w:basedOn w:val="DefaultParagraphFont"/>
    <w:link w:val="BalloonText"/>
    <w:rsid w:val="001B1347"/>
    <w:rPr>
      <w:rFonts w:ascii="Tahoma" w:hAnsi="Tahoma" w:cs="Tahoma"/>
      <w:sz w:val="16"/>
      <w:szCs w:val="16"/>
      <w:lang w:val="en-US" w:eastAsia="en-US"/>
    </w:rPr>
  </w:style>
  <w:style w:type="character" w:styleId="Hyperlink">
    <w:name w:val="Hyperlink"/>
    <w:basedOn w:val="DefaultParagraphFont"/>
    <w:unhideWhenUsed/>
    <w:locked/>
    <w:rsid w:val="00F645E4"/>
    <w:rPr>
      <w:color w:val="0000FF" w:themeColor="hyperlink"/>
      <w:u w:val="single"/>
    </w:rPr>
  </w:style>
  <w:style w:type="paragraph" w:styleId="ListParagraph">
    <w:name w:val="List Paragraph"/>
    <w:basedOn w:val="Normal"/>
    <w:uiPriority w:val="34"/>
    <w:qFormat/>
    <w:rsid w:val="00DB0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mailto:greenfieldsreview@employment.gov.au" TargetMode="External"/><Relationship Id="rId12" Type="http://schemas.openxmlformats.org/officeDocument/2006/relationships/footer" Target="footer2.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44B46CD48E7D439D0376E9A76A2E31" ma:contentTypeVersion="2" ma:contentTypeDescription="Create a new document." ma:contentTypeScope="" ma:versionID="165a45e2c905b319c790719ca812c696">
  <xsd:schema xmlns:xsd="http://www.w3.org/2001/XMLSchema" xmlns:xs="http://www.w3.org/2001/XMLSchema" xmlns:p="http://schemas.microsoft.com/office/2006/metadata/properties" xmlns:ns1="http://schemas.microsoft.com/sharepoint/v3" targetNamespace="http://schemas.microsoft.com/office/2006/metadata/properties" ma:root="true" ma:fieldsID="6f9746fe128b0ca74698fd9d7c13d39e"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C8C9B76E-00AD-486F-AB38-574C1CF4FED7}"/>
</file>

<file path=customXml/itemProps2.xml><?xml version="1.0" encoding="utf-8"?>
<ds:datastoreItem xmlns:ds="http://schemas.openxmlformats.org/officeDocument/2006/customXml" ds:itemID="{63A9FB8E-F3F2-430D-B38D-CFF7B70C84DE}"/>
</file>

<file path=customXml/itemProps3.xml><?xml version="1.0" encoding="utf-8"?>
<ds:datastoreItem xmlns:ds="http://schemas.openxmlformats.org/officeDocument/2006/customXml" ds:itemID="{5BBCF6F1-74F5-40CE-838F-E0C26057F6A4}"/>
</file>

<file path=docProps/app.xml><?xml version="1.0" encoding="utf-8"?>
<Properties xmlns="http://schemas.openxmlformats.org/officeDocument/2006/extended-properties" xmlns:vt="http://schemas.openxmlformats.org/officeDocument/2006/docPropsVTypes">
  <Template>Normal.dotm</Template>
  <TotalTime>1</TotalTime>
  <Pages>2</Pages>
  <Words>677</Words>
  <Characters>3853</Characters>
  <Application>Microsoft Office Word</Application>
  <DocSecurity>4</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Anna Amatangelo</dc:creator>
  <cp:lastModifiedBy>SCHULLER,Margit</cp:lastModifiedBy>
  <cp:revision>2</cp:revision>
  <cp:lastPrinted>2017-10-17T04:27:00Z</cp:lastPrinted>
  <dcterms:created xsi:type="dcterms:W3CDTF">2017-11-03T01:27:00Z</dcterms:created>
  <dcterms:modified xsi:type="dcterms:W3CDTF">2017-11-03T01:27:00Z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0x0101006F44B46CD48E7D439D0376E9A76A2E31</vt:lpwstr>
  </property>
  <property fmtid="{D5CDD505-2E9C-101B-9397-08002B2CF9AE}" pid="3" name="Order">
    <vt:r8>23000</vt:r8>
  </property>
  <property fmtid="{D5CDD505-2E9C-101B-9397-08002B2CF9AE}" pid="4" name="TemplateUrl">
    <vt:lpwstr/>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ies>
</file>