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AF4" w:rsidRDefault="00ED4AF4" w:rsidP="001123C2">
      <w:pPr>
        <w:jc w:val="center"/>
        <w:rPr>
          <w:rFonts w:asciiTheme="minorHAnsi" w:hAnsiTheme="minorHAnsi" w:cstheme="minorHAnsi"/>
          <w:b/>
          <w:szCs w:val="24"/>
          <w:u w:val="single"/>
        </w:rPr>
      </w:pPr>
    </w:p>
    <w:p w:rsidR="00ED4AF4" w:rsidRDefault="00ED4AF4" w:rsidP="001123C2">
      <w:pPr>
        <w:jc w:val="center"/>
        <w:rPr>
          <w:rFonts w:asciiTheme="minorHAnsi" w:hAnsiTheme="minorHAnsi" w:cstheme="minorHAnsi"/>
          <w:b/>
          <w:szCs w:val="24"/>
          <w:u w:val="single"/>
        </w:rPr>
      </w:pPr>
    </w:p>
    <w:p w:rsidR="00ED4AF4" w:rsidRDefault="00ED4AF4" w:rsidP="001123C2">
      <w:pPr>
        <w:jc w:val="center"/>
        <w:rPr>
          <w:rFonts w:asciiTheme="minorHAnsi" w:hAnsiTheme="minorHAnsi" w:cstheme="minorHAnsi"/>
          <w:b/>
          <w:szCs w:val="24"/>
          <w:u w:val="single"/>
        </w:rPr>
      </w:pPr>
      <w:r>
        <w:rPr>
          <w:noProof/>
          <w:sz w:val="36"/>
          <w:lang w:eastAsia="en-AU"/>
        </w:rPr>
        <w:drawing>
          <wp:inline distT="0" distB="0" distL="0" distR="0" wp14:anchorId="5085F619" wp14:editId="3E3EF832">
            <wp:extent cx="3504088" cy="1600200"/>
            <wp:effectExtent l="0" t="0" r="1270" b="0"/>
            <wp:docPr id="8" name="Picture 8" descr="2014 AFA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 AFAP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4088" cy="1600200"/>
                    </a:xfrm>
                    <a:prstGeom prst="rect">
                      <a:avLst/>
                    </a:prstGeom>
                    <a:noFill/>
                    <a:ln>
                      <a:noFill/>
                    </a:ln>
                  </pic:spPr>
                </pic:pic>
              </a:graphicData>
            </a:graphic>
          </wp:inline>
        </w:drawing>
      </w:r>
    </w:p>
    <w:p w:rsidR="00ED4AF4" w:rsidRDefault="00ED4AF4" w:rsidP="001123C2">
      <w:pPr>
        <w:jc w:val="center"/>
        <w:rPr>
          <w:rFonts w:asciiTheme="minorHAnsi" w:hAnsiTheme="minorHAnsi" w:cstheme="minorHAnsi"/>
          <w:b/>
          <w:szCs w:val="24"/>
          <w:u w:val="single"/>
        </w:rPr>
      </w:pPr>
    </w:p>
    <w:p w:rsidR="00ED4AF4" w:rsidRPr="001C416E" w:rsidRDefault="00ED4AF4" w:rsidP="001123C2">
      <w:pPr>
        <w:jc w:val="center"/>
        <w:rPr>
          <w:rFonts w:asciiTheme="minorHAnsi" w:hAnsiTheme="minorHAnsi" w:cstheme="minorHAnsi"/>
          <w:b/>
          <w:szCs w:val="24"/>
          <w:u w:val="single"/>
        </w:rPr>
      </w:pPr>
    </w:p>
    <w:p w:rsidR="001123C2" w:rsidRPr="001C416E" w:rsidRDefault="001123C2" w:rsidP="001123C2">
      <w:pPr>
        <w:jc w:val="center"/>
        <w:rPr>
          <w:rFonts w:asciiTheme="minorHAnsi" w:hAnsiTheme="minorHAnsi" w:cstheme="minorHAnsi"/>
          <w:szCs w:val="24"/>
        </w:rPr>
      </w:pPr>
    </w:p>
    <w:p w:rsidR="001123C2" w:rsidRPr="001C416E" w:rsidRDefault="001123C2" w:rsidP="001123C2">
      <w:pPr>
        <w:jc w:val="center"/>
        <w:rPr>
          <w:rFonts w:asciiTheme="minorHAnsi" w:hAnsiTheme="minorHAnsi" w:cstheme="minorHAnsi"/>
          <w:b/>
          <w:sz w:val="48"/>
          <w:szCs w:val="48"/>
        </w:rPr>
      </w:pPr>
      <w:r w:rsidRPr="001C416E">
        <w:rPr>
          <w:rFonts w:asciiTheme="minorHAnsi" w:hAnsiTheme="minorHAnsi" w:cstheme="minorHAnsi"/>
          <w:b/>
          <w:sz w:val="48"/>
          <w:szCs w:val="48"/>
        </w:rPr>
        <w:t>Australian Federation of Air Pilots</w:t>
      </w:r>
    </w:p>
    <w:p w:rsidR="001123C2" w:rsidRPr="001C416E" w:rsidRDefault="001123C2" w:rsidP="001123C2">
      <w:pPr>
        <w:jc w:val="center"/>
        <w:rPr>
          <w:rFonts w:asciiTheme="minorHAnsi" w:hAnsiTheme="minorHAnsi" w:cstheme="minorHAnsi"/>
          <w:b/>
          <w:sz w:val="48"/>
          <w:szCs w:val="48"/>
        </w:rPr>
      </w:pPr>
    </w:p>
    <w:p w:rsidR="001123C2" w:rsidRDefault="001123C2" w:rsidP="001123C2">
      <w:pPr>
        <w:jc w:val="center"/>
        <w:rPr>
          <w:rFonts w:asciiTheme="minorHAnsi" w:hAnsiTheme="minorHAnsi" w:cstheme="minorHAnsi"/>
          <w:b/>
          <w:sz w:val="48"/>
          <w:szCs w:val="48"/>
        </w:rPr>
      </w:pPr>
    </w:p>
    <w:p w:rsidR="00496017" w:rsidRPr="00AC230F" w:rsidRDefault="003D4DAF" w:rsidP="00AC230F">
      <w:pPr>
        <w:pStyle w:val="Title"/>
      </w:pPr>
      <w:r w:rsidRPr="00AC230F">
        <w:t xml:space="preserve">Submission </w:t>
      </w:r>
      <w:r w:rsidR="00E67E17" w:rsidRPr="00AC230F">
        <w:t>to the</w:t>
      </w:r>
      <w:r w:rsidR="004D373F" w:rsidRPr="00AC230F">
        <w:t xml:space="preserve"> </w:t>
      </w:r>
      <w:r w:rsidR="000E392C" w:rsidRPr="00AC230F">
        <w:t>Greenfields Agreements Review</w:t>
      </w:r>
    </w:p>
    <w:p w:rsidR="001123C2" w:rsidRPr="001C416E" w:rsidRDefault="001123C2" w:rsidP="001123C2">
      <w:pPr>
        <w:jc w:val="center"/>
        <w:rPr>
          <w:rFonts w:asciiTheme="minorHAnsi" w:hAnsiTheme="minorHAnsi" w:cstheme="minorHAnsi"/>
          <w:b/>
          <w:sz w:val="48"/>
          <w:szCs w:val="48"/>
        </w:rPr>
      </w:pPr>
    </w:p>
    <w:p w:rsidR="001123C2" w:rsidRDefault="001123C2" w:rsidP="001123C2">
      <w:pPr>
        <w:jc w:val="center"/>
        <w:rPr>
          <w:rFonts w:asciiTheme="minorHAnsi" w:hAnsiTheme="minorHAnsi" w:cstheme="minorHAnsi"/>
          <w:b/>
          <w:sz w:val="32"/>
          <w:szCs w:val="32"/>
        </w:rPr>
      </w:pPr>
    </w:p>
    <w:p w:rsidR="000E392C" w:rsidRDefault="000E392C" w:rsidP="001123C2">
      <w:pPr>
        <w:jc w:val="center"/>
        <w:rPr>
          <w:rFonts w:asciiTheme="minorHAnsi" w:hAnsiTheme="minorHAnsi" w:cstheme="minorHAnsi"/>
          <w:b/>
          <w:sz w:val="32"/>
          <w:szCs w:val="32"/>
        </w:rPr>
      </w:pPr>
    </w:p>
    <w:p w:rsidR="000E392C" w:rsidRDefault="000E392C" w:rsidP="001123C2">
      <w:pPr>
        <w:jc w:val="center"/>
        <w:rPr>
          <w:rFonts w:asciiTheme="minorHAnsi" w:hAnsiTheme="minorHAnsi" w:cstheme="minorHAnsi"/>
          <w:b/>
          <w:sz w:val="32"/>
          <w:szCs w:val="32"/>
        </w:rPr>
      </w:pPr>
    </w:p>
    <w:p w:rsidR="000E392C" w:rsidRPr="001C416E" w:rsidRDefault="000E392C" w:rsidP="001123C2">
      <w:pPr>
        <w:jc w:val="center"/>
        <w:rPr>
          <w:rFonts w:asciiTheme="minorHAnsi" w:hAnsiTheme="minorHAnsi" w:cstheme="minorHAnsi"/>
          <w:b/>
          <w:sz w:val="32"/>
          <w:szCs w:val="32"/>
        </w:rPr>
      </w:pPr>
    </w:p>
    <w:p w:rsidR="001123C2" w:rsidRDefault="001123C2" w:rsidP="001123C2">
      <w:pPr>
        <w:jc w:val="center"/>
        <w:rPr>
          <w:rFonts w:asciiTheme="minorHAnsi" w:hAnsiTheme="minorHAnsi" w:cstheme="minorHAnsi"/>
          <w:b/>
          <w:sz w:val="32"/>
          <w:szCs w:val="32"/>
        </w:rPr>
      </w:pPr>
    </w:p>
    <w:p w:rsidR="003D4DAF" w:rsidRDefault="003D4DAF" w:rsidP="001123C2">
      <w:pPr>
        <w:jc w:val="center"/>
        <w:rPr>
          <w:rFonts w:asciiTheme="minorHAnsi" w:hAnsiTheme="minorHAnsi" w:cstheme="minorHAnsi"/>
          <w:b/>
          <w:sz w:val="32"/>
          <w:szCs w:val="32"/>
        </w:rPr>
      </w:pPr>
    </w:p>
    <w:p w:rsidR="003D4DAF" w:rsidRDefault="003D4DAF" w:rsidP="001123C2">
      <w:pPr>
        <w:jc w:val="center"/>
        <w:rPr>
          <w:rFonts w:asciiTheme="minorHAnsi" w:hAnsiTheme="minorHAnsi" w:cstheme="minorHAnsi"/>
          <w:b/>
          <w:sz w:val="32"/>
          <w:szCs w:val="32"/>
        </w:rPr>
      </w:pPr>
    </w:p>
    <w:p w:rsidR="001123C2" w:rsidRPr="003D4DAF" w:rsidRDefault="000E392C" w:rsidP="003D4DAF">
      <w:pPr>
        <w:jc w:val="center"/>
        <w:rPr>
          <w:rFonts w:asciiTheme="minorHAnsi" w:hAnsiTheme="minorHAnsi" w:cstheme="minorHAnsi"/>
          <w:szCs w:val="24"/>
        </w:rPr>
        <w:sectPr w:rsidR="001123C2" w:rsidRPr="003D4DAF" w:rsidSect="001C416E">
          <w:pgSz w:w="12240" w:h="15840"/>
          <w:pgMar w:top="1440" w:right="1800" w:bottom="1440" w:left="180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heme="minorHAnsi" w:hAnsiTheme="minorHAnsi" w:cstheme="minorHAnsi"/>
          <w:b/>
          <w:sz w:val="32"/>
          <w:szCs w:val="32"/>
        </w:rPr>
        <w:t>25 October</w:t>
      </w:r>
      <w:r w:rsidR="006F098B">
        <w:rPr>
          <w:rFonts w:asciiTheme="minorHAnsi" w:hAnsiTheme="minorHAnsi" w:cstheme="minorHAnsi"/>
          <w:b/>
          <w:sz w:val="32"/>
          <w:szCs w:val="32"/>
        </w:rPr>
        <w:t xml:space="preserve"> 201</w:t>
      </w:r>
      <w:r>
        <w:rPr>
          <w:rFonts w:asciiTheme="minorHAnsi" w:hAnsiTheme="minorHAnsi" w:cstheme="minorHAnsi"/>
          <w:b/>
          <w:sz w:val="32"/>
          <w:szCs w:val="32"/>
        </w:rPr>
        <w:t>7</w:t>
      </w:r>
    </w:p>
    <w:p w:rsidR="00912A10" w:rsidRPr="00AC230F" w:rsidRDefault="00912A10" w:rsidP="00AC230F">
      <w:pPr>
        <w:pStyle w:val="Heading1"/>
        <w:tabs>
          <w:tab w:val="center" w:pos="4513"/>
          <w:tab w:val="left" w:pos="7920"/>
        </w:tabs>
        <w:jc w:val="left"/>
      </w:pPr>
      <w:r>
        <w:lastRenderedPageBreak/>
        <w:tab/>
      </w:r>
      <w:r w:rsidRPr="00AC230F">
        <w:t xml:space="preserve">The Australian Federation of Air Pilots </w:t>
      </w:r>
      <w:r>
        <w:tab/>
      </w:r>
    </w:p>
    <w:p w:rsidR="00DD4485" w:rsidRPr="0078463C" w:rsidRDefault="00DD4485" w:rsidP="001123C2">
      <w:pPr>
        <w:rPr>
          <w:rFonts w:asciiTheme="minorHAnsi" w:hAnsiTheme="minorHAnsi" w:cstheme="minorHAnsi"/>
          <w:b/>
          <w:sz w:val="22"/>
          <w:szCs w:val="22"/>
          <w:u w:val="single"/>
        </w:rPr>
      </w:pPr>
    </w:p>
    <w:p w:rsidR="00BD6719" w:rsidRPr="0078463C" w:rsidRDefault="00DE564D" w:rsidP="00E20F8F">
      <w:pPr>
        <w:spacing w:line="276" w:lineRule="auto"/>
        <w:jc w:val="both"/>
        <w:rPr>
          <w:rFonts w:asciiTheme="minorHAnsi" w:hAnsiTheme="minorHAnsi" w:cstheme="minorHAnsi"/>
          <w:color w:val="000000"/>
          <w:sz w:val="22"/>
          <w:szCs w:val="22"/>
        </w:rPr>
      </w:pPr>
      <w:r w:rsidRPr="0078463C">
        <w:rPr>
          <w:rFonts w:asciiTheme="minorHAnsi" w:hAnsiTheme="minorHAnsi" w:cstheme="minorHAnsi"/>
          <w:color w:val="000000"/>
          <w:sz w:val="22"/>
          <w:szCs w:val="22"/>
        </w:rPr>
        <w:t>Formed in 1938, t</w:t>
      </w:r>
      <w:r w:rsidR="001123C2" w:rsidRPr="0078463C">
        <w:rPr>
          <w:rFonts w:asciiTheme="minorHAnsi" w:hAnsiTheme="minorHAnsi" w:cstheme="minorHAnsi"/>
          <w:color w:val="000000"/>
          <w:sz w:val="22"/>
          <w:szCs w:val="22"/>
        </w:rPr>
        <w:t xml:space="preserve">he </w:t>
      </w:r>
      <w:r w:rsidR="001123C2" w:rsidRPr="0078463C">
        <w:rPr>
          <w:rStyle w:val="Strong"/>
          <w:rFonts w:asciiTheme="minorHAnsi" w:hAnsiTheme="minorHAnsi" w:cstheme="minorHAnsi"/>
          <w:b w:val="0"/>
          <w:color w:val="000000"/>
          <w:sz w:val="22"/>
          <w:szCs w:val="22"/>
        </w:rPr>
        <w:t>Australian Federation of Air Pilots</w:t>
      </w:r>
      <w:r w:rsidR="001123C2" w:rsidRPr="0078463C">
        <w:rPr>
          <w:rStyle w:val="Strong"/>
          <w:rFonts w:asciiTheme="minorHAnsi" w:hAnsiTheme="minorHAnsi" w:cstheme="minorHAnsi"/>
          <w:color w:val="000000"/>
          <w:sz w:val="22"/>
          <w:szCs w:val="22"/>
        </w:rPr>
        <w:t xml:space="preserve"> </w:t>
      </w:r>
      <w:r w:rsidR="001123C2" w:rsidRPr="0078463C">
        <w:rPr>
          <w:rStyle w:val="Strong"/>
          <w:rFonts w:asciiTheme="minorHAnsi" w:hAnsiTheme="minorHAnsi" w:cstheme="minorHAnsi"/>
          <w:b w:val="0"/>
          <w:color w:val="000000"/>
          <w:sz w:val="22"/>
          <w:szCs w:val="22"/>
        </w:rPr>
        <w:t xml:space="preserve">(“the </w:t>
      </w:r>
      <w:r w:rsidR="000E392C">
        <w:rPr>
          <w:rStyle w:val="Strong"/>
          <w:rFonts w:asciiTheme="minorHAnsi" w:hAnsiTheme="minorHAnsi" w:cstheme="minorHAnsi"/>
          <w:b w:val="0"/>
          <w:color w:val="000000"/>
          <w:sz w:val="22"/>
          <w:szCs w:val="22"/>
        </w:rPr>
        <w:t>AFAP</w:t>
      </w:r>
      <w:r w:rsidR="001123C2" w:rsidRPr="0078463C">
        <w:rPr>
          <w:rStyle w:val="Strong"/>
          <w:rFonts w:asciiTheme="minorHAnsi" w:hAnsiTheme="minorHAnsi" w:cstheme="minorHAnsi"/>
          <w:b w:val="0"/>
          <w:color w:val="000000"/>
          <w:sz w:val="22"/>
          <w:szCs w:val="22"/>
        </w:rPr>
        <w:t xml:space="preserve">”) </w:t>
      </w:r>
      <w:r w:rsidR="001123C2" w:rsidRPr="0078463C">
        <w:rPr>
          <w:rFonts w:asciiTheme="minorHAnsi" w:hAnsiTheme="minorHAnsi" w:cstheme="minorHAnsi"/>
          <w:color w:val="000000"/>
          <w:sz w:val="22"/>
          <w:szCs w:val="22"/>
        </w:rPr>
        <w:t>is the</w:t>
      </w:r>
      <w:r w:rsidR="000E392C">
        <w:rPr>
          <w:rFonts w:asciiTheme="minorHAnsi" w:hAnsiTheme="minorHAnsi" w:cstheme="minorHAnsi"/>
          <w:color w:val="000000"/>
          <w:sz w:val="22"/>
          <w:szCs w:val="22"/>
        </w:rPr>
        <w:t xml:space="preserve"> largest</w:t>
      </w:r>
      <w:r w:rsidR="001123C2" w:rsidRPr="0078463C">
        <w:rPr>
          <w:rFonts w:asciiTheme="minorHAnsi" w:hAnsiTheme="minorHAnsi" w:cstheme="minorHAnsi"/>
          <w:color w:val="000000"/>
          <w:sz w:val="22"/>
          <w:szCs w:val="22"/>
        </w:rPr>
        <w:t xml:space="preserve"> industrial and professional association for commercial pilots in Australia</w:t>
      </w:r>
      <w:r w:rsidR="00BD6719">
        <w:rPr>
          <w:rFonts w:asciiTheme="minorHAnsi" w:hAnsiTheme="minorHAnsi" w:cstheme="minorHAnsi"/>
          <w:color w:val="000000"/>
          <w:sz w:val="22"/>
          <w:szCs w:val="22"/>
        </w:rPr>
        <w:t xml:space="preserve"> with</w:t>
      </w:r>
      <w:r w:rsidR="00553F53" w:rsidRPr="0078463C">
        <w:rPr>
          <w:rFonts w:asciiTheme="minorHAnsi" w:hAnsiTheme="minorHAnsi" w:cstheme="minorHAnsi"/>
          <w:color w:val="000000"/>
          <w:sz w:val="22"/>
          <w:szCs w:val="22"/>
        </w:rPr>
        <w:t xml:space="preserve"> </w:t>
      </w:r>
      <w:r w:rsidR="00FC3064">
        <w:rPr>
          <w:rFonts w:asciiTheme="minorHAnsi" w:hAnsiTheme="minorHAnsi" w:cstheme="minorHAnsi"/>
          <w:color w:val="000000"/>
          <w:sz w:val="22"/>
          <w:szCs w:val="22"/>
        </w:rPr>
        <w:t>approximately</w:t>
      </w:r>
      <w:r w:rsidR="00553F53" w:rsidRPr="0078463C">
        <w:rPr>
          <w:rFonts w:asciiTheme="minorHAnsi" w:hAnsiTheme="minorHAnsi" w:cstheme="minorHAnsi"/>
          <w:color w:val="000000"/>
          <w:sz w:val="22"/>
          <w:szCs w:val="22"/>
        </w:rPr>
        <w:t xml:space="preserve"> </w:t>
      </w:r>
      <w:r w:rsidR="000E392C">
        <w:rPr>
          <w:rFonts w:asciiTheme="minorHAnsi" w:hAnsiTheme="minorHAnsi" w:cstheme="minorHAnsi"/>
          <w:color w:val="000000"/>
          <w:sz w:val="22"/>
          <w:szCs w:val="22"/>
        </w:rPr>
        <w:t>5</w:t>
      </w:r>
      <w:r w:rsidR="00236FDD">
        <w:rPr>
          <w:rFonts w:asciiTheme="minorHAnsi" w:hAnsiTheme="minorHAnsi" w:cstheme="minorHAnsi"/>
          <w:color w:val="000000"/>
          <w:sz w:val="22"/>
          <w:szCs w:val="22"/>
        </w:rPr>
        <w:t>000</w:t>
      </w:r>
      <w:r w:rsidR="00553F53" w:rsidRPr="0078463C">
        <w:rPr>
          <w:rFonts w:asciiTheme="minorHAnsi" w:hAnsiTheme="minorHAnsi" w:cstheme="minorHAnsi"/>
          <w:color w:val="000000"/>
          <w:sz w:val="22"/>
          <w:szCs w:val="22"/>
        </w:rPr>
        <w:t xml:space="preserve"> members.</w:t>
      </w:r>
      <w:r w:rsidR="00BD6719">
        <w:rPr>
          <w:rFonts w:asciiTheme="minorHAnsi" w:hAnsiTheme="minorHAnsi" w:cstheme="minorHAnsi"/>
          <w:color w:val="000000"/>
          <w:sz w:val="22"/>
          <w:szCs w:val="22"/>
        </w:rPr>
        <w:t xml:space="preserve">  The </w:t>
      </w:r>
      <w:r w:rsidR="000E392C">
        <w:rPr>
          <w:rFonts w:asciiTheme="minorHAnsi" w:hAnsiTheme="minorHAnsi" w:cstheme="minorHAnsi"/>
          <w:color w:val="000000"/>
          <w:sz w:val="22"/>
          <w:szCs w:val="22"/>
        </w:rPr>
        <w:t>AFAP</w:t>
      </w:r>
      <w:r w:rsidR="00BD6719">
        <w:rPr>
          <w:rFonts w:asciiTheme="minorHAnsi" w:hAnsiTheme="minorHAnsi" w:cstheme="minorHAnsi"/>
          <w:color w:val="000000"/>
          <w:sz w:val="22"/>
          <w:szCs w:val="22"/>
        </w:rPr>
        <w:t xml:space="preserve"> is also </w:t>
      </w:r>
      <w:r w:rsidR="00BD6719" w:rsidRPr="00BD6719">
        <w:rPr>
          <w:rFonts w:asciiTheme="minorHAnsi" w:hAnsiTheme="minorHAnsi" w:cstheme="minorHAnsi"/>
          <w:color w:val="000000"/>
          <w:sz w:val="22"/>
          <w:szCs w:val="22"/>
        </w:rPr>
        <w:t>a foundation member of the International Federation of Airline Pilots Association (IFALPA)</w:t>
      </w:r>
      <w:r w:rsidR="00BD6719">
        <w:rPr>
          <w:rFonts w:asciiTheme="minorHAnsi" w:hAnsiTheme="minorHAnsi" w:cstheme="minorHAnsi"/>
          <w:color w:val="000000"/>
          <w:sz w:val="22"/>
          <w:szCs w:val="22"/>
        </w:rPr>
        <w:t>,</w:t>
      </w:r>
      <w:r w:rsidR="00BD6719" w:rsidRPr="00BD6719">
        <w:rPr>
          <w:rFonts w:asciiTheme="minorHAnsi" w:hAnsiTheme="minorHAnsi" w:cstheme="minorHAnsi"/>
          <w:color w:val="000000"/>
          <w:sz w:val="22"/>
          <w:szCs w:val="22"/>
        </w:rPr>
        <w:t xml:space="preserve"> the global body representing </w:t>
      </w:r>
      <w:r w:rsidR="00496017">
        <w:rPr>
          <w:rFonts w:asciiTheme="minorHAnsi" w:hAnsiTheme="minorHAnsi" w:cstheme="minorHAnsi"/>
          <w:color w:val="000000"/>
          <w:sz w:val="22"/>
          <w:szCs w:val="22"/>
        </w:rPr>
        <w:t xml:space="preserve">commercial </w:t>
      </w:r>
      <w:r w:rsidR="00BD6719" w:rsidRPr="00BD6719">
        <w:rPr>
          <w:rFonts w:asciiTheme="minorHAnsi" w:hAnsiTheme="minorHAnsi" w:cstheme="minorHAnsi"/>
          <w:color w:val="000000"/>
          <w:sz w:val="22"/>
          <w:szCs w:val="22"/>
        </w:rPr>
        <w:t xml:space="preserve">pilots worldwide.  </w:t>
      </w:r>
    </w:p>
    <w:p w:rsidR="001123C2" w:rsidRDefault="001123C2" w:rsidP="00E20F8F">
      <w:pPr>
        <w:spacing w:line="276" w:lineRule="auto"/>
        <w:jc w:val="both"/>
        <w:rPr>
          <w:rFonts w:asciiTheme="minorHAnsi" w:hAnsiTheme="minorHAnsi" w:cstheme="minorHAnsi"/>
          <w:color w:val="000000"/>
          <w:sz w:val="22"/>
          <w:szCs w:val="22"/>
        </w:rPr>
      </w:pPr>
    </w:p>
    <w:p w:rsidR="00B476E4" w:rsidRDefault="00BD6719" w:rsidP="00E20F8F">
      <w:pPr>
        <w:spacing w:line="276" w:lineRule="auto"/>
        <w:jc w:val="both"/>
        <w:rPr>
          <w:rFonts w:asciiTheme="minorHAnsi" w:hAnsiTheme="minorHAnsi" w:cstheme="minorHAnsi"/>
          <w:color w:val="000000"/>
          <w:sz w:val="22"/>
          <w:szCs w:val="22"/>
        </w:rPr>
      </w:pPr>
      <w:r w:rsidRPr="00BD6719">
        <w:rPr>
          <w:rFonts w:asciiTheme="minorHAnsi" w:hAnsiTheme="minorHAnsi" w:cstheme="minorHAnsi"/>
          <w:color w:val="000000"/>
          <w:sz w:val="22"/>
          <w:szCs w:val="22"/>
        </w:rPr>
        <w:t xml:space="preserve">The </w:t>
      </w:r>
      <w:r w:rsidR="000E392C">
        <w:rPr>
          <w:rFonts w:asciiTheme="minorHAnsi" w:hAnsiTheme="minorHAnsi" w:cstheme="minorHAnsi"/>
          <w:color w:val="000000"/>
          <w:sz w:val="22"/>
          <w:szCs w:val="22"/>
        </w:rPr>
        <w:t>AFAP</w:t>
      </w:r>
      <w:r w:rsidRPr="00BD6719">
        <w:rPr>
          <w:rFonts w:asciiTheme="minorHAnsi" w:hAnsiTheme="minorHAnsi" w:cstheme="minorHAnsi"/>
          <w:color w:val="000000"/>
          <w:sz w:val="22"/>
          <w:szCs w:val="22"/>
        </w:rPr>
        <w:t xml:space="preserve">’s membership coverage includes Virgin </w:t>
      </w:r>
      <w:r>
        <w:rPr>
          <w:rFonts w:asciiTheme="minorHAnsi" w:hAnsiTheme="minorHAnsi" w:cstheme="minorHAnsi"/>
          <w:color w:val="000000"/>
          <w:sz w:val="22"/>
          <w:szCs w:val="22"/>
        </w:rPr>
        <w:t>Australia</w:t>
      </w:r>
      <w:r w:rsidRPr="00BD6719">
        <w:rPr>
          <w:rFonts w:asciiTheme="minorHAnsi" w:hAnsiTheme="minorHAnsi" w:cstheme="minorHAnsi"/>
          <w:color w:val="000000"/>
          <w:sz w:val="22"/>
          <w:szCs w:val="22"/>
        </w:rPr>
        <w:t xml:space="preserve"> pilots, Qantas owned subsidiary airline pilots (such as QantasLink</w:t>
      </w:r>
      <w:r w:rsidR="000E392C">
        <w:rPr>
          <w:rFonts w:asciiTheme="minorHAnsi" w:hAnsiTheme="minorHAnsi" w:cstheme="minorHAnsi"/>
          <w:color w:val="000000"/>
          <w:sz w:val="22"/>
          <w:szCs w:val="22"/>
        </w:rPr>
        <w:t>, Cobham</w:t>
      </w:r>
      <w:r w:rsidRPr="00BD6719">
        <w:rPr>
          <w:rFonts w:asciiTheme="minorHAnsi" w:hAnsiTheme="minorHAnsi" w:cstheme="minorHAnsi"/>
          <w:color w:val="000000"/>
          <w:sz w:val="22"/>
          <w:szCs w:val="22"/>
        </w:rPr>
        <w:t xml:space="preserve"> and Jetstar), regional airline pilots, Australian pilots flying for overseas operators, general aviation pilots, flight instruction pilots, aero-medical pilots, corporate jet pilots, helicopter pilots and aerial agricultural pilots. </w:t>
      </w:r>
    </w:p>
    <w:p w:rsidR="00B476E4" w:rsidRDefault="00B476E4" w:rsidP="00E20F8F">
      <w:pPr>
        <w:spacing w:line="276" w:lineRule="auto"/>
        <w:jc w:val="both"/>
        <w:rPr>
          <w:rFonts w:asciiTheme="minorHAnsi" w:hAnsiTheme="minorHAnsi" w:cstheme="minorHAnsi"/>
          <w:color w:val="000000"/>
          <w:sz w:val="22"/>
          <w:szCs w:val="22"/>
        </w:rPr>
      </w:pPr>
    </w:p>
    <w:p w:rsidR="0001796E" w:rsidRDefault="0001796E" w:rsidP="00E20F8F">
      <w:p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As an industrial association the AFAP represent over 2000 members Pilots employed in the general aviation sector, which is</w:t>
      </w:r>
      <w:r w:rsidR="00310D53">
        <w:rPr>
          <w:rFonts w:asciiTheme="minorHAnsi" w:hAnsiTheme="minorHAnsi" w:cstheme="minorHAnsi"/>
          <w:color w:val="000000"/>
          <w:sz w:val="22"/>
          <w:szCs w:val="22"/>
        </w:rPr>
        <w:t xml:space="preserve"> </w:t>
      </w:r>
      <w:r w:rsidR="00FC3064">
        <w:rPr>
          <w:rFonts w:asciiTheme="minorHAnsi" w:hAnsiTheme="minorHAnsi" w:cstheme="minorHAnsi"/>
          <w:color w:val="000000"/>
          <w:sz w:val="22"/>
          <w:szCs w:val="22"/>
        </w:rPr>
        <w:t xml:space="preserve">primarily </w:t>
      </w:r>
      <w:r w:rsidR="00BA73C4">
        <w:rPr>
          <w:rFonts w:asciiTheme="minorHAnsi" w:hAnsiTheme="minorHAnsi" w:cstheme="minorHAnsi"/>
          <w:color w:val="000000"/>
          <w:sz w:val="22"/>
          <w:szCs w:val="22"/>
        </w:rPr>
        <w:t xml:space="preserve">aviation </w:t>
      </w:r>
      <w:r>
        <w:rPr>
          <w:rFonts w:asciiTheme="minorHAnsi" w:hAnsiTheme="minorHAnsi" w:cstheme="minorHAnsi"/>
          <w:color w:val="000000"/>
          <w:sz w:val="22"/>
          <w:szCs w:val="22"/>
        </w:rPr>
        <w:t>operations outside of major</w:t>
      </w:r>
      <w:r w:rsidR="00310D53">
        <w:rPr>
          <w:rFonts w:asciiTheme="minorHAnsi" w:hAnsiTheme="minorHAnsi" w:cstheme="minorHAnsi"/>
          <w:color w:val="000000"/>
          <w:sz w:val="22"/>
          <w:szCs w:val="22"/>
        </w:rPr>
        <w:t xml:space="preserve"> commercial</w:t>
      </w:r>
      <w:r>
        <w:rPr>
          <w:rFonts w:asciiTheme="minorHAnsi" w:hAnsiTheme="minorHAnsi" w:cstheme="minorHAnsi"/>
          <w:color w:val="000000"/>
          <w:sz w:val="22"/>
          <w:szCs w:val="22"/>
        </w:rPr>
        <w:t xml:space="preserve"> air</w:t>
      </w:r>
      <w:r w:rsidR="00310D53">
        <w:rPr>
          <w:rFonts w:asciiTheme="minorHAnsi" w:hAnsiTheme="minorHAnsi" w:cstheme="minorHAnsi"/>
          <w:color w:val="000000"/>
          <w:sz w:val="22"/>
          <w:szCs w:val="22"/>
        </w:rPr>
        <w:t xml:space="preserve"> transport</w:t>
      </w:r>
      <w:r>
        <w:rPr>
          <w:rFonts w:asciiTheme="minorHAnsi" w:hAnsiTheme="minorHAnsi" w:cstheme="minorHAnsi"/>
          <w:color w:val="000000"/>
          <w:sz w:val="22"/>
          <w:szCs w:val="22"/>
        </w:rPr>
        <w:t>. The AFAP provi</w:t>
      </w:r>
      <w:r w:rsidR="00310D53">
        <w:rPr>
          <w:rFonts w:asciiTheme="minorHAnsi" w:hAnsiTheme="minorHAnsi" w:cstheme="minorHAnsi"/>
          <w:color w:val="000000"/>
          <w:sz w:val="22"/>
          <w:szCs w:val="22"/>
        </w:rPr>
        <w:t xml:space="preserve">de the only </w:t>
      </w:r>
      <w:r>
        <w:rPr>
          <w:rFonts w:asciiTheme="minorHAnsi" w:hAnsiTheme="minorHAnsi" w:cstheme="minorHAnsi"/>
          <w:color w:val="000000"/>
          <w:sz w:val="22"/>
          <w:szCs w:val="22"/>
        </w:rPr>
        <w:t>dedicated</w:t>
      </w:r>
      <w:r w:rsidR="00310D53">
        <w:rPr>
          <w:rFonts w:asciiTheme="minorHAnsi" w:hAnsiTheme="minorHAnsi" w:cstheme="minorHAnsi"/>
          <w:color w:val="000000"/>
          <w:sz w:val="22"/>
          <w:szCs w:val="22"/>
        </w:rPr>
        <w:t xml:space="preserve"> and highly specialised</w:t>
      </w:r>
      <w:r>
        <w:rPr>
          <w:rFonts w:asciiTheme="minorHAnsi" w:hAnsiTheme="minorHAnsi" w:cstheme="minorHAnsi"/>
          <w:color w:val="000000"/>
          <w:sz w:val="22"/>
          <w:szCs w:val="22"/>
        </w:rPr>
        <w:t xml:space="preserve"> industrial advice to Pilots employed in the general aviation sector, and are the only employee association that provide input into ensuring that </w:t>
      </w:r>
      <w:r w:rsidR="00E20F8F">
        <w:rPr>
          <w:rFonts w:asciiTheme="minorHAnsi" w:hAnsiTheme="minorHAnsi" w:cstheme="minorHAnsi"/>
          <w:color w:val="000000"/>
          <w:sz w:val="22"/>
          <w:szCs w:val="22"/>
        </w:rPr>
        <w:t>General Aviation Pilot</w:t>
      </w:r>
      <w:r>
        <w:rPr>
          <w:rFonts w:asciiTheme="minorHAnsi" w:hAnsiTheme="minorHAnsi" w:cstheme="minorHAnsi"/>
          <w:color w:val="000000"/>
          <w:sz w:val="22"/>
          <w:szCs w:val="22"/>
        </w:rPr>
        <w:t>s</w:t>
      </w:r>
      <w:r w:rsidR="00E20F8F">
        <w:rPr>
          <w:rFonts w:asciiTheme="minorHAnsi" w:hAnsiTheme="minorHAnsi" w:cstheme="minorHAnsi"/>
          <w:color w:val="000000"/>
          <w:sz w:val="22"/>
          <w:szCs w:val="22"/>
        </w:rPr>
        <w:t>’</w:t>
      </w:r>
      <w:r>
        <w:rPr>
          <w:rFonts w:asciiTheme="minorHAnsi" w:hAnsiTheme="minorHAnsi" w:cstheme="minorHAnsi"/>
          <w:color w:val="000000"/>
          <w:sz w:val="22"/>
          <w:szCs w:val="22"/>
        </w:rPr>
        <w:t xml:space="preserve"> conditions are protected through maintenance of the </w:t>
      </w:r>
      <w:r>
        <w:rPr>
          <w:rFonts w:asciiTheme="minorHAnsi" w:hAnsiTheme="minorHAnsi" w:cstheme="minorHAnsi"/>
          <w:i/>
          <w:color w:val="000000"/>
          <w:sz w:val="22"/>
          <w:szCs w:val="22"/>
        </w:rPr>
        <w:t>Air Pilots Award</w:t>
      </w:r>
      <w:r>
        <w:rPr>
          <w:rFonts w:asciiTheme="minorHAnsi" w:hAnsiTheme="minorHAnsi" w:cstheme="minorHAnsi"/>
          <w:color w:val="000000"/>
          <w:sz w:val="22"/>
          <w:szCs w:val="22"/>
        </w:rPr>
        <w:t xml:space="preserve">. </w:t>
      </w:r>
    </w:p>
    <w:p w:rsidR="0001796E" w:rsidRDefault="0001796E" w:rsidP="00E20F8F">
      <w:pPr>
        <w:spacing w:line="276" w:lineRule="auto"/>
        <w:jc w:val="both"/>
        <w:rPr>
          <w:rFonts w:asciiTheme="minorHAnsi" w:hAnsiTheme="minorHAnsi" w:cstheme="minorHAnsi"/>
          <w:color w:val="000000"/>
          <w:sz w:val="22"/>
          <w:szCs w:val="22"/>
        </w:rPr>
      </w:pPr>
    </w:p>
    <w:p w:rsidR="00BD6719" w:rsidRDefault="00BD6719" w:rsidP="00E20F8F">
      <w:pPr>
        <w:spacing w:line="276" w:lineRule="auto"/>
        <w:jc w:val="both"/>
        <w:rPr>
          <w:rFonts w:asciiTheme="minorHAnsi" w:hAnsiTheme="minorHAnsi" w:cstheme="minorHAnsi"/>
          <w:color w:val="000000"/>
          <w:sz w:val="22"/>
          <w:szCs w:val="22"/>
        </w:rPr>
      </w:pPr>
      <w:r w:rsidRPr="00BD6719">
        <w:rPr>
          <w:rFonts w:asciiTheme="minorHAnsi" w:hAnsiTheme="minorHAnsi" w:cstheme="minorHAnsi"/>
          <w:color w:val="000000"/>
          <w:sz w:val="22"/>
          <w:szCs w:val="22"/>
        </w:rPr>
        <w:t xml:space="preserve">As a professional association, the members and staff </w:t>
      </w:r>
      <w:r w:rsidR="00B53FA5">
        <w:rPr>
          <w:rFonts w:asciiTheme="minorHAnsi" w:hAnsiTheme="minorHAnsi" w:cstheme="minorHAnsi"/>
          <w:color w:val="000000"/>
          <w:sz w:val="22"/>
          <w:szCs w:val="22"/>
        </w:rPr>
        <w:t xml:space="preserve">of the </w:t>
      </w:r>
      <w:r w:rsidR="000E392C">
        <w:rPr>
          <w:rFonts w:asciiTheme="minorHAnsi" w:hAnsiTheme="minorHAnsi" w:cstheme="minorHAnsi"/>
          <w:color w:val="000000"/>
          <w:sz w:val="22"/>
          <w:szCs w:val="22"/>
        </w:rPr>
        <w:t>AFAP</w:t>
      </w:r>
      <w:r w:rsidR="00B53FA5" w:rsidRPr="00BD6719">
        <w:rPr>
          <w:rFonts w:asciiTheme="minorHAnsi" w:hAnsiTheme="minorHAnsi" w:cstheme="minorHAnsi"/>
          <w:color w:val="000000"/>
          <w:sz w:val="22"/>
          <w:szCs w:val="22"/>
        </w:rPr>
        <w:t xml:space="preserve"> </w:t>
      </w:r>
      <w:r w:rsidRPr="00BD6719">
        <w:rPr>
          <w:rFonts w:asciiTheme="minorHAnsi" w:hAnsiTheme="minorHAnsi" w:cstheme="minorHAnsi"/>
          <w:color w:val="000000"/>
          <w:sz w:val="22"/>
          <w:szCs w:val="22"/>
        </w:rPr>
        <w:t>are active in promoting flight safety and improving Australian and global aviation standards.</w:t>
      </w:r>
    </w:p>
    <w:p w:rsidR="00B476E4" w:rsidRDefault="00B476E4" w:rsidP="00BD6719">
      <w:pPr>
        <w:jc w:val="both"/>
        <w:rPr>
          <w:rFonts w:asciiTheme="minorHAnsi" w:hAnsiTheme="minorHAnsi" w:cstheme="minorHAnsi"/>
          <w:color w:val="000000"/>
          <w:sz w:val="22"/>
          <w:szCs w:val="22"/>
        </w:rPr>
      </w:pPr>
    </w:p>
    <w:p w:rsidR="00912A10" w:rsidRPr="00DD4485" w:rsidRDefault="00912A10" w:rsidP="00AC230F">
      <w:pPr>
        <w:pStyle w:val="Heading1"/>
      </w:pPr>
      <w:r>
        <w:t>Overview</w:t>
      </w:r>
    </w:p>
    <w:p w:rsidR="00B476E4" w:rsidRDefault="00B476E4" w:rsidP="00B476E4">
      <w:pPr>
        <w:jc w:val="both"/>
        <w:rPr>
          <w:rFonts w:asciiTheme="minorHAnsi" w:hAnsiTheme="minorHAnsi" w:cstheme="minorHAnsi"/>
          <w:color w:val="000000"/>
          <w:sz w:val="22"/>
          <w:szCs w:val="22"/>
        </w:rPr>
      </w:pPr>
    </w:p>
    <w:p w:rsidR="00BA73C4" w:rsidRDefault="00B476E4" w:rsidP="008B2965">
      <w:p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AFAP submission is centred on </w:t>
      </w:r>
      <w:r w:rsidR="00D57B51">
        <w:rPr>
          <w:rFonts w:asciiTheme="minorHAnsi" w:hAnsiTheme="minorHAnsi" w:cstheme="minorHAnsi"/>
          <w:color w:val="000000"/>
          <w:sz w:val="22"/>
          <w:szCs w:val="22"/>
        </w:rPr>
        <w:t>our</w:t>
      </w:r>
      <w:r>
        <w:rPr>
          <w:rFonts w:asciiTheme="minorHAnsi" w:hAnsiTheme="minorHAnsi" w:cstheme="minorHAnsi"/>
          <w:color w:val="000000"/>
          <w:sz w:val="22"/>
          <w:szCs w:val="22"/>
        </w:rPr>
        <w:t xml:space="preserve"> experience of bargaining </w:t>
      </w:r>
      <w:r w:rsidR="00BA73C4">
        <w:rPr>
          <w:rFonts w:asciiTheme="minorHAnsi" w:hAnsiTheme="minorHAnsi" w:cstheme="minorHAnsi"/>
          <w:color w:val="000000"/>
          <w:sz w:val="22"/>
          <w:szCs w:val="22"/>
        </w:rPr>
        <w:t>in relation to</w:t>
      </w:r>
      <w:r w:rsidRPr="000E392C">
        <w:rPr>
          <w:rFonts w:asciiTheme="minorHAnsi" w:hAnsiTheme="minorHAnsi" w:cstheme="minorHAnsi"/>
          <w:color w:val="000000"/>
          <w:sz w:val="22"/>
          <w:szCs w:val="22"/>
        </w:rPr>
        <w:t xml:space="preserve"> </w:t>
      </w:r>
      <w:r w:rsidR="00BA73C4" w:rsidRPr="00B476E4">
        <w:rPr>
          <w:rFonts w:asciiTheme="minorHAnsi" w:hAnsiTheme="minorHAnsi" w:cstheme="minorHAnsi"/>
          <w:color w:val="000000"/>
          <w:sz w:val="22"/>
          <w:szCs w:val="22"/>
        </w:rPr>
        <w:t xml:space="preserve">the </w:t>
      </w:r>
      <w:r w:rsidR="00BA73C4" w:rsidRPr="00BA73C4">
        <w:rPr>
          <w:rFonts w:asciiTheme="minorHAnsi" w:hAnsiTheme="minorHAnsi" w:cstheme="minorHAnsi"/>
          <w:i/>
          <w:color w:val="000000"/>
          <w:sz w:val="22"/>
          <w:szCs w:val="22"/>
        </w:rPr>
        <w:t>Cobham SAR Services Pilot and Aircrew Enterprise Agreement 2015</w:t>
      </w:r>
      <w:r w:rsidR="00BA73C4">
        <w:rPr>
          <w:rFonts w:asciiTheme="minorHAnsi" w:hAnsiTheme="minorHAnsi" w:cstheme="minorHAnsi"/>
          <w:color w:val="000000"/>
          <w:sz w:val="22"/>
          <w:szCs w:val="22"/>
        </w:rPr>
        <w:t xml:space="preserve"> (</w:t>
      </w:r>
      <w:r w:rsidR="00BA73C4" w:rsidRPr="00B476E4">
        <w:rPr>
          <w:rFonts w:asciiTheme="minorHAnsi" w:hAnsiTheme="minorHAnsi" w:cstheme="minorHAnsi"/>
          <w:color w:val="000000"/>
          <w:sz w:val="22"/>
          <w:szCs w:val="22"/>
        </w:rPr>
        <w:t>AG2015/5900) (“Cobham SAR Agreement”)</w:t>
      </w:r>
      <w:r w:rsidR="00BA73C4">
        <w:rPr>
          <w:rFonts w:asciiTheme="minorHAnsi" w:hAnsiTheme="minorHAnsi" w:cstheme="minorHAnsi"/>
          <w:color w:val="000000"/>
          <w:sz w:val="22"/>
          <w:szCs w:val="22"/>
        </w:rPr>
        <w:t xml:space="preserve">, which was approved </w:t>
      </w:r>
      <w:r>
        <w:rPr>
          <w:rFonts w:asciiTheme="minorHAnsi" w:hAnsiTheme="minorHAnsi" w:cstheme="minorHAnsi"/>
          <w:color w:val="000000"/>
          <w:sz w:val="22"/>
          <w:szCs w:val="22"/>
        </w:rPr>
        <w:t xml:space="preserve">after </w:t>
      </w:r>
      <w:r w:rsidR="00E20F8F">
        <w:rPr>
          <w:rFonts w:asciiTheme="minorHAnsi" w:hAnsiTheme="minorHAnsi" w:cstheme="minorHAnsi"/>
          <w:color w:val="000000"/>
          <w:sz w:val="22"/>
          <w:szCs w:val="22"/>
        </w:rPr>
        <w:t xml:space="preserve">changes introduced by </w:t>
      </w:r>
      <w:r w:rsidR="00E20F8F" w:rsidRPr="000036D8">
        <w:rPr>
          <w:rFonts w:asciiTheme="minorHAnsi" w:hAnsiTheme="minorHAnsi" w:cstheme="minorHAnsi"/>
          <w:color w:val="000000"/>
          <w:sz w:val="22"/>
          <w:szCs w:val="22"/>
        </w:rPr>
        <w:t xml:space="preserve">Part 5 of Schedule 1 of </w:t>
      </w:r>
      <w:r w:rsidR="00BA73C4" w:rsidRPr="00BA73C4">
        <w:rPr>
          <w:rFonts w:asciiTheme="minorHAnsi" w:hAnsiTheme="minorHAnsi" w:cstheme="minorHAnsi"/>
          <w:i/>
          <w:color w:val="000000"/>
          <w:sz w:val="22"/>
          <w:szCs w:val="22"/>
        </w:rPr>
        <w:t>Fair Work Amendment Act 2015</w:t>
      </w:r>
      <w:r w:rsidR="00BA73C4">
        <w:rPr>
          <w:rFonts w:asciiTheme="minorHAnsi" w:hAnsiTheme="minorHAnsi" w:cstheme="minorHAnsi"/>
          <w:color w:val="000000"/>
          <w:sz w:val="22"/>
          <w:szCs w:val="22"/>
        </w:rPr>
        <w:t xml:space="preserve"> (“Amendment Act”) in </w:t>
      </w:r>
      <w:r>
        <w:rPr>
          <w:rFonts w:asciiTheme="minorHAnsi" w:hAnsiTheme="minorHAnsi" w:cstheme="minorHAnsi"/>
          <w:color w:val="000000"/>
          <w:sz w:val="22"/>
          <w:szCs w:val="22"/>
        </w:rPr>
        <w:t xml:space="preserve">November </w:t>
      </w:r>
      <w:r w:rsidRPr="000E392C">
        <w:rPr>
          <w:rFonts w:asciiTheme="minorHAnsi" w:hAnsiTheme="minorHAnsi" w:cstheme="minorHAnsi"/>
          <w:color w:val="000000"/>
          <w:sz w:val="22"/>
          <w:szCs w:val="22"/>
        </w:rPr>
        <w:t>2015</w:t>
      </w:r>
      <w:r w:rsidRPr="00B476E4">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p>
    <w:p w:rsidR="00876831" w:rsidRPr="00876831" w:rsidRDefault="00876831" w:rsidP="008B2965">
      <w:pPr>
        <w:pStyle w:val="ListParagraph"/>
        <w:spacing w:line="276" w:lineRule="auto"/>
        <w:rPr>
          <w:rFonts w:asciiTheme="minorHAnsi" w:hAnsiTheme="minorHAnsi" w:cstheme="minorHAnsi"/>
          <w:color w:val="000000"/>
          <w:sz w:val="22"/>
          <w:szCs w:val="22"/>
        </w:rPr>
      </w:pPr>
    </w:p>
    <w:p w:rsidR="00B476E4" w:rsidRDefault="00B476E4" w:rsidP="008B2965">
      <w:p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AFAP provides specific comment </w:t>
      </w:r>
      <w:r w:rsidR="000527B3">
        <w:rPr>
          <w:rFonts w:asciiTheme="minorHAnsi" w:hAnsiTheme="minorHAnsi" w:cstheme="minorHAnsi"/>
          <w:color w:val="000000"/>
          <w:sz w:val="22"/>
          <w:szCs w:val="22"/>
        </w:rPr>
        <w:t xml:space="preserve">below </w:t>
      </w:r>
      <w:r>
        <w:rPr>
          <w:rFonts w:asciiTheme="minorHAnsi" w:hAnsiTheme="minorHAnsi" w:cstheme="minorHAnsi"/>
          <w:color w:val="000000"/>
          <w:sz w:val="22"/>
          <w:szCs w:val="22"/>
        </w:rPr>
        <w:t>on the following issues in relation to the Cobham SAR Agreement:</w:t>
      </w:r>
    </w:p>
    <w:p w:rsidR="00B476E4" w:rsidRDefault="00B476E4" w:rsidP="008B2965">
      <w:pPr>
        <w:spacing w:line="276" w:lineRule="auto"/>
        <w:jc w:val="both"/>
        <w:rPr>
          <w:rFonts w:asciiTheme="minorHAnsi" w:hAnsiTheme="minorHAnsi" w:cstheme="minorHAnsi"/>
          <w:color w:val="000000"/>
          <w:sz w:val="22"/>
          <w:szCs w:val="22"/>
        </w:rPr>
      </w:pPr>
    </w:p>
    <w:p w:rsidR="00B476E4" w:rsidRDefault="00B476E4" w:rsidP="008B2965">
      <w:pPr>
        <w:pStyle w:val="ListParagraph"/>
        <w:numPr>
          <w:ilvl w:val="0"/>
          <w:numId w:val="21"/>
        </w:numPr>
        <w:spacing w:line="276" w:lineRule="auto"/>
        <w:jc w:val="both"/>
        <w:rPr>
          <w:rFonts w:asciiTheme="minorHAnsi" w:hAnsiTheme="minorHAnsi" w:cstheme="minorHAnsi"/>
          <w:color w:val="000000"/>
          <w:sz w:val="22"/>
          <w:szCs w:val="22"/>
        </w:rPr>
      </w:pPr>
      <w:r w:rsidRPr="00E745B9">
        <w:rPr>
          <w:rFonts w:asciiTheme="minorHAnsi" w:hAnsiTheme="minorHAnsi" w:cstheme="minorHAnsi"/>
          <w:color w:val="000000"/>
          <w:sz w:val="22"/>
          <w:szCs w:val="22"/>
        </w:rPr>
        <w:t xml:space="preserve">The extent to which the 2015 </w:t>
      </w:r>
      <w:r w:rsidR="00DF1A24">
        <w:rPr>
          <w:rFonts w:asciiTheme="minorHAnsi" w:hAnsiTheme="minorHAnsi" w:cstheme="minorHAnsi"/>
          <w:color w:val="000000"/>
          <w:sz w:val="22"/>
          <w:szCs w:val="22"/>
        </w:rPr>
        <w:t>G</w:t>
      </w:r>
      <w:r w:rsidRPr="00E745B9">
        <w:rPr>
          <w:rFonts w:asciiTheme="minorHAnsi" w:hAnsiTheme="minorHAnsi" w:cstheme="minorHAnsi"/>
          <w:color w:val="000000"/>
          <w:sz w:val="22"/>
          <w:szCs w:val="22"/>
        </w:rPr>
        <w:t xml:space="preserve">reenfields </w:t>
      </w:r>
      <w:r w:rsidR="00DF1A24">
        <w:rPr>
          <w:rFonts w:asciiTheme="minorHAnsi" w:hAnsiTheme="minorHAnsi" w:cstheme="minorHAnsi"/>
          <w:color w:val="000000"/>
          <w:sz w:val="22"/>
          <w:szCs w:val="22"/>
        </w:rPr>
        <w:t>A</w:t>
      </w:r>
      <w:r w:rsidRPr="00E745B9">
        <w:rPr>
          <w:rFonts w:asciiTheme="minorHAnsi" w:hAnsiTheme="minorHAnsi" w:cstheme="minorHAnsi"/>
          <w:color w:val="000000"/>
          <w:sz w:val="22"/>
          <w:szCs w:val="22"/>
        </w:rPr>
        <w:t>greement amendments have altered bargaining behaviour on the par</w:t>
      </w:r>
      <w:r>
        <w:rPr>
          <w:rFonts w:asciiTheme="minorHAnsi" w:hAnsiTheme="minorHAnsi" w:cstheme="minorHAnsi"/>
          <w:color w:val="000000"/>
          <w:sz w:val="22"/>
          <w:szCs w:val="22"/>
        </w:rPr>
        <w:t>t of either employers or unions; and</w:t>
      </w:r>
    </w:p>
    <w:p w:rsidR="00B476E4" w:rsidRPr="00E745B9" w:rsidRDefault="00B476E4" w:rsidP="008B2965">
      <w:pPr>
        <w:pStyle w:val="ListParagraph"/>
        <w:spacing w:line="276" w:lineRule="auto"/>
        <w:jc w:val="both"/>
        <w:rPr>
          <w:rFonts w:asciiTheme="minorHAnsi" w:hAnsiTheme="minorHAnsi" w:cstheme="minorHAnsi"/>
          <w:color w:val="000000"/>
          <w:sz w:val="22"/>
          <w:szCs w:val="22"/>
        </w:rPr>
      </w:pPr>
      <w:r w:rsidRPr="00E745B9">
        <w:rPr>
          <w:rFonts w:asciiTheme="minorHAnsi" w:hAnsiTheme="minorHAnsi" w:cstheme="minorHAnsi"/>
          <w:color w:val="000000"/>
          <w:sz w:val="22"/>
          <w:szCs w:val="22"/>
        </w:rPr>
        <w:t xml:space="preserve"> </w:t>
      </w:r>
    </w:p>
    <w:p w:rsidR="00B476E4" w:rsidRDefault="00B476E4" w:rsidP="008B2965">
      <w:pPr>
        <w:pStyle w:val="ListParagraph"/>
        <w:numPr>
          <w:ilvl w:val="0"/>
          <w:numId w:val="21"/>
        </w:num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The AFAP</w:t>
      </w:r>
      <w:r w:rsidRPr="00E745B9">
        <w:rPr>
          <w:rFonts w:asciiTheme="minorHAnsi" w:hAnsiTheme="minorHAnsi" w:cstheme="minorHAnsi"/>
          <w:color w:val="000000"/>
          <w:sz w:val="22"/>
          <w:szCs w:val="22"/>
        </w:rPr>
        <w:t xml:space="preserve"> concerns relating to the effect of the 2015 </w:t>
      </w:r>
      <w:r w:rsidR="00DF1A24">
        <w:rPr>
          <w:rFonts w:asciiTheme="minorHAnsi" w:hAnsiTheme="minorHAnsi" w:cstheme="minorHAnsi"/>
          <w:color w:val="000000"/>
          <w:sz w:val="22"/>
          <w:szCs w:val="22"/>
        </w:rPr>
        <w:t>G</w:t>
      </w:r>
      <w:r w:rsidRPr="00E745B9">
        <w:rPr>
          <w:rFonts w:asciiTheme="minorHAnsi" w:hAnsiTheme="minorHAnsi" w:cstheme="minorHAnsi"/>
          <w:color w:val="000000"/>
          <w:sz w:val="22"/>
          <w:szCs w:val="22"/>
        </w:rPr>
        <w:t xml:space="preserve">reenfields </w:t>
      </w:r>
      <w:r w:rsidR="00DF1A24">
        <w:rPr>
          <w:rFonts w:asciiTheme="minorHAnsi" w:hAnsiTheme="minorHAnsi" w:cstheme="minorHAnsi"/>
          <w:color w:val="000000"/>
          <w:sz w:val="22"/>
          <w:szCs w:val="22"/>
        </w:rPr>
        <w:t>A</w:t>
      </w:r>
      <w:r w:rsidRPr="00E745B9">
        <w:rPr>
          <w:rFonts w:asciiTheme="minorHAnsi" w:hAnsiTheme="minorHAnsi" w:cstheme="minorHAnsi"/>
          <w:color w:val="000000"/>
          <w:sz w:val="22"/>
          <w:szCs w:val="22"/>
        </w:rPr>
        <w:t>greement amendments on bargaining ou</w:t>
      </w:r>
      <w:r>
        <w:rPr>
          <w:rFonts w:asciiTheme="minorHAnsi" w:hAnsiTheme="minorHAnsi" w:cstheme="minorHAnsi"/>
          <w:color w:val="000000"/>
          <w:sz w:val="22"/>
          <w:szCs w:val="22"/>
        </w:rPr>
        <w:t>tcomes and bargaining behaviour</w:t>
      </w:r>
      <w:r w:rsidR="000527B3">
        <w:rPr>
          <w:rFonts w:asciiTheme="minorHAnsi" w:hAnsiTheme="minorHAnsi" w:cstheme="minorHAnsi"/>
          <w:color w:val="000000"/>
          <w:sz w:val="22"/>
          <w:szCs w:val="22"/>
        </w:rPr>
        <w:t>.</w:t>
      </w:r>
    </w:p>
    <w:p w:rsidR="00B476E4" w:rsidRDefault="00B476E4" w:rsidP="008B2965">
      <w:pPr>
        <w:spacing w:line="276" w:lineRule="auto"/>
        <w:rPr>
          <w:rFonts w:asciiTheme="minorHAnsi" w:hAnsiTheme="minorHAnsi" w:cstheme="minorHAnsi"/>
          <w:color w:val="000000"/>
          <w:sz w:val="22"/>
          <w:szCs w:val="22"/>
        </w:rPr>
      </w:pPr>
    </w:p>
    <w:p w:rsidR="00B476E4" w:rsidRDefault="00B476E4" w:rsidP="00D57B51">
      <w:p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The AFAP position is that</w:t>
      </w:r>
      <w:r w:rsidR="00310D53">
        <w:rPr>
          <w:rFonts w:asciiTheme="minorHAnsi" w:hAnsiTheme="minorHAnsi" w:cstheme="minorHAnsi"/>
          <w:color w:val="000000"/>
          <w:sz w:val="22"/>
          <w:szCs w:val="22"/>
        </w:rPr>
        <w:t xml:space="preserve"> based on our experience in the Cobham SAR Agreement,</w:t>
      </w:r>
      <w:r>
        <w:rPr>
          <w:rFonts w:asciiTheme="minorHAnsi" w:hAnsiTheme="minorHAnsi" w:cstheme="minorHAnsi"/>
          <w:color w:val="000000"/>
          <w:sz w:val="22"/>
          <w:szCs w:val="22"/>
        </w:rPr>
        <w:t xml:space="preserve"> </w:t>
      </w:r>
      <w:r w:rsidR="00D57B51">
        <w:rPr>
          <w:rFonts w:asciiTheme="minorHAnsi" w:hAnsiTheme="minorHAnsi" w:cstheme="minorHAnsi"/>
          <w:color w:val="000000"/>
          <w:sz w:val="22"/>
          <w:szCs w:val="22"/>
        </w:rPr>
        <w:t>the definition of bargaining representative</w:t>
      </w:r>
      <w:r w:rsidRPr="00B476E4">
        <w:rPr>
          <w:rFonts w:asciiTheme="minorHAnsi" w:hAnsiTheme="minorHAnsi" w:cstheme="minorHAnsi"/>
          <w:color w:val="000000"/>
          <w:sz w:val="22"/>
          <w:szCs w:val="22"/>
        </w:rPr>
        <w:t xml:space="preserve"> </w:t>
      </w:r>
      <w:r w:rsidR="00D57B51">
        <w:rPr>
          <w:rFonts w:asciiTheme="minorHAnsi" w:hAnsiTheme="minorHAnsi" w:cstheme="minorHAnsi"/>
          <w:color w:val="000000"/>
          <w:sz w:val="22"/>
          <w:szCs w:val="22"/>
        </w:rPr>
        <w:t>for a</w:t>
      </w:r>
      <w:r w:rsidRPr="00B476E4">
        <w:rPr>
          <w:rFonts w:asciiTheme="minorHAnsi" w:hAnsiTheme="minorHAnsi" w:cstheme="minorHAnsi"/>
          <w:color w:val="000000"/>
          <w:sz w:val="22"/>
          <w:szCs w:val="22"/>
        </w:rPr>
        <w:t xml:space="preserve"> </w:t>
      </w:r>
      <w:r w:rsidR="00D57B51">
        <w:rPr>
          <w:rFonts w:asciiTheme="minorHAnsi" w:hAnsiTheme="minorHAnsi" w:cstheme="minorHAnsi"/>
          <w:color w:val="000000"/>
          <w:sz w:val="22"/>
          <w:szCs w:val="22"/>
        </w:rPr>
        <w:t>G</w:t>
      </w:r>
      <w:r w:rsidRPr="00B476E4">
        <w:rPr>
          <w:rFonts w:asciiTheme="minorHAnsi" w:hAnsiTheme="minorHAnsi" w:cstheme="minorHAnsi"/>
          <w:color w:val="000000"/>
          <w:sz w:val="22"/>
          <w:szCs w:val="22"/>
        </w:rPr>
        <w:t xml:space="preserve">reenfields </w:t>
      </w:r>
      <w:r w:rsidR="00D57B51">
        <w:rPr>
          <w:rFonts w:asciiTheme="minorHAnsi" w:hAnsiTheme="minorHAnsi" w:cstheme="minorHAnsi"/>
          <w:color w:val="000000"/>
          <w:sz w:val="22"/>
          <w:szCs w:val="22"/>
        </w:rPr>
        <w:t>A</w:t>
      </w:r>
      <w:r w:rsidRPr="00B476E4">
        <w:rPr>
          <w:rFonts w:asciiTheme="minorHAnsi" w:hAnsiTheme="minorHAnsi" w:cstheme="minorHAnsi"/>
          <w:color w:val="000000"/>
          <w:sz w:val="22"/>
          <w:szCs w:val="22"/>
        </w:rPr>
        <w:t xml:space="preserve">greement </w:t>
      </w:r>
      <w:r w:rsidR="00D57B51">
        <w:rPr>
          <w:rFonts w:asciiTheme="minorHAnsi" w:hAnsiTheme="minorHAnsi" w:cstheme="minorHAnsi"/>
          <w:color w:val="000000"/>
          <w:sz w:val="22"/>
          <w:szCs w:val="22"/>
        </w:rPr>
        <w:t xml:space="preserve">prior to </w:t>
      </w:r>
      <w:r w:rsidR="00310D53">
        <w:rPr>
          <w:rFonts w:asciiTheme="minorHAnsi" w:hAnsiTheme="minorHAnsi" w:cstheme="minorHAnsi"/>
          <w:color w:val="000000"/>
          <w:sz w:val="22"/>
          <w:szCs w:val="22"/>
        </w:rPr>
        <w:t>the Amendment Act</w:t>
      </w:r>
      <w:r w:rsidR="00D57B51">
        <w:rPr>
          <w:rFonts w:asciiTheme="minorHAnsi" w:hAnsiTheme="minorHAnsi" w:cstheme="minorHAnsi"/>
          <w:color w:val="000000"/>
          <w:sz w:val="22"/>
          <w:szCs w:val="22"/>
        </w:rPr>
        <w:t xml:space="preserve"> needs to be restored to ensure good faith bargaining requirements are adhered to</w:t>
      </w:r>
      <w:r w:rsidR="00310D53">
        <w:rPr>
          <w:rFonts w:asciiTheme="minorHAnsi" w:hAnsiTheme="minorHAnsi" w:cstheme="minorHAnsi"/>
          <w:color w:val="000000"/>
          <w:sz w:val="22"/>
          <w:szCs w:val="22"/>
        </w:rPr>
        <w:t xml:space="preserve"> by all parties</w:t>
      </w:r>
      <w:r w:rsidR="00D57B51">
        <w:rPr>
          <w:rFonts w:asciiTheme="minorHAnsi" w:hAnsiTheme="minorHAnsi" w:cstheme="minorHAnsi"/>
          <w:color w:val="000000"/>
          <w:sz w:val="22"/>
          <w:szCs w:val="22"/>
        </w:rPr>
        <w:t xml:space="preserve">, and so that </w:t>
      </w:r>
      <w:r w:rsidR="00310D53">
        <w:rPr>
          <w:rFonts w:asciiTheme="minorHAnsi" w:hAnsiTheme="minorHAnsi" w:cstheme="minorHAnsi"/>
          <w:color w:val="000000"/>
          <w:sz w:val="22"/>
          <w:szCs w:val="22"/>
        </w:rPr>
        <w:t>highly specialised and well-resourced</w:t>
      </w:r>
      <w:r w:rsidR="00D57B51">
        <w:rPr>
          <w:rFonts w:asciiTheme="minorHAnsi" w:hAnsiTheme="minorHAnsi" w:cstheme="minorHAnsi"/>
          <w:color w:val="000000"/>
          <w:sz w:val="22"/>
          <w:szCs w:val="22"/>
        </w:rPr>
        <w:t xml:space="preserve"> unions are not</w:t>
      </w:r>
      <w:r w:rsidR="00310D53">
        <w:rPr>
          <w:rFonts w:asciiTheme="minorHAnsi" w:hAnsiTheme="minorHAnsi" w:cstheme="minorHAnsi"/>
          <w:color w:val="000000"/>
          <w:sz w:val="22"/>
          <w:szCs w:val="22"/>
        </w:rPr>
        <w:t xml:space="preserve"> deliberately</w:t>
      </w:r>
      <w:r w:rsidR="00D57B51">
        <w:rPr>
          <w:rFonts w:asciiTheme="minorHAnsi" w:hAnsiTheme="minorHAnsi" w:cstheme="minorHAnsi"/>
          <w:color w:val="000000"/>
          <w:sz w:val="22"/>
          <w:szCs w:val="22"/>
        </w:rPr>
        <w:t xml:space="preserve"> excluded from bargaining</w:t>
      </w:r>
      <w:r w:rsidR="00310D53">
        <w:rPr>
          <w:rFonts w:asciiTheme="minorHAnsi" w:hAnsiTheme="minorHAnsi" w:cstheme="minorHAnsi"/>
          <w:color w:val="000000"/>
          <w:sz w:val="22"/>
          <w:szCs w:val="22"/>
        </w:rPr>
        <w:t xml:space="preserve"> as a means of undermining</w:t>
      </w:r>
      <w:r w:rsidR="003351F3">
        <w:rPr>
          <w:rFonts w:asciiTheme="minorHAnsi" w:hAnsiTheme="minorHAnsi" w:cstheme="minorHAnsi"/>
          <w:color w:val="000000"/>
          <w:sz w:val="22"/>
          <w:szCs w:val="22"/>
        </w:rPr>
        <w:t xml:space="preserve"> employees</w:t>
      </w:r>
      <w:r w:rsidR="00310D53">
        <w:rPr>
          <w:rFonts w:asciiTheme="minorHAnsi" w:hAnsiTheme="minorHAnsi" w:cstheme="minorHAnsi"/>
          <w:color w:val="000000"/>
          <w:sz w:val="22"/>
          <w:szCs w:val="22"/>
        </w:rPr>
        <w:t xml:space="preserve"> terms and conditions</w:t>
      </w:r>
      <w:r w:rsidR="003351F3">
        <w:rPr>
          <w:rFonts w:asciiTheme="minorHAnsi" w:hAnsiTheme="minorHAnsi" w:cstheme="minorHAnsi"/>
          <w:color w:val="000000"/>
          <w:sz w:val="22"/>
          <w:szCs w:val="22"/>
        </w:rPr>
        <w:t xml:space="preserve"> in Greenfields Agreements</w:t>
      </w:r>
      <w:r w:rsidR="00D57B51">
        <w:rPr>
          <w:rFonts w:asciiTheme="minorHAnsi" w:hAnsiTheme="minorHAnsi" w:cstheme="minorHAnsi"/>
          <w:color w:val="000000"/>
          <w:sz w:val="22"/>
          <w:szCs w:val="22"/>
        </w:rPr>
        <w:t>.</w:t>
      </w:r>
    </w:p>
    <w:p w:rsidR="00310D53" w:rsidRDefault="00310D53" w:rsidP="00D57B51">
      <w:pPr>
        <w:spacing w:line="276" w:lineRule="auto"/>
        <w:jc w:val="both"/>
        <w:rPr>
          <w:sz w:val="22"/>
          <w:szCs w:val="22"/>
        </w:rPr>
      </w:pPr>
    </w:p>
    <w:p w:rsidR="00DF1A24" w:rsidRDefault="00DF1A24" w:rsidP="00D57B51">
      <w:pPr>
        <w:spacing w:line="276" w:lineRule="auto"/>
        <w:jc w:val="both"/>
        <w:rPr>
          <w:sz w:val="22"/>
          <w:szCs w:val="22"/>
        </w:rPr>
      </w:pPr>
    </w:p>
    <w:p w:rsidR="00E81180" w:rsidRDefault="00E81180" w:rsidP="00BD6719">
      <w:pPr>
        <w:jc w:val="both"/>
        <w:rPr>
          <w:rFonts w:asciiTheme="minorHAnsi" w:hAnsiTheme="minorHAnsi" w:cstheme="minorHAnsi"/>
          <w:color w:val="000000"/>
          <w:sz w:val="22"/>
          <w:szCs w:val="22"/>
        </w:rPr>
      </w:pPr>
    </w:p>
    <w:p w:rsidR="00912A10" w:rsidRPr="008B2965" w:rsidRDefault="00912A10" w:rsidP="00912A1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714" w:hanging="357"/>
        <w:jc w:val="both"/>
        <w:rPr>
          <w:rFonts w:asciiTheme="minorHAnsi" w:hAnsiTheme="minorHAnsi" w:cstheme="minorHAnsi"/>
          <w:b/>
          <w:color w:val="000000"/>
          <w:sz w:val="22"/>
          <w:szCs w:val="22"/>
        </w:rPr>
      </w:pPr>
      <w:r w:rsidRPr="008B2965">
        <w:rPr>
          <w:rFonts w:asciiTheme="minorHAnsi" w:hAnsiTheme="minorHAnsi" w:cstheme="minorHAnsi"/>
          <w:b/>
          <w:color w:val="000000"/>
          <w:sz w:val="22"/>
          <w:szCs w:val="22"/>
        </w:rPr>
        <w:lastRenderedPageBreak/>
        <w:t>The extent to which the 2015 greenfields agreement amendments have altered bargaining behaviour on the part of either employers or unions</w:t>
      </w:r>
      <w:r>
        <w:rPr>
          <w:rFonts w:asciiTheme="minorHAnsi" w:hAnsiTheme="minorHAnsi" w:cstheme="minorHAnsi"/>
          <w:b/>
          <w:color w:val="000000"/>
          <w:sz w:val="22"/>
          <w:szCs w:val="22"/>
        </w:rPr>
        <w:t xml:space="preserve"> during the Cobham SAR Agreement Negotiations</w:t>
      </w:r>
    </w:p>
    <w:p w:rsidR="004B3D10" w:rsidRPr="004B3D10" w:rsidRDefault="004B3D10" w:rsidP="004B3D10">
      <w:pPr>
        <w:rPr>
          <w:rFonts w:ascii="Calibri" w:hAnsi="Calibri" w:cs="Calibri"/>
          <w:color w:val="000000"/>
          <w:sz w:val="22"/>
          <w:szCs w:val="22"/>
        </w:rPr>
      </w:pPr>
    </w:p>
    <w:p w:rsidR="00B476E4" w:rsidRDefault="00B476E4" w:rsidP="00E20F8F">
      <w:pPr>
        <w:spacing w:after="200" w:line="276" w:lineRule="auto"/>
        <w:jc w:val="both"/>
        <w:rPr>
          <w:rFonts w:asciiTheme="minorHAnsi" w:hAnsiTheme="minorHAnsi" w:cstheme="minorHAnsi"/>
          <w:color w:val="000000"/>
          <w:sz w:val="22"/>
          <w:szCs w:val="22"/>
        </w:rPr>
      </w:pPr>
      <w:r w:rsidRPr="00B476E4">
        <w:rPr>
          <w:rFonts w:asciiTheme="minorHAnsi" w:hAnsiTheme="minorHAnsi" w:cstheme="minorHAnsi"/>
          <w:color w:val="000000"/>
          <w:sz w:val="22"/>
          <w:szCs w:val="22"/>
        </w:rPr>
        <w:t>The Cobham SAR Agreement covers aerial search and rescue operations (both at sea and over land) performed by Cobham</w:t>
      </w:r>
      <w:r w:rsidR="00310D53">
        <w:rPr>
          <w:rFonts w:asciiTheme="minorHAnsi" w:hAnsiTheme="minorHAnsi" w:cstheme="minorHAnsi"/>
          <w:color w:val="000000"/>
          <w:sz w:val="22"/>
          <w:szCs w:val="22"/>
        </w:rPr>
        <w:t xml:space="preserve"> SAR Services Pty Ltd (ACN 082 387 835) (“Cobham Services”)</w:t>
      </w:r>
      <w:r w:rsidRPr="00B476E4">
        <w:rPr>
          <w:rFonts w:asciiTheme="minorHAnsi" w:hAnsiTheme="minorHAnsi" w:cstheme="minorHAnsi"/>
          <w:color w:val="000000"/>
          <w:sz w:val="22"/>
          <w:szCs w:val="22"/>
        </w:rPr>
        <w:t xml:space="preserve"> pursuant to a contract awarded by the Australian Maritime Safety Authority</w:t>
      </w:r>
      <w:r w:rsidR="00310D53">
        <w:rPr>
          <w:rFonts w:asciiTheme="minorHAnsi" w:hAnsiTheme="minorHAnsi" w:cstheme="minorHAnsi"/>
          <w:color w:val="000000"/>
          <w:sz w:val="22"/>
          <w:szCs w:val="22"/>
        </w:rPr>
        <w:t xml:space="preserve"> (“AMSA”)</w:t>
      </w:r>
      <w:r w:rsidRPr="00B476E4">
        <w:rPr>
          <w:rFonts w:asciiTheme="minorHAnsi" w:hAnsiTheme="minorHAnsi" w:cstheme="minorHAnsi"/>
          <w:color w:val="000000"/>
          <w:sz w:val="22"/>
          <w:szCs w:val="22"/>
        </w:rPr>
        <w:t xml:space="preserve">. </w:t>
      </w:r>
    </w:p>
    <w:p w:rsidR="003351F3" w:rsidRPr="00AC230F" w:rsidRDefault="003351F3" w:rsidP="00AC230F">
      <w:pPr>
        <w:pStyle w:val="Heading2"/>
      </w:pPr>
      <w:r w:rsidRPr="00AC230F">
        <w:t>Background to the Cobham SAR Agreement</w:t>
      </w:r>
    </w:p>
    <w:p w:rsidR="003351F3" w:rsidRDefault="00310D53" w:rsidP="00E20F8F">
      <w:pPr>
        <w:spacing w:after="20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Cobham Services was an entity created for the express purpose of tendering for the AMSA contract, and is a division of another Cobham business unit, Surveillance Australia Pty Ltd (ACN 050 021 308) (“Surveillance Australia”). </w:t>
      </w:r>
      <w:r w:rsidR="003351F3">
        <w:rPr>
          <w:rFonts w:asciiTheme="minorHAnsi" w:hAnsiTheme="minorHAnsi" w:cstheme="minorHAnsi"/>
          <w:color w:val="000000"/>
          <w:sz w:val="22"/>
          <w:szCs w:val="22"/>
        </w:rPr>
        <w:t xml:space="preserve">The AFAP and </w:t>
      </w:r>
      <w:r>
        <w:rPr>
          <w:rFonts w:asciiTheme="minorHAnsi" w:hAnsiTheme="minorHAnsi" w:cstheme="minorHAnsi"/>
          <w:color w:val="000000"/>
          <w:sz w:val="22"/>
          <w:szCs w:val="22"/>
        </w:rPr>
        <w:t>Surveillance Australia</w:t>
      </w:r>
      <w:r w:rsidR="003351F3">
        <w:rPr>
          <w:rFonts w:asciiTheme="minorHAnsi" w:hAnsiTheme="minorHAnsi" w:cstheme="minorHAnsi"/>
          <w:color w:val="000000"/>
          <w:sz w:val="22"/>
          <w:szCs w:val="22"/>
        </w:rPr>
        <w:t xml:space="preserve"> are parties to a current Enterprise Agreement the </w:t>
      </w:r>
      <w:r w:rsidR="003351F3" w:rsidRPr="003351F3">
        <w:rPr>
          <w:rFonts w:asciiTheme="minorHAnsi" w:hAnsiTheme="minorHAnsi" w:cstheme="minorHAnsi"/>
          <w:i/>
          <w:color w:val="000000"/>
          <w:sz w:val="22"/>
          <w:szCs w:val="22"/>
        </w:rPr>
        <w:t>Surveillance Australia Pilot and Observer Enterprise Agreement 2016</w:t>
      </w:r>
      <w:r w:rsidR="003351F3" w:rsidRPr="005B3D76">
        <w:rPr>
          <w:rFonts w:asciiTheme="minorHAnsi" w:hAnsiTheme="minorHAnsi" w:cstheme="minorHAnsi"/>
          <w:color w:val="000000"/>
          <w:sz w:val="22"/>
          <w:szCs w:val="22"/>
        </w:rPr>
        <w:t xml:space="preserve"> (AG2013/43)</w:t>
      </w:r>
      <w:r w:rsidR="003351F3">
        <w:rPr>
          <w:rFonts w:asciiTheme="minorHAnsi" w:hAnsiTheme="minorHAnsi" w:cstheme="minorHAnsi"/>
          <w:color w:val="000000"/>
          <w:sz w:val="22"/>
          <w:szCs w:val="22"/>
        </w:rPr>
        <w:t xml:space="preserve"> (“Surveillance Australia Agreement”). </w:t>
      </w:r>
    </w:p>
    <w:p w:rsidR="00310D53" w:rsidRDefault="003351F3" w:rsidP="00E20F8F">
      <w:pPr>
        <w:spacing w:after="20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AFAP were also a bargaining representative and party to the predecessor to the Surveillance Australia Agreement, the </w:t>
      </w:r>
      <w:r>
        <w:rPr>
          <w:rFonts w:asciiTheme="minorHAnsi" w:hAnsiTheme="minorHAnsi" w:cstheme="minorHAnsi"/>
          <w:i/>
          <w:color w:val="000000"/>
          <w:sz w:val="22"/>
          <w:szCs w:val="22"/>
        </w:rPr>
        <w:t xml:space="preserve">Cobham Special Mission Pilot and Observer Enterprise Agreement 2012 </w:t>
      </w:r>
      <w:r>
        <w:rPr>
          <w:rFonts w:asciiTheme="minorHAnsi" w:hAnsiTheme="minorHAnsi" w:cstheme="minorHAnsi"/>
          <w:color w:val="000000"/>
          <w:sz w:val="22"/>
          <w:szCs w:val="22"/>
        </w:rPr>
        <w:t>(AG2013/340)</w:t>
      </w:r>
      <w:r w:rsidR="00F83D9F">
        <w:rPr>
          <w:rFonts w:asciiTheme="minorHAnsi" w:hAnsiTheme="minorHAnsi" w:cstheme="minorHAnsi"/>
          <w:color w:val="000000"/>
          <w:sz w:val="22"/>
          <w:szCs w:val="22"/>
        </w:rPr>
        <w:t xml:space="preserve"> (“Special Mission Agreement”)</w:t>
      </w:r>
      <w:r>
        <w:rPr>
          <w:rFonts w:asciiTheme="minorHAnsi" w:hAnsiTheme="minorHAnsi" w:cstheme="minorHAnsi"/>
          <w:color w:val="000000"/>
          <w:sz w:val="22"/>
          <w:szCs w:val="22"/>
        </w:rPr>
        <w:t xml:space="preserve"> which was in operation at the time of the Cobham SAR Agreement negotiations.</w:t>
      </w:r>
    </w:p>
    <w:p w:rsidR="00B027BD" w:rsidRDefault="000A7F5A" w:rsidP="00E20F8F">
      <w:pPr>
        <w:spacing w:after="20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AFAP is </w:t>
      </w:r>
      <w:r w:rsidR="003351F3">
        <w:rPr>
          <w:rFonts w:asciiTheme="minorHAnsi" w:hAnsiTheme="minorHAnsi" w:cstheme="minorHAnsi"/>
          <w:color w:val="000000"/>
          <w:sz w:val="22"/>
          <w:szCs w:val="22"/>
        </w:rPr>
        <w:t>also a party to the following</w:t>
      </w:r>
      <w:r w:rsidR="00B027BD">
        <w:rPr>
          <w:rFonts w:asciiTheme="minorHAnsi" w:hAnsiTheme="minorHAnsi" w:cstheme="minorHAnsi"/>
          <w:color w:val="000000"/>
          <w:sz w:val="22"/>
          <w:szCs w:val="22"/>
        </w:rPr>
        <w:t xml:space="preserve"> Enterprise</w:t>
      </w:r>
      <w:r>
        <w:rPr>
          <w:rFonts w:asciiTheme="minorHAnsi" w:hAnsiTheme="minorHAnsi" w:cstheme="minorHAnsi"/>
          <w:color w:val="000000"/>
          <w:sz w:val="22"/>
          <w:szCs w:val="22"/>
        </w:rPr>
        <w:t xml:space="preserve"> Agreements with</w:t>
      </w:r>
      <w:r w:rsidR="003351F3">
        <w:rPr>
          <w:rFonts w:asciiTheme="minorHAnsi" w:hAnsiTheme="minorHAnsi" w:cstheme="minorHAnsi"/>
          <w:color w:val="000000"/>
          <w:sz w:val="22"/>
          <w:szCs w:val="22"/>
        </w:rPr>
        <w:t xml:space="preserve"> other</w:t>
      </w:r>
      <w:r w:rsidR="00B027BD">
        <w:rPr>
          <w:rFonts w:asciiTheme="minorHAnsi" w:hAnsiTheme="minorHAnsi" w:cstheme="minorHAnsi"/>
          <w:color w:val="000000"/>
          <w:sz w:val="22"/>
          <w:szCs w:val="22"/>
        </w:rPr>
        <w:t xml:space="preserve"> divisions of</w:t>
      </w:r>
      <w:r>
        <w:rPr>
          <w:rFonts w:asciiTheme="minorHAnsi" w:hAnsiTheme="minorHAnsi" w:cstheme="minorHAnsi"/>
          <w:color w:val="000000"/>
          <w:sz w:val="22"/>
          <w:szCs w:val="22"/>
        </w:rPr>
        <w:t xml:space="preserve"> Cobham</w:t>
      </w:r>
      <w:r w:rsidR="003351F3">
        <w:rPr>
          <w:rFonts w:asciiTheme="minorHAnsi" w:hAnsiTheme="minorHAnsi" w:cstheme="minorHAnsi"/>
          <w:color w:val="000000"/>
          <w:sz w:val="22"/>
          <w:szCs w:val="22"/>
        </w:rPr>
        <w:t xml:space="preserve"> that employ Pilots:</w:t>
      </w:r>
      <w:r>
        <w:rPr>
          <w:rFonts w:asciiTheme="minorHAnsi" w:hAnsiTheme="minorHAnsi" w:cstheme="minorHAnsi"/>
          <w:color w:val="000000"/>
          <w:sz w:val="22"/>
          <w:szCs w:val="22"/>
        </w:rPr>
        <w:t xml:space="preserve"> </w:t>
      </w:r>
    </w:p>
    <w:p w:rsidR="000A7F5A" w:rsidRDefault="00B027BD" w:rsidP="00B027BD">
      <w:pPr>
        <w:pStyle w:val="ListParagraph"/>
        <w:numPr>
          <w:ilvl w:val="0"/>
          <w:numId w:val="21"/>
        </w:numPr>
        <w:spacing w:after="20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National Jet Express Pty. Ltd. Pilot Enterprise Agreement 2012-2016</w:t>
      </w:r>
      <w:r w:rsidR="005B3D76">
        <w:rPr>
          <w:rFonts w:asciiTheme="minorHAnsi" w:hAnsiTheme="minorHAnsi" w:cstheme="minorHAnsi"/>
          <w:color w:val="000000"/>
          <w:sz w:val="22"/>
          <w:szCs w:val="22"/>
        </w:rPr>
        <w:t xml:space="preserve"> (AG2012/13744)</w:t>
      </w:r>
    </w:p>
    <w:p w:rsidR="00B027BD" w:rsidRDefault="00B027BD" w:rsidP="00B027BD">
      <w:pPr>
        <w:pStyle w:val="ListParagraph"/>
        <w:numPr>
          <w:ilvl w:val="0"/>
          <w:numId w:val="21"/>
        </w:numPr>
        <w:spacing w:after="20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National Jet Systems Pty Ltd Pilot Enterprise Agreement 2012</w:t>
      </w:r>
      <w:r w:rsidR="005B3D76">
        <w:rPr>
          <w:rFonts w:asciiTheme="minorHAnsi" w:hAnsiTheme="minorHAnsi" w:cstheme="minorHAnsi"/>
          <w:color w:val="000000"/>
          <w:sz w:val="22"/>
          <w:szCs w:val="22"/>
        </w:rPr>
        <w:t xml:space="preserve"> (AG2013/6164)</w:t>
      </w:r>
    </w:p>
    <w:p w:rsidR="0030022F" w:rsidRDefault="003351F3" w:rsidP="003351F3">
      <w:pPr>
        <w:spacing w:after="20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We note that the </w:t>
      </w:r>
      <w:r w:rsidR="0030022F" w:rsidRPr="00B476E4">
        <w:rPr>
          <w:rFonts w:asciiTheme="minorHAnsi" w:hAnsiTheme="minorHAnsi" w:cstheme="minorHAnsi"/>
          <w:color w:val="000000"/>
          <w:sz w:val="22"/>
          <w:szCs w:val="22"/>
        </w:rPr>
        <w:t>Transport Workers Union (“TWU</w:t>
      </w:r>
      <w:r w:rsidR="0030022F">
        <w:rPr>
          <w:rFonts w:asciiTheme="minorHAnsi" w:hAnsiTheme="minorHAnsi" w:cstheme="minorHAnsi"/>
          <w:color w:val="000000"/>
          <w:sz w:val="22"/>
          <w:szCs w:val="22"/>
        </w:rPr>
        <w:t>”</w:t>
      </w:r>
      <w:r w:rsidR="0030022F" w:rsidRPr="00B476E4">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is also </w:t>
      </w:r>
      <w:r w:rsidR="0030022F">
        <w:rPr>
          <w:rFonts w:asciiTheme="minorHAnsi" w:hAnsiTheme="minorHAnsi" w:cstheme="minorHAnsi"/>
          <w:color w:val="000000"/>
          <w:sz w:val="22"/>
          <w:szCs w:val="22"/>
        </w:rPr>
        <w:t xml:space="preserve">a </w:t>
      </w:r>
      <w:r>
        <w:rPr>
          <w:rFonts w:asciiTheme="minorHAnsi" w:hAnsiTheme="minorHAnsi" w:cstheme="minorHAnsi"/>
          <w:color w:val="000000"/>
          <w:sz w:val="22"/>
          <w:szCs w:val="22"/>
        </w:rPr>
        <w:t xml:space="preserve">party to the above agreements and has been in direct competition for members with the AFAP across </w:t>
      </w:r>
      <w:r w:rsidR="0030022F">
        <w:rPr>
          <w:rFonts w:asciiTheme="minorHAnsi" w:hAnsiTheme="minorHAnsi" w:cstheme="minorHAnsi"/>
          <w:color w:val="000000"/>
          <w:sz w:val="22"/>
          <w:szCs w:val="22"/>
        </w:rPr>
        <w:t xml:space="preserve">the various divisions of </w:t>
      </w:r>
      <w:r>
        <w:rPr>
          <w:rFonts w:asciiTheme="minorHAnsi" w:hAnsiTheme="minorHAnsi" w:cstheme="minorHAnsi"/>
          <w:color w:val="000000"/>
          <w:sz w:val="22"/>
          <w:szCs w:val="22"/>
        </w:rPr>
        <w:t>Cobham over many years. This competition has been evidenced by the TWU (in concert with Cobham) to deny access to a</w:t>
      </w:r>
      <w:r w:rsidR="0030022F">
        <w:rPr>
          <w:rFonts w:asciiTheme="minorHAnsi" w:hAnsiTheme="minorHAnsi" w:cstheme="minorHAnsi"/>
          <w:color w:val="000000"/>
          <w:sz w:val="22"/>
          <w:szCs w:val="22"/>
        </w:rPr>
        <w:t>ny</w:t>
      </w:r>
      <w:r>
        <w:rPr>
          <w:rFonts w:asciiTheme="minorHAnsi" w:hAnsiTheme="minorHAnsi" w:cstheme="minorHAnsi"/>
          <w:color w:val="000000"/>
          <w:sz w:val="22"/>
          <w:szCs w:val="22"/>
        </w:rPr>
        <w:t xml:space="preserve"> Loss of Licence reimbursement in any of the Cobham Enterprise Agreements</w:t>
      </w:r>
      <w:r w:rsidR="0030022F">
        <w:rPr>
          <w:rFonts w:asciiTheme="minorHAnsi" w:hAnsiTheme="minorHAnsi" w:cstheme="minorHAnsi"/>
          <w:color w:val="000000"/>
          <w:sz w:val="22"/>
          <w:szCs w:val="22"/>
        </w:rPr>
        <w:t xml:space="preserve">, despite this being an entitlement that is provided in the </w:t>
      </w:r>
      <w:r w:rsidR="0030022F">
        <w:rPr>
          <w:rFonts w:asciiTheme="minorHAnsi" w:hAnsiTheme="minorHAnsi" w:cstheme="minorHAnsi"/>
          <w:i/>
          <w:color w:val="000000"/>
          <w:sz w:val="22"/>
          <w:szCs w:val="22"/>
        </w:rPr>
        <w:t>Air Pilots Award</w:t>
      </w:r>
      <w:r>
        <w:rPr>
          <w:rFonts w:asciiTheme="minorHAnsi" w:hAnsiTheme="minorHAnsi" w:cstheme="minorHAnsi"/>
          <w:color w:val="000000"/>
          <w:sz w:val="22"/>
          <w:szCs w:val="22"/>
        </w:rPr>
        <w:t>.</w:t>
      </w:r>
      <w:r w:rsidR="0030022F">
        <w:rPr>
          <w:rFonts w:asciiTheme="minorHAnsi" w:hAnsiTheme="minorHAnsi" w:cstheme="minorHAnsi"/>
          <w:color w:val="000000"/>
          <w:sz w:val="22"/>
          <w:szCs w:val="22"/>
        </w:rPr>
        <w:t xml:space="preserve"> </w:t>
      </w:r>
    </w:p>
    <w:p w:rsidR="00B027BD" w:rsidRDefault="0030022F" w:rsidP="003351F3">
      <w:pPr>
        <w:spacing w:after="20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reason the TWU has actively negotiated for the exclusion of any Loss of Licence insurance reimbursement in Cobham is as a result of AFAP membership providing exclusive access to the </w:t>
      </w:r>
      <w:r w:rsidRPr="0030022F">
        <w:rPr>
          <w:rFonts w:asciiTheme="minorHAnsi" w:hAnsiTheme="minorHAnsi" w:cstheme="minorHAnsi"/>
          <w:color w:val="000000"/>
          <w:sz w:val="22"/>
          <w:szCs w:val="22"/>
        </w:rPr>
        <w:t>Australian Air Pilots Mutual Benefit Fund (</w:t>
      </w:r>
      <w:r>
        <w:rPr>
          <w:rFonts w:asciiTheme="minorHAnsi" w:hAnsiTheme="minorHAnsi" w:cstheme="minorHAnsi"/>
          <w:color w:val="000000"/>
          <w:sz w:val="22"/>
          <w:szCs w:val="22"/>
        </w:rPr>
        <w:t>“</w:t>
      </w:r>
      <w:r w:rsidRPr="0030022F">
        <w:rPr>
          <w:rFonts w:asciiTheme="minorHAnsi" w:hAnsiTheme="minorHAnsi" w:cstheme="minorHAnsi"/>
          <w:color w:val="000000"/>
          <w:sz w:val="22"/>
          <w:szCs w:val="22"/>
        </w:rPr>
        <w:t>MBF</w:t>
      </w:r>
      <w:r>
        <w:rPr>
          <w:rFonts w:asciiTheme="minorHAnsi" w:hAnsiTheme="minorHAnsi" w:cstheme="minorHAnsi"/>
          <w:color w:val="000000"/>
          <w:sz w:val="22"/>
          <w:szCs w:val="22"/>
        </w:rPr>
        <w:t>”</w:t>
      </w:r>
      <w:r w:rsidRPr="0030022F">
        <w:rPr>
          <w:rFonts w:asciiTheme="minorHAnsi" w:hAnsiTheme="minorHAnsi" w:cstheme="minorHAnsi"/>
          <w:color w:val="000000"/>
          <w:sz w:val="22"/>
          <w:szCs w:val="22"/>
        </w:rPr>
        <w:t>)</w:t>
      </w:r>
      <w:r>
        <w:rPr>
          <w:rFonts w:asciiTheme="minorHAnsi" w:hAnsiTheme="minorHAnsi" w:cstheme="minorHAnsi"/>
          <w:color w:val="000000"/>
          <w:sz w:val="22"/>
          <w:szCs w:val="22"/>
        </w:rPr>
        <w:t>, the preeminent loss of licence fund for Australian pilots. As the TWU does not provide any</w:t>
      </w:r>
      <w:r w:rsidR="00753ADD">
        <w:rPr>
          <w:rFonts w:asciiTheme="minorHAnsi" w:hAnsiTheme="minorHAnsi" w:cstheme="minorHAnsi"/>
          <w:color w:val="000000"/>
          <w:sz w:val="22"/>
          <w:szCs w:val="22"/>
        </w:rPr>
        <w:t xml:space="preserve"> comparable</w:t>
      </w:r>
      <w:r>
        <w:rPr>
          <w:rFonts w:asciiTheme="minorHAnsi" w:hAnsiTheme="minorHAnsi" w:cstheme="minorHAnsi"/>
          <w:color w:val="000000"/>
          <w:sz w:val="22"/>
          <w:szCs w:val="22"/>
        </w:rPr>
        <w:t xml:space="preserve"> product to its members, ensuring that Pilots cannot be reimbursed for MBF coverage is a way of undermining the AFAP.</w:t>
      </w:r>
    </w:p>
    <w:p w:rsidR="00114D42" w:rsidRDefault="00114D42" w:rsidP="003351F3">
      <w:pPr>
        <w:spacing w:after="20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We can only speculate as to why Cobham have supported the action of the TWU, but it is clear that it would prefer not to deal with the AFAP, as we are a highly resourced union</w:t>
      </w:r>
      <w:r w:rsidR="00735F14">
        <w:rPr>
          <w:rFonts w:asciiTheme="minorHAnsi" w:hAnsiTheme="minorHAnsi" w:cstheme="minorHAnsi"/>
          <w:color w:val="000000"/>
          <w:sz w:val="22"/>
          <w:szCs w:val="22"/>
        </w:rPr>
        <w:t xml:space="preserve"> with unmatched expertise in negotiating on behalf of Pilots</w:t>
      </w:r>
      <w:r>
        <w:rPr>
          <w:rFonts w:asciiTheme="minorHAnsi" w:hAnsiTheme="minorHAnsi" w:cstheme="minorHAnsi"/>
          <w:color w:val="000000"/>
          <w:sz w:val="22"/>
          <w:szCs w:val="22"/>
        </w:rPr>
        <w:t>.</w:t>
      </w:r>
    </w:p>
    <w:p w:rsidR="0030022F" w:rsidRPr="0030022F" w:rsidRDefault="0030022F" w:rsidP="00AC230F">
      <w:pPr>
        <w:pStyle w:val="Heading2"/>
      </w:pPr>
      <w:r w:rsidRPr="0030022F">
        <w:t>Conduct of Bargaining for the Cobham SAR Agreement</w:t>
      </w:r>
    </w:p>
    <w:p w:rsidR="0030022F" w:rsidRDefault="0030022F" w:rsidP="0030022F">
      <w:pPr>
        <w:spacing w:after="20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Despite being a party to other Agreements within Cobham (including the business unit that set up Cobham SAR Services), t</w:t>
      </w:r>
      <w:r w:rsidRPr="00B476E4">
        <w:rPr>
          <w:rFonts w:asciiTheme="minorHAnsi" w:hAnsiTheme="minorHAnsi" w:cstheme="minorHAnsi"/>
          <w:color w:val="000000"/>
          <w:sz w:val="22"/>
          <w:szCs w:val="22"/>
        </w:rPr>
        <w:t xml:space="preserve">he AFAP were not even notified that bargaining had commenced between Cobham and the </w:t>
      </w:r>
      <w:r>
        <w:rPr>
          <w:rFonts w:asciiTheme="minorHAnsi" w:hAnsiTheme="minorHAnsi" w:cstheme="minorHAnsi"/>
          <w:color w:val="000000"/>
          <w:sz w:val="22"/>
          <w:szCs w:val="22"/>
        </w:rPr>
        <w:t>TWU in relation to the Cobham SAR Agreement. We became aware only when the Cobham SAR Agreement was listed on the Fair Work Commission Website as pending approval.</w:t>
      </w:r>
    </w:p>
    <w:p w:rsidR="000A7F5A" w:rsidRDefault="0030022F" w:rsidP="00E20F8F">
      <w:pPr>
        <w:spacing w:after="20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w:t>
      </w:r>
      <w:r w:rsidR="000A7F5A">
        <w:rPr>
          <w:rFonts w:asciiTheme="minorHAnsi" w:hAnsiTheme="minorHAnsi" w:cstheme="minorHAnsi"/>
          <w:color w:val="000000"/>
          <w:sz w:val="22"/>
          <w:szCs w:val="22"/>
        </w:rPr>
        <w:t>t no stage did Cobham agree to meet with or recognise the AFAP as a bargaining representative consistent with the requirements of good faith bargaining obligations</w:t>
      </w:r>
      <w:r w:rsidR="00B027BD">
        <w:rPr>
          <w:rFonts w:asciiTheme="minorHAnsi" w:hAnsiTheme="minorHAnsi" w:cstheme="minorHAnsi"/>
          <w:color w:val="000000"/>
          <w:sz w:val="22"/>
          <w:szCs w:val="22"/>
        </w:rPr>
        <w:t xml:space="preserve"> at s.228 of the Act</w:t>
      </w:r>
      <w:r>
        <w:rPr>
          <w:rFonts w:asciiTheme="minorHAnsi" w:hAnsiTheme="minorHAnsi" w:cstheme="minorHAnsi"/>
          <w:color w:val="000000"/>
          <w:sz w:val="22"/>
          <w:szCs w:val="22"/>
        </w:rPr>
        <w:t xml:space="preserve"> that would be required to be (and are) afforded to the AFAP in each of the other three Enterprise Agreement negotiations at Cobham.</w:t>
      </w:r>
    </w:p>
    <w:p w:rsidR="005B3D76" w:rsidRDefault="005B3D76" w:rsidP="005B3D76">
      <w:pPr>
        <w:spacing w:after="20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Given the level of familiarity of Cobham</w:t>
      </w:r>
      <w:r w:rsidR="00114D42">
        <w:rPr>
          <w:rFonts w:asciiTheme="minorHAnsi" w:hAnsiTheme="minorHAnsi" w:cstheme="minorHAnsi"/>
          <w:color w:val="000000"/>
          <w:sz w:val="22"/>
          <w:szCs w:val="22"/>
        </w:rPr>
        <w:t xml:space="preserve"> with the AFAP</w:t>
      </w:r>
      <w:r>
        <w:rPr>
          <w:rFonts w:asciiTheme="minorHAnsi" w:hAnsiTheme="minorHAnsi" w:cstheme="minorHAnsi"/>
          <w:color w:val="000000"/>
          <w:sz w:val="22"/>
          <w:szCs w:val="22"/>
        </w:rPr>
        <w:t xml:space="preserve">, the decision to exclude the AFAP from bargaining for the Cobham SAR Agreement was clearly a deliberate decision from the Employer </w:t>
      </w:r>
      <w:r w:rsidR="0030022F">
        <w:rPr>
          <w:rFonts w:asciiTheme="minorHAnsi" w:hAnsiTheme="minorHAnsi" w:cstheme="minorHAnsi"/>
          <w:color w:val="000000"/>
          <w:sz w:val="22"/>
          <w:szCs w:val="22"/>
        </w:rPr>
        <w:t>in concert with</w:t>
      </w:r>
      <w:r w:rsidR="00114D42">
        <w:rPr>
          <w:rFonts w:asciiTheme="minorHAnsi" w:hAnsiTheme="minorHAnsi" w:cstheme="minorHAnsi"/>
          <w:color w:val="000000"/>
          <w:sz w:val="22"/>
          <w:szCs w:val="22"/>
        </w:rPr>
        <w:t xml:space="preserve"> a complicit</w:t>
      </w:r>
      <w:r w:rsidR="0030022F">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TWU. </w:t>
      </w:r>
    </w:p>
    <w:p w:rsidR="00114D42" w:rsidRDefault="00114D42" w:rsidP="00681913">
      <w:pPr>
        <w:spacing w:after="20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In all other negotiations within Cobham for Enterprise Agreements the AFAP has always been recognised as a bargaining representative.  Therefore it </w:t>
      </w:r>
      <w:r w:rsidR="00FC3064">
        <w:rPr>
          <w:rFonts w:asciiTheme="minorHAnsi" w:hAnsiTheme="minorHAnsi" w:cstheme="minorHAnsi"/>
          <w:color w:val="000000"/>
          <w:sz w:val="22"/>
          <w:szCs w:val="22"/>
        </w:rPr>
        <w:t xml:space="preserve">is </w:t>
      </w:r>
      <w:r>
        <w:rPr>
          <w:rFonts w:asciiTheme="minorHAnsi" w:hAnsiTheme="minorHAnsi" w:cstheme="minorHAnsi"/>
          <w:color w:val="000000"/>
          <w:sz w:val="22"/>
          <w:szCs w:val="22"/>
        </w:rPr>
        <w:t>reasonable to conclude that the decision to</w:t>
      </w:r>
      <w:r w:rsidR="00681913">
        <w:rPr>
          <w:rFonts w:asciiTheme="minorHAnsi" w:hAnsiTheme="minorHAnsi" w:cstheme="minorHAnsi"/>
          <w:color w:val="000000"/>
          <w:sz w:val="22"/>
          <w:szCs w:val="22"/>
        </w:rPr>
        <w:t xml:space="preserve"> exclude the AFAP was as</w:t>
      </w:r>
      <w:r w:rsidR="00681913" w:rsidRPr="00681913">
        <w:rPr>
          <w:rFonts w:asciiTheme="minorHAnsi" w:hAnsiTheme="minorHAnsi" w:cstheme="minorHAnsi"/>
          <w:color w:val="000000"/>
          <w:sz w:val="22"/>
          <w:szCs w:val="22"/>
        </w:rPr>
        <w:t xml:space="preserve"> a direct result of the amended definition of “bargaining representative” i</w:t>
      </w:r>
      <w:r w:rsidR="00681913">
        <w:rPr>
          <w:rFonts w:asciiTheme="minorHAnsi" w:hAnsiTheme="minorHAnsi" w:cstheme="minorHAnsi"/>
          <w:color w:val="000000"/>
          <w:sz w:val="22"/>
          <w:szCs w:val="22"/>
        </w:rPr>
        <w:t xml:space="preserve">ntroduced by the Amendment Act, which provides that an </w:t>
      </w:r>
      <w:r w:rsidR="00681913" w:rsidRPr="00B476E4">
        <w:rPr>
          <w:rFonts w:asciiTheme="minorHAnsi" w:hAnsiTheme="minorHAnsi" w:cstheme="minorHAnsi"/>
          <w:color w:val="000000"/>
          <w:sz w:val="22"/>
          <w:szCs w:val="22"/>
        </w:rPr>
        <w:t xml:space="preserve"> “employer must agr</w:t>
      </w:r>
      <w:r w:rsidR="00681913">
        <w:rPr>
          <w:rFonts w:asciiTheme="minorHAnsi" w:hAnsiTheme="minorHAnsi" w:cstheme="minorHAnsi"/>
          <w:color w:val="000000"/>
          <w:sz w:val="22"/>
          <w:szCs w:val="22"/>
        </w:rPr>
        <w:t>ee to bargain”</w:t>
      </w:r>
      <w:r w:rsidR="00681913">
        <w:rPr>
          <w:rStyle w:val="FootnoteReference"/>
          <w:rFonts w:asciiTheme="minorHAnsi" w:hAnsiTheme="minorHAnsi" w:cstheme="minorHAnsi"/>
          <w:color w:val="000000"/>
          <w:sz w:val="22"/>
          <w:szCs w:val="22"/>
        </w:rPr>
        <w:footnoteReference w:id="1"/>
      </w:r>
      <w:r w:rsidR="00681913">
        <w:rPr>
          <w:rFonts w:asciiTheme="minorHAnsi" w:hAnsiTheme="minorHAnsi" w:cstheme="minorHAnsi"/>
          <w:color w:val="000000"/>
          <w:sz w:val="22"/>
          <w:szCs w:val="22"/>
        </w:rPr>
        <w:t xml:space="preserve"> with an employee organisation</w:t>
      </w:r>
      <w:r>
        <w:rPr>
          <w:rFonts w:asciiTheme="minorHAnsi" w:hAnsiTheme="minorHAnsi" w:cstheme="minorHAnsi"/>
          <w:color w:val="000000"/>
          <w:sz w:val="22"/>
          <w:szCs w:val="22"/>
        </w:rPr>
        <w:t xml:space="preserve"> in a Greenfields Agreement</w:t>
      </w:r>
      <w:r w:rsidR="00681913">
        <w:rPr>
          <w:rFonts w:asciiTheme="minorHAnsi" w:hAnsiTheme="minorHAnsi" w:cstheme="minorHAnsi"/>
          <w:color w:val="000000"/>
          <w:sz w:val="22"/>
          <w:szCs w:val="22"/>
        </w:rPr>
        <w:t xml:space="preserve"> </w:t>
      </w:r>
      <w:r w:rsidR="00735F14">
        <w:rPr>
          <w:rFonts w:asciiTheme="minorHAnsi" w:hAnsiTheme="minorHAnsi" w:cstheme="minorHAnsi"/>
          <w:color w:val="000000"/>
          <w:sz w:val="22"/>
          <w:szCs w:val="22"/>
        </w:rPr>
        <w:t>before it is</w:t>
      </w:r>
      <w:r w:rsidR="00681913">
        <w:rPr>
          <w:rFonts w:asciiTheme="minorHAnsi" w:hAnsiTheme="minorHAnsi" w:cstheme="minorHAnsi"/>
          <w:color w:val="000000"/>
          <w:sz w:val="22"/>
          <w:szCs w:val="22"/>
        </w:rPr>
        <w:t xml:space="preserve"> recognised as a</w:t>
      </w:r>
      <w:r w:rsidR="00681913" w:rsidRPr="00B476E4">
        <w:rPr>
          <w:rFonts w:asciiTheme="minorHAnsi" w:hAnsiTheme="minorHAnsi" w:cstheme="minorHAnsi"/>
          <w:color w:val="000000"/>
          <w:sz w:val="22"/>
          <w:szCs w:val="22"/>
        </w:rPr>
        <w:t xml:space="preserve"> bargaining representative</w:t>
      </w:r>
      <w:r w:rsidR="00681913">
        <w:rPr>
          <w:rFonts w:asciiTheme="minorHAnsi" w:hAnsiTheme="minorHAnsi" w:cstheme="minorHAnsi"/>
          <w:color w:val="000000"/>
          <w:sz w:val="22"/>
          <w:szCs w:val="22"/>
        </w:rPr>
        <w:t xml:space="preserve">. </w:t>
      </w:r>
    </w:p>
    <w:p w:rsidR="00681913" w:rsidRDefault="00114D42" w:rsidP="00114D42">
      <w:pPr>
        <w:spacing w:after="20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The</w:t>
      </w:r>
      <w:r w:rsidR="00681913">
        <w:rPr>
          <w:rFonts w:asciiTheme="minorHAnsi" w:hAnsiTheme="minorHAnsi" w:cstheme="minorHAnsi"/>
          <w:color w:val="000000"/>
          <w:sz w:val="22"/>
          <w:szCs w:val="22"/>
        </w:rPr>
        <w:t xml:space="preserve"> Amendment Act provided a means for Cobham to pick and choose which employee organisation it negotiate</w:t>
      </w:r>
      <w:r>
        <w:rPr>
          <w:rFonts w:asciiTheme="minorHAnsi" w:hAnsiTheme="minorHAnsi" w:cstheme="minorHAnsi"/>
          <w:color w:val="000000"/>
          <w:sz w:val="22"/>
          <w:szCs w:val="22"/>
        </w:rPr>
        <w:t>d</w:t>
      </w:r>
      <w:r w:rsidR="00681913">
        <w:rPr>
          <w:rFonts w:asciiTheme="minorHAnsi" w:hAnsiTheme="minorHAnsi" w:cstheme="minorHAnsi"/>
          <w:color w:val="000000"/>
          <w:sz w:val="22"/>
          <w:szCs w:val="22"/>
        </w:rPr>
        <w:t xml:space="preserve"> with</w:t>
      </w:r>
      <w:r>
        <w:rPr>
          <w:rFonts w:asciiTheme="minorHAnsi" w:hAnsiTheme="minorHAnsi" w:cstheme="minorHAnsi"/>
          <w:color w:val="000000"/>
          <w:sz w:val="22"/>
          <w:szCs w:val="22"/>
        </w:rPr>
        <w:t>, in di</w:t>
      </w:r>
      <w:r w:rsidR="00681913">
        <w:rPr>
          <w:rFonts w:asciiTheme="minorHAnsi" w:hAnsiTheme="minorHAnsi" w:cstheme="minorHAnsi"/>
          <w:color w:val="000000"/>
          <w:sz w:val="22"/>
          <w:szCs w:val="22"/>
        </w:rPr>
        <w:t>rect contradict</w:t>
      </w:r>
      <w:r>
        <w:rPr>
          <w:rFonts w:asciiTheme="minorHAnsi" w:hAnsiTheme="minorHAnsi" w:cstheme="minorHAnsi"/>
          <w:color w:val="000000"/>
          <w:sz w:val="22"/>
          <w:szCs w:val="22"/>
        </w:rPr>
        <w:t>ion of</w:t>
      </w:r>
      <w:r w:rsidR="00681913">
        <w:rPr>
          <w:rFonts w:asciiTheme="minorHAnsi" w:hAnsiTheme="minorHAnsi" w:cstheme="minorHAnsi"/>
          <w:color w:val="000000"/>
          <w:sz w:val="22"/>
          <w:szCs w:val="22"/>
        </w:rPr>
        <w:t xml:space="preserve"> the stated aim of the Amendment Act, which was to </w:t>
      </w:r>
      <w:r w:rsidR="00735F14">
        <w:rPr>
          <w:rFonts w:asciiTheme="minorHAnsi" w:hAnsiTheme="minorHAnsi" w:cstheme="minorHAnsi"/>
          <w:color w:val="000000"/>
          <w:sz w:val="22"/>
          <w:szCs w:val="22"/>
        </w:rPr>
        <w:t>extend</w:t>
      </w:r>
      <w:r w:rsidR="00681913" w:rsidRPr="00391E93">
        <w:rPr>
          <w:rFonts w:asciiTheme="minorHAnsi" w:hAnsiTheme="minorHAnsi" w:cstheme="minorHAnsi"/>
          <w:color w:val="000000"/>
          <w:sz w:val="22"/>
          <w:szCs w:val="22"/>
        </w:rPr>
        <w:t xml:space="preserve"> </w:t>
      </w:r>
      <w:r w:rsidR="00681913">
        <w:rPr>
          <w:rFonts w:asciiTheme="minorHAnsi" w:hAnsiTheme="minorHAnsi" w:cstheme="minorHAnsi"/>
          <w:color w:val="000000"/>
          <w:sz w:val="22"/>
          <w:szCs w:val="22"/>
        </w:rPr>
        <w:t>t</w:t>
      </w:r>
      <w:r w:rsidR="00681913" w:rsidRPr="000A7F5A">
        <w:rPr>
          <w:rFonts w:asciiTheme="minorHAnsi" w:hAnsiTheme="minorHAnsi" w:cstheme="minorHAnsi"/>
          <w:color w:val="000000"/>
          <w:sz w:val="22"/>
          <w:szCs w:val="22"/>
        </w:rPr>
        <w:t>he existing good faith bargaining requirements</w:t>
      </w:r>
      <w:r>
        <w:rPr>
          <w:rFonts w:asciiTheme="minorHAnsi" w:hAnsiTheme="minorHAnsi" w:cstheme="minorHAnsi"/>
          <w:color w:val="000000"/>
          <w:sz w:val="22"/>
          <w:szCs w:val="22"/>
        </w:rPr>
        <w:t xml:space="preserve"> (applied to enterprise agreements other than Greenfields Agreements)</w:t>
      </w:r>
      <w:r w:rsidR="00681913" w:rsidRPr="000A7F5A">
        <w:rPr>
          <w:rFonts w:asciiTheme="minorHAnsi" w:hAnsiTheme="minorHAnsi" w:cstheme="minorHAnsi"/>
          <w:color w:val="000000"/>
          <w:sz w:val="22"/>
          <w:szCs w:val="22"/>
        </w:rPr>
        <w:t xml:space="preserve"> </w:t>
      </w:r>
      <w:r>
        <w:rPr>
          <w:rFonts w:asciiTheme="minorHAnsi" w:hAnsiTheme="minorHAnsi" w:cstheme="minorHAnsi"/>
          <w:color w:val="000000"/>
          <w:sz w:val="22"/>
          <w:szCs w:val="22"/>
        </w:rPr>
        <w:t>to Greenfie</w:t>
      </w:r>
      <w:r w:rsidR="00735F14">
        <w:rPr>
          <w:rFonts w:asciiTheme="minorHAnsi" w:hAnsiTheme="minorHAnsi" w:cstheme="minorHAnsi"/>
          <w:color w:val="000000"/>
          <w:sz w:val="22"/>
          <w:szCs w:val="22"/>
        </w:rPr>
        <w:t xml:space="preserve">lds Agreements, and consequentially ensuring </w:t>
      </w:r>
      <w:r>
        <w:rPr>
          <w:rFonts w:asciiTheme="minorHAnsi" w:hAnsiTheme="minorHAnsi" w:cstheme="minorHAnsi"/>
          <w:color w:val="000000"/>
          <w:sz w:val="22"/>
          <w:szCs w:val="22"/>
        </w:rPr>
        <w:t>“</w:t>
      </w:r>
      <w:r w:rsidR="00681913" w:rsidRPr="000A7F5A">
        <w:rPr>
          <w:rFonts w:asciiTheme="minorHAnsi" w:hAnsiTheme="minorHAnsi" w:cstheme="minorHAnsi"/>
          <w:color w:val="000000"/>
          <w:sz w:val="22"/>
          <w:szCs w:val="22"/>
        </w:rPr>
        <w:t>that bargaining representatives must attend and participate in meetings and recognise and bargain with other bargaining representatives.</w:t>
      </w:r>
      <w:r w:rsidR="00681913">
        <w:rPr>
          <w:rFonts w:asciiTheme="minorHAnsi" w:hAnsiTheme="minorHAnsi" w:cstheme="minorHAnsi"/>
          <w:color w:val="000000"/>
          <w:sz w:val="22"/>
          <w:szCs w:val="22"/>
        </w:rPr>
        <w:t>”</w:t>
      </w:r>
      <w:r w:rsidR="00681913">
        <w:rPr>
          <w:rStyle w:val="FootnoteReference"/>
          <w:rFonts w:asciiTheme="minorHAnsi" w:hAnsiTheme="minorHAnsi" w:cstheme="minorHAnsi"/>
          <w:color w:val="000000"/>
          <w:sz w:val="22"/>
          <w:szCs w:val="22"/>
        </w:rPr>
        <w:footnoteReference w:id="2"/>
      </w:r>
      <w:r w:rsidR="00681913">
        <w:rPr>
          <w:rFonts w:asciiTheme="minorHAnsi" w:hAnsiTheme="minorHAnsi" w:cstheme="minorHAnsi"/>
          <w:color w:val="000000"/>
          <w:sz w:val="22"/>
          <w:szCs w:val="22"/>
        </w:rPr>
        <w:t xml:space="preserve"> </w:t>
      </w:r>
      <w:r w:rsidR="00735F14">
        <w:rPr>
          <w:rFonts w:asciiTheme="minorHAnsi" w:hAnsiTheme="minorHAnsi" w:cstheme="minorHAnsi"/>
          <w:color w:val="000000"/>
          <w:sz w:val="22"/>
          <w:szCs w:val="22"/>
        </w:rPr>
        <w:t xml:space="preserve">The practical application of the </w:t>
      </w:r>
      <w:r>
        <w:rPr>
          <w:rFonts w:asciiTheme="minorHAnsi" w:hAnsiTheme="minorHAnsi" w:cstheme="minorHAnsi"/>
          <w:color w:val="000000"/>
          <w:sz w:val="22"/>
          <w:szCs w:val="22"/>
        </w:rPr>
        <w:t>Amendment Act</w:t>
      </w:r>
      <w:r w:rsidR="00735F14">
        <w:rPr>
          <w:rFonts w:asciiTheme="minorHAnsi" w:hAnsiTheme="minorHAnsi" w:cstheme="minorHAnsi"/>
          <w:color w:val="000000"/>
          <w:sz w:val="22"/>
          <w:szCs w:val="22"/>
        </w:rPr>
        <w:t xml:space="preserve"> in the Cobham SAR Agreement negotiation</w:t>
      </w:r>
      <w:r>
        <w:rPr>
          <w:rFonts w:asciiTheme="minorHAnsi" w:hAnsiTheme="minorHAnsi" w:cstheme="minorHAnsi"/>
          <w:color w:val="000000"/>
          <w:sz w:val="22"/>
          <w:szCs w:val="22"/>
        </w:rPr>
        <w:t xml:space="preserve"> has </w:t>
      </w:r>
      <w:r w:rsidR="00735F14">
        <w:rPr>
          <w:rFonts w:asciiTheme="minorHAnsi" w:hAnsiTheme="minorHAnsi" w:cstheme="minorHAnsi"/>
          <w:color w:val="000000"/>
          <w:sz w:val="22"/>
          <w:szCs w:val="22"/>
        </w:rPr>
        <w:t>been</w:t>
      </w:r>
      <w:r>
        <w:rPr>
          <w:rFonts w:asciiTheme="minorHAnsi" w:hAnsiTheme="minorHAnsi" w:cstheme="minorHAnsi"/>
          <w:color w:val="000000"/>
          <w:sz w:val="22"/>
          <w:szCs w:val="22"/>
        </w:rPr>
        <w:t xml:space="preserve"> the exact opposite. </w:t>
      </w:r>
    </w:p>
    <w:p w:rsidR="000A7F5A" w:rsidRDefault="00B027BD" w:rsidP="00E20F8F">
      <w:pPr>
        <w:spacing w:after="20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result of the </w:t>
      </w:r>
      <w:r w:rsidR="00F83D9F">
        <w:rPr>
          <w:rFonts w:asciiTheme="minorHAnsi" w:hAnsiTheme="minorHAnsi" w:cstheme="minorHAnsi"/>
          <w:color w:val="000000"/>
          <w:sz w:val="22"/>
          <w:szCs w:val="22"/>
        </w:rPr>
        <w:t>Cobham SAR Agreement</w:t>
      </w:r>
      <w:r>
        <w:rPr>
          <w:rFonts w:asciiTheme="minorHAnsi" w:hAnsiTheme="minorHAnsi" w:cstheme="minorHAnsi"/>
          <w:color w:val="000000"/>
          <w:sz w:val="22"/>
          <w:szCs w:val="22"/>
        </w:rPr>
        <w:t xml:space="preserve"> </w:t>
      </w:r>
      <w:r w:rsidR="00F83D9F">
        <w:rPr>
          <w:rFonts w:asciiTheme="minorHAnsi" w:hAnsiTheme="minorHAnsi" w:cstheme="minorHAnsi"/>
          <w:color w:val="000000"/>
          <w:sz w:val="22"/>
          <w:szCs w:val="22"/>
        </w:rPr>
        <w:t>was a Greenfields Agreement providing</w:t>
      </w:r>
      <w:r>
        <w:rPr>
          <w:rFonts w:asciiTheme="minorHAnsi" w:hAnsiTheme="minorHAnsi" w:cstheme="minorHAnsi"/>
          <w:color w:val="000000"/>
          <w:sz w:val="22"/>
          <w:szCs w:val="22"/>
        </w:rPr>
        <w:t xml:space="preserve"> for conditions below relevant industry standards, </w:t>
      </w:r>
      <w:r w:rsidRPr="00B027BD">
        <w:rPr>
          <w:rFonts w:asciiTheme="minorHAnsi" w:hAnsiTheme="minorHAnsi" w:cstheme="minorHAnsi"/>
          <w:color w:val="000000"/>
          <w:sz w:val="22"/>
          <w:szCs w:val="22"/>
        </w:rPr>
        <w:t>p</w:t>
      </w:r>
      <w:r>
        <w:rPr>
          <w:rFonts w:asciiTheme="minorHAnsi" w:hAnsiTheme="minorHAnsi" w:cstheme="minorHAnsi"/>
          <w:color w:val="000000"/>
          <w:sz w:val="22"/>
          <w:szCs w:val="22"/>
        </w:rPr>
        <w:t>roviding a base salary for</w:t>
      </w:r>
      <w:r w:rsidRPr="00B027BD">
        <w:rPr>
          <w:rFonts w:asciiTheme="minorHAnsi" w:hAnsiTheme="minorHAnsi" w:cstheme="minorHAnsi"/>
          <w:color w:val="000000"/>
          <w:sz w:val="22"/>
          <w:szCs w:val="22"/>
        </w:rPr>
        <w:t xml:space="preserve"> pilots flying </w:t>
      </w:r>
      <w:r w:rsidR="0052741E">
        <w:rPr>
          <w:rFonts w:asciiTheme="minorHAnsi" w:hAnsiTheme="minorHAnsi" w:cstheme="minorHAnsi"/>
          <w:color w:val="000000"/>
          <w:sz w:val="22"/>
          <w:szCs w:val="22"/>
        </w:rPr>
        <w:t xml:space="preserve">modern </w:t>
      </w:r>
      <w:r w:rsidRPr="00B027BD">
        <w:rPr>
          <w:rFonts w:asciiTheme="minorHAnsi" w:hAnsiTheme="minorHAnsi" w:cstheme="minorHAnsi"/>
          <w:color w:val="000000"/>
          <w:sz w:val="22"/>
          <w:szCs w:val="22"/>
        </w:rPr>
        <w:t>jet aircraft</w:t>
      </w:r>
      <w:r>
        <w:rPr>
          <w:rFonts w:asciiTheme="minorHAnsi" w:hAnsiTheme="minorHAnsi" w:cstheme="minorHAnsi"/>
          <w:color w:val="000000"/>
          <w:sz w:val="22"/>
          <w:szCs w:val="22"/>
        </w:rPr>
        <w:t xml:space="preserve"> (Challenger CL-604) under the Cobham SAR Agreement</w:t>
      </w:r>
      <w:r w:rsidRPr="00B027BD">
        <w:rPr>
          <w:rFonts w:asciiTheme="minorHAnsi" w:hAnsiTheme="minorHAnsi" w:cstheme="minorHAnsi"/>
          <w:color w:val="000000"/>
          <w:sz w:val="22"/>
          <w:szCs w:val="22"/>
        </w:rPr>
        <w:t xml:space="preserve"> less than Cobham pilots receive flying Dash-8 turbo-prop aircraft</w:t>
      </w:r>
      <w:r>
        <w:rPr>
          <w:rFonts w:asciiTheme="minorHAnsi" w:hAnsiTheme="minorHAnsi" w:cstheme="minorHAnsi"/>
          <w:color w:val="000000"/>
          <w:sz w:val="22"/>
          <w:szCs w:val="22"/>
        </w:rPr>
        <w:t xml:space="preserve"> under the </w:t>
      </w:r>
      <w:r w:rsidR="00F83D9F">
        <w:rPr>
          <w:rFonts w:asciiTheme="minorHAnsi" w:hAnsiTheme="minorHAnsi" w:cstheme="minorHAnsi"/>
          <w:color w:val="000000"/>
          <w:sz w:val="22"/>
          <w:szCs w:val="22"/>
        </w:rPr>
        <w:t>Special Mission Agreement</w:t>
      </w:r>
      <w:r w:rsidR="002E1FAA">
        <w:rPr>
          <w:rFonts w:asciiTheme="minorHAnsi" w:hAnsiTheme="minorHAnsi" w:cstheme="minorHAnsi"/>
          <w:color w:val="000000"/>
          <w:sz w:val="22"/>
          <w:szCs w:val="22"/>
        </w:rPr>
        <w:t>. Consistent with othe</w:t>
      </w:r>
      <w:r w:rsidR="00753ADD">
        <w:rPr>
          <w:rFonts w:asciiTheme="minorHAnsi" w:hAnsiTheme="minorHAnsi" w:cstheme="minorHAnsi"/>
          <w:color w:val="000000"/>
          <w:sz w:val="22"/>
          <w:szCs w:val="22"/>
        </w:rPr>
        <w:t xml:space="preserve">r Cobham Enterprise Agreements </w:t>
      </w:r>
      <w:r w:rsidR="002E1FAA">
        <w:rPr>
          <w:rFonts w:asciiTheme="minorHAnsi" w:hAnsiTheme="minorHAnsi" w:cstheme="minorHAnsi"/>
          <w:color w:val="000000"/>
          <w:sz w:val="22"/>
          <w:szCs w:val="22"/>
        </w:rPr>
        <w:t>the Employer and TWU also consciously did not provide for a Loss of Licence Reimbursement.</w:t>
      </w:r>
    </w:p>
    <w:p w:rsidR="002E1FAA" w:rsidRDefault="002E1FAA" w:rsidP="002E1FAA">
      <w:pPr>
        <w:spacing w:after="20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The ability for one union to approve a Greenfields Agreements provided it has “eligibility” to cover a majority of employees that will be engaged, does not prevent Greenfields Agreements being approved by a union for other classifications of workers that are not its membership base. In this instance the AFAP have at least 18 members employed under the Cobham SAR Agreement</w:t>
      </w:r>
    </w:p>
    <w:p w:rsidR="002E1FAA" w:rsidRDefault="002E1FAA" w:rsidP="002E1FAA">
      <w:pPr>
        <w:spacing w:after="20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This further supports the need for employee organisations that are dedicated to a particular profession being notified when Greenfields Agreements are being negotiated.</w:t>
      </w:r>
    </w:p>
    <w:p w:rsidR="00DF1A24" w:rsidRDefault="002E1FAA" w:rsidP="00DF1A24">
      <w:pPr>
        <w:spacing w:after="20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scope of the Cobham SAR Services Agreement encompasses a number of other employees who form members of the TWU (cabin crew, observers, ground crew, engineers), forming occupations that are more likely to be TWU members. Pilots by contrast </w:t>
      </w:r>
      <w:r w:rsidR="00DF1A24">
        <w:rPr>
          <w:rFonts w:asciiTheme="minorHAnsi" w:hAnsiTheme="minorHAnsi" w:cstheme="minorHAnsi"/>
          <w:color w:val="000000"/>
          <w:sz w:val="22"/>
          <w:szCs w:val="22"/>
        </w:rPr>
        <w:t>form only a small portion</w:t>
      </w:r>
      <w:r>
        <w:rPr>
          <w:rFonts w:asciiTheme="minorHAnsi" w:hAnsiTheme="minorHAnsi" w:cstheme="minorHAnsi"/>
          <w:color w:val="000000"/>
          <w:sz w:val="22"/>
          <w:szCs w:val="22"/>
        </w:rPr>
        <w:t xml:space="preserve"> of TWU members, and</w:t>
      </w:r>
      <w:r w:rsidR="00DF1A24">
        <w:rPr>
          <w:rFonts w:asciiTheme="minorHAnsi" w:hAnsiTheme="minorHAnsi" w:cstheme="minorHAnsi"/>
          <w:color w:val="000000"/>
          <w:sz w:val="22"/>
          <w:szCs w:val="22"/>
        </w:rPr>
        <w:t xml:space="preserve"> as such it is not impacted from having agreed to a substandard deal for Pilots under the Cobham SAR Agreement. Further, by not providing for a reimbursement for Loss of Licence </w:t>
      </w:r>
      <w:r w:rsidR="00DF1A24">
        <w:rPr>
          <w:rFonts w:asciiTheme="minorHAnsi" w:hAnsiTheme="minorHAnsi" w:cstheme="minorHAnsi"/>
          <w:color w:val="000000"/>
          <w:sz w:val="22"/>
          <w:szCs w:val="22"/>
        </w:rPr>
        <w:lastRenderedPageBreak/>
        <w:t>protection in the terms of the Cobham SAR Agreement, the TWU suppor</w:t>
      </w:r>
      <w:r w:rsidR="00753ADD">
        <w:rPr>
          <w:rFonts w:asciiTheme="minorHAnsi" w:hAnsiTheme="minorHAnsi" w:cstheme="minorHAnsi"/>
          <w:color w:val="000000"/>
          <w:sz w:val="22"/>
          <w:szCs w:val="22"/>
        </w:rPr>
        <w:t>ted Cobham in directly undermining the interests of</w:t>
      </w:r>
      <w:r w:rsidR="00DF1A24">
        <w:rPr>
          <w:rFonts w:asciiTheme="minorHAnsi" w:hAnsiTheme="minorHAnsi" w:cstheme="minorHAnsi"/>
          <w:color w:val="000000"/>
          <w:sz w:val="22"/>
          <w:szCs w:val="22"/>
        </w:rPr>
        <w:t xml:space="preserve"> AFAP members who have exclusive access to the MBF. </w:t>
      </w:r>
    </w:p>
    <w:p w:rsidR="00912A10" w:rsidRPr="00DD4485" w:rsidRDefault="00912A10" w:rsidP="00912A10">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line="276" w:lineRule="auto"/>
        <w:ind w:left="714" w:hanging="357"/>
        <w:jc w:val="both"/>
        <w:rPr>
          <w:rFonts w:asciiTheme="minorHAnsi" w:hAnsiTheme="minorHAnsi" w:cstheme="minorHAnsi"/>
          <w:b/>
          <w:color w:val="000000"/>
          <w:sz w:val="28"/>
          <w:szCs w:val="28"/>
        </w:rPr>
      </w:pPr>
      <w:r w:rsidRPr="00681913">
        <w:rPr>
          <w:rFonts w:asciiTheme="minorHAnsi" w:hAnsiTheme="minorHAnsi" w:cstheme="minorHAnsi"/>
          <w:b/>
          <w:color w:val="000000"/>
          <w:sz w:val="22"/>
          <w:szCs w:val="22"/>
        </w:rPr>
        <w:t>The AFAP concerns relating to the effect of the 2015 greenfields agreement amendments on bargaining outcomes and bargaining behaviour.</w:t>
      </w:r>
    </w:p>
    <w:p w:rsidR="000527B3" w:rsidRDefault="000527B3" w:rsidP="000527B3">
      <w:pPr>
        <w:jc w:val="both"/>
        <w:rPr>
          <w:rFonts w:asciiTheme="minorHAnsi" w:hAnsiTheme="minorHAnsi" w:cstheme="minorHAnsi"/>
          <w:color w:val="000000"/>
          <w:sz w:val="22"/>
          <w:szCs w:val="22"/>
        </w:rPr>
      </w:pPr>
    </w:p>
    <w:p w:rsidR="00681913" w:rsidRDefault="00681913" w:rsidP="000527B3">
      <w:pPr>
        <w:jc w:val="both"/>
        <w:rPr>
          <w:rFonts w:asciiTheme="minorHAnsi" w:hAnsiTheme="minorHAnsi" w:cstheme="minorHAnsi"/>
          <w:color w:val="000000"/>
          <w:sz w:val="22"/>
          <w:szCs w:val="22"/>
        </w:rPr>
      </w:pPr>
      <w:r>
        <w:rPr>
          <w:rFonts w:asciiTheme="minorHAnsi" w:hAnsiTheme="minorHAnsi" w:cstheme="minorHAnsi"/>
          <w:color w:val="000000"/>
          <w:sz w:val="22"/>
          <w:szCs w:val="22"/>
        </w:rPr>
        <w:t>The</w:t>
      </w:r>
      <w:r w:rsidR="000527B3">
        <w:rPr>
          <w:rFonts w:asciiTheme="minorHAnsi" w:hAnsiTheme="minorHAnsi" w:cstheme="minorHAnsi"/>
          <w:color w:val="000000"/>
          <w:sz w:val="22"/>
          <w:szCs w:val="22"/>
        </w:rPr>
        <w:t xml:space="preserve"> AFAP </w:t>
      </w:r>
      <w:r>
        <w:rPr>
          <w:rFonts w:asciiTheme="minorHAnsi" w:hAnsiTheme="minorHAnsi" w:cstheme="minorHAnsi"/>
          <w:color w:val="000000"/>
          <w:sz w:val="22"/>
          <w:szCs w:val="22"/>
        </w:rPr>
        <w:t>concerns are that the Amendment Act has:</w:t>
      </w:r>
    </w:p>
    <w:p w:rsidR="00681913" w:rsidRDefault="00681913" w:rsidP="000527B3">
      <w:pPr>
        <w:jc w:val="both"/>
        <w:rPr>
          <w:rFonts w:asciiTheme="minorHAnsi" w:hAnsiTheme="minorHAnsi" w:cstheme="minorHAnsi"/>
          <w:color w:val="000000"/>
          <w:sz w:val="22"/>
          <w:szCs w:val="22"/>
        </w:rPr>
      </w:pPr>
    </w:p>
    <w:p w:rsidR="00681913" w:rsidRDefault="00681913" w:rsidP="00681913">
      <w:pPr>
        <w:pStyle w:val="ListParagraph"/>
        <w:numPr>
          <w:ilvl w:val="0"/>
          <w:numId w:val="25"/>
        </w:numPr>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Failed to ensure that bargaining representatives to Greenfields Agreements meet the good faith </w:t>
      </w:r>
      <w:r w:rsidR="00F83D9F">
        <w:rPr>
          <w:rFonts w:asciiTheme="minorHAnsi" w:hAnsiTheme="minorHAnsi" w:cstheme="minorHAnsi"/>
          <w:color w:val="000000"/>
          <w:sz w:val="22"/>
          <w:szCs w:val="22"/>
        </w:rPr>
        <w:t>bargaining requirements that would be required in an Enterprise Agreement negotiation;</w:t>
      </w:r>
    </w:p>
    <w:p w:rsidR="00F83D9F" w:rsidRDefault="00F83D9F" w:rsidP="00F83D9F">
      <w:pPr>
        <w:pStyle w:val="ListParagraph"/>
        <w:jc w:val="both"/>
        <w:rPr>
          <w:rFonts w:asciiTheme="minorHAnsi" w:hAnsiTheme="minorHAnsi" w:cstheme="minorHAnsi"/>
          <w:color w:val="000000"/>
          <w:sz w:val="22"/>
          <w:szCs w:val="22"/>
        </w:rPr>
      </w:pPr>
    </w:p>
    <w:p w:rsidR="00F83D9F" w:rsidRDefault="00F83D9F" w:rsidP="00F83D9F">
      <w:pPr>
        <w:pStyle w:val="ListParagraph"/>
        <w:numPr>
          <w:ilvl w:val="0"/>
          <w:numId w:val="25"/>
        </w:numPr>
        <w:spacing w:after="20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Allowed</w:t>
      </w:r>
      <w:r w:rsidR="00681913" w:rsidRPr="00F83D9F">
        <w:rPr>
          <w:rFonts w:asciiTheme="minorHAnsi" w:hAnsiTheme="minorHAnsi" w:cstheme="minorHAnsi"/>
          <w:color w:val="000000"/>
          <w:sz w:val="22"/>
          <w:szCs w:val="22"/>
        </w:rPr>
        <w:t xml:space="preserve"> Employers to pick and choose which employee </w:t>
      </w:r>
      <w:r w:rsidRPr="00F83D9F">
        <w:rPr>
          <w:rFonts w:asciiTheme="minorHAnsi" w:hAnsiTheme="minorHAnsi" w:cstheme="minorHAnsi"/>
          <w:color w:val="000000"/>
          <w:sz w:val="22"/>
          <w:szCs w:val="22"/>
        </w:rPr>
        <w:t>organisations</w:t>
      </w:r>
      <w:r w:rsidR="00681913" w:rsidRPr="00F83D9F">
        <w:rPr>
          <w:rFonts w:asciiTheme="minorHAnsi" w:hAnsiTheme="minorHAnsi" w:cstheme="minorHAnsi"/>
          <w:color w:val="000000"/>
          <w:sz w:val="22"/>
          <w:szCs w:val="22"/>
        </w:rPr>
        <w:t xml:space="preserve"> </w:t>
      </w:r>
      <w:r w:rsidR="00F54FC1">
        <w:rPr>
          <w:rFonts w:asciiTheme="minorHAnsi" w:hAnsiTheme="minorHAnsi" w:cstheme="minorHAnsi"/>
          <w:color w:val="000000"/>
          <w:sz w:val="22"/>
          <w:szCs w:val="22"/>
        </w:rPr>
        <w:t>they</w:t>
      </w:r>
      <w:r w:rsidR="00F54FC1" w:rsidRPr="00F83D9F">
        <w:rPr>
          <w:rFonts w:asciiTheme="minorHAnsi" w:hAnsiTheme="minorHAnsi" w:cstheme="minorHAnsi"/>
          <w:color w:val="000000"/>
          <w:sz w:val="22"/>
          <w:szCs w:val="22"/>
        </w:rPr>
        <w:t xml:space="preserve"> </w:t>
      </w:r>
      <w:r w:rsidR="00681913" w:rsidRPr="00F83D9F">
        <w:rPr>
          <w:rFonts w:asciiTheme="minorHAnsi" w:hAnsiTheme="minorHAnsi" w:cstheme="minorHAnsi"/>
          <w:color w:val="000000"/>
          <w:sz w:val="22"/>
          <w:szCs w:val="22"/>
        </w:rPr>
        <w:t xml:space="preserve">negotiate </w:t>
      </w:r>
      <w:r w:rsidR="00DF1A24">
        <w:rPr>
          <w:rFonts w:asciiTheme="minorHAnsi" w:hAnsiTheme="minorHAnsi" w:cstheme="minorHAnsi"/>
          <w:color w:val="000000"/>
          <w:sz w:val="22"/>
          <w:szCs w:val="22"/>
        </w:rPr>
        <w:t>with, undermining collective bargaining and freedom of association</w:t>
      </w:r>
      <w:r w:rsidR="00F54FC1">
        <w:rPr>
          <w:rFonts w:asciiTheme="minorHAnsi" w:hAnsiTheme="minorHAnsi" w:cstheme="minorHAnsi"/>
          <w:color w:val="000000"/>
          <w:sz w:val="22"/>
          <w:szCs w:val="22"/>
        </w:rPr>
        <w:t>;</w:t>
      </w:r>
    </w:p>
    <w:p w:rsidR="009D2B89" w:rsidRPr="009D2B89" w:rsidRDefault="009D2B89" w:rsidP="009D2B89">
      <w:pPr>
        <w:pStyle w:val="ListParagraph"/>
        <w:rPr>
          <w:rFonts w:asciiTheme="minorHAnsi" w:hAnsiTheme="minorHAnsi" w:cstheme="minorHAnsi"/>
          <w:color w:val="000000"/>
          <w:sz w:val="22"/>
          <w:szCs w:val="22"/>
        </w:rPr>
      </w:pPr>
    </w:p>
    <w:p w:rsidR="009D2B89" w:rsidRDefault="009D2B89" w:rsidP="00F83D9F">
      <w:pPr>
        <w:pStyle w:val="ListParagraph"/>
        <w:numPr>
          <w:ilvl w:val="0"/>
          <w:numId w:val="25"/>
        </w:numPr>
        <w:spacing w:after="20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Excluded the AFAP from bargaining, resulting in a bargaining outcome that was below industry standards for a particular class of employee; </w:t>
      </w:r>
      <w:r w:rsidR="00753ADD">
        <w:rPr>
          <w:rFonts w:asciiTheme="minorHAnsi" w:hAnsiTheme="minorHAnsi" w:cstheme="minorHAnsi"/>
          <w:color w:val="000000"/>
          <w:sz w:val="22"/>
          <w:szCs w:val="22"/>
        </w:rPr>
        <w:t>and</w:t>
      </w:r>
    </w:p>
    <w:p w:rsidR="00F83D9F" w:rsidRPr="00F83D9F" w:rsidRDefault="00F83D9F" w:rsidP="00F83D9F">
      <w:pPr>
        <w:pStyle w:val="ListParagraph"/>
        <w:rPr>
          <w:rFonts w:asciiTheme="minorHAnsi" w:hAnsiTheme="minorHAnsi" w:cstheme="minorHAnsi"/>
          <w:color w:val="000000"/>
          <w:sz w:val="22"/>
          <w:szCs w:val="22"/>
        </w:rPr>
      </w:pPr>
    </w:p>
    <w:p w:rsidR="00F54FC1" w:rsidRPr="00DF1A24" w:rsidRDefault="009D2B89" w:rsidP="00391E93">
      <w:pPr>
        <w:pStyle w:val="ListParagraph"/>
        <w:numPr>
          <w:ilvl w:val="0"/>
          <w:numId w:val="25"/>
        </w:numPr>
        <w:jc w:val="both"/>
        <w:rPr>
          <w:rFonts w:asciiTheme="minorHAnsi" w:hAnsiTheme="minorHAnsi" w:cstheme="minorHAnsi"/>
          <w:color w:val="000000"/>
          <w:sz w:val="22"/>
          <w:szCs w:val="22"/>
        </w:rPr>
      </w:pPr>
      <w:r>
        <w:rPr>
          <w:rFonts w:asciiTheme="minorHAnsi" w:hAnsiTheme="minorHAnsi" w:cstheme="minorHAnsi"/>
          <w:color w:val="000000"/>
          <w:sz w:val="22"/>
          <w:szCs w:val="22"/>
        </w:rPr>
        <w:t>Provided</w:t>
      </w:r>
      <w:r w:rsidR="00681913">
        <w:rPr>
          <w:rFonts w:asciiTheme="minorHAnsi" w:hAnsiTheme="minorHAnsi" w:cstheme="minorHAnsi"/>
          <w:color w:val="000000"/>
          <w:sz w:val="22"/>
          <w:szCs w:val="22"/>
        </w:rPr>
        <w:t xml:space="preserve"> a means for an Employer and an employee organisation to collaborate in a Greenfields Agreement to the </w:t>
      </w:r>
      <w:r>
        <w:rPr>
          <w:rFonts w:asciiTheme="minorHAnsi" w:hAnsiTheme="minorHAnsi" w:cstheme="minorHAnsi"/>
          <w:color w:val="000000"/>
          <w:sz w:val="22"/>
          <w:szCs w:val="22"/>
        </w:rPr>
        <w:t xml:space="preserve">deliberate </w:t>
      </w:r>
      <w:r w:rsidR="00681913">
        <w:rPr>
          <w:rFonts w:asciiTheme="minorHAnsi" w:hAnsiTheme="minorHAnsi" w:cstheme="minorHAnsi"/>
          <w:color w:val="000000"/>
          <w:sz w:val="22"/>
          <w:szCs w:val="22"/>
        </w:rPr>
        <w:t xml:space="preserve">detriment of members of another employee </w:t>
      </w:r>
      <w:r w:rsidR="00F83D9F">
        <w:rPr>
          <w:rFonts w:asciiTheme="minorHAnsi" w:hAnsiTheme="minorHAnsi" w:cstheme="minorHAnsi"/>
          <w:color w:val="000000"/>
          <w:sz w:val="22"/>
          <w:szCs w:val="22"/>
        </w:rPr>
        <w:t>organisation.</w:t>
      </w:r>
    </w:p>
    <w:p w:rsidR="00F54FC1" w:rsidRPr="00391E93" w:rsidRDefault="00F54FC1" w:rsidP="00391E93">
      <w:pPr>
        <w:jc w:val="both"/>
        <w:rPr>
          <w:rFonts w:asciiTheme="minorHAnsi" w:hAnsiTheme="minorHAnsi" w:cstheme="minorHAnsi"/>
          <w:color w:val="000000"/>
          <w:sz w:val="22"/>
          <w:szCs w:val="22"/>
        </w:rPr>
      </w:pPr>
    </w:p>
    <w:p w:rsidR="00FF1899" w:rsidRDefault="00FF1899" w:rsidP="00FF1899">
      <w:pPr>
        <w:jc w:val="both"/>
        <w:rPr>
          <w:rFonts w:asciiTheme="minorHAnsi" w:hAnsiTheme="minorHAnsi" w:cstheme="minorHAnsi"/>
          <w:color w:val="000000"/>
          <w:sz w:val="22"/>
          <w:szCs w:val="22"/>
        </w:rPr>
      </w:pPr>
    </w:p>
    <w:p w:rsidR="00912A10" w:rsidRPr="00DD4485" w:rsidRDefault="00912A10" w:rsidP="00AC230F">
      <w:pPr>
        <w:pStyle w:val="Heading1"/>
        <w:jc w:val="left"/>
      </w:pPr>
      <w:r>
        <w:t>Conclusion</w:t>
      </w:r>
    </w:p>
    <w:p w:rsidR="00810063" w:rsidRDefault="00810063" w:rsidP="00496017">
      <w:pPr>
        <w:jc w:val="both"/>
        <w:rPr>
          <w:rFonts w:asciiTheme="minorHAnsi" w:hAnsiTheme="minorHAnsi" w:cstheme="minorHAnsi"/>
          <w:color w:val="000000"/>
          <w:sz w:val="22"/>
          <w:szCs w:val="22"/>
        </w:rPr>
      </w:pPr>
    </w:p>
    <w:p w:rsidR="000036D8" w:rsidRPr="000036D8" w:rsidRDefault="000036D8" w:rsidP="00E20F8F">
      <w:pPr>
        <w:spacing w:line="276" w:lineRule="auto"/>
        <w:jc w:val="both"/>
        <w:rPr>
          <w:rFonts w:asciiTheme="minorHAnsi" w:hAnsiTheme="minorHAnsi" w:cstheme="minorHAnsi"/>
          <w:color w:val="000000"/>
          <w:sz w:val="22"/>
          <w:szCs w:val="22"/>
        </w:rPr>
      </w:pPr>
      <w:r w:rsidRPr="000036D8">
        <w:rPr>
          <w:rFonts w:asciiTheme="minorHAnsi" w:hAnsiTheme="minorHAnsi" w:cstheme="minorHAnsi"/>
          <w:color w:val="000000"/>
          <w:sz w:val="22"/>
          <w:szCs w:val="22"/>
        </w:rPr>
        <w:t>The introduction of good faith bargaining requirements</w:t>
      </w:r>
      <w:r>
        <w:rPr>
          <w:rFonts w:asciiTheme="minorHAnsi" w:hAnsiTheme="minorHAnsi" w:cstheme="minorHAnsi"/>
          <w:color w:val="000000"/>
          <w:sz w:val="22"/>
          <w:szCs w:val="22"/>
        </w:rPr>
        <w:t xml:space="preserve"> in the Amendment Act</w:t>
      </w:r>
      <w:r w:rsidRPr="000036D8">
        <w:rPr>
          <w:rFonts w:asciiTheme="minorHAnsi" w:hAnsiTheme="minorHAnsi" w:cstheme="minorHAnsi"/>
          <w:color w:val="000000"/>
          <w:sz w:val="22"/>
          <w:szCs w:val="22"/>
        </w:rPr>
        <w:t xml:space="preserve"> are </w:t>
      </w:r>
      <w:r>
        <w:rPr>
          <w:rFonts w:asciiTheme="minorHAnsi" w:hAnsiTheme="minorHAnsi" w:cstheme="minorHAnsi"/>
          <w:color w:val="000000"/>
          <w:sz w:val="22"/>
          <w:szCs w:val="22"/>
        </w:rPr>
        <w:t>rendered largely pointless</w:t>
      </w:r>
      <w:r w:rsidRPr="000036D8">
        <w:rPr>
          <w:rFonts w:asciiTheme="minorHAnsi" w:hAnsiTheme="minorHAnsi" w:cstheme="minorHAnsi"/>
          <w:color w:val="000000"/>
          <w:sz w:val="22"/>
          <w:szCs w:val="22"/>
        </w:rPr>
        <w:t xml:space="preserve"> by the limited definition of bargaining representative, contained at s.177 of the Act</w:t>
      </w:r>
      <w:r w:rsidR="00E20F8F">
        <w:rPr>
          <w:rFonts w:asciiTheme="minorHAnsi" w:hAnsiTheme="minorHAnsi" w:cstheme="minorHAnsi"/>
          <w:color w:val="000000"/>
          <w:sz w:val="22"/>
          <w:szCs w:val="22"/>
        </w:rPr>
        <w:t xml:space="preserve">, which permits Employers to select at their discretion which unions they negotiate with. </w:t>
      </w:r>
    </w:p>
    <w:p w:rsidR="00876831" w:rsidRDefault="00876831" w:rsidP="00E20F8F">
      <w:pPr>
        <w:spacing w:line="276" w:lineRule="auto"/>
        <w:jc w:val="both"/>
        <w:rPr>
          <w:rFonts w:asciiTheme="minorHAnsi" w:hAnsiTheme="minorHAnsi" w:cstheme="minorHAnsi"/>
          <w:color w:val="000000"/>
          <w:sz w:val="22"/>
          <w:szCs w:val="22"/>
        </w:rPr>
      </w:pPr>
    </w:p>
    <w:p w:rsidR="00876831" w:rsidRDefault="00F83D9F" w:rsidP="00E20F8F">
      <w:pPr>
        <w:spacing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I</w:t>
      </w:r>
      <w:r w:rsidR="00876831">
        <w:rPr>
          <w:rFonts w:asciiTheme="minorHAnsi" w:hAnsiTheme="minorHAnsi" w:cstheme="minorHAnsi"/>
          <w:color w:val="000000"/>
          <w:sz w:val="22"/>
          <w:szCs w:val="22"/>
        </w:rPr>
        <w:t xml:space="preserve">nstead </w:t>
      </w:r>
      <w:r>
        <w:rPr>
          <w:rFonts w:asciiTheme="minorHAnsi" w:hAnsiTheme="minorHAnsi" w:cstheme="minorHAnsi"/>
          <w:color w:val="000000"/>
          <w:sz w:val="22"/>
          <w:szCs w:val="22"/>
        </w:rPr>
        <w:t xml:space="preserve">the consequence </w:t>
      </w:r>
      <w:r w:rsidR="00DF1A24">
        <w:rPr>
          <w:rFonts w:asciiTheme="minorHAnsi" w:hAnsiTheme="minorHAnsi" w:cstheme="minorHAnsi"/>
          <w:color w:val="000000"/>
          <w:sz w:val="22"/>
          <w:szCs w:val="22"/>
        </w:rPr>
        <w:t xml:space="preserve">of the Amendment Act </w:t>
      </w:r>
      <w:r>
        <w:rPr>
          <w:rFonts w:asciiTheme="minorHAnsi" w:hAnsiTheme="minorHAnsi" w:cstheme="minorHAnsi"/>
          <w:color w:val="000000"/>
          <w:sz w:val="22"/>
          <w:szCs w:val="22"/>
        </w:rPr>
        <w:t xml:space="preserve">has been to </w:t>
      </w:r>
      <w:r w:rsidR="00876831">
        <w:rPr>
          <w:rFonts w:asciiTheme="minorHAnsi" w:hAnsiTheme="minorHAnsi" w:cstheme="minorHAnsi"/>
          <w:color w:val="000000"/>
          <w:sz w:val="22"/>
          <w:szCs w:val="22"/>
        </w:rPr>
        <w:t xml:space="preserve">severely </w:t>
      </w:r>
      <w:r>
        <w:rPr>
          <w:rFonts w:asciiTheme="minorHAnsi" w:hAnsiTheme="minorHAnsi" w:cstheme="minorHAnsi"/>
          <w:color w:val="000000"/>
          <w:sz w:val="22"/>
          <w:szCs w:val="22"/>
        </w:rPr>
        <w:t>weaken</w:t>
      </w:r>
      <w:r w:rsidR="00876831">
        <w:rPr>
          <w:rFonts w:asciiTheme="minorHAnsi" w:hAnsiTheme="minorHAnsi" w:cstheme="minorHAnsi"/>
          <w:color w:val="000000"/>
          <w:sz w:val="22"/>
          <w:szCs w:val="22"/>
        </w:rPr>
        <w:t xml:space="preserve"> the </w:t>
      </w:r>
      <w:r>
        <w:rPr>
          <w:rFonts w:asciiTheme="minorHAnsi" w:hAnsiTheme="minorHAnsi" w:cstheme="minorHAnsi"/>
          <w:color w:val="000000"/>
          <w:sz w:val="22"/>
          <w:szCs w:val="22"/>
        </w:rPr>
        <w:t xml:space="preserve">right </w:t>
      </w:r>
      <w:r w:rsidR="009D2B89">
        <w:rPr>
          <w:rFonts w:asciiTheme="minorHAnsi" w:hAnsiTheme="minorHAnsi" w:cstheme="minorHAnsi"/>
          <w:color w:val="000000"/>
          <w:sz w:val="22"/>
          <w:szCs w:val="22"/>
        </w:rPr>
        <w:t>for all employees to be</w:t>
      </w:r>
      <w:r w:rsidR="00876831">
        <w:rPr>
          <w:rFonts w:asciiTheme="minorHAnsi" w:hAnsiTheme="minorHAnsi" w:cstheme="minorHAnsi"/>
          <w:color w:val="000000"/>
          <w:sz w:val="22"/>
          <w:szCs w:val="22"/>
        </w:rPr>
        <w:t xml:space="preserve"> represented by effective unions such as the AFAP on all Greenfields Projects. </w:t>
      </w:r>
      <w:r w:rsidR="00E20F8F">
        <w:rPr>
          <w:rFonts w:asciiTheme="minorHAnsi" w:hAnsiTheme="minorHAnsi" w:cstheme="minorHAnsi"/>
          <w:color w:val="000000"/>
          <w:sz w:val="22"/>
          <w:szCs w:val="22"/>
        </w:rPr>
        <w:t>The</w:t>
      </w:r>
      <w:r w:rsidR="00876831">
        <w:rPr>
          <w:rFonts w:asciiTheme="minorHAnsi" w:hAnsiTheme="minorHAnsi" w:cstheme="minorHAnsi"/>
          <w:color w:val="000000"/>
          <w:sz w:val="22"/>
          <w:szCs w:val="22"/>
        </w:rPr>
        <w:t xml:space="preserve"> result</w:t>
      </w:r>
      <w:r w:rsidR="00E20F8F">
        <w:rPr>
          <w:rFonts w:asciiTheme="minorHAnsi" w:hAnsiTheme="minorHAnsi" w:cstheme="minorHAnsi"/>
          <w:color w:val="000000"/>
          <w:sz w:val="22"/>
          <w:szCs w:val="22"/>
        </w:rPr>
        <w:t>, as demonstrated in the Cobham SAR Agreement</w:t>
      </w:r>
      <w:r w:rsidR="009D2B89">
        <w:rPr>
          <w:rFonts w:asciiTheme="minorHAnsi" w:hAnsiTheme="minorHAnsi" w:cstheme="minorHAnsi"/>
          <w:color w:val="000000"/>
          <w:sz w:val="22"/>
          <w:szCs w:val="22"/>
        </w:rPr>
        <w:t>,</w:t>
      </w:r>
      <w:r w:rsidR="00876831">
        <w:rPr>
          <w:rFonts w:asciiTheme="minorHAnsi" w:hAnsiTheme="minorHAnsi" w:cstheme="minorHAnsi"/>
          <w:color w:val="000000"/>
          <w:sz w:val="22"/>
          <w:szCs w:val="22"/>
        </w:rPr>
        <w:t xml:space="preserve"> is an Employer can elect to bargain only with less specialised and resourced unions to undermine conditions of </w:t>
      </w:r>
      <w:r w:rsidR="00E20F8F">
        <w:rPr>
          <w:rFonts w:asciiTheme="minorHAnsi" w:hAnsiTheme="minorHAnsi" w:cstheme="minorHAnsi"/>
          <w:color w:val="000000"/>
          <w:sz w:val="22"/>
          <w:szCs w:val="22"/>
        </w:rPr>
        <w:t xml:space="preserve">any </w:t>
      </w:r>
      <w:r w:rsidR="00876831">
        <w:rPr>
          <w:rFonts w:asciiTheme="minorHAnsi" w:hAnsiTheme="minorHAnsi" w:cstheme="minorHAnsi"/>
          <w:color w:val="000000"/>
          <w:sz w:val="22"/>
          <w:szCs w:val="22"/>
        </w:rPr>
        <w:t>employees</w:t>
      </w:r>
      <w:r w:rsidR="00E20F8F">
        <w:rPr>
          <w:rFonts w:asciiTheme="minorHAnsi" w:hAnsiTheme="minorHAnsi" w:cstheme="minorHAnsi"/>
          <w:color w:val="000000"/>
          <w:sz w:val="22"/>
          <w:szCs w:val="22"/>
        </w:rPr>
        <w:t xml:space="preserve"> covered by a Greenfields Agreement</w:t>
      </w:r>
      <w:r w:rsidR="00876831">
        <w:rPr>
          <w:rFonts w:asciiTheme="minorHAnsi" w:hAnsiTheme="minorHAnsi" w:cstheme="minorHAnsi"/>
          <w:color w:val="000000"/>
          <w:sz w:val="22"/>
          <w:szCs w:val="22"/>
        </w:rPr>
        <w:t>.</w:t>
      </w:r>
    </w:p>
    <w:p w:rsidR="00E20F8F" w:rsidRDefault="00E20F8F" w:rsidP="00E20F8F">
      <w:pPr>
        <w:spacing w:line="276" w:lineRule="auto"/>
        <w:jc w:val="both"/>
        <w:rPr>
          <w:rFonts w:asciiTheme="minorHAnsi" w:hAnsiTheme="minorHAnsi" w:cstheme="minorHAnsi"/>
          <w:color w:val="000000"/>
          <w:sz w:val="22"/>
          <w:szCs w:val="22"/>
        </w:rPr>
      </w:pPr>
    </w:p>
    <w:p w:rsidR="00912A10" w:rsidRPr="00DD4485" w:rsidRDefault="00912A10" w:rsidP="00AC230F">
      <w:pPr>
        <w:pStyle w:val="Heading1"/>
        <w:jc w:val="left"/>
      </w:pPr>
      <w:r>
        <w:t>Recommendations</w:t>
      </w:r>
    </w:p>
    <w:p w:rsidR="00753ADD" w:rsidRDefault="00753ADD" w:rsidP="00753ADD">
      <w:pPr>
        <w:spacing w:line="276" w:lineRule="auto"/>
        <w:rPr>
          <w:rFonts w:asciiTheme="minorHAnsi" w:hAnsiTheme="minorHAnsi" w:cstheme="minorHAnsi"/>
          <w:color w:val="000000"/>
          <w:sz w:val="22"/>
          <w:szCs w:val="22"/>
        </w:rPr>
      </w:pPr>
    </w:p>
    <w:p w:rsidR="00B027BD" w:rsidRPr="00B027BD" w:rsidRDefault="00DF1A24" w:rsidP="00B027BD">
      <w:pPr>
        <w:spacing w:after="200" w:line="276"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r w:rsidR="00B027BD" w:rsidRPr="00B027BD">
        <w:rPr>
          <w:rFonts w:asciiTheme="minorHAnsi" w:hAnsiTheme="minorHAnsi" w:cstheme="minorHAnsi"/>
          <w:color w:val="000000"/>
          <w:sz w:val="22"/>
          <w:szCs w:val="22"/>
        </w:rPr>
        <w:t>AFAP</w:t>
      </w:r>
      <w:r>
        <w:rPr>
          <w:rFonts w:asciiTheme="minorHAnsi" w:hAnsiTheme="minorHAnsi" w:cstheme="minorHAnsi"/>
          <w:color w:val="000000"/>
          <w:sz w:val="22"/>
          <w:szCs w:val="22"/>
        </w:rPr>
        <w:t xml:space="preserve"> makes the following</w:t>
      </w:r>
      <w:r w:rsidR="00B027BD" w:rsidRPr="00B027BD">
        <w:rPr>
          <w:rFonts w:asciiTheme="minorHAnsi" w:hAnsiTheme="minorHAnsi" w:cstheme="minorHAnsi"/>
          <w:color w:val="000000"/>
          <w:sz w:val="22"/>
          <w:szCs w:val="22"/>
        </w:rPr>
        <w:t xml:space="preserve"> </w:t>
      </w:r>
      <w:r>
        <w:rPr>
          <w:rFonts w:asciiTheme="minorHAnsi" w:hAnsiTheme="minorHAnsi" w:cstheme="minorHAnsi"/>
          <w:color w:val="000000"/>
          <w:sz w:val="22"/>
          <w:szCs w:val="22"/>
        </w:rPr>
        <w:t>r</w:t>
      </w:r>
      <w:r w:rsidR="00B027BD" w:rsidRPr="00B027BD">
        <w:rPr>
          <w:rFonts w:asciiTheme="minorHAnsi" w:hAnsiTheme="minorHAnsi" w:cstheme="minorHAnsi"/>
          <w:color w:val="000000"/>
          <w:sz w:val="22"/>
          <w:szCs w:val="22"/>
        </w:rPr>
        <w:t>ecommendations</w:t>
      </w:r>
      <w:r>
        <w:rPr>
          <w:rFonts w:asciiTheme="minorHAnsi" w:hAnsiTheme="minorHAnsi" w:cstheme="minorHAnsi"/>
          <w:color w:val="000000"/>
          <w:sz w:val="22"/>
          <w:szCs w:val="22"/>
        </w:rPr>
        <w:t xml:space="preserve"> to the Greenfields Agreement Review:</w:t>
      </w:r>
    </w:p>
    <w:p w:rsidR="00B027BD" w:rsidRDefault="00B027BD" w:rsidP="009D2B89">
      <w:pPr>
        <w:pStyle w:val="ListParagraph"/>
        <w:numPr>
          <w:ilvl w:val="0"/>
          <w:numId w:val="26"/>
        </w:numPr>
        <w:spacing w:after="200" w:line="276" w:lineRule="auto"/>
        <w:jc w:val="both"/>
        <w:rPr>
          <w:rFonts w:asciiTheme="minorHAnsi" w:hAnsiTheme="minorHAnsi" w:cstheme="minorHAnsi"/>
          <w:color w:val="000000"/>
          <w:sz w:val="22"/>
          <w:szCs w:val="22"/>
        </w:rPr>
      </w:pPr>
      <w:r w:rsidRPr="00DF1A24">
        <w:rPr>
          <w:rFonts w:asciiTheme="minorHAnsi" w:hAnsiTheme="minorHAnsi" w:cstheme="minorHAnsi"/>
          <w:color w:val="000000"/>
          <w:sz w:val="22"/>
          <w:szCs w:val="22"/>
        </w:rPr>
        <w:t xml:space="preserve">The requirement for an Employer to bargain in good faith should be extended to all relevant bargaining representatives </w:t>
      </w:r>
      <w:r w:rsidR="00DE15FA">
        <w:rPr>
          <w:rFonts w:asciiTheme="minorHAnsi" w:hAnsiTheme="minorHAnsi" w:cstheme="minorHAnsi"/>
          <w:color w:val="000000"/>
          <w:sz w:val="22"/>
          <w:szCs w:val="22"/>
        </w:rPr>
        <w:t>by removing the discretion for Employers included by the Amendment Act at s.177(b)(ii) of the Act</w:t>
      </w:r>
      <w:r w:rsidR="00F54FC1">
        <w:rPr>
          <w:rFonts w:asciiTheme="minorHAnsi" w:hAnsiTheme="minorHAnsi" w:cstheme="minorHAnsi"/>
          <w:color w:val="000000"/>
          <w:sz w:val="22"/>
          <w:szCs w:val="22"/>
        </w:rPr>
        <w:t>; and</w:t>
      </w:r>
    </w:p>
    <w:p w:rsidR="00F54FC1" w:rsidRPr="00DF1A24" w:rsidRDefault="00F54FC1" w:rsidP="009D2B89">
      <w:pPr>
        <w:pStyle w:val="ListParagraph"/>
        <w:spacing w:after="200" w:line="276" w:lineRule="auto"/>
        <w:jc w:val="both"/>
        <w:rPr>
          <w:rFonts w:asciiTheme="minorHAnsi" w:hAnsiTheme="minorHAnsi" w:cstheme="minorHAnsi"/>
          <w:color w:val="000000"/>
          <w:sz w:val="22"/>
          <w:szCs w:val="22"/>
        </w:rPr>
      </w:pPr>
    </w:p>
    <w:p w:rsidR="00F54FC1" w:rsidRDefault="009D2B89" w:rsidP="009D2B89">
      <w:pPr>
        <w:pStyle w:val="ListParagraph"/>
        <w:numPr>
          <w:ilvl w:val="0"/>
          <w:numId w:val="26"/>
        </w:numPr>
        <w:spacing w:after="20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T</w:t>
      </w:r>
      <w:r w:rsidR="00B027BD" w:rsidRPr="00DF1A24">
        <w:rPr>
          <w:rFonts w:asciiTheme="minorHAnsi" w:hAnsiTheme="minorHAnsi" w:cstheme="minorHAnsi"/>
          <w:color w:val="000000"/>
          <w:sz w:val="22"/>
          <w:szCs w:val="22"/>
        </w:rPr>
        <w:t xml:space="preserve">he AFAP </w:t>
      </w:r>
      <w:r w:rsidR="00F54FC1">
        <w:rPr>
          <w:rFonts w:asciiTheme="minorHAnsi" w:hAnsiTheme="minorHAnsi" w:cstheme="minorHAnsi"/>
          <w:color w:val="000000"/>
          <w:sz w:val="22"/>
          <w:szCs w:val="22"/>
        </w:rPr>
        <w:t xml:space="preserve">does </w:t>
      </w:r>
      <w:r>
        <w:rPr>
          <w:rFonts w:asciiTheme="minorHAnsi" w:hAnsiTheme="minorHAnsi" w:cstheme="minorHAnsi"/>
          <w:color w:val="000000"/>
          <w:sz w:val="22"/>
          <w:szCs w:val="22"/>
        </w:rPr>
        <w:t>not object to</w:t>
      </w:r>
      <w:r w:rsidR="00B027BD" w:rsidRPr="00DF1A24">
        <w:rPr>
          <w:rFonts w:asciiTheme="minorHAnsi" w:hAnsiTheme="minorHAnsi" w:cstheme="minorHAnsi"/>
          <w:color w:val="000000"/>
          <w:sz w:val="22"/>
          <w:szCs w:val="22"/>
        </w:rPr>
        <w:t xml:space="preserve"> a fixed negotiation period and last-offer arbitration wh</w:t>
      </w:r>
      <w:r>
        <w:rPr>
          <w:rFonts w:asciiTheme="minorHAnsi" w:hAnsiTheme="minorHAnsi" w:cstheme="minorHAnsi"/>
          <w:color w:val="000000"/>
          <w:sz w:val="22"/>
          <w:szCs w:val="22"/>
        </w:rPr>
        <w:t>ere agreement cannot be reached, provided</w:t>
      </w:r>
      <w:r w:rsidR="00DE15FA">
        <w:rPr>
          <w:rFonts w:asciiTheme="minorHAnsi" w:hAnsiTheme="minorHAnsi" w:cstheme="minorHAnsi"/>
          <w:color w:val="000000"/>
          <w:sz w:val="22"/>
          <w:szCs w:val="22"/>
        </w:rPr>
        <w:t xml:space="preserve"> that s.177(b)(ii) of the Act is removed and</w:t>
      </w:r>
      <w:r>
        <w:rPr>
          <w:rFonts w:asciiTheme="minorHAnsi" w:hAnsiTheme="minorHAnsi" w:cstheme="minorHAnsi"/>
          <w:color w:val="000000"/>
          <w:sz w:val="22"/>
          <w:szCs w:val="22"/>
        </w:rPr>
        <w:t xml:space="preserve"> all </w:t>
      </w:r>
      <w:r w:rsidR="00DE15FA">
        <w:rPr>
          <w:rFonts w:asciiTheme="minorHAnsi" w:hAnsiTheme="minorHAnsi" w:cstheme="minorHAnsi"/>
          <w:color w:val="000000"/>
          <w:sz w:val="22"/>
          <w:szCs w:val="22"/>
        </w:rPr>
        <w:t xml:space="preserve">relevant bargaining representatives </w:t>
      </w:r>
      <w:r>
        <w:rPr>
          <w:rFonts w:asciiTheme="minorHAnsi" w:hAnsiTheme="minorHAnsi" w:cstheme="minorHAnsi"/>
          <w:color w:val="000000"/>
          <w:sz w:val="22"/>
          <w:szCs w:val="22"/>
        </w:rPr>
        <w:t>are recognised by Employers for the duration of the negotiating period and have standing in any arbitration.</w:t>
      </w:r>
    </w:p>
    <w:p w:rsidR="00912A10" w:rsidRPr="00DD4485" w:rsidRDefault="00912A10" w:rsidP="00AC230F">
      <w:pPr>
        <w:pStyle w:val="Heading1"/>
      </w:pPr>
      <w:r w:rsidRPr="00DD4485">
        <w:lastRenderedPageBreak/>
        <w:t>Further information</w:t>
      </w:r>
    </w:p>
    <w:p w:rsidR="00EA19C5" w:rsidRPr="00E51C56" w:rsidRDefault="00EA19C5" w:rsidP="001123C2">
      <w:pPr>
        <w:rPr>
          <w:rFonts w:asciiTheme="minorHAnsi" w:hAnsiTheme="minorHAnsi" w:cstheme="minorHAnsi"/>
          <w:sz w:val="22"/>
          <w:szCs w:val="22"/>
        </w:rPr>
      </w:pPr>
    </w:p>
    <w:p w:rsidR="00EA19C5" w:rsidRDefault="00EA19C5" w:rsidP="001123C2">
      <w:pPr>
        <w:rPr>
          <w:rFonts w:asciiTheme="minorHAnsi" w:hAnsiTheme="minorHAnsi" w:cstheme="minorHAnsi"/>
          <w:color w:val="000000"/>
          <w:sz w:val="22"/>
          <w:szCs w:val="22"/>
        </w:rPr>
      </w:pPr>
      <w:r w:rsidRPr="00E51C56">
        <w:rPr>
          <w:rFonts w:asciiTheme="minorHAnsi" w:hAnsiTheme="minorHAnsi" w:cstheme="minorHAnsi"/>
          <w:color w:val="000000"/>
          <w:sz w:val="22"/>
          <w:szCs w:val="22"/>
        </w:rPr>
        <w:t>Written by the Australian Federation of Air Pilots and Authorised by:</w:t>
      </w:r>
    </w:p>
    <w:p w:rsidR="005101D9" w:rsidRDefault="005101D9" w:rsidP="001123C2">
      <w:pPr>
        <w:rPr>
          <w:rFonts w:asciiTheme="minorHAnsi" w:hAnsiTheme="minorHAnsi" w:cstheme="minorHAnsi"/>
          <w:color w:val="000000"/>
          <w:sz w:val="22"/>
          <w:szCs w:val="22"/>
        </w:rPr>
      </w:pPr>
      <w:bookmarkStart w:id="0" w:name="_GoBack"/>
      <w:r>
        <w:rPr>
          <w:noProof/>
          <w:lang w:eastAsia="en-AU"/>
        </w:rPr>
        <w:drawing>
          <wp:anchor distT="0" distB="0" distL="114300" distR="114300" simplePos="0" relativeHeight="251659264" behindDoc="1" locked="0" layoutInCell="1" allowOverlap="1" wp14:anchorId="00EA4E27" wp14:editId="37C4CD44">
            <wp:simplePos x="0" y="0"/>
            <wp:positionH relativeFrom="column">
              <wp:posOffset>-45720</wp:posOffset>
            </wp:positionH>
            <wp:positionV relativeFrom="paragraph">
              <wp:posOffset>144145</wp:posOffset>
            </wp:positionV>
            <wp:extent cx="1355090" cy="730885"/>
            <wp:effectExtent l="0" t="0" r="0" b="0"/>
            <wp:wrapTight wrapText="bothSides">
              <wp:wrapPolygon edited="0">
                <wp:start x="0" y="0"/>
                <wp:lineTo x="0" y="20831"/>
                <wp:lineTo x="21256" y="20831"/>
                <wp:lineTo x="21256" y="0"/>
                <wp:lineTo x="0" y="0"/>
              </wp:wrapPolygon>
            </wp:wrapTight>
            <wp:docPr id="9" name="Picture 9" descr="Signature of Captain David B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5090" cy="73088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5101D9" w:rsidRPr="00E51C56" w:rsidRDefault="005101D9" w:rsidP="001123C2">
      <w:pPr>
        <w:rPr>
          <w:rFonts w:asciiTheme="minorHAnsi" w:hAnsiTheme="minorHAnsi" w:cstheme="minorHAnsi"/>
          <w:sz w:val="22"/>
          <w:szCs w:val="22"/>
        </w:rPr>
      </w:pPr>
    </w:p>
    <w:p w:rsidR="00EA19C5" w:rsidRPr="00E51C56" w:rsidRDefault="00EA19C5" w:rsidP="001123C2">
      <w:pPr>
        <w:rPr>
          <w:rFonts w:asciiTheme="minorHAnsi" w:hAnsiTheme="minorHAnsi" w:cstheme="minorHAnsi"/>
          <w:sz w:val="22"/>
          <w:szCs w:val="22"/>
        </w:rPr>
      </w:pPr>
    </w:p>
    <w:p w:rsidR="00EA19C5" w:rsidRDefault="00EA19C5" w:rsidP="001123C2">
      <w:pPr>
        <w:rPr>
          <w:rFonts w:cs="Arial"/>
          <w:b/>
          <w:noProof/>
          <w:sz w:val="22"/>
          <w:szCs w:val="22"/>
          <w:lang w:eastAsia="en-AU"/>
        </w:rPr>
      </w:pPr>
    </w:p>
    <w:p w:rsidR="005101D9" w:rsidRDefault="005101D9" w:rsidP="001123C2">
      <w:pPr>
        <w:rPr>
          <w:rFonts w:cs="Arial"/>
          <w:b/>
          <w:noProof/>
          <w:sz w:val="22"/>
          <w:szCs w:val="22"/>
          <w:lang w:eastAsia="en-AU"/>
        </w:rPr>
      </w:pPr>
    </w:p>
    <w:p w:rsidR="005101D9" w:rsidRDefault="005101D9" w:rsidP="001123C2">
      <w:pPr>
        <w:rPr>
          <w:rFonts w:cs="Arial"/>
          <w:b/>
          <w:noProof/>
          <w:sz w:val="22"/>
          <w:szCs w:val="22"/>
          <w:lang w:eastAsia="en-AU"/>
        </w:rPr>
      </w:pPr>
    </w:p>
    <w:p w:rsidR="00EA19C5" w:rsidRPr="00E51C56" w:rsidRDefault="00EA19C5" w:rsidP="001123C2">
      <w:pPr>
        <w:rPr>
          <w:rFonts w:asciiTheme="minorHAnsi" w:hAnsiTheme="minorHAnsi" w:cstheme="minorHAnsi"/>
          <w:b/>
          <w:sz w:val="22"/>
          <w:szCs w:val="22"/>
        </w:rPr>
      </w:pPr>
      <w:r w:rsidRPr="00E51C56">
        <w:rPr>
          <w:rFonts w:asciiTheme="minorHAnsi" w:hAnsiTheme="minorHAnsi" w:cstheme="minorHAnsi"/>
          <w:b/>
          <w:sz w:val="22"/>
          <w:szCs w:val="22"/>
        </w:rPr>
        <w:t xml:space="preserve">Captain </w:t>
      </w:r>
      <w:r w:rsidR="005101D9">
        <w:rPr>
          <w:rFonts w:asciiTheme="minorHAnsi" w:hAnsiTheme="minorHAnsi" w:cstheme="minorHAnsi"/>
          <w:b/>
          <w:sz w:val="22"/>
          <w:szCs w:val="22"/>
        </w:rPr>
        <w:t>David Booth</w:t>
      </w:r>
    </w:p>
    <w:p w:rsidR="00EA19C5" w:rsidRPr="00E51C56" w:rsidRDefault="00EA19C5" w:rsidP="001123C2">
      <w:pPr>
        <w:rPr>
          <w:rFonts w:asciiTheme="minorHAnsi" w:hAnsiTheme="minorHAnsi" w:cstheme="minorHAnsi"/>
          <w:sz w:val="22"/>
          <w:szCs w:val="22"/>
        </w:rPr>
      </w:pPr>
      <w:r w:rsidRPr="00E51C56">
        <w:rPr>
          <w:rFonts w:asciiTheme="minorHAnsi" w:hAnsiTheme="minorHAnsi" w:cstheme="minorHAnsi"/>
          <w:sz w:val="22"/>
          <w:szCs w:val="22"/>
        </w:rPr>
        <w:t>President</w:t>
      </w:r>
    </w:p>
    <w:p w:rsidR="00EA19C5" w:rsidRPr="00E51C56" w:rsidRDefault="00EA19C5" w:rsidP="00EA19C5">
      <w:pPr>
        <w:rPr>
          <w:rFonts w:asciiTheme="minorHAnsi" w:hAnsiTheme="minorHAnsi" w:cstheme="minorHAnsi"/>
          <w:i/>
          <w:sz w:val="22"/>
          <w:szCs w:val="22"/>
        </w:rPr>
      </w:pPr>
      <w:r w:rsidRPr="00E51C56">
        <w:rPr>
          <w:rFonts w:asciiTheme="minorHAnsi" w:hAnsiTheme="minorHAnsi" w:cstheme="minorHAnsi"/>
          <w:i/>
          <w:sz w:val="22"/>
          <w:szCs w:val="22"/>
        </w:rPr>
        <w:t>Australian Federation of Air Pilots</w:t>
      </w:r>
    </w:p>
    <w:p w:rsidR="00EA19C5" w:rsidRPr="00E51C56" w:rsidRDefault="00EA19C5" w:rsidP="001123C2">
      <w:pPr>
        <w:rPr>
          <w:rFonts w:asciiTheme="minorHAnsi" w:hAnsiTheme="minorHAnsi" w:cstheme="minorHAnsi"/>
          <w:sz w:val="22"/>
          <w:szCs w:val="22"/>
        </w:rPr>
      </w:pPr>
    </w:p>
    <w:p w:rsidR="00EA19C5" w:rsidRPr="00E51C56" w:rsidRDefault="00EA19C5" w:rsidP="001123C2">
      <w:pPr>
        <w:rPr>
          <w:rFonts w:asciiTheme="minorHAnsi" w:hAnsiTheme="minorHAnsi" w:cstheme="minorHAnsi"/>
          <w:sz w:val="22"/>
          <w:szCs w:val="22"/>
        </w:rPr>
      </w:pPr>
      <w:r w:rsidRPr="00E51C56">
        <w:rPr>
          <w:rFonts w:asciiTheme="minorHAnsi" w:hAnsiTheme="minorHAnsi" w:cstheme="minorHAnsi"/>
          <w:sz w:val="22"/>
          <w:szCs w:val="22"/>
        </w:rPr>
        <w:t>For further information regarding the above submission please contact:</w:t>
      </w:r>
    </w:p>
    <w:p w:rsidR="00DE564D" w:rsidRPr="00E51C56" w:rsidRDefault="00DE564D" w:rsidP="001123C2">
      <w:pPr>
        <w:rPr>
          <w:rFonts w:asciiTheme="minorHAnsi" w:hAnsiTheme="minorHAnsi" w:cstheme="minorHAnsi"/>
          <w:sz w:val="22"/>
          <w:szCs w:val="22"/>
        </w:rPr>
      </w:pPr>
    </w:p>
    <w:p w:rsidR="00DE564D" w:rsidRPr="00E51C56" w:rsidRDefault="000E392C" w:rsidP="001123C2">
      <w:pPr>
        <w:rPr>
          <w:rFonts w:asciiTheme="minorHAnsi" w:hAnsiTheme="minorHAnsi" w:cstheme="minorHAnsi"/>
          <w:b/>
          <w:sz w:val="22"/>
          <w:szCs w:val="22"/>
        </w:rPr>
      </w:pPr>
      <w:r>
        <w:rPr>
          <w:rFonts w:asciiTheme="minorHAnsi" w:hAnsiTheme="minorHAnsi" w:cstheme="minorHAnsi"/>
          <w:b/>
          <w:sz w:val="22"/>
          <w:szCs w:val="22"/>
        </w:rPr>
        <w:t>Patrick Larkins</w:t>
      </w:r>
    </w:p>
    <w:p w:rsidR="00DE564D" w:rsidRPr="00E51C56" w:rsidRDefault="000E392C" w:rsidP="001123C2">
      <w:pPr>
        <w:rPr>
          <w:rFonts w:asciiTheme="minorHAnsi" w:hAnsiTheme="minorHAnsi" w:cstheme="minorHAnsi"/>
          <w:sz w:val="22"/>
          <w:szCs w:val="22"/>
        </w:rPr>
      </w:pPr>
      <w:r>
        <w:rPr>
          <w:rFonts w:asciiTheme="minorHAnsi" w:hAnsiTheme="minorHAnsi" w:cstheme="minorHAnsi"/>
          <w:sz w:val="22"/>
          <w:szCs w:val="22"/>
        </w:rPr>
        <w:t>Senior Industrial/ Legal Officer</w:t>
      </w:r>
    </w:p>
    <w:p w:rsidR="00DE564D" w:rsidRPr="00E51C56" w:rsidRDefault="00DE564D" w:rsidP="001123C2">
      <w:pPr>
        <w:rPr>
          <w:rFonts w:asciiTheme="minorHAnsi" w:hAnsiTheme="minorHAnsi" w:cstheme="minorHAnsi"/>
          <w:i/>
          <w:sz w:val="22"/>
          <w:szCs w:val="22"/>
        </w:rPr>
      </w:pPr>
      <w:r w:rsidRPr="00E51C56">
        <w:rPr>
          <w:rFonts w:asciiTheme="minorHAnsi" w:hAnsiTheme="minorHAnsi" w:cstheme="minorHAnsi"/>
          <w:i/>
          <w:sz w:val="22"/>
          <w:szCs w:val="22"/>
        </w:rPr>
        <w:t>Australian Federation of Air Pilots</w:t>
      </w:r>
    </w:p>
    <w:p w:rsidR="00DE564D" w:rsidRPr="00E51C56" w:rsidRDefault="00A1557C" w:rsidP="001123C2">
      <w:pPr>
        <w:rPr>
          <w:rFonts w:asciiTheme="minorHAnsi" w:hAnsiTheme="minorHAnsi" w:cstheme="minorHAnsi"/>
          <w:sz w:val="22"/>
          <w:szCs w:val="22"/>
        </w:rPr>
      </w:pPr>
      <w:r>
        <w:rPr>
          <w:rFonts w:asciiTheme="minorHAnsi" w:hAnsiTheme="minorHAnsi" w:cstheme="minorHAnsi"/>
          <w:sz w:val="22"/>
          <w:szCs w:val="22"/>
        </w:rPr>
        <w:t>Level 4</w:t>
      </w:r>
      <w:r w:rsidR="00DE564D" w:rsidRPr="00E51C56">
        <w:rPr>
          <w:rFonts w:asciiTheme="minorHAnsi" w:hAnsiTheme="minorHAnsi" w:cstheme="minorHAnsi"/>
          <w:sz w:val="22"/>
          <w:szCs w:val="22"/>
        </w:rPr>
        <w:t>, 132 Albert Road</w:t>
      </w:r>
    </w:p>
    <w:p w:rsidR="00DE564D" w:rsidRPr="00E51C56" w:rsidRDefault="00DE564D" w:rsidP="001123C2">
      <w:pPr>
        <w:rPr>
          <w:rFonts w:asciiTheme="minorHAnsi" w:hAnsiTheme="minorHAnsi" w:cstheme="minorHAnsi"/>
          <w:sz w:val="22"/>
          <w:szCs w:val="22"/>
        </w:rPr>
      </w:pPr>
      <w:r w:rsidRPr="00E51C56">
        <w:rPr>
          <w:rFonts w:asciiTheme="minorHAnsi" w:hAnsiTheme="minorHAnsi" w:cstheme="minorHAnsi"/>
          <w:sz w:val="22"/>
          <w:szCs w:val="22"/>
        </w:rPr>
        <w:t xml:space="preserve">South Melbourne </w:t>
      </w:r>
      <w:r w:rsidR="00E51C56">
        <w:rPr>
          <w:rFonts w:asciiTheme="minorHAnsi" w:hAnsiTheme="minorHAnsi" w:cstheme="minorHAnsi"/>
          <w:sz w:val="22"/>
          <w:szCs w:val="22"/>
        </w:rPr>
        <w:t xml:space="preserve"> </w:t>
      </w:r>
      <w:r w:rsidRPr="00E51C56">
        <w:rPr>
          <w:rFonts w:asciiTheme="minorHAnsi" w:hAnsiTheme="minorHAnsi" w:cstheme="minorHAnsi"/>
          <w:sz w:val="22"/>
          <w:szCs w:val="22"/>
        </w:rPr>
        <w:t xml:space="preserve"> VIC  </w:t>
      </w:r>
      <w:r w:rsidR="00E51C56">
        <w:rPr>
          <w:rFonts w:asciiTheme="minorHAnsi" w:hAnsiTheme="minorHAnsi" w:cstheme="minorHAnsi"/>
          <w:sz w:val="22"/>
          <w:szCs w:val="22"/>
        </w:rPr>
        <w:t xml:space="preserve"> </w:t>
      </w:r>
      <w:r w:rsidRPr="00E51C56">
        <w:rPr>
          <w:rFonts w:asciiTheme="minorHAnsi" w:hAnsiTheme="minorHAnsi" w:cstheme="minorHAnsi"/>
          <w:sz w:val="22"/>
          <w:szCs w:val="22"/>
        </w:rPr>
        <w:t>3205</w:t>
      </w:r>
    </w:p>
    <w:p w:rsidR="00DE564D" w:rsidRPr="00E51C56" w:rsidRDefault="00DE564D" w:rsidP="001123C2">
      <w:pPr>
        <w:rPr>
          <w:rFonts w:asciiTheme="minorHAnsi" w:hAnsiTheme="minorHAnsi" w:cstheme="minorHAnsi"/>
          <w:sz w:val="22"/>
          <w:szCs w:val="22"/>
        </w:rPr>
      </w:pPr>
      <w:r w:rsidRPr="00E51C56">
        <w:rPr>
          <w:rFonts w:asciiTheme="minorHAnsi" w:hAnsiTheme="minorHAnsi" w:cstheme="minorHAnsi"/>
          <w:sz w:val="22"/>
          <w:szCs w:val="22"/>
        </w:rPr>
        <w:t>Ph:</w:t>
      </w:r>
      <w:r w:rsidRPr="00E51C56">
        <w:rPr>
          <w:rFonts w:asciiTheme="minorHAnsi" w:hAnsiTheme="minorHAnsi" w:cstheme="minorHAnsi"/>
          <w:sz w:val="22"/>
          <w:szCs w:val="22"/>
        </w:rPr>
        <w:tab/>
        <w:t>(03) 9928 5737</w:t>
      </w:r>
    </w:p>
    <w:p w:rsidR="00DE564D" w:rsidRPr="00E51C56" w:rsidRDefault="00DE564D" w:rsidP="001123C2">
      <w:pPr>
        <w:rPr>
          <w:rFonts w:asciiTheme="minorHAnsi" w:hAnsiTheme="minorHAnsi" w:cstheme="minorHAnsi"/>
          <w:sz w:val="22"/>
          <w:szCs w:val="22"/>
        </w:rPr>
      </w:pPr>
      <w:r w:rsidRPr="00E51C56">
        <w:rPr>
          <w:rFonts w:asciiTheme="minorHAnsi" w:hAnsiTheme="minorHAnsi" w:cstheme="minorHAnsi"/>
          <w:sz w:val="22"/>
          <w:szCs w:val="22"/>
        </w:rPr>
        <w:t>Fax:</w:t>
      </w:r>
      <w:r w:rsidRPr="00E51C56">
        <w:rPr>
          <w:rFonts w:asciiTheme="minorHAnsi" w:hAnsiTheme="minorHAnsi" w:cstheme="minorHAnsi"/>
          <w:sz w:val="22"/>
          <w:szCs w:val="22"/>
        </w:rPr>
        <w:tab/>
        <w:t>(03) 9699 8199</w:t>
      </w:r>
    </w:p>
    <w:p w:rsidR="00553F53" w:rsidRPr="00E51C56" w:rsidRDefault="00DE564D" w:rsidP="001123C2">
      <w:pPr>
        <w:rPr>
          <w:rFonts w:asciiTheme="minorHAnsi" w:hAnsiTheme="minorHAnsi" w:cstheme="minorHAnsi"/>
          <w:sz w:val="22"/>
          <w:szCs w:val="22"/>
        </w:rPr>
      </w:pPr>
      <w:r w:rsidRPr="00E51C56">
        <w:rPr>
          <w:rFonts w:asciiTheme="minorHAnsi" w:hAnsiTheme="minorHAnsi" w:cstheme="minorHAnsi"/>
          <w:sz w:val="22"/>
          <w:szCs w:val="22"/>
        </w:rPr>
        <w:t>Email:</w:t>
      </w:r>
      <w:r w:rsidR="00553F53" w:rsidRPr="00E51C56">
        <w:rPr>
          <w:rFonts w:asciiTheme="minorHAnsi" w:hAnsiTheme="minorHAnsi" w:cstheme="minorHAnsi"/>
          <w:sz w:val="22"/>
          <w:szCs w:val="22"/>
        </w:rPr>
        <w:tab/>
      </w:r>
      <w:hyperlink r:id="rId10" w:history="1">
        <w:r w:rsidR="000E392C" w:rsidRPr="00E46CD8">
          <w:rPr>
            <w:rStyle w:val="Hyperlink"/>
            <w:rFonts w:asciiTheme="minorHAnsi" w:hAnsiTheme="minorHAnsi" w:cstheme="minorHAnsi"/>
            <w:sz w:val="22"/>
            <w:szCs w:val="22"/>
          </w:rPr>
          <w:t>patrick@afap.org.au</w:t>
        </w:r>
      </w:hyperlink>
    </w:p>
    <w:p w:rsidR="00553F53" w:rsidRDefault="00553F53" w:rsidP="001123C2">
      <w:pPr>
        <w:rPr>
          <w:rStyle w:val="Hyperlink"/>
          <w:rFonts w:asciiTheme="minorHAnsi" w:hAnsiTheme="minorHAnsi" w:cstheme="minorHAnsi"/>
          <w:sz w:val="22"/>
          <w:szCs w:val="22"/>
        </w:rPr>
      </w:pPr>
      <w:r w:rsidRPr="00E51C56">
        <w:rPr>
          <w:rFonts w:asciiTheme="minorHAnsi" w:hAnsiTheme="minorHAnsi" w:cstheme="minorHAnsi"/>
          <w:sz w:val="22"/>
          <w:szCs w:val="22"/>
        </w:rPr>
        <w:t>Web:</w:t>
      </w:r>
      <w:r w:rsidRPr="00E51C56">
        <w:rPr>
          <w:rFonts w:asciiTheme="minorHAnsi" w:hAnsiTheme="minorHAnsi" w:cstheme="minorHAnsi"/>
          <w:sz w:val="22"/>
          <w:szCs w:val="22"/>
        </w:rPr>
        <w:tab/>
      </w:r>
      <w:hyperlink r:id="rId11" w:history="1">
        <w:r w:rsidRPr="00E51C56">
          <w:rPr>
            <w:rStyle w:val="Hyperlink"/>
            <w:rFonts w:asciiTheme="minorHAnsi" w:hAnsiTheme="minorHAnsi" w:cstheme="minorHAnsi"/>
            <w:sz w:val="22"/>
            <w:szCs w:val="22"/>
          </w:rPr>
          <w:t>www.afap.org.au</w:t>
        </w:r>
      </w:hyperlink>
    </w:p>
    <w:p w:rsidR="004609D6" w:rsidRPr="00E51C56" w:rsidRDefault="004609D6" w:rsidP="001123C2">
      <w:pPr>
        <w:rPr>
          <w:rFonts w:asciiTheme="minorHAnsi" w:hAnsiTheme="minorHAnsi" w:cstheme="minorHAnsi"/>
          <w:sz w:val="22"/>
          <w:szCs w:val="22"/>
        </w:rPr>
      </w:pPr>
    </w:p>
    <w:sectPr w:rsidR="004609D6" w:rsidRPr="00E51C56" w:rsidSect="001C416E">
      <w:footerReference w:type="default" r:id="rId12"/>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AD4" w:rsidRDefault="002D6AD4" w:rsidP="001C416E">
      <w:r>
        <w:separator/>
      </w:r>
    </w:p>
  </w:endnote>
  <w:endnote w:type="continuationSeparator" w:id="0">
    <w:p w:rsidR="002D6AD4" w:rsidRDefault="002D6AD4" w:rsidP="001C4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124" w:rsidRPr="00CC185E" w:rsidRDefault="00874124" w:rsidP="007569AE">
    <w:pPr>
      <w:pBdr>
        <w:top w:val="single" w:sz="4" w:space="1" w:color="auto"/>
      </w:pBdr>
      <w:tabs>
        <w:tab w:val="center" w:pos="4320"/>
        <w:tab w:val="right" w:pos="8280"/>
      </w:tabs>
      <w:ind w:right="35"/>
      <w:rPr>
        <w:rFonts w:asciiTheme="minorHAnsi" w:hAnsiTheme="minorHAnsi" w:cstheme="minorHAnsi"/>
        <w:sz w:val="18"/>
        <w:szCs w:val="18"/>
      </w:rPr>
    </w:pPr>
    <w:r w:rsidRPr="00CC185E">
      <w:rPr>
        <w:rFonts w:asciiTheme="minorHAnsi" w:hAnsiTheme="minorHAnsi" w:cstheme="minorHAnsi"/>
        <w:i/>
        <w:sz w:val="18"/>
        <w:szCs w:val="18"/>
      </w:rPr>
      <w:t>AFAP</w:t>
    </w:r>
    <w:r>
      <w:rPr>
        <w:rFonts w:asciiTheme="minorHAnsi" w:hAnsiTheme="minorHAnsi" w:cstheme="minorHAnsi"/>
        <w:sz w:val="18"/>
        <w:szCs w:val="18"/>
      </w:rPr>
      <w:tab/>
    </w:r>
    <w:r w:rsidRPr="00CC185E">
      <w:rPr>
        <w:rFonts w:asciiTheme="minorHAnsi" w:hAnsiTheme="minorHAnsi" w:cstheme="minorHAnsi"/>
        <w:sz w:val="18"/>
        <w:szCs w:val="18"/>
      </w:rPr>
      <w:t xml:space="preserve">Submission – </w:t>
    </w:r>
    <w:r w:rsidR="00E20F8F">
      <w:rPr>
        <w:rFonts w:asciiTheme="minorHAnsi" w:hAnsiTheme="minorHAnsi" w:cstheme="minorHAnsi"/>
        <w:sz w:val="18"/>
        <w:szCs w:val="18"/>
      </w:rPr>
      <w:t>Greenfields Agreement Review</w:t>
    </w:r>
    <w:r w:rsidRPr="00CC185E">
      <w:rPr>
        <w:rFonts w:asciiTheme="minorHAnsi" w:hAnsiTheme="minorHAnsi" w:cstheme="minorHAnsi"/>
        <w:sz w:val="18"/>
        <w:szCs w:val="18"/>
      </w:rPr>
      <w:tab/>
      <w:t xml:space="preserve">Page </w:t>
    </w:r>
    <w:r w:rsidRPr="00CC185E">
      <w:rPr>
        <w:rFonts w:asciiTheme="minorHAnsi" w:hAnsiTheme="minorHAnsi" w:cstheme="minorHAnsi"/>
        <w:sz w:val="18"/>
        <w:szCs w:val="18"/>
      </w:rPr>
      <w:fldChar w:fldCharType="begin"/>
    </w:r>
    <w:r w:rsidRPr="00CC185E">
      <w:rPr>
        <w:rFonts w:asciiTheme="minorHAnsi" w:hAnsiTheme="minorHAnsi" w:cstheme="minorHAnsi"/>
        <w:sz w:val="18"/>
        <w:szCs w:val="18"/>
      </w:rPr>
      <w:instrText xml:space="preserve"> PAGE </w:instrText>
    </w:r>
    <w:r w:rsidRPr="00CC185E">
      <w:rPr>
        <w:rFonts w:asciiTheme="minorHAnsi" w:hAnsiTheme="minorHAnsi" w:cstheme="minorHAnsi"/>
        <w:sz w:val="18"/>
        <w:szCs w:val="18"/>
      </w:rPr>
      <w:fldChar w:fldCharType="separate"/>
    </w:r>
    <w:r w:rsidR="00C865C6">
      <w:rPr>
        <w:rFonts w:asciiTheme="minorHAnsi" w:hAnsiTheme="minorHAnsi" w:cstheme="minorHAnsi"/>
        <w:noProof/>
        <w:sz w:val="18"/>
        <w:szCs w:val="18"/>
      </w:rPr>
      <w:t>1</w:t>
    </w:r>
    <w:r w:rsidRPr="00CC185E">
      <w:rPr>
        <w:rFonts w:asciiTheme="minorHAnsi" w:hAnsiTheme="minorHAnsi" w:cstheme="minorHAnsi"/>
        <w:sz w:val="18"/>
        <w:szCs w:val="18"/>
      </w:rPr>
      <w:fldChar w:fldCharType="end"/>
    </w:r>
  </w:p>
  <w:p w:rsidR="00874124" w:rsidRDefault="008741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AD4" w:rsidRDefault="002D6AD4" w:rsidP="001C416E">
      <w:r>
        <w:separator/>
      </w:r>
    </w:p>
  </w:footnote>
  <w:footnote w:type="continuationSeparator" w:id="0">
    <w:p w:rsidR="002D6AD4" w:rsidRDefault="002D6AD4" w:rsidP="001C416E">
      <w:r>
        <w:continuationSeparator/>
      </w:r>
    </w:p>
  </w:footnote>
  <w:footnote w:id="1">
    <w:p w:rsidR="00681913" w:rsidRPr="00681913" w:rsidRDefault="00681913">
      <w:pPr>
        <w:pStyle w:val="FootnoteText"/>
      </w:pPr>
      <w:r>
        <w:rPr>
          <w:rStyle w:val="FootnoteReference"/>
        </w:rPr>
        <w:footnoteRef/>
      </w:r>
      <w:r w:rsidR="00DE15FA">
        <w:t xml:space="preserve"> See s.177(</w:t>
      </w:r>
      <w:r>
        <w:t>b)</w:t>
      </w:r>
      <w:r w:rsidR="00DE15FA">
        <w:t>(ii)</w:t>
      </w:r>
      <w:r>
        <w:t xml:space="preserve"> of the </w:t>
      </w:r>
      <w:r>
        <w:rPr>
          <w:i/>
        </w:rPr>
        <w:t xml:space="preserve">Fair Work Act 2009 </w:t>
      </w:r>
      <w:r>
        <w:t>(Cth.).</w:t>
      </w:r>
    </w:p>
  </w:footnote>
  <w:footnote w:id="2">
    <w:p w:rsidR="00681913" w:rsidRDefault="00681913">
      <w:pPr>
        <w:pStyle w:val="FootnoteText"/>
      </w:pPr>
      <w:r>
        <w:rPr>
          <w:rStyle w:val="FootnoteReference"/>
        </w:rPr>
        <w:footnoteRef/>
      </w:r>
      <w:r>
        <w:t xml:space="preserve"> See section 2.3.2 of the Explanatory Memorandum to the </w:t>
      </w:r>
      <w:r w:rsidRPr="00681913">
        <w:rPr>
          <w:i/>
        </w:rPr>
        <w:t>Fair Work Amendment Bill 2014</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52B3"/>
    <w:multiLevelType w:val="hybridMultilevel"/>
    <w:tmpl w:val="13F041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365CA0"/>
    <w:multiLevelType w:val="hybridMultilevel"/>
    <w:tmpl w:val="41E8AE9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69954AA"/>
    <w:multiLevelType w:val="hybridMultilevel"/>
    <w:tmpl w:val="A50A1C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CA66FB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CF64A2"/>
    <w:multiLevelType w:val="hybridMultilevel"/>
    <w:tmpl w:val="2B8616D2"/>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833310"/>
    <w:multiLevelType w:val="hybridMultilevel"/>
    <w:tmpl w:val="3B5807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310635B"/>
    <w:multiLevelType w:val="hybridMultilevel"/>
    <w:tmpl w:val="A7D29C2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0152A3"/>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0D143F"/>
    <w:multiLevelType w:val="hybridMultilevel"/>
    <w:tmpl w:val="75A005F4"/>
    <w:lvl w:ilvl="0" w:tplc="0BD8D5F0">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CA201AE"/>
    <w:multiLevelType w:val="hybridMultilevel"/>
    <w:tmpl w:val="2BEA11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F40708"/>
    <w:multiLevelType w:val="hybridMultilevel"/>
    <w:tmpl w:val="EAECEF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10B30C2"/>
    <w:multiLevelType w:val="hybridMultilevel"/>
    <w:tmpl w:val="A14460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31F240E5"/>
    <w:multiLevelType w:val="hybridMultilevel"/>
    <w:tmpl w:val="C958C67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8F00D83"/>
    <w:multiLevelType w:val="hybridMultilevel"/>
    <w:tmpl w:val="35962C6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406D521E"/>
    <w:multiLevelType w:val="hybridMultilevel"/>
    <w:tmpl w:val="37FC27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1923247"/>
    <w:multiLevelType w:val="hybridMultilevel"/>
    <w:tmpl w:val="FD8ED72C"/>
    <w:lvl w:ilvl="0" w:tplc="F17CDED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3A603A9"/>
    <w:multiLevelType w:val="hybridMultilevel"/>
    <w:tmpl w:val="F3EE7E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61D06E7"/>
    <w:multiLevelType w:val="hybridMultilevel"/>
    <w:tmpl w:val="ED661C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4F535BF1"/>
    <w:multiLevelType w:val="hybridMultilevel"/>
    <w:tmpl w:val="EF50754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4FAE1E7D"/>
    <w:multiLevelType w:val="hybridMultilevel"/>
    <w:tmpl w:val="CC3E21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4784467"/>
    <w:multiLevelType w:val="hybridMultilevel"/>
    <w:tmpl w:val="2B8616D2"/>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962F33"/>
    <w:multiLevelType w:val="hybridMultilevel"/>
    <w:tmpl w:val="F072082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67533B72"/>
    <w:multiLevelType w:val="hybridMultilevel"/>
    <w:tmpl w:val="68C8346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6D854EC2"/>
    <w:multiLevelType w:val="hybridMultilevel"/>
    <w:tmpl w:val="9F28302A"/>
    <w:lvl w:ilvl="0" w:tplc="32484058">
      <w:start w:val="1"/>
      <w:numFmt w:val="lowerLetter"/>
      <w:lvlText w:val="%1)"/>
      <w:lvlJc w:val="left"/>
      <w:pPr>
        <w:ind w:left="720" w:hanging="360"/>
      </w:pPr>
      <w:rPr>
        <w:rFonts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E730996"/>
    <w:multiLevelType w:val="hybridMultilevel"/>
    <w:tmpl w:val="C6B4743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74400E0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2"/>
  </w:num>
  <w:num w:numId="3">
    <w:abstractNumId w:val="21"/>
  </w:num>
  <w:num w:numId="4">
    <w:abstractNumId w:val="24"/>
  </w:num>
  <w:num w:numId="5">
    <w:abstractNumId w:val="5"/>
  </w:num>
  <w:num w:numId="6">
    <w:abstractNumId w:val="17"/>
  </w:num>
  <w:num w:numId="7">
    <w:abstractNumId w:val="1"/>
  </w:num>
  <w:num w:numId="8">
    <w:abstractNumId w:val="22"/>
  </w:num>
  <w:num w:numId="9">
    <w:abstractNumId w:val="2"/>
  </w:num>
  <w:num w:numId="10">
    <w:abstractNumId w:val="13"/>
  </w:num>
  <w:num w:numId="11">
    <w:abstractNumId w:val="18"/>
  </w:num>
  <w:num w:numId="12">
    <w:abstractNumId w:val="19"/>
  </w:num>
  <w:num w:numId="13">
    <w:abstractNumId w:val="10"/>
  </w:num>
  <w:num w:numId="14">
    <w:abstractNumId w:val="3"/>
  </w:num>
  <w:num w:numId="15">
    <w:abstractNumId w:val="25"/>
  </w:num>
  <w:num w:numId="16">
    <w:abstractNumId w:val="6"/>
  </w:num>
  <w:num w:numId="17">
    <w:abstractNumId w:val="11"/>
  </w:num>
  <w:num w:numId="18">
    <w:abstractNumId w:val="9"/>
  </w:num>
  <w:num w:numId="19">
    <w:abstractNumId w:val="14"/>
  </w:num>
  <w:num w:numId="20">
    <w:abstractNumId w:val="7"/>
  </w:num>
  <w:num w:numId="21">
    <w:abstractNumId w:val="20"/>
  </w:num>
  <w:num w:numId="22">
    <w:abstractNumId w:val="0"/>
  </w:num>
  <w:num w:numId="23">
    <w:abstractNumId w:val="23"/>
  </w:num>
  <w:num w:numId="24">
    <w:abstractNumId w:val="4"/>
  </w:num>
  <w:num w:numId="25">
    <w:abstractNumId w:val="15"/>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3C2"/>
    <w:rsid w:val="000036D8"/>
    <w:rsid w:val="0001796E"/>
    <w:rsid w:val="00023010"/>
    <w:rsid w:val="00027153"/>
    <w:rsid w:val="000307F2"/>
    <w:rsid w:val="00033485"/>
    <w:rsid w:val="0004612E"/>
    <w:rsid w:val="000527B3"/>
    <w:rsid w:val="00053303"/>
    <w:rsid w:val="000809F0"/>
    <w:rsid w:val="00081CA8"/>
    <w:rsid w:val="000A3C83"/>
    <w:rsid w:val="000A5588"/>
    <w:rsid w:val="000A7F5A"/>
    <w:rsid w:val="000B1746"/>
    <w:rsid w:val="000B6C69"/>
    <w:rsid w:val="000C0BE1"/>
    <w:rsid w:val="000C1F94"/>
    <w:rsid w:val="000C3A79"/>
    <w:rsid w:val="000C64D0"/>
    <w:rsid w:val="000D26E5"/>
    <w:rsid w:val="000E37B5"/>
    <w:rsid w:val="000E392C"/>
    <w:rsid w:val="000E541D"/>
    <w:rsid w:val="000E61CB"/>
    <w:rsid w:val="001123C2"/>
    <w:rsid w:val="00114D42"/>
    <w:rsid w:val="00130F28"/>
    <w:rsid w:val="00155709"/>
    <w:rsid w:val="001621AD"/>
    <w:rsid w:val="00172974"/>
    <w:rsid w:val="00176C82"/>
    <w:rsid w:val="0019492E"/>
    <w:rsid w:val="001B4B5A"/>
    <w:rsid w:val="001B69C5"/>
    <w:rsid w:val="001C416E"/>
    <w:rsid w:val="001C4A44"/>
    <w:rsid w:val="001E0DAD"/>
    <w:rsid w:val="001F5526"/>
    <w:rsid w:val="002270DF"/>
    <w:rsid w:val="00236FDD"/>
    <w:rsid w:val="0024327E"/>
    <w:rsid w:val="00263F0F"/>
    <w:rsid w:val="002758DC"/>
    <w:rsid w:val="00277DA3"/>
    <w:rsid w:val="002A3FE5"/>
    <w:rsid w:val="002B30E0"/>
    <w:rsid w:val="002B7D42"/>
    <w:rsid w:val="002C48D3"/>
    <w:rsid w:val="002D60DB"/>
    <w:rsid w:val="002D69C6"/>
    <w:rsid w:val="002D6AD4"/>
    <w:rsid w:val="002E1FAA"/>
    <w:rsid w:val="002E5294"/>
    <w:rsid w:val="002F59E8"/>
    <w:rsid w:val="0030022F"/>
    <w:rsid w:val="00303BFB"/>
    <w:rsid w:val="00310D53"/>
    <w:rsid w:val="003259BE"/>
    <w:rsid w:val="003351F3"/>
    <w:rsid w:val="003527DF"/>
    <w:rsid w:val="00354DD3"/>
    <w:rsid w:val="003778D9"/>
    <w:rsid w:val="00391E93"/>
    <w:rsid w:val="003A12D4"/>
    <w:rsid w:val="003A507C"/>
    <w:rsid w:val="003A5A0D"/>
    <w:rsid w:val="003B0ECD"/>
    <w:rsid w:val="003C334B"/>
    <w:rsid w:val="003D4DAF"/>
    <w:rsid w:val="003E11E3"/>
    <w:rsid w:val="003E4D88"/>
    <w:rsid w:val="00401856"/>
    <w:rsid w:val="00420572"/>
    <w:rsid w:val="00423296"/>
    <w:rsid w:val="004609D6"/>
    <w:rsid w:val="00490B61"/>
    <w:rsid w:val="00496017"/>
    <w:rsid w:val="004A76B9"/>
    <w:rsid w:val="004B01B6"/>
    <w:rsid w:val="004B3D10"/>
    <w:rsid w:val="004C6161"/>
    <w:rsid w:val="004D373F"/>
    <w:rsid w:val="004E3886"/>
    <w:rsid w:val="004F23EC"/>
    <w:rsid w:val="004F2BCA"/>
    <w:rsid w:val="004F363C"/>
    <w:rsid w:val="004F468E"/>
    <w:rsid w:val="004F5C22"/>
    <w:rsid w:val="0050508B"/>
    <w:rsid w:val="005101D9"/>
    <w:rsid w:val="00515402"/>
    <w:rsid w:val="005270C4"/>
    <w:rsid w:val="0052741E"/>
    <w:rsid w:val="005278B2"/>
    <w:rsid w:val="00531F37"/>
    <w:rsid w:val="00533A1F"/>
    <w:rsid w:val="00545033"/>
    <w:rsid w:val="005509AA"/>
    <w:rsid w:val="00553F53"/>
    <w:rsid w:val="00554022"/>
    <w:rsid w:val="00556829"/>
    <w:rsid w:val="005639D9"/>
    <w:rsid w:val="005651A8"/>
    <w:rsid w:val="00585F0F"/>
    <w:rsid w:val="00595BF4"/>
    <w:rsid w:val="00596A88"/>
    <w:rsid w:val="005B3296"/>
    <w:rsid w:val="005B3D76"/>
    <w:rsid w:val="005B6366"/>
    <w:rsid w:val="005D269F"/>
    <w:rsid w:val="005E27E1"/>
    <w:rsid w:val="005E5F6F"/>
    <w:rsid w:val="00613977"/>
    <w:rsid w:val="00614CEF"/>
    <w:rsid w:val="00614DB1"/>
    <w:rsid w:val="0061674E"/>
    <w:rsid w:val="006262C9"/>
    <w:rsid w:val="0062695A"/>
    <w:rsid w:val="006276AE"/>
    <w:rsid w:val="00641A10"/>
    <w:rsid w:val="006477AF"/>
    <w:rsid w:val="00653191"/>
    <w:rsid w:val="00667C20"/>
    <w:rsid w:val="00681913"/>
    <w:rsid w:val="006822B1"/>
    <w:rsid w:val="00685D1E"/>
    <w:rsid w:val="006901C6"/>
    <w:rsid w:val="00693899"/>
    <w:rsid w:val="00695573"/>
    <w:rsid w:val="006A764A"/>
    <w:rsid w:val="006B50C5"/>
    <w:rsid w:val="006B632B"/>
    <w:rsid w:val="006B6EC3"/>
    <w:rsid w:val="006D2C97"/>
    <w:rsid w:val="006D460D"/>
    <w:rsid w:val="006D7638"/>
    <w:rsid w:val="006E374D"/>
    <w:rsid w:val="006F0753"/>
    <w:rsid w:val="006F098B"/>
    <w:rsid w:val="006F4616"/>
    <w:rsid w:val="007120D7"/>
    <w:rsid w:val="00735F14"/>
    <w:rsid w:val="00736FB8"/>
    <w:rsid w:val="0074513C"/>
    <w:rsid w:val="00746096"/>
    <w:rsid w:val="00753ADD"/>
    <w:rsid w:val="007553C0"/>
    <w:rsid w:val="007569AE"/>
    <w:rsid w:val="00757A80"/>
    <w:rsid w:val="00767BAD"/>
    <w:rsid w:val="00772DF8"/>
    <w:rsid w:val="0078463C"/>
    <w:rsid w:val="00786012"/>
    <w:rsid w:val="0078713C"/>
    <w:rsid w:val="007A6529"/>
    <w:rsid w:val="007B67BC"/>
    <w:rsid w:val="007C0AD1"/>
    <w:rsid w:val="007E775E"/>
    <w:rsid w:val="00801C1F"/>
    <w:rsid w:val="00802C7B"/>
    <w:rsid w:val="00810063"/>
    <w:rsid w:val="00811812"/>
    <w:rsid w:val="00812BCC"/>
    <w:rsid w:val="0082466C"/>
    <w:rsid w:val="00830642"/>
    <w:rsid w:val="00835AB0"/>
    <w:rsid w:val="00853856"/>
    <w:rsid w:val="008545A1"/>
    <w:rsid w:val="00855C2D"/>
    <w:rsid w:val="0086010A"/>
    <w:rsid w:val="00874124"/>
    <w:rsid w:val="008746FE"/>
    <w:rsid w:val="008752CB"/>
    <w:rsid w:val="00876831"/>
    <w:rsid w:val="008A2ADF"/>
    <w:rsid w:val="008B2965"/>
    <w:rsid w:val="008B2D4E"/>
    <w:rsid w:val="008C52DD"/>
    <w:rsid w:val="008F551B"/>
    <w:rsid w:val="00906EE0"/>
    <w:rsid w:val="00912A10"/>
    <w:rsid w:val="0093175E"/>
    <w:rsid w:val="00936FAD"/>
    <w:rsid w:val="00945535"/>
    <w:rsid w:val="00947CDC"/>
    <w:rsid w:val="0097271E"/>
    <w:rsid w:val="00980F66"/>
    <w:rsid w:val="009976E6"/>
    <w:rsid w:val="009A498C"/>
    <w:rsid w:val="009A5F3F"/>
    <w:rsid w:val="009A63CA"/>
    <w:rsid w:val="009B0BE7"/>
    <w:rsid w:val="009B105C"/>
    <w:rsid w:val="009C4A12"/>
    <w:rsid w:val="009C4BC5"/>
    <w:rsid w:val="009D2B89"/>
    <w:rsid w:val="009E24D6"/>
    <w:rsid w:val="009E47B3"/>
    <w:rsid w:val="009E4F7E"/>
    <w:rsid w:val="00A00ADB"/>
    <w:rsid w:val="00A1557C"/>
    <w:rsid w:val="00A16CC3"/>
    <w:rsid w:val="00A46DFB"/>
    <w:rsid w:val="00A61946"/>
    <w:rsid w:val="00A72E30"/>
    <w:rsid w:val="00A763A6"/>
    <w:rsid w:val="00A76E6B"/>
    <w:rsid w:val="00A80D2D"/>
    <w:rsid w:val="00AA7258"/>
    <w:rsid w:val="00AC0E11"/>
    <w:rsid w:val="00AC2178"/>
    <w:rsid w:val="00AC230F"/>
    <w:rsid w:val="00AC285E"/>
    <w:rsid w:val="00AC2C88"/>
    <w:rsid w:val="00AC45AF"/>
    <w:rsid w:val="00AD700F"/>
    <w:rsid w:val="00AE5AB2"/>
    <w:rsid w:val="00AF0540"/>
    <w:rsid w:val="00AF1C53"/>
    <w:rsid w:val="00B027BD"/>
    <w:rsid w:val="00B27DB8"/>
    <w:rsid w:val="00B476E4"/>
    <w:rsid w:val="00B47B67"/>
    <w:rsid w:val="00B514F6"/>
    <w:rsid w:val="00B53FA5"/>
    <w:rsid w:val="00B73910"/>
    <w:rsid w:val="00B85A8B"/>
    <w:rsid w:val="00BA1A63"/>
    <w:rsid w:val="00BA73C4"/>
    <w:rsid w:val="00BB0FB2"/>
    <w:rsid w:val="00BC0C9A"/>
    <w:rsid w:val="00BC5C40"/>
    <w:rsid w:val="00BD6719"/>
    <w:rsid w:val="00BD69D5"/>
    <w:rsid w:val="00BE065E"/>
    <w:rsid w:val="00BE71FC"/>
    <w:rsid w:val="00BF05F9"/>
    <w:rsid w:val="00C11285"/>
    <w:rsid w:val="00C20966"/>
    <w:rsid w:val="00C2262B"/>
    <w:rsid w:val="00C42A40"/>
    <w:rsid w:val="00C474A2"/>
    <w:rsid w:val="00C60F46"/>
    <w:rsid w:val="00C72A92"/>
    <w:rsid w:val="00C730B6"/>
    <w:rsid w:val="00C865C6"/>
    <w:rsid w:val="00CB451E"/>
    <w:rsid w:val="00CB6D54"/>
    <w:rsid w:val="00CC185E"/>
    <w:rsid w:val="00CC42A8"/>
    <w:rsid w:val="00CE165E"/>
    <w:rsid w:val="00CF1ACA"/>
    <w:rsid w:val="00CF559B"/>
    <w:rsid w:val="00D00296"/>
    <w:rsid w:val="00D00FBA"/>
    <w:rsid w:val="00D15997"/>
    <w:rsid w:val="00D5655B"/>
    <w:rsid w:val="00D57B51"/>
    <w:rsid w:val="00D6671F"/>
    <w:rsid w:val="00D82E7A"/>
    <w:rsid w:val="00D852B3"/>
    <w:rsid w:val="00DA1CDA"/>
    <w:rsid w:val="00DC3B73"/>
    <w:rsid w:val="00DD065C"/>
    <w:rsid w:val="00DD4485"/>
    <w:rsid w:val="00DE15FA"/>
    <w:rsid w:val="00DE564D"/>
    <w:rsid w:val="00DE76D8"/>
    <w:rsid w:val="00DF1A24"/>
    <w:rsid w:val="00E07EC0"/>
    <w:rsid w:val="00E20F8F"/>
    <w:rsid w:val="00E27926"/>
    <w:rsid w:val="00E45247"/>
    <w:rsid w:val="00E5005A"/>
    <w:rsid w:val="00E51C56"/>
    <w:rsid w:val="00E60040"/>
    <w:rsid w:val="00E67E17"/>
    <w:rsid w:val="00E745B9"/>
    <w:rsid w:val="00E76AFF"/>
    <w:rsid w:val="00E81180"/>
    <w:rsid w:val="00E94ADF"/>
    <w:rsid w:val="00EA146B"/>
    <w:rsid w:val="00EA19C5"/>
    <w:rsid w:val="00EA6EE8"/>
    <w:rsid w:val="00EC3377"/>
    <w:rsid w:val="00EC352C"/>
    <w:rsid w:val="00EC4BB3"/>
    <w:rsid w:val="00ED4AF4"/>
    <w:rsid w:val="00EE214D"/>
    <w:rsid w:val="00EE7D1A"/>
    <w:rsid w:val="00F161DB"/>
    <w:rsid w:val="00F2613C"/>
    <w:rsid w:val="00F370B4"/>
    <w:rsid w:val="00F419AA"/>
    <w:rsid w:val="00F4399A"/>
    <w:rsid w:val="00F5036D"/>
    <w:rsid w:val="00F5342F"/>
    <w:rsid w:val="00F54FC1"/>
    <w:rsid w:val="00F77464"/>
    <w:rsid w:val="00F83D9F"/>
    <w:rsid w:val="00F8429E"/>
    <w:rsid w:val="00F91DC0"/>
    <w:rsid w:val="00F93514"/>
    <w:rsid w:val="00FC3064"/>
    <w:rsid w:val="00FE2680"/>
    <w:rsid w:val="00FE4657"/>
    <w:rsid w:val="00FF18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1D6B93-5053-479E-95E2-6B18EC01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017"/>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uiPriority w:val="9"/>
    <w:qFormat/>
    <w:rsid w:val="00912A10"/>
    <w:pPr>
      <w:pBdr>
        <w:top w:val="single" w:sz="4" w:space="1" w:color="auto"/>
        <w:left w:val="single" w:sz="4" w:space="4" w:color="auto"/>
        <w:bottom w:val="single" w:sz="4" w:space="1" w:color="auto"/>
        <w:right w:val="single" w:sz="4" w:space="4" w:color="auto"/>
      </w:pBdr>
      <w:shd w:val="clear" w:color="auto" w:fill="D9D9D9" w:themeFill="background1" w:themeFillShade="D9"/>
      <w:jc w:val="center"/>
      <w:outlineLvl w:val="0"/>
    </w:pPr>
    <w:rPr>
      <w:rFonts w:asciiTheme="minorHAnsi" w:hAnsiTheme="minorHAnsi" w:cstheme="minorHAnsi"/>
      <w:b/>
      <w:sz w:val="28"/>
      <w:szCs w:val="28"/>
    </w:rPr>
  </w:style>
  <w:style w:type="paragraph" w:styleId="Heading2">
    <w:name w:val="heading 2"/>
    <w:basedOn w:val="Normal"/>
    <w:next w:val="Normal"/>
    <w:link w:val="Heading2Char"/>
    <w:uiPriority w:val="9"/>
    <w:unhideWhenUsed/>
    <w:qFormat/>
    <w:rsid w:val="00AC230F"/>
    <w:pPr>
      <w:spacing w:after="200" w:line="276" w:lineRule="auto"/>
      <w:jc w:val="both"/>
      <w:outlineLvl w:val="1"/>
    </w:pPr>
    <w:rPr>
      <w:rFonts w:asciiTheme="minorHAnsi" w:hAnsiTheme="minorHAnsi" w:cstheme="minorHAnsi"/>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1123C2"/>
    <w:rPr>
      <w:b/>
      <w:bCs/>
    </w:rPr>
  </w:style>
  <w:style w:type="paragraph" w:styleId="BalloonText">
    <w:name w:val="Balloon Text"/>
    <w:basedOn w:val="Normal"/>
    <w:link w:val="BalloonTextChar"/>
    <w:uiPriority w:val="99"/>
    <w:semiHidden/>
    <w:unhideWhenUsed/>
    <w:rsid w:val="001123C2"/>
    <w:rPr>
      <w:rFonts w:ascii="Tahoma" w:hAnsi="Tahoma" w:cs="Tahoma"/>
      <w:sz w:val="16"/>
      <w:szCs w:val="16"/>
    </w:rPr>
  </w:style>
  <w:style w:type="character" w:customStyle="1" w:styleId="BalloonTextChar">
    <w:name w:val="Balloon Text Char"/>
    <w:basedOn w:val="DefaultParagraphFont"/>
    <w:link w:val="BalloonText"/>
    <w:uiPriority w:val="99"/>
    <w:semiHidden/>
    <w:rsid w:val="001123C2"/>
    <w:rPr>
      <w:rFonts w:ascii="Tahoma" w:eastAsia="Times New Roman" w:hAnsi="Tahoma" w:cs="Tahoma"/>
      <w:sz w:val="16"/>
      <w:szCs w:val="16"/>
    </w:rPr>
  </w:style>
  <w:style w:type="paragraph" w:styleId="Header">
    <w:name w:val="header"/>
    <w:basedOn w:val="Normal"/>
    <w:link w:val="HeaderChar"/>
    <w:uiPriority w:val="99"/>
    <w:unhideWhenUsed/>
    <w:rsid w:val="001C416E"/>
    <w:pPr>
      <w:tabs>
        <w:tab w:val="center" w:pos="4513"/>
        <w:tab w:val="right" w:pos="9026"/>
      </w:tabs>
    </w:pPr>
  </w:style>
  <w:style w:type="character" w:customStyle="1" w:styleId="HeaderChar">
    <w:name w:val="Header Char"/>
    <w:basedOn w:val="DefaultParagraphFont"/>
    <w:link w:val="Header"/>
    <w:uiPriority w:val="99"/>
    <w:rsid w:val="001C416E"/>
    <w:rPr>
      <w:rFonts w:ascii="Arial" w:eastAsia="Times New Roman" w:hAnsi="Arial" w:cs="Times New Roman"/>
      <w:sz w:val="24"/>
      <w:szCs w:val="20"/>
    </w:rPr>
  </w:style>
  <w:style w:type="paragraph" w:styleId="Footer">
    <w:name w:val="footer"/>
    <w:basedOn w:val="Normal"/>
    <w:link w:val="FooterChar"/>
    <w:uiPriority w:val="99"/>
    <w:unhideWhenUsed/>
    <w:rsid w:val="001C416E"/>
    <w:pPr>
      <w:tabs>
        <w:tab w:val="center" w:pos="4513"/>
        <w:tab w:val="right" w:pos="9026"/>
      </w:tabs>
    </w:pPr>
  </w:style>
  <w:style w:type="character" w:customStyle="1" w:styleId="FooterChar">
    <w:name w:val="Footer Char"/>
    <w:basedOn w:val="DefaultParagraphFont"/>
    <w:link w:val="Footer"/>
    <w:uiPriority w:val="99"/>
    <w:rsid w:val="001C416E"/>
    <w:rPr>
      <w:rFonts w:ascii="Arial" w:eastAsia="Times New Roman" w:hAnsi="Arial" w:cs="Times New Roman"/>
      <w:sz w:val="24"/>
      <w:szCs w:val="20"/>
    </w:rPr>
  </w:style>
  <w:style w:type="character" w:styleId="Hyperlink">
    <w:name w:val="Hyperlink"/>
    <w:basedOn w:val="DefaultParagraphFont"/>
    <w:uiPriority w:val="99"/>
    <w:unhideWhenUsed/>
    <w:rsid w:val="00DE564D"/>
    <w:rPr>
      <w:color w:val="0000FF" w:themeColor="hyperlink"/>
      <w:u w:val="single"/>
    </w:rPr>
  </w:style>
  <w:style w:type="table" w:styleId="TableGrid">
    <w:name w:val="Table Grid"/>
    <w:basedOn w:val="TableNormal"/>
    <w:uiPriority w:val="59"/>
    <w:rsid w:val="006D2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0296"/>
    <w:pPr>
      <w:ind w:left="720"/>
      <w:contextualSpacing/>
    </w:pPr>
  </w:style>
  <w:style w:type="paragraph" w:styleId="FootnoteText">
    <w:name w:val="footnote text"/>
    <w:basedOn w:val="Normal"/>
    <w:link w:val="FootnoteTextChar"/>
    <w:uiPriority w:val="99"/>
    <w:semiHidden/>
    <w:unhideWhenUsed/>
    <w:rsid w:val="00906EE0"/>
    <w:rPr>
      <w:sz w:val="20"/>
    </w:rPr>
  </w:style>
  <w:style w:type="character" w:customStyle="1" w:styleId="FootnoteTextChar">
    <w:name w:val="Footnote Text Char"/>
    <w:basedOn w:val="DefaultParagraphFont"/>
    <w:link w:val="FootnoteText"/>
    <w:uiPriority w:val="99"/>
    <w:semiHidden/>
    <w:rsid w:val="00906EE0"/>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906EE0"/>
    <w:rPr>
      <w:vertAlign w:val="superscript"/>
    </w:rPr>
  </w:style>
  <w:style w:type="character" w:styleId="CommentReference">
    <w:name w:val="annotation reference"/>
    <w:basedOn w:val="DefaultParagraphFont"/>
    <w:uiPriority w:val="99"/>
    <w:semiHidden/>
    <w:unhideWhenUsed/>
    <w:rsid w:val="00BC0C9A"/>
    <w:rPr>
      <w:sz w:val="16"/>
      <w:szCs w:val="16"/>
    </w:rPr>
  </w:style>
  <w:style w:type="paragraph" w:styleId="CommentText">
    <w:name w:val="annotation text"/>
    <w:basedOn w:val="Normal"/>
    <w:link w:val="CommentTextChar"/>
    <w:uiPriority w:val="99"/>
    <w:semiHidden/>
    <w:unhideWhenUsed/>
    <w:rsid w:val="00BC0C9A"/>
    <w:rPr>
      <w:sz w:val="20"/>
    </w:rPr>
  </w:style>
  <w:style w:type="character" w:customStyle="1" w:styleId="CommentTextChar">
    <w:name w:val="Comment Text Char"/>
    <w:basedOn w:val="DefaultParagraphFont"/>
    <w:link w:val="CommentText"/>
    <w:uiPriority w:val="99"/>
    <w:semiHidden/>
    <w:rsid w:val="00BC0C9A"/>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BC0C9A"/>
    <w:rPr>
      <w:b/>
      <w:bCs/>
    </w:rPr>
  </w:style>
  <w:style w:type="character" w:customStyle="1" w:styleId="CommentSubjectChar">
    <w:name w:val="Comment Subject Char"/>
    <w:basedOn w:val="CommentTextChar"/>
    <w:link w:val="CommentSubject"/>
    <w:uiPriority w:val="99"/>
    <w:semiHidden/>
    <w:rsid w:val="00BC0C9A"/>
    <w:rPr>
      <w:rFonts w:ascii="Arial" w:eastAsia="Times New Roman" w:hAnsi="Arial" w:cs="Times New Roman"/>
      <w:b/>
      <w:bCs/>
      <w:sz w:val="20"/>
      <w:szCs w:val="20"/>
    </w:rPr>
  </w:style>
  <w:style w:type="table" w:customStyle="1" w:styleId="TableGrid1">
    <w:name w:val="Table Grid1"/>
    <w:basedOn w:val="TableNormal"/>
    <w:next w:val="TableGrid"/>
    <w:uiPriority w:val="59"/>
    <w:rsid w:val="004B3D1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476E4"/>
    <w:pPr>
      <w:autoSpaceDE w:val="0"/>
      <w:autoSpaceDN w:val="0"/>
      <w:adjustRightInd w:val="0"/>
      <w:spacing w:after="0" w:line="240" w:lineRule="auto"/>
    </w:pPr>
    <w:rPr>
      <w:rFonts w:ascii="Calibri" w:hAnsi="Calibri" w:cs="Calibri"/>
      <w:color w:val="000000"/>
      <w:sz w:val="24"/>
      <w:szCs w:val="24"/>
    </w:rPr>
  </w:style>
  <w:style w:type="paragraph" w:styleId="EndnoteText">
    <w:name w:val="endnote text"/>
    <w:basedOn w:val="Normal"/>
    <w:link w:val="EndnoteTextChar"/>
    <w:uiPriority w:val="99"/>
    <w:semiHidden/>
    <w:unhideWhenUsed/>
    <w:rsid w:val="00E20F8F"/>
    <w:rPr>
      <w:sz w:val="20"/>
    </w:rPr>
  </w:style>
  <w:style w:type="character" w:customStyle="1" w:styleId="EndnoteTextChar">
    <w:name w:val="Endnote Text Char"/>
    <w:basedOn w:val="DefaultParagraphFont"/>
    <w:link w:val="EndnoteText"/>
    <w:uiPriority w:val="99"/>
    <w:semiHidden/>
    <w:rsid w:val="00E20F8F"/>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E20F8F"/>
    <w:rPr>
      <w:vertAlign w:val="superscript"/>
    </w:rPr>
  </w:style>
  <w:style w:type="paragraph" w:styleId="Title">
    <w:name w:val="Title"/>
    <w:basedOn w:val="Normal"/>
    <w:next w:val="Normal"/>
    <w:link w:val="TitleChar"/>
    <w:uiPriority w:val="10"/>
    <w:qFormat/>
    <w:rsid w:val="00AC230F"/>
    <w:pPr>
      <w:jc w:val="center"/>
    </w:pPr>
    <w:rPr>
      <w:rFonts w:asciiTheme="minorHAnsi" w:hAnsiTheme="minorHAnsi" w:cstheme="minorHAnsi"/>
      <w:b/>
      <w:sz w:val="36"/>
      <w:szCs w:val="36"/>
    </w:rPr>
  </w:style>
  <w:style w:type="character" w:customStyle="1" w:styleId="TitleChar">
    <w:name w:val="Title Char"/>
    <w:basedOn w:val="DefaultParagraphFont"/>
    <w:link w:val="Title"/>
    <w:uiPriority w:val="10"/>
    <w:rsid w:val="00AC230F"/>
    <w:rPr>
      <w:rFonts w:eastAsia="Times New Roman" w:cstheme="minorHAnsi"/>
      <w:b/>
      <w:sz w:val="36"/>
      <w:szCs w:val="36"/>
    </w:rPr>
  </w:style>
  <w:style w:type="character" w:customStyle="1" w:styleId="Heading1Char">
    <w:name w:val="Heading 1 Char"/>
    <w:basedOn w:val="DefaultParagraphFont"/>
    <w:link w:val="Heading1"/>
    <w:uiPriority w:val="9"/>
    <w:rsid w:val="00912A10"/>
    <w:rPr>
      <w:rFonts w:eastAsia="Times New Roman" w:cstheme="minorHAnsi"/>
      <w:b/>
      <w:sz w:val="28"/>
      <w:szCs w:val="28"/>
      <w:shd w:val="clear" w:color="auto" w:fill="D9D9D9" w:themeFill="background1" w:themeFillShade="D9"/>
    </w:rPr>
  </w:style>
  <w:style w:type="character" w:customStyle="1" w:styleId="Heading2Char">
    <w:name w:val="Heading 2 Char"/>
    <w:basedOn w:val="DefaultParagraphFont"/>
    <w:link w:val="Heading2"/>
    <w:uiPriority w:val="9"/>
    <w:rsid w:val="00AC230F"/>
    <w:rPr>
      <w:rFonts w:eastAsia="Times New Roman" w:cstheme="minorHAnsi"/>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67017">
      <w:bodyDiv w:val="1"/>
      <w:marLeft w:val="0"/>
      <w:marRight w:val="0"/>
      <w:marTop w:val="0"/>
      <w:marBottom w:val="0"/>
      <w:divBdr>
        <w:top w:val="none" w:sz="0" w:space="0" w:color="auto"/>
        <w:left w:val="none" w:sz="0" w:space="0" w:color="auto"/>
        <w:bottom w:val="none" w:sz="0" w:space="0" w:color="auto"/>
        <w:right w:val="none" w:sz="0" w:space="0" w:color="auto"/>
      </w:divBdr>
    </w:div>
    <w:div w:id="1355814071">
      <w:bodyDiv w:val="1"/>
      <w:marLeft w:val="0"/>
      <w:marRight w:val="0"/>
      <w:marTop w:val="0"/>
      <w:marBottom w:val="0"/>
      <w:divBdr>
        <w:top w:val="none" w:sz="0" w:space="0" w:color="auto"/>
        <w:left w:val="none" w:sz="0" w:space="0" w:color="auto"/>
        <w:bottom w:val="none" w:sz="0" w:space="0" w:color="auto"/>
        <w:right w:val="none" w:sz="0" w:space="0" w:color="auto"/>
      </w:divBdr>
    </w:div>
    <w:div w:id="188240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fap.org.au"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mailto:patrick@afap.org.au"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DE48CDC5-D6AC-45FB-A3B8-A0AAD7EAD375}"/>
</file>

<file path=customXml/itemProps2.xml><?xml version="1.0" encoding="utf-8"?>
<ds:datastoreItem xmlns:ds="http://schemas.openxmlformats.org/officeDocument/2006/customXml" ds:itemID="{8F5E8F9F-C3CD-464E-A9AA-817456E019EC}"/>
</file>

<file path=customXml/itemProps3.xml><?xml version="1.0" encoding="utf-8"?>
<ds:datastoreItem xmlns:ds="http://schemas.openxmlformats.org/officeDocument/2006/customXml" ds:itemID="{F0DAA6AA-97A1-490F-B9E6-BF42C1442B51}"/>
</file>

<file path=customXml/itemProps4.xml><?xml version="1.0" encoding="utf-8"?>
<ds:datastoreItem xmlns:ds="http://schemas.openxmlformats.org/officeDocument/2006/customXml" ds:itemID="{FEBCFB4C-4167-4339-AB56-933F3F691E77}"/>
</file>

<file path=docProps/app.xml><?xml version="1.0" encoding="utf-8"?>
<Properties xmlns="http://schemas.openxmlformats.org/officeDocument/2006/extended-properties" xmlns:vt="http://schemas.openxmlformats.org/officeDocument/2006/docPropsVTypes">
  <Template>FFA474A7.dotm</Template>
  <TotalTime>24</TotalTime>
  <Pages>6</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Submission to the Greenfields Agreements Review</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to the Greenfields Agreements Review</dc:title>
  <dc:creator/>
  <cp:lastModifiedBy>HELIOS,George</cp:lastModifiedBy>
  <cp:revision>8</cp:revision>
  <cp:lastPrinted>2017-10-26T07:16:00Z</cp:lastPrinted>
  <dcterms:created xsi:type="dcterms:W3CDTF">2017-10-25T05:13:00Z</dcterms:created>
  <dcterms:modified xsi:type="dcterms:W3CDTF">2017-10-26T07:28:00Z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Order">
    <vt:r8>22200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