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footer2.xml" ContentType="application/vnd.openxmlformats-officedocument.wordprocessingml.footer+xml"/>
  <Override PartName="/word/header1.xml" ContentType="application/vnd.openxmlformats-officedocument.wordprocessingml.header+xml"/>
  <Override PartName="/word/endnotes.xml" ContentType="application/vnd.openxmlformats-officedocument.wordprocessingml.endnotes+xml"/>
  <Override PartName="/word/footnotes.xml" ContentType="application/vnd.openxmlformats-officedocument.wordprocessingml.footnotes+xml"/>
  <Override PartName="/word/footer1.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word/styles.xml" ContentType="application/vnd.openxmlformats-officedocument.wordprocessingml.styles+xml"/>
  <Override PartName="/customXml/itemProps1.xml" ContentType="application/vnd.openxmlformats-officedocument.customXmlProperties+xml"/>
  <Override PartName="/docProps/app.xml" ContentType="application/vnd.openxmlformats-officedocument.extended-properties+xml"/>
  <Override PartName="/word/stylesWithEffects.xml" ContentType="application/vnd.ms-word.stylesWithEffect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word/numbering.xml" ContentType="application/vnd.openxmlformats-officedocument.wordprocessingml.numbering+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D3A8F" w:rsidRPr="00877544" w:rsidRDefault="00273912" w:rsidP="00DD3A8F">
      <w:pPr>
        <w:pStyle w:val="Heading1"/>
        <w:rPr>
          <w:sz w:val="28"/>
        </w:rPr>
      </w:pPr>
      <w:r w:rsidRPr="00877544">
        <w:rPr>
          <w:sz w:val="28"/>
        </w:rPr>
        <w:t>Greenfields Agreements Review</w:t>
      </w:r>
    </w:p>
    <w:p w:rsidR="00273912" w:rsidRDefault="00273912" w:rsidP="00273912">
      <w:r>
        <w:t>Submission of the Australian Council of Trade Unions, 2</w:t>
      </w:r>
      <w:r w:rsidR="00106FDC">
        <w:t>7</w:t>
      </w:r>
      <w:r>
        <w:t xml:space="preserve"> October 2017</w:t>
      </w:r>
    </w:p>
    <w:p w:rsidR="009C2876" w:rsidRDefault="009C2876" w:rsidP="00180474"/>
    <w:p w:rsidR="0026635C" w:rsidRDefault="0026635C" w:rsidP="00180474"/>
    <w:p w:rsidR="00180474" w:rsidRDefault="00180474" w:rsidP="00180474">
      <w:pPr>
        <w:pStyle w:val="Heading1"/>
      </w:pPr>
      <w:r>
        <w:t xml:space="preserve">Executive summary </w:t>
      </w:r>
    </w:p>
    <w:p w:rsidR="00180474" w:rsidRDefault="00180474" w:rsidP="00180474"/>
    <w:p w:rsidR="00273912" w:rsidRDefault="00273912" w:rsidP="009C2876">
      <w:pPr>
        <w:pStyle w:val="ListParagraph"/>
        <w:numPr>
          <w:ilvl w:val="0"/>
          <w:numId w:val="2"/>
        </w:numPr>
        <w:ind w:left="567" w:hanging="567"/>
      </w:pPr>
      <w:r>
        <w:t>The Australian Council of Trade Unions</w:t>
      </w:r>
      <w:r w:rsidR="00877544">
        <w:t xml:space="preserve"> (</w:t>
      </w:r>
      <w:r w:rsidR="00877544" w:rsidRPr="009C2876">
        <w:rPr>
          <w:b/>
        </w:rPr>
        <w:t>ACTU</w:t>
      </w:r>
      <w:r w:rsidR="00877544">
        <w:t>)</w:t>
      </w:r>
      <w:r>
        <w:t xml:space="preserve"> welcomes the opportunity to make this submission to the Greenfields Agreement Review </w:t>
      </w:r>
      <w:r w:rsidR="009C2876">
        <w:t>(</w:t>
      </w:r>
      <w:r w:rsidR="009C2876" w:rsidRPr="009C2876">
        <w:rPr>
          <w:b/>
        </w:rPr>
        <w:t>Review</w:t>
      </w:r>
      <w:r w:rsidR="009C2876">
        <w:t xml:space="preserve">) </w:t>
      </w:r>
      <w:r w:rsidR="007706A8">
        <w:t>of</w:t>
      </w:r>
      <w:r w:rsidRPr="00273912">
        <w:t xml:space="preserve"> the effect and operation of amendments made to the greenfields agreement provisions of the </w:t>
      </w:r>
      <w:r w:rsidRPr="009C2876">
        <w:rPr>
          <w:i/>
        </w:rPr>
        <w:t>Fair Work Act 2009</w:t>
      </w:r>
      <w:r w:rsidRPr="00273912">
        <w:t xml:space="preserve"> </w:t>
      </w:r>
      <w:r>
        <w:t>(</w:t>
      </w:r>
      <w:proofErr w:type="spellStart"/>
      <w:r>
        <w:t>Cth</w:t>
      </w:r>
      <w:proofErr w:type="spellEnd"/>
      <w:r>
        <w:t>)</w:t>
      </w:r>
      <w:r w:rsidR="00C71DAC">
        <w:t xml:space="preserve"> (</w:t>
      </w:r>
      <w:r w:rsidR="00C71DAC" w:rsidRPr="00C71DAC">
        <w:rPr>
          <w:b/>
        </w:rPr>
        <w:t>Act</w:t>
      </w:r>
      <w:r w:rsidR="00C71DAC">
        <w:t>)</w:t>
      </w:r>
      <w:r w:rsidR="00B950B2">
        <w:rPr>
          <w:rStyle w:val="FootnoteReference"/>
        </w:rPr>
        <w:footnoteReference w:id="1"/>
      </w:r>
      <w:r>
        <w:t xml:space="preserve"> </w:t>
      </w:r>
      <w:r w:rsidRPr="00273912">
        <w:t xml:space="preserve">in November 2015 by the </w:t>
      </w:r>
      <w:r w:rsidRPr="009C2876">
        <w:rPr>
          <w:i/>
        </w:rPr>
        <w:t>Fair Work Amendment Act 2015</w:t>
      </w:r>
      <w:r>
        <w:t xml:space="preserve"> (</w:t>
      </w:r>
      <w:proofErr w:type="spellStart"/>
      <w:r>
        <w:t>Cth</w:t>
      </w:r>
      <w:proofErr w:type="spellEnd"/>
      <w:r>
        <w:t>)</w:t>
      </w:r>
      <w:r w:rsidR="00503FE1">
        <w:t xml:space="preserve"> (</w:t>
      </w:r>
      <w:r w:rsidR="00503FE1">
        <w:rPr>
          <w:b/>
        </w:rPr>
        <w:t>2015 greenfields amendments</w:t>
      </w:r>
      <w:r w:rsidR="00503FE1">
        <w:t>)</w:t>
      </w:r>
      <w:r>
        <w:t>.</w:t>
      </w:r>
    </w:p>
    <w:p w:rsidR="009C2876" w:rsidRDefault="009C2876" w:rsidP="009C2876">
      <w:pPr>
        <w:pStyle w:val="ListParagraph"/>
        <w:ind w:left="567"/>
      </w:pPr>
    </w:p>
    <w:p w:rsidR="009C2876" w:rsidRDefault="009C2876" w:rsidP="009C2876">
      <w:pPr>
        <w:pStyle w:val="ListParagraph"/>
        <w:numPr>
          <w:ilvl w:val="0"/>
          <w:numId w:val="2"/>
        </w:numPr>
        <w:ind w:left="567" w:hanging="567"/>
      </w:pPr>
      <w:r>
        <w:t>We note that the Review is specifically considering whether the amendments have supported more effective greenfields agreement negotiations and whether any further amendments should be enacted to improve the effective access to greenfields agreements.</w:t>
      </w:r>
      <w:r>
        <w:rPr>
          <w:rStyle w:val="FootnoteReference"/>
        </w:rPr>
        <w:footnoteReference w:id="2"/>
      </w:r>
    </w:p>
    <w:p w:rsidR="00180474" w:rsidRDefault="00180474" w:rsidP="00180474">
      <w:pPr>
        <w:pStyle w:val="ListParagraph"/>
      </w:pPr>
    </w:p>
    <w:p w:rsidR="00180474" w:rsidRDefault="00180474" w:rsidP="009C2876">
      <w:pPr>
        <w:pStyle w:val="ListParagraph"/>
        <w:numPr>
          <w:ilvl w:val="0"/>
          <w:numId w:val="2"/>
        </w:numPr>
        <w:ind w:left="567" w:hanging="567"/>
      </w:pPr>
      <w:r>
        <w:t>In summary, the ACTU:</w:t>
      </w:r>
    </w:p>
    <w:p w:rsidR="00180474" w:rsidRDefault="00180474" w:rsidP="00180474">
      <w:pPr>
        <w:pStyle w:val="ListParagraph"/>
      </w:pPr>
    </w:p>
    <w:p w:rsidR="00180474" w:rsidRDefault="00180474" w:rsidP="00180474">
      <w:pPr>
        <w:pStyle w:val="ListParagraph"/>
        <w:numPr>
          <w:ilvl w:val="0"/>
          <w:numId w:val="5"/>
        </w:numPr>
      </w:pPr>
      <w:r>
        <w:t>submits that the introduction of unilateral employer greenfields agreements via s 182(4) ought to be repealed;</w:t>
      </w:r>
    </w:p>
    <w:p w:rsidR="00180474" w:rsidRDefault="00180474" w:rsidP="00180474">
      <w:pPr>
        <w:pStyle w:val="ListParagraph"/>
        <w:ind w:left="927"/>
      </w:pPr>
    </w:p>
    <w:p w:rsidR="00180474" w:rsidRDefault="00180474" w:rsidP="00180474">
      <w:pPr>
        <w:pStyle w:val="ListParagraph"/>
        <w:numPr>
          <w:ilvl w:val="0"/>
          <w:numId w:val="5"/>
        </w:numPr>
      </w:pPr>
      <w:r>
        <w:t>supports the continued extension of the good faith bargaining rules to greenfields agreement making; and</w:t>
      </w:r>
    </w:p>
    <w:p w:rsidR="00180474" w:rsidRDefault="00180474" w:rsidP="00180474">
      <w:pPr>
        <w:pStyle w:val="ListParagraph"/>
      </w:pPr>
    </w:p>
    <w:p w:rsidR="00180474" w:rsidRDefault="00180474" w:rsidP="00180474">
      <w:pPr>
        <w:pStyle w:val="ListParagraph"/>
        <w:numPr>
          <w:ilvl w:val="0"/>
          <w:numId w:val="5"/>
        </w:numPr>
      </w:pPr>
      <w:proofErr w:type="gramStart"/>
      <w:r>
        <w:t>submits</w:t>
      </w:r>
      <w:proofErr w:type="gramEnd"/>
      <w:r>
        <w:t xml:space="preserve"> that the effective access to greenfields agreements could be improved by amendments to ensure that enterprise agreements can only be made with a voting cohort that is genuinely representative of the employees who will be covered by the agreement.</w:t>
      </w:r>
    </w:p>
    <w:p w:rsidR="00273912" w:rsidRDefault="00273912" w:rsidP="00273912"/>
    <w:p w:rsidR="00273912" w:rsidRDefault="00877544" w:rsidP="00877544">
      <w:pPr>
        <w:pStyle w:val="Heading1"/>
      </w:pPr>
      <w:r>
        <w:t>About the ACTU</w:t>
      </w:r>
    </w:p>
    <w:p w:rsidR="00877544" w:rsidRDefault="00877544" w:rsidP="00877544"/>
    <w:p w:rsidR="00877544" w:rsidRDefault="00877544" w:rsidP="009C2876">
      <w:pPr>
        <w:pStyle w:val="ListParagraph"/>
        <w:numPr>
          <w:ilvl w:val="0"/>
          <w:numId w:val="2"/>
        </w:numPr>
        <w:ind w:left="567" w:hanging="567"/>
      </w:pPr>
      <w:r>
        <w:t>Since its formation in 1927, the ACTU has been the peak trade union body in Australia. There is no other national confederation representing unions. For 90 years the ACTU has played the leading role in advocating in the Fair Work Commission (</w:t>
      </w:r>
      <w:r w:rsidR="009C2876" w:rsidRPr="009C2876">
        <w:rPr>
          <w:b/>
        </w:rPr>
        <w:t>Commission</w:t>
      </w:r>
      <w:r>
        <w:t xml:space="preserve">), and its statutory predecessors, for the improvement of employment conditions of </w:t>
      </w:r>
      <w:r w:rsidR="00E476D4">
        <w:t>workers</w:t>
      </w:r>
      <w:r>
        <w:t>. It has consulted with governments in the development of almost every legislative measure concerning employment relations over that period.</w:t>
      </w:r>
    </w:p>
    <w:p w:rsidR="00877544" w:rsidRDefault="00877544" w:rsidP="009C2876">
      <w:pPr>
        <w:ind w:left="567" w:hanging="567"/>
      </w:pPr>
    </w:p>
    <w:p w:rsidR="00877544" w:rsidRDefault="00877544" w:rsidP="009C2876">
      <w:pPr>
        <w:pStyle w:val="ListParagraph"/>
        <w:numPr>
          <w:ilvl w:val="0"/>
          <w:numId w:val="2"/>
        </w:numPr>
        <w:ind w:left="567" w:hanging="567"/>
      </w:pPr>
      <w:r>
        <w:t xml:space="preserve">The ACTU consists of affiliated unions and State and regional trades and labour councils. There are currently 43 ACTU affiliates. They have approximately 2 million members who are engaged across a broad spectrum of industries and occupations in the public and private sector. </w:t>
      </w:r>
    </w:p>
    <w:p w:rsidR="00877544" w:rsidRDefault="00877544" w:rsidP="00877544">
      <w:pPr>
        <w:pStyle w:val="ListParagraph"/>
      </w:pPr>
    </w:p>
    <w:p w:rsidR="00877544" w:rsidRDefault="00BF31B4" w:rsidP="00717E7A">
      <w:pPr>
        <w:pStyle w:val="Heading1"/>
      </w:pPr>
      <w:r>
        <w:br w:type="page"/>
      </w:r>
      <w:r w:rsidR="00877544">
        <w:lastRenderedPageBreak/>
        <w:t xml:space="preserve">The introduction of unilateral </w:t>
      </w:r>
      <w:r w:rsidR="00386F1F">
        <w:t xml:space="preserve">employer </w:t>
      </w:r>
      <w:r w:rsidR="00877544">
        <w:t>greenfields agreements</w:t>
      </w:r>
    </w:p>
    <w:p w:rsidR="00877544" w:rsidRDefault="00877544" w:rsidP="00877544">
      <w:pPr>
        <w:pStyle w:val="ListParagraph"/>
      </w:pPr>
    </w:p>
    <w:p w:rsidR="00287797" w:rsidRDefault="00287797" w:rsidP="009C2876">
      <w:pPr>
        <w:pStyle w:val="ListParagraph"/>
        <w:numPr>
          <w:ilvl w:val="0"/>
          <w:numId w:val="2"/>
        </w:numPr>
        <w:ind w:left="567" w:hanging="567"/>
      </w:pPr>
      <w:r>
        <w:t xml:space="preserve">The ACTU submits that the introduction of unilateral </w:t>
      </w:r>
      <w:r w:rsidR="00386F1F">
        <w:t xml:space="preserve">employer </w:t>
      </w:r>
      <w:r>
        <w:t>greenfields agreements via s 182(4) ought to be repealed.</w:t>
      </w:r>
    </w:p>
    <w:p w:rsidR="00287797" w:rsidRDefault="00287797" w:rsidP="00287797">
      <w:pPr>
        <w:pStyle w:val="ListParagraph"/>
        <w:ind w:left="567"/>
      </w:pPr>
    </w:p>
    <w:p w:rsidR="00877544" w:rsidRDefault="00C71DAC" w:rsidP="009C2876">
      <w:pPr>
        <w:pStyle w:val="ListParagraph"/>
        <w:numPr>
          <w:ilvl w:val="0"/>
          <w:numId w:val="2"/>
        </w:numPr>
        <w:ind w:left="567" w:hanging="567"/>
      </w:pPr>
      <w:r>
        <w:t>That enterprise agreements are ‘true agreements negotiated between the relevant bargaining representatives and made by more than one party’</w:t>
      </w:r>
      <w:r w:rsidR="008B53AE">
        <w:rPr>
          <w:rStyle w:val="FootnoteReference"/>
        </w:rPr>
        <w:footnoteReference w:id="3"/>
      </w:r>
      <w:r>
        <w:t xml:space="preserve"> is a</w:t>
      </w:r>
      <w:r w:rsidR="00386F1F">
        <w:t xml:space="preserve"> </w:t>
      </w:r>
      <w:r>
        <w:t>foundational principle of the Act</w:t>
      </w:r>
      <w:r w:rsidR="008B53AE">
        <w:t>, reflect</w:t>
      </w:r>
      <w:r w:rsidR="001675A5">
        <w:t>ed</w:t>
      </w:r>
      <w:r w:rsidR="008B53AE">
        <w:t xml:space="preserve"> in the emphasis on collective bargaining and enabling representation at work</w:t>
      </w:r>
      <w:r>
        <w:t>.</w:t>
      </w:r>
      <w:r w:rsidR="008B53AE">
        <w:rPr>
          <w:rStyle w:val="FootnoteReference"/>
        </w:rPr>
        <w:footnoteReference w:id="4"/>
      </w:r>
      <w:r w:rsidR="001675A5">
        <w:t xml:space="preserve"> Greenfields agreements are an exception to th</w:t>
      </w:r>
      <w:r w:rsidR="00035A0D">
        <w:t>is</w:t>
      </w:r>
      <w:r w:rsidR="001675A5">
        <w:t xml:space="preserve"> important general principle that enterprise agreements are the product of </w:t>
      </w:r>
      <w:r w:rsidR="00035A0D">
        <w:t>collective bargaining</w:t>
      </w:r>
      <w:r w:rsidR="001675A5">
        <w:t xml:space="preserve"> and</w:t>
      </w:r>
      <w:r w:rsidR="00035A0D">
        <w:t xml:space="preserve"> genuine</w:t>
      </w:r>
      <w:r w:rsidR="001675A5">
        <w:t xml:space="preserve"> agreement between the employer and workers, via their bargaining representatives.</w:t>
      </w:r>
      <w:r w:rsidR="001675A5">
        <w:rPr>
          <w:rStyle w:val="FootnoteReference"/>
        </w:rPr>
        <w:footnoteReference w:id="5"/>
      </w:r>
    </w:p>
    <w:p w:rsidR="009C2876" w:rsidRDefault="009C2876" w:rsidP="009C2876">
      <w:pPr>
        <w:pStyle w:val="ListParagraph"/>
        <w:ind w:left="567" w:hanging="567"/>
      </w:pPr>
    </w:p>
    <w:p w:rsidR="009C2876" w:rsidRDefault="001675A5" w:rsidP="009C2876">
      <w:pPr>
        <w:pStyle w:val="ListParagraph"/>
        <w:numPr>
          <w:ilvl w:val="0"/>
          <w:numId w:val="2"/>
        </w:numPr>
        <w:ind w:left="567" w:hanging="567"/>
      </w:pPr>
      <w:r>
        <w:t>For this reason</w:t>
      </w:r>
      <w:r w:rsidR="00BF31B4">
        <w:t>,</w:t>
      </w:r>
      <w:r>
        <w:t xml:space="preserve"> </w:t>
      </w:r>
      <w:r w:rsidR="009511E3">
        <w:t xml:space="preserve">greenfields agreements pose a </w:t>
      </w:r>
      <w:r>
        <w:t>‘</w:t>
      </w:r>
      <w:r w:rsidR="009511E3">
        <w:t>unique policy challenge</w:t>
      </w:r>
      <w:r>
        <w:t>’</w:t>
      </w:r>
      <w:r w:rsidR="009511E3">
        <w:t>.</w:t>
      </w:r>
      <w:r w:rsidR="009511E3">
        <w:rPr>
          <w:rStyle w:val="FootnoteReference"/>
        </w:rPr>
        <w:footnoteReference w:id="6"/>
      </w:r>
      <w:r w:rsidR="009511E3">
        <w:t xml:space="preserve"> </w:t>
      </w:r>
      <w:r w:rsidR="009C2876">
        <w:t xml:space="preserve">Commission oversight and other </w:t>
      </w:r>
      <w:r w:rsidR="009C2876" w:rsidRPr="00F97D35">
        <w:t xml:space="preserve">protections, such </w:t>
      </w:r>
      <w:r w:rsidR="00F97D35">
        <w:t>as the better off overall test</w:t>
      </w:r>
      <w:r w:rsidR="009C2876" w:rsidRPr="00F97D35">
        <w:t>, are</w:t>
      </w:r>
      <w:r w:rsidR="009C2876">
        <w:t xml:space="preserve"> critical in respect of greenfields agreements</w:t>
      </w:r>
      <w:r w:rsidR="00BF31B4">
        <w:t>. Greenfields agreements</w:t>
      </w:r>
      <w:r w:rsidR="009C2876">
        <w:t xml:space="preserve"> determine the pay and conditions of </w:t>
      </w:r>
      <w:r w:rsidR="00B950B2" w:rsidRPr="00F97D35">
        <w:t>workers</w:t>
      </w:r>
      <w:r w:rsidR="009C2876" w:rsidRPr="00F97D35">
        <w:t xml:space="preserve"> – for up to four years – without</w:t>
      </w:r>
      <w:r w:rsidR="009C2876" w:rsidRPr="00503FE1">
        <w:t xml:space="preserve"> direct input from </w:t>
      </w:r>
      <w:r w:rsidR="00925D59" w:rsidRPr="00503FE1">
        <w:t>th</w:t>
      </w:r>
      <w:r w:rsidR="00925D59">
        <w:t>os</w:t>
      </w:r>
      <w:r w:rsidR="00925D59" w:rsidRPr="00503FE1">
        <w:t xml:space="preserve">e </w:t>
      </w:r>
      <w:r w:rsidR="00925D59">
        <w:t>workers</w:t>
      </w:r>
      <w:r w:rsidR="009C2876" w:rsidRPr="00503FE1">
        <w:t xml:space="preserve">, and with no scope for </w:t>
      </w:r>
      <w:r w:rsidR="00925D59">
        <w:t>the</w:t>
      </w:r>
      <w:r w:rsidR="009C2876" w:rsidRPr="00503FE1">
        <w:t xml:space="preserve"> </w:t>
      </w:r>
      <w:r w:rsidR="00B950B2" w:rsidRPr="00503FE1">
        <w:t>workers</w:t>
      </w:r>
      <w:r w:rsidR="009C2876" w:rsidRPr="00503FE1">
        <w:t xml:space="preserve"> to bargain for changes to their pay and conditions during the life of</w:t>
      </w:r>
      <w:r w:rsidR="009C2876">
        <w:t xml:space="preserve"> the agreement.</w:t>
      </w:r>
      <w:r w:rsidR="00670E2D">
        <w:t xml:space="preserve"> The limited length of agreements is therefore a particularly important protection of workers’ interests in respect of greenfields agreements</w:t>
      </w:r>
      <w:r w:rsidR="00BF31B4">
        <w:t>. T</w:t>
      </w:r>
      <w:r w:rsidR="00670E2D">
        <w:t>o the extent that the Review may also evaluate length of greenfields agreements,</w:t>
      </w:r>
      <w:r w:rsidR="00670E2D">
        <w:rPr>
          <w:rStyle w:val="FootnoteReference"/>
        </w:rPr>
        <w:footnoteReference w:id="7"/>
      </w:r>
      <w:r w:rsidR="00670E2D">
        <w:t xml:space="preserve"> the ACTU </w:t>
      </w:r>
      <w:r w:rsidR="00925D59">
        <w:t>opposes</w:t>
      </w:r>
      <w:r w:rsidR="00670E2D">
        <w:t xml:space="preserve"> any extension to the length of greenfields agreements.</w:t>
      </w:r>
    </w:p>
    <w:p w:rsidR="009C2876" w:rsidRDefault="009C2876" w:rsidP="009C2876">
      <w:pPr>
        <w:pStyle w:val="ListParagraph"/>
        <w:ind w:left="567" w:hanging="567"/>
      </w:pPr>
    </w:p>
    <w:p w:rsidR="00B950B2" w:rsidRDefault="00B950B2" w:rsidP="009C2876">
      <w:pPr>
        <w:pStyle w:val="ListParagraph"/>
        <w:numPr>
          <w:ilvl w:val="0"/>
          <w:numId w:val="2"/>
        </w:numPr>
        <w:ind w:left="567" w:hanging="567"/>
      </w:pPr>
      <w:r>
        <w:t xml:space="preserve">The most important protection for workers in respect of greenfields agreements is </w:t>
      </w:r>
      <w:r w:rsidR="00925D59">
        <w:t xml:space="preserve">that the agreement is </w:t>
      </w:r>
      <w:r w:rsidR="00035A0D">
        <w:t>bargained</w:t>
      </w:r>
      <w:r w:rsidR="00925D59">
        <w:t xml:space="preserve"> and agreed by t</w:t>
      </w:r>
      <w:r>
        <w:t xml:space="preserve">he union entitled to represent their industrial interests. The union is comprised of workers from the relevant occupations and industries and provides a voice for workers in greenfields agreement making. The union is best placed to ensure that the interests of workers are </w:t>
      </w:r>
      <w:r w:rsidR="007F109E">
        <w:t xml:space="preserve">appropriately and fairly </w:t>
      </w:r>
      <w:r>
        <w:t xml:space="preserve">taken </w:t>
      </w:r>
      <w:r w:rsidR="00035A0D">
        <w:t xml:space="preserve">into </w:t>
      </w:r>
      <w:r>
        <w:t>account.</w:t>
      </w:r>
    </w:p>
    <w:p w:rsidR="00B950B2" w:rsidRDefault="00B950B2" w:rsidP="00B950B2">
      <w:pPr>
        <w:pStyle w:val="ListParagraph"/>
      </w:pPr>
    </w:p>
    <w:p w:rsidR="00503FE1" w:rsidRDefault="00B950B2" w:rsidP="00503FE1">
      <w:pPr>
        <w:pStyle w:val="ListParagraph"/>
        <w:numPr>
          <w:ilvl w:val="0"/>
          <w:numId w:val="2"/>
        </w:numPr>
        <w:ind w:left="567" w:hanging="567"/>
      </w:pPr>
      <w:r>
        <w:t xml:space="preserve">Section 182(4) removes this protection by deeming a greenfields agreement to have been made with the relevant union/s despite the union/s not having agreed to it. This provision enables an employer to unilaterally determine the terms of a greenfields agreement at the conclusion of a six-month ‘notified negotiation period’. </w:t>
      </w:r>
      <w:r w:rsidR="006E1FED">
        <w:t xml:space="preserve">The Productivity Commission specifically recommended against the introduction of a provision such as s 182(4) </w:t>
      </w:r>
      <w:r w:rsidR="006E1FED" w:rsidRPr="00503FE1">
        <w:t>because of the potential to incentivize employers to take a ‘hard bargaining’ approach, ‘holding out until the negotiating period had elapsed and having its proposed terms approved’.</w:t>
      </w:r>
      <w:r w:rsidR="006E1FED" w:rsidRPr="00503FE1">
        <w:rPr>
          <w:rStyle w:val="FootnoteReference"/>
        </w:rPr>
        <w:footnoteReference w:id="8"/>
      </w:r>
    </w:p>
    <w:p w:rsidR="00503FE1" w:rsidRDefault="00503FE1" w:rsidP="00503FE1">
      <w:pPr>
        <w:pStyle w:val="ListParagraph"/>
      </w:pPr>
    </w:p>
    <w:p w:rsidR="00287797" w:rsidRPr="00503FE1" w:rsidRDefault="00B950B2" w:rsidP="00503FE1">
      <w:pPr>
        <w:pStyle w:val="ListParagraph"/>
        <w:numPr>
          <w:ilvl w:val="0"/>
          <w:numId w:val="2"/>
        </w:numPr>
        <w:ind w:left="567" w:hanging="567"/>
      </w:pPr>
      <w:r w:rsidRPr="00503FE1">
        <w:t xml:space="preserve">Section 182(4) was introduced </w:t>
      </w:r>
      <w:r w:rsidR="00287797" w:rsidRPr="00503FE1">
        <w:t>without a sound policy basis. Importantly, both the 2012 Fair Work Act</w:t>
      </w:r>
      <w:r w:rsidR="00287797">
        <w:t xml:space="preserve"> Review and the </w:t>
      </w:r>
      <w:r w:rsidR="00035A0D">
        <w:t xml:space="preserve">2015 </w:t>
      </w:r>
      <w:r w:rsidR="00287797">
        <w:t xml:space="preserve">Productivity Commission Inquiry into the Workplace Relations Framework </w:t>
      </w:r>
      <w:r w:rsidR="00B367FD">
        <w:t>(</w:t>
      </w:r>
      <w:r w:rsidR="00B367FD" w:rsidRPr="00503FE1">
        <w:rPr>
          <w:b/>
        </w:rPr>
        <w:t>Productivity Commission Inquiry</w:t>
      </w:r>
      <w:r w:rsidR="00B367FD" w:rsidRPr="00B367FD">
        <w:t xml:space="preserve">) </w:t>
      </w:r>
      <w:r w:rsidR="00287797">
        <w:t xml:space="preserve">concluded that there should </w:t>
      </w:r>
      <w:r w:rsidR="00287797" w:rsidRPr="007F109E">
        <w:rPr>
          <w:i/>
        </w:rPr>
        <w:t>not</w:t>
      </w:r>
      <w:r w:rsidR="00287797">
        <w:t xml:space="preserve"> be a return to unilateral </w:t>
      </w:r>
      <w:r w:rsidR="00386F1F">
        <w:t xml:space="preserve">employer </w:t>
      </w:r>
      <w:r w:rsidR="00B367FD">
        <w:t>greenfields</w:t>
      </w:r>
      <w:r w:rsidR="00287797">
        <w:t xml:space="preserve"> agreement making</w:t>
      </w:r>
      <w:r w:rsidR="00925D59">
        <w:t xml:space="preserve"> arrangements</w:t>
      </w:r>
      <w:r w:rsidR="00431CE4">
        <w:t>,</w:t>
      </w:r>
      <w:r w:rsidR="00287797">
        <w:t xml:space="preserve"> </w:t>
      </w:r>
      <w:r w:rsidR="00925D59">
        <w:t xml:space="preserve">as </w:t>
      </w:r>
      <w:r w:rsidR="00287797">
        <w:t>permitted under the WorkChoices regime</w:t>
      </w:r>
      <w:r w:rsidR="00431CE4">
        <w:t>,</w:t>
      </w:r>
      <w:r w:rsidR="00287797">
        <w:t xml:space="preserve"> and yet that </w:t>
      </w:r>
      <w:r w:rsidR="00287797">
        <w:lastRenderedPageBreak/>
        <w:t xml:space="preserve">is </w:t>
      </w:r>
      <w:r w:rsidR="00925D59">
        <w:t xml:space="preserve">precisely </w:t>
      </w:r>
      <w:r w:rsidR="00287797">
        <w:t>what s 182(4) achieves.</w:t>
      </w:r>
      <w:r w:rsidR="00287797">
        <w:rPr>
          <w:rStyle w:val="FootnoteReference"/>
        </w:rPr>
        <w:footnoteReference w:id="9"/>
      </w:r>
      <w:r w:rsidR="006E1FED">
        <w:t xml:space="preserve"> </w:t>
      </w:r>
      <w:r w:rsidR="00E44EDF">
        <w:t>These arrangements were also emphatically rejected by the Australian electorate at the 2007 federal election</w:t>
      </w:r>
      <w:r w:rsidR="00925D59">
        <w:t>. They</w:t>
      </w:r>
      <w:r w:rsidR="00E44EDF">
        <w:t xml:space="preserve"> remain deeply unpopular with the community</w:t>
      </w:r>
      <w:r w:rsidR="00431CE4">
        <w:t xml:space="preserve"> – </w:t>
      </w:r>
      <w:r w:rsidR="00E44EDF">
        <w:t>for good reason</w:t>
      </w:r>
      <w:r w:rsidR="00925D59">
        <w:t xml:space="preserve">, including </w:t>
      </w:r>
      <w:r w:rsidR="00386F1F">
        <w:t>that these arrangements led to overall reductions in wages and conditions.</w:t>
      </w:r>
      <w:r w:rsidR="00386F1F">
        <w:rPr>
          <w:rStyle w:val="FootnoteReference"/>
        </w:rPr>
        <w:footnoteReference w:id="10"/>
      </w:r>
      <w:r w:rsidR="00386F1F">
        <w:t xml:space="preserve"> </w:t>
      </w:r>
    </w:p>
    <w:p w:rsidR="00287797" w:rsidRDefault="00287797" w:rsidP="00287797">
      <w:pPr>
        <w:pStyle w:val="ListParagraph"/>
      </w:pPr>
    </w:p>
    <w:p w:rsidR="00B92478" w:rsidRDefault="00287797" w:rsidP="009511E3">
      <w:pPr>
        <w:pStyle w:val="ListParagraph"/>
        <w:numPr>
          <w:ilvl w:val="0"/>
          <w:numId w:val="2"/>
        </w:numPr>
        <w:ind w:left="567" w:hanging="567"/>
      </w:pPr>
      <w:r>
        <w:t>Further, s 182(4) was introduced to mitigate a ‘</w:t>
      </w:r>
      <w:r w:rsidRPr="00B367FD">
        <w:rPr>
          <w:i/>
        </w:rPr>
        <w:t xml:space="preserve">potential </w:t>
      </w:r>
      <w:r w:rsidRPr="00C71DAC">
        <w:t>risk</w:t>
      </w:r>
      <w:r>
        <w:t xml:space="preserve"> to projects of national significance’</w:t>
      </w:r>
      <w:r w:rsidR="00431CE4">
        <w:t>,</w:t>
      </w:r>
      <w:r>
        <w:t xml:space="preserve"> because </w:t>
      </w:r>
      <w:r w:rsidR="00503FE1">
        <w:t xml:space="preserve">of a perception that </w:t>
      </w:r>
      <w:r w:rsidRPr="00503FE1">
        <w:t>the previous provisions conferred on union</w:t>
      </w:r>
      <w:r w:rsidR="00035A0D">
        <w:t>s</w:t>
      </w:r>
      <w:r w:rsidRPr="00503FE1">
        <w:t xml:space="preserve"> a capacity to frustrate the making of a greenfields agreement in a timely way.</w:t>
      </w:r>
      <w:r w:rsidRPr="00503FE1">
        <w:rPr>
          <w:rStyle w:val="FootnoteReference"/>
        </w:rPr>
        <w:footnoteReference w:id="11"/>
      </w:r>
      <w:r w:rsidRPr="00503FE1">
        <w:t xml:space="preserve"> There was no actual evidence that this power</w:t>
      </w:r>
      <w:r>
        <w:t xml:space="preserve"> was abused or that any significant project had not proceeded for want of an agreement.</w:t>
      </w:r>
      <w:r>
        <w:rPr>
          <w:rStyle w:val="FootnoteReference"/>
        </w:rPr>
        <w:footnoteReference w:id="12"/>
      </w:r>
      <w:r>
        <w:t xml:space="preserve"> </w:t>
      </w:r>
      <w:r w:rsidR="00E44EDF">
        <w:t xml:space="preserve">The evidence relied upon in the Explanatory Memorandum to the </w:t>
      </w:r>
      <w:r w:rsidR="00E44EDF" w:rsidRPr="00E44EDF">
        <w:rPr>
          <w:i/>
        </w:rPr>
        <w:t>Fair Work Amendment Bill 2014</w:t>
      </w:r>
      <w:r w:rsidR="00E44EDF">
        <w:t xml:space="preserve"> (</w:t>
      </w:r>
      <w:proofErr w:type="spellStart"/>
      <w:r w:rsidR="00E44EDF">
        <w:t>Cth</w:t>
      </w:r>
      <w:proofErr w:type="spellEnd"/>
      <w:r w:rsidR="00E44EDF">
        <w:t>)</w:t>
      </w:r>
      <w:r w:rsidR="00E44EDF" w:rsidRPr="00E44EDF">
        <w:t xml:space="preserve"> </w:t>
      </w:r>
      <w:r w:rsidR="00E44EDF">
        <w:t>was speculative and anecdotal, particularly in relation to the time taken to negotiate a greenfields agreement.</w:t>
      </w:r>
      <w:r w:rsidR="00E44EDF">
        <w:rPr>
          <w:rStyle w:val="FootnoteReference"/>
        </w:rPr>
        <w:footnoteReference w:id="13"/>
      </w:r>
      <w:r w:rsidR="00E44EDF">
        <w:t xml:space="preserve"> </w:t>
      </w:r>
    </w:p>
    <w:p w:rsidR="00C21398" w:rsidRDefault="00C21398" w:rsidP="00C21398">
      <w:pPr>
        <w:pStyle w:val="ListParagraph"/>
        <w:ind w:left="567"/>
      </w:pPr>
    </w:p>
    <w:p w:rsidR="004C742B" w:rsidRDefault="004C742B" w:rsidP="00CC4FC4">
      <w:pPr>
        <w:pStyle w:val="ListParagraph"/>
        <w:numPr>
          <w:ilvl w:val="0"/>
          <w:numId w:val="2"/>
        </w:numPr>
        <w:ind w:left="567" w:hanging="567"/>
      </w:pPr>
      <w:r>
        <w:t xml:space="preserve">If the Government, despite the lack of evidence, remains concerned to address the perceived risk that s 182(4) was purportedly intended to address, </w:t>
      </w:r>
      <w:r w:rsidR="00925D59">
        <w:t>the ACTU</w:t>
      </w:r>
      <w:r>
        <w:t xml:space="preserve"> submit</w:t>
      </w:r>
      <w:r w:rsidR="00925D59">
        <w:t>s</w:t>
      </w:r>
      <w:r>
        <w:t xml:space="preserve"> that the extension of the good faith bargaining rules to greenfields agreement making is sufficient.</w:t>
      </w:r>
      <w:r w:rsidR="00C21398" w:rsidRPr="00C21398">
        <w:rPr>
          <w:rStyle w:val="FootnoteReference"/>
        </w:rPr>
        <w:t xml:space="preserve"> </w:t>
      </w:r>
      <w:r w:rsidR="00C21398">
        <w:rPr>
          <w:rStyle w:val="FootnoteReference"/>
        </w:rPr>
        <w:footnoteReference w:id="14"/>
      </w:r>
      <w:r>
        <w:t xml:space="preserve"> Employers are able to apply for bargaining orders to address precisely the bargaining behaviour</w:t>
      </w:r>
      <w:r w:rsidR="00925D59">
        <w:t xml:space="preserve"> </w:t>
      </w:r>
      <w:r w:rsidR="00431CE4">
        <w:t xml:space="preserve">that </w:t>
      </w:r>
      <w:r w:rsidR="00925D59">
        <w:t xml:space="preserve">employer representatives alleged in support of </w:t>
      </w:r>
      <w:r w:rsidR="00AE5FEF">
        <w:t>its introduction</w:t>
      </w:r>
      <w:r>
        <w:t>. That there appears to have been no applications made for bargaining orders to address breaches of the good faith bargaining rules in respect of greenfields agreement making is only further evidence that this perceived risk is not borne out in reality and that the introduction of s 182(4) was unnecessary.</w:t>
      </w:r>
      <w:r>
        <w:rPr>
          <w:rStyle w:val="FootnoteReference"/>
        </w:rPr>
        <w:footnoteReference w:id="15"/>
      </w:r>
    </w:p>
    <w:p w:rsidR="004C742B" w:rsidRDefault="004C742B" w:rsidP="004C742B">
      <w:pPr>
        <w:pStyle w:val="ListParagraph"/>
      </w:pPr>
    </w:p>
    <w:p w:rsidR="00503FE1" w:rsidRDefault="004C742B" w:rsidP="00CC4FC4">
      <w:pPr>
        <w:pStyle w:val="ListParagraph"/>
        <w:numPr>
          <w:ilvl w:val="0"/>
          <w:numId w:val="2"/>
        </w:numPr>
        <w:ind w:left="567" w:hanging="567"/>
      </w:pPr>
      <w:r>
        <w:t>Of course, t</w:t>
      </w:r>
      <w:r w:rsidR="00B367FD">
        <w:t>he most telling evidence that its introduction was unnecessary is that no application has been made for approval of a greenfields agreement pursuant to s 182(4).</w:t>
      </w:r>
      <w:r w:rsidR="00BB7495">
        <w:t xml:space="preserve"> </w:t>
      </w:r>
      <w:r w:rsidR="00503FE1">
        <w:t>Our affiliates report that they have not observed any altered bargaining behaviour on the part of either employers or union</w:t>
      </w:r>
      <w:r w:rsidR="00925D59">
        <w:t>s</w:t>
      </w:r>
      <w:r w:rsidR="00503FE1">
        <w:t xml:space="preserve"> as a result of the 2015 greenfields agreement amendments.</w:t>
      </w:r>
      <w:r w:rsidR="004B6F22">
        <w:t xml:space="preserve"> We anticipate that the repeal of s 182(4) will have no effect on greenfields agreement making.</w:t>
      </w:r>
    </w:p>
    <w:p w:rsidR="00503FE1" w:rsidRDefault="00503FE1" w:rsidP="00503FE1">
      <w:pPr>
        <w:pStyle w:val="ListParagraph"/>
      </w:pPr>
    </w:p>
    <w:p w:rsidR="004548F4" w:rsidRDefault="00BB7495" w:rsidP="00CC4FC4">
      <w:pPr>
        <w:pStyle w:val="ListParagraph"/>
        <w:numPr>
          <w:ilvl w:val="0"/>
          <w:numId w:val="2"/>
        </w:numPr>
        <w:ind w:left="567" w:hanging="567"/>
      </w:pPr>
      <w:r>
        <w:lastRenderedPageBreak/>
        <w:t xml:space="preserve">However for as long as </w:t>
      </w:r>
      <w:r w:rsidR="00503FE1">
        <w:t>s 182(4)</w:t>
      </w:r>
      <w:r>
        <w:t xml:space="preserve"> remains in the Act, there </w:t>
      </w:r>
      <w:r w:rsidR="00503FE1">
        <w:t>is the potential for</w:t>
      </w:r>
      <w:r>
        <w:t xml:space="preserve"> it </w:t>
      </w:r>
      <w:r w:rsidR="00925D59">
        <w:t>to</w:t>
      </w:r>
      <w:r>
        <w:t xml:space="preserve"> be utilised by employers to </w:t>
      </w:r>
      <w:r w:rsidR="00386F1F">
        <w:t>unilaterally determine pay and conditions, without the important safeguard of agreement with the relevant union/s on behalf of the workers for whom they are the legitimate bargaining representative under the Act</w:t>
      </w:r>
      <w:r>
        <w:t xml:space="preserve">. </w:t>
      </w:r>
      <w:r w:rsidR="00503FE1">
        <w:t>It is because of this potential that s 182(4) must be repealed.</w:t>
      </w:r>
    </w:p>
    <w:p w:rsidR="004548F4" w:rsidRDefault="004548F4" w:rsidP="004548F4">
      <w:pPr>
        <w:pStyle w:val="ListParagraph"/>
      </w:pPr>
    </w:p>
    <w:p w:rsidR="00925D59" w:rsidRDefault="009511E3" w:rsidP="009C2876">
      <w:pPr>
        <w:pStyle w:val="ListParagraph"/>
        <w:numPr>
          <w:ilvl w:val="0"/>
          <w:numId w:val="2"/>
        </w:numPr>
        <w:ind w:left="567" w:hanging="567"/>
      </w:pPr>
      <w:r>
        <w:t>This potenti</w:t>
      </w:r>
      <w:r w:rsidR="00386F1F">
        <w:t>al is of particular concern where workers have reduced market power</w:t>
      </w:r>
      <w:r w:rsidR="004548F4">
        <w:t>,</w:t>
      </w:r>
      <w:r w:rsidR="000D5A7C">
        <w:t xml:space="preserve"> </w:t>
      </w:r>
      <w:r w:rsidR="004548F4">
        <w:t>for example, ‘in non-project settings where timing is not as critical, or where workers may be less mobile or [formally] skilled, meaning that imbalances in bargaining power may persist.’</w:t>
      </w:r>
      <w:r w:rsidR="004548F4">
        <w:rPr>
          <w:rStyle w:val="FootnoteReference"/>
        </w:rPr>
        <w:footnoteReference w:id="16"/>
      </w:r>
      <w:r w:rsidR="004548F4">
        <w:t xml:space="preserve"> As noted, section 182(4) was introduced to mitigate a perceived risk in respect of major capital projects and resource development projects.</w:t>
      </w:r>
      <w:r w:rsidR="004548F4">
        <w:rPr>
          <w:rStyle w:val="FootnoteReference"/>
        </w:rPr>
        <w:footnoteReference w:id="17"/>
      </w:r>
      <w:r w:rsidR="004548F4">
        <w:t xml:space="preserve"> Its operation however is not so limited and it has potential for use in industry contexts where workers have reduced market power. </w:t>
      </w:r>
    </w:p>
    <w:p w:rsidR="00925D59" w:rsidRDefault="00925D59" w:rsidP="00925D59">
      <w:pPr>
        <w:pStyle w:val="ListParagraph"/>
      </w:pPr>
    </w:p>
    <w:p w:rsidR="002E1374" w:rsidRDefault="00CC4FC4" w:rsidP="009C2876">
      <w:pPr>
        <w:pStyle w:val="ListParagraph"/>
        <w:numPr>
          <w:ilvl w:val="0"/>
          <w:numId w:val="2"/>
        </w:numPr>
        <w:ind w:left="567" w:hanging="567"/>
      </w:pPr>
      <w:r>
        <w:t>Workers</w:t>
      </w:r>
      <w:r w:rsidR="004548F4">
        <w:t>’</w:t>
      </w:r>
      <w:r>
        <w:t xml:space="preserve"> market power </w:t>
      </w:r>
      <w:r w:rsidR="004548F4">
        <w:t xml:space="preserve">is also contingent on the economic </w:t>
      </w:r>
      <w:r w:rsidR="0006037F">
        <w:t xml:space="preserve">context – </w:t>
      </w:r>
      <w:r w:rsidR="004548F4">
        <w:t xml:space="preserve">for example, workers have reduced market power when there are </w:t>
      </w:r>
      <w:r w:rsidR="00035A0D">
        <w:t>‘</w:t>
      </w:r>
      <w:r w:rsidR="004548F4">
        <w:t xml:space="preserve">relatively few alternative projects available to </w:t>
      </w:r>
      <w:r w:rsidR="00035A0D">
        <w:t>potential</w:t>
      </w:r>
      <w:r w:rsidR="004548F4">
        <w:t xml:space="preserve"> </w:t>
      </w:r>
      <w:r w:rsidR="00035A0D">
        <w:t>employees’</w:t>
      </w:r>
      <w:r w:rsidR="004548F4">
        <w:t>.</w:t>
      </w:r>
      <w:r w:rsidR="004548F4">
        <w:rPr>
          <w:rStyle w:val="FootnoteReference"/>
        </w:rPr>
        <w:footnoteReference w:id="18"/>
      </w:r>
      <w:r w:rsidR="004548F4">
        <w:t xml:space="preserve"> These are the precise economic circumstances that workers currently face, given the reduction in the number and scale of capital development projects.</w:t>
      </w:r>
      <w:r w:rsidR="004548F4">
        <w:rPr>
          <w:rStyle w:val="FootnoteReference"/>
        </w:rPr>
        <w:footnoteReference w:id="19"/>
      </w:r>
      <w:r w:rsidR="004548F4">
        <w:t xml:space="preserve"> The current economic context is also marked by wage stagnation. </w:t>
      </w:r>
      <w:r w:rsidR="002E1374">
        <w:t xml:space="preserve">As noted above, there is empirical evidence that </w:t>
      </w:r>
      <w:r w:rsidR="00E40190">
        <w:t>unilateral employer greenfields agreements</w:t>
      </w:r>
      <w:r w:rsidR="002E1374">
        <w:t xml:space="preserve"> led to overall </w:t>
      </w:r>
      <w:r w:rsidR="002E1374" w:rsidRPr="00422680">
        <w:rPr>
          <w:i/>
        </w:rPr>
        <w:t>reduction</w:t>
      </w:r>
      <w:r w:rsidR="00422680" w:rsidRPr="00422680">
        <w:rPr>
          <w:i/>
        </w:rPr>
        <w:t>s</w:t>
      </w:r>
      <w:r w:rsidR="002E1374">
        <w:t xml:space="preserve"> in wages</w:t>
      </w:r>
      <w:r w:rsidR="002E1374" w:rsidRPr="004548F4">
        <w:t>.</w:t>
      </w:r>
      <w:r w:rsidR="002E1374" w:rsidRPr="004548F4">
        <w:rPr>
          <w:rStyle w:val="FootnoteReference"/>
        </w:rPr>
        <w:footnoteReference w:id="20"/>
      </w:r>
      <w:r w:rsidR="002E1374" w:rsidRPr="004548F4">
        <w:t xml:space="preserve"> </w:t>
      </w:r>
      <w:r w:rsidR="00925D59">
        <w:t>C</w:t>
      </w:r>
      <w:r w:rsidR="001675A5">
        <w:t>ollective bargaining is one of the most effective means to improve wage growth.</w:t>
      </w:r>
      <w:r w:rsidR="001675A5">
        <w:rPr>
          <w:rStyle w:val="FootnoteReference"/>
        </w:rPr>
        <w:footnoteReference w:id="21"/>
      </w:r>
      <w:r w:rsidR="00422680">
        <w:t xml:space="preserve"> In light of the growing consensus on the need to generate wage growth,</w:t>
      </w:r>
      <w:r w:rsidR="00422680">
        <w:rPr>
          <w:rStyle w:val="FootnoteReference"/>
        </w:rPr>
        <w:footnoteReference w:id="22"/>
      </w:r>
      <w:r w:rsidR="00422680">
        <w:t xml:space="preserve"> reform should be directed to abolishing unilateral greenfields agreements and supporting genuine collective bargaining (further discussed below).</w:t>
      </w:r>
    </w:p>
    <w:p w:rsidR="00364B06" w:rsidRDefault="00364B06" w:rsidP="00364B06">
      <w:pPr>
        <w:pStyle w:val="ListParagraph"/>
      </w:pPr>
    </w:p>
    <w:p w:rsidR="00877544" w:rsidRDefault="00877544" w:rsidP="00877544">
      <w:pPr>
        <w:pStyle w:val="Heading1"/>
      </w:pPr>
      <w:r>
        <w:t xml:space="preserve">The extension of the good faith bargaining rules to greenfields </w:t>
      </w:r>
      <w:r w:rsidR="00964C17">
        <w:t>agreement making</w:t>
      </w:r>
    </w:p>
    <w:p w:rsidR="00877544" w:rsidRDefault="00877544" w:rsidP="00877544"/>
    <w:p w:rsidR="00877544" w:rsidRPr="006D0540" w:rsidRDefault="00287797" w:rsidP="00877544">
      <w:pPr>
        <w:pStyle w:val="ListParagraph"/>
        <w:numPr>
          <w:ilvl w:val="0"/>
          <w:numId w:val="2"/>
        </w:numPr>
        <w:ind w:left="567" w:hanging="567"/>
      </w:pPr>
      <w:r w:rsidRPr="00503FE1">
        <w:t>The ACTU support</w:t>
      </w:r>
      <w:r w:rsidR="00E44EDF" w:rsidRPr="00503FE1">
        <w:t>s</w:t>
      </w:r>
      <w:r w:rsidRPr="00503FE1">
        <w:t xml:space="preserve"> the</w:t>
      </w:r>
      <w:r w:rsidR="00503FE1" w:rsidRPr="00503FE1">
        <w:t xml:space="preserve"> continued</w:t>
      </w:r>
      <w:r w:rsidRPr="00503FE1">
        <w:t xml:space="preserve"> extension of the good faith bargaining rules to greenfields </w:t>
      </w:r>
      <w:r w:rsidR="00964C17">
        <w:t>agreement making</w:t>
      </w:r>
      <w:r w:rsidRPr="006D0540">
        <w:t>.</w:t>
      </w:r>
      <w:r w:rsidR="00E44EDF" w:rsidRPr="006D0540">
        <w:t xml:space="preserve"> </w:t>
      </w:r>
      <w:r w:rsidR="00792E86" w:rsidRPr="006D0540">
        <w:t xml:space="preserve">Although our affiliates </w:t>
      </w:r>
      <w:r w:rsidR="00CD0D49">
        <w:t>report</w:t>
      </w:r>
      <w:r w:rsidR="00792E86" w:rsidRPr="006D0540">
        <w:t xml:space="preserve"> that they have not observed any altered bargaining behaviour on the part of either employers or unions as a result of the 2015 greenfields amendments, w</w:t>
      </w:r>
      <w:r w:rsidRPr="006D0540">
        <w:t>e agree with the view of the Fair Work Act Review that there is no cogent policy basis for the previous exception for greenfields agreement</w:t>
      </w:r>
      <w:r w:rsidR="00964C17">
        <w:t xml:space="preserve"> making</w:t>
      </w:r>
      <w:r w:rsidRPr="006D0540">
        <w:t xml:space="preserve"> from the good faith bargaining rules.</w:t>
      </w:r>
      <w:r w:rsidRPr="006D0540">
        <w:rPr>
          <w:rStyle w:val="FootnoteReference"/>
        </w:rPr>
        <w:footnoteReference w:id="23"/>
      </w:r>
      <w:r w:rsidRPr="006D0540">
        <w:t xml:space="preserve"> </w:t>
      </w:r>
    </w:p>
    <w:p w:rsidR="00792E86" w:rsidRDefault="00792E86" w:rsidP="00792E86">
      <w:pPr>
        <w:pStyle w:val="ListParagraph"/>
        <w:ind w:left="567"/>
      </w:pPr>
    </w:p>
    <w:p w:rsidR="000762B2" w:rsidRDefault="000762B2">
      <w:pPr>
        <w:spacing w:line="240" w:lineRule="auto"/>
        <w:rPr>
          <w:b/>
          <w:sz w:val="24"/>
          <w:szCs w:val="28"/>
        </w:rPr>
      </w:pPr>
      <w:r>
        <w:br w:type="page"/>
      </w:r>
    </w:p>
    <w:p w:rsidR="00877544" w:rsidRDefault="00180474" w:rsidP="00877544">
      <w:pPr>
        <w:pStyle w:val="Heading1"/>
      </w:pPr>
      <w:r>
        <w:lastRenderedPageBreak/>
        <w:t xml:space="preserve">The reduction in the number of applications for approval of greenfields agreements </w:t>
      </w:r>
    </w:p>
    <w:p w:rsidR="00992F2C" w:rsidRDefault="00992F2C" w:rsidP="00992F2C"/>
    <w:p w:rsidR="007B72CF" w:rsidRDefault="00503FE1" w:rsidP="000941EF">
      <w:pPr>
        <w:pStyle w:val="ListParagraph"/>
        <w:numPr>
          <w:ilvl w:val="0"/>
          <w:numId w:val="2"/>
        </w:numPr>
        <w:ind w:left="567" w:hanging="567"/>
      </w:pPr>
      <w:r>
        <w:t>Our affiliates have reported to us that there are two major drivers for the reduction in the number of applications for approval of greenfields agreements</w:t>
      </w:r>
      <w:r w:rsidR="000941EF">
        <w:t>: the reduction in the number and scale of capital development projects</w:t>
      </w:r>
      <w:r w:rsidR="00FD12C0">
        <w:t xml:space="preserve"> and downturn in the construction sector and mining and resource development work</w:t>
      </w:r>
      <w:r w:rsidR="000941EF">
        <w:t xml:space="preserve">; and </w:t>
      </w:r>
      <w:r w:rsidR="00B43419">
        <w:t xml:space="preserve">employers choosing to make </w:t>
      </w:r>
      <w:r w:rsidR="00FD12C0">
        <w:t xml:space="preserve">enterprise </w:t>
      </w:r>
      <w:r w:rsidR="00B43419">
        <w:t>agreements</w:t>
      </w:r>
      <w:r w:rsidR="00B833C9">
        <w:t xml:space="preserve"> with small and unrepresentative voting cohorts</w:t>
      </w:r>
      <w:r w:rsidR="00B43419">
        <w:t xml:space="preserve"> in circumstances where they would previously </w:t>
      </w:r>
      <w:r w:rsidR="00473264">
        <w:t xml:space="preserve">have </w:t>
      </w:r>
      <w:r w:rsidR="00B43419">
        <w:t>made a greenfields agreement</w:t>
      </w:r>
      <w:r w:rsidR="00670E2D">
        <w:t>.</w:t>
      </w:r>
      <w:r w:rsidR="001675A5">
        <w:rPr>
          <w:rStyle w:val="FootnoteReference"/>
        </w:rPr>
        <w:footnoteReference w:id="24"/>
      </w:r>
      <w:r w:rsidR="00670E2D">
        <w:t xml:space="preserve"> </w:t>
      </w:r>
    </w:p>
    <w:p w:rsidR="000941EF" w:rsidRDefault="000941EF" w:rsidP="000762B2"/>
    <w:p w:rsidR="000762B2" w:rsidRDefault="000762B2" w:rsidP="000762B2">
      <w:pPr>
        <w:pStyle w:val="Heading1"/>
      </w:pPr>
      <w:r>
        <w:t xml:space="preserve">Improving effective access to greenfields agreements </w:t>
      </w:r>
    </w:p>
    <w:p w:rsidR="000762B2" w:rsidRDefault="000762B2" w:rsidP="000762B2"/>
    <w:p w:rsidR="007B72CF" w:rsidRDefault="00670E2D" w:rsidP="00B43419">
      <w:pPr>
        <w:pStyle w:val="ListParagraph"/>
        <w:numPr>
          <w:ilvl w:val="0"/>
          <w:numId w:val="2"/>
        </w:numPr>
        <w:ind w:left="567" w:hanging="567"/>
      </w:pPr>
      <w:r>
        <w:t xml:space="preserve">The ability for employers to </w:t>
      </w:r>
      <w:r w:rsidR="000941EF">
        <w:t>make agreements with small and unrepresentative voting cohorts</w:t>
      </w:r>
      <w:r w:rsidR="00B833C9">
        <w:t xml:space="preserve"> is a significant </w:t>
      </w:r>
      <w:r w:rsidR="000941EF">
        <w:t>‘</w:t>
      </w:r>
      <w:r w:rsidR="00B833C9">
        <w:t>systemic impediment to the making of greenfields agreements</w:t>
      </w:r>
      <w:r w:rsidR="000941EF">
        <w:t>’</w:t>
      </w:r>
      <w:r w:rsidR="00B833C9">
        <w:t>.</w:t>
      </w:r>
      <w:r w:rsidR="00CD0D49">
        <w:rPr>
          <w:rStyle w:val="FootnoteReference"/>
        </w:rPr>
        <w:footnoteReference w:id="25"/>
      </w:r>
      <w:r w:rsidR="00B833C9">
        <w:t xml:space="preserve"> </w:t>
      </w:r>
      <w:r w:rsidR="00066E03">
        <w:t>It has</w:t>
      </w:r>
      <w:r w:rsidR="007B72CF">
        <w:t xml:space="preserve"> allowed employers to achieve what they called for in the Fair Work Act Review and the Productivity Commission Inquiry but which both reviews rejected: unilateral </w:t>
      </w:r>
      <w:r w:rsidR="00DD6957">
        <w:t xml:space="preserve">employer </w:t>
      </w:r>
      <w:r w:rsidR="007B72CF">
        <w:t xml:space="preserve">greenfields agreements, without having to bargain with a union and without having to wait until the expiry of a </w:t>
      </w:r>
      <w:r w:rsidR="00066E03">
        <w:t>set</w:t>
      </w:r>
      <w:r w:rsidR="007B72CF">
        <w:t xml:space="preserve"> negotiation period. </w:t>
      </w:r>
    </w:p>
    <w:p w:rsidR="007B72CF" w:rsidRDefault="007B72CF" w:rsidP="007B72CF">
      <w:pPr>
        <w:pStyle w:val="ListParagraph"/>
      </w:pPr>
    </w:p>
    <w:p w:rsidR="00B43419" w:rsidRDefault="00B833C9" w:rsidP="00B43419">
      <w:pPr>
        <w:pStyle w:val="ListParagraph"/>
        <w:numPr>
          <w:ilvl w:val="0"/>
          <w:numId w:val="2"/>
        </w:numPr>
        <w:ind w:left="567" w:hanging="567"/>
      </w:pPr>
      <w:r>
        <w:t xml:space="preserve">The most effective </w:t>
      </w:r>
      <w:r w:rsidR="00CD0D49">
        <w:t>means</w:t>
      </w:r>
      <w:r>
        <w:t xml:space="preserve"> ‘to improve the effective access to greenfields agreements’</w:t>
      </w:r>
      <w:r w:rsidR="00CD0D49">
        <w:rPr>
          <w:rStyle w:val="FootnoteReference"/>
        </w:rPr>
        <w:footnoteReference w:id="26"/>
      </w:r>
      <w:r>
        <w:t xml:space="preserve"> </w:t>
      </w:r>
      <w:r w:rsidR="00CD0D49">
        <w:t>is to amend the Act</w:t>
      </w:r>
      <w:r>
        <w:t xml:space="preserve"> to ensure that enterprise agreements </w:t>
      </w:r>
      <w:r w:rsidR="00B43419">
        <w:t>can</w:t>
      </w:r>
      <w:r>
        <w:t xml:space="preserve"> only</w:t>
      </w:r>
      <w:r w:rsidR="00B43419">
        <w:t xml:space="preserve"> be</w:t>
      </w:r>
      <w:r>
        <w:t xml:space="preserve"> made with a voting cohort that is genuinely representative of the employees who will be covered by the agreement.</w:t>
      </w:r>
      <w:r w:rsidR="007B72CF">
        <w:t xml:space="preserve"> </w:t>
      </w:r>
      <w:r w:rsidR="00B43419">
        <w:t>Such amendments</w:t>
      </w:r>
      <w:r w:rsidR="00FD12C0">
        <w:t xml:space="preserve"> would require stakeholder consultation but</w:t>
      </w:r>
      <w:r w:rsidR="00B43419">
        <w:t xml:space="preserve"> could</w:t>
      </w:r>
      <w:r w:rsidR="00FD12C0">
        <w:t xml:space="preserve"> potentially</w:t>
      </w:r>
      <w:r w:rsidR="00B43419">
        <w:t xml:space="preserve"> include, for example:</w:t>
      </w:r>
    </w:p>
    <w:p w:rsidR="00B43419" w:rsidRDefault="00B43419" w:rsidP="00B43419">
      <w:pPr>
        <w:pStyle w:val="ListParagraph"/>
      </w:pPr>
    </w:p>
    <w:p w:rsidR="00B43419" w:rsidRDefault="00B43419" w:rsidP="00B43419">
      <w:pPr>
        <w:pStyle w:val="ListParagraph"/>
        <w:numPr>
          <w:ilvl w:val="0"/>
          <w:numId w:val="4"/>
        </w:numPr>
      </w:pPr>
      <w:r>
        <w:t xml:space="preserve">an amendment to s 181 </w:t>
      </w:r>
      <w:r w:rsidR="00FE4631">
        <w:t>so</w:t>
      </w:r>
      <w:r>
        <w:t xml:space="preserve"> that employers are not able to request employees to vote to approve an agreement that contains </w:t>
      </w:r>
      <w:r w:rsidR="00FE4631">
        <w:t>a majority of classification</w:t>
      </w:r>
      <w:r w:rsidR="00CD0D49">
        <w:t>s</w:t>
      </w:r>
      <w:r>
        <w:t xml:space="preserve"> in which no employees are </w:t>
      </w:r>
      <w:r w:rsidR="00473264">
        <w:t xml:space="preserve">currently </w:t>
      </w:r>
      <w:r>
        <w:t xml:space="preserve">employed; </w:t>
      </w:r>
    </w:p>
    <w:p w:rsidR="00B43419" w:rsidRDefault="00B43419" w:rsidP="00B43419">
      <w:pPr>
        <w:pStyle w:val="ListParagraph"/>
        <w:ind w:left="927"/>
      </w:pPr>
    </w:p>
    <w:p w:rsidR="00B43419" w:rsidRDefault="00B43419" w:rsidP="00166479">
      <w:pPr>
        <w:pStyle w:val="ListParagraph"/>
        <w:numPr>
          <w:ilvl w:val="0"/>
          <w:numId w:val="4"/>
        </w:numPr>
      </w:pPr>
      <w:r>
        <w:t>an amendment to s 186(3) so that the Commission must also be satisfied that the group of employees who voted to approve the agreement was fairly chosen and</w:t>
      </w:r>
      <w:r w:rsidR="00166479">
        <w:t>, in so</w:t>
      </w:r>
      <w:r>
        <w:t xml:space="preserve"> </w:t>
      </w:r>
      <w:r w:rsidR="00166479">
        <w:t xml:space="preserve">determining, </w:t>
      </w:r>
      <w:r>
        <w:t>must</w:t>
      </w:r>
      <w:r w:rsidR="006376CB">
        <w:t xml:space="preserve"> </w:t>
      </w:r>
      <w:r>
        <w:t>take into account whether the group was genuinely representative of the employees to be covered by the agreement</w:t>
      </w:r>
      <w:r w:rsidR="00166479">
        <w:t xml:space="preserve"> </w:t>
      </w:r>
      <w:r w:rsidR="00166479" w:rsidRPr="00166479">
        <w:t>and whether group was chosen to exclude a readily identifiable group of future employees or to avoid other aspects of the bargaining regime</w:t>
      </w:r>
      <w:r w:rsidR="00A60F8D">
        <w:t>,</w:t>
      </w:r>
      <w:r w:rsidR="00166479" w:rsidRPr="00166479">
        <w:t xml:space="preserve"> such as the right </w:t>
      </w:r>
      <w:r w:rsidR="00EE1B89" w:rsidRPr="00166479">
        <w:t>to take protected action</w:t>
      </w:r>
      <w:r w:rsidR="00EE1B89" w:rsidRPr="00166479">
        <w:t xml:space="preserve"> </w:t>
      </w:r>
      <w:r w:rsidR="00EE1B89">
        <w:t xml:space="preserve">or </w:t>
      </w:r>
      <w:r w:rsidR="00166479" w:rsidRPr="00166479">
        <w:t>to be represented by a bargaining representative</w:t>
      </w:r>
      <w:bookmarkStart w:id="0" w:name="_GoBack"/>
      <w:bookmarkEnd w:id="0"/>
      <w:r w:rsidR="00FE4631">
        <w:t>;</w:t>
      </w:r>
      <w:r>
        <w:t xml:space="preserve"> and</w:t>
      </w:r>
    </w:p>
    <w:p w:rsidR="00B43419" w:rsidRDefault="00B43419" w:rsidP="00B43419">
      <w:pPr>
        <w:pStyle w:val="ListParagraph"/>
      </w:pPr>
    </w:p>
    <w:p w:rsidR="00B43419" w:rsidRDefault="00B43419" w:rsidP="00B43419">
      <w:pPr>
        <w:pStyle w:val="ListParagraph"/>
        <w:numPr>
          <w:ilvl w:val="0"/>
          <w:numId w:val="4"/>
        </w:numPr>
      </w:pPr>
      <w:proofErr w:type="gramStart"/>
      <w:r>
        <w:t>an</w:t>
      </w:r>
      <w:proofErr w:type="gramEnd"/>
      <w:r>
        <w:t xml:space="preserve"> amendment to s 188 so that the Commission must also be satisfied that the agreement was made with a genuinely representative cohort of employees.</w:t>
      </w:r>
    </w:p>
    <w:sectPr w:rsidR="00B43419" w:rsidSect="00CD0D49">
      <w:headerReference w:type="default" r:id="rId9"/>
      <w:footerReference w:type="even" r:id="rId10"/>
      <w:footerReference w:type="default" r:id="rId11"/>
      <w:pgSz w:w="11900" w:h="16840"/>
      <w:pgMar w:top="2155" w:right="765" w:bottom="2268" w:left="765" w:header="0" w:footer="0"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6499F" w:rsidRDefault="00F6499F" w:rsidP="00DD3A8F">
      <w:r>
        <w:separator/>
      </w:r>
    </w:p>
  </w:endnote>
  <w:endnote w:type="continuationSeparator" w:id="0">
    <w:p w:rsidR="00F6499F" w:rsidRDefault="00F6499F" w:rsidP="00DD3A8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31CE4" w:rsidRDefault="00431CE4" w:rsidP="000F7440">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431CE4" w:rsidRDefault="00431CE4" w:rsidP="000F7440">
    <w:pPr>
      <w:pStyle w:val="Footer"/>
      <w:ind w:right="360"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31CE4" w:rsidRPr="000F7440" w:rsidRDefault="00431CE4" w:rsidP="000F7440">
    <w:pPr>
      <w:pStyle w:val="Footer"/>
      <w:framePr w:w="630" w:h="365" w:hRule="exact" w:wrap="none" w:vAnchor="text" w:hAnchor="page" w:x="10392" w:y="-708"/>
      <w:jc w:val="right"/>
      <w:rPr>
        <w:rStyle w:val="PageNumber"/>
        <w:color w:val="595959" w:themeColor="text1" w:themeTint="A6"/>
        <w:sz w:val="16"/>
        <w:szCs w:val="16"/>
      </w:rPr>
    </w:pPr>
    <w:r w:rsidRPr="000F7440">
      <w:rPr>
        <w:rStyle w:val="PageNumber"/>
        <w:color w:val="595959" w:themeColor="text1" w:themeTint="A6"/>
        <w:sz w:val="16"/>
        <w:szCs w:val="16"/>
      </w:rPr>
      <w:fldChar w:fldCharType="begin"/>
    </w:r>
    <w:r w:rsidRPr="000F7440">
      <w:rPr>
        <w:rStyle w:val="PageNumber"/>
        <w:color w:val="595959" w:themeColor="text1" w:themeTint="A6"/>
        <w:sz w:val="16"/>
        <w:szCs w:val="16"/>
      </w:rPr>
      <w:instrText xml:space="preserve">PAGE  </w:instrText>
    </w:r>
    <w:r w:rsidRPr="000F7440">
      <w:rPr>
        <w:rStyle w:val="PageNumber"/>
        <w:color w:val="595959" w:themeColor="text1" w:themeTint="A6"/>
        <w:sz w:val="16"/>
        <w:szCs w:val="16"/>
      </w:rPr>
      <w:fldChar w:fldCharType="separate"/>
    </w:r>
    <w:r w:rsidR="00EE1B89">
      <w:rPr>
        <w:rStyle w:val="PageNumber"/>
        <w:noProof/>
        <w:color w:val="595959" w:themeColor="text1" w:themeTint="A6"/>
        <w:sz w:val="16"/>
        <w:szCs w:val="16"/>
      </w:rPr>
      <w:t>5</w:t>
    </w:r>
    <w:r w:rsidRPr="000F7440">
      <w:rPr>
        <w:rStyle w:val="PageNumber"/>
        <w:color w:val="595959" w:themeColor="text1" w:themeTint="A6"/>
        <w:sz w:val="16"/>
        <w:szCs w:val="16"/>
      </w:rPr>
      <w:fldChar w:fldCharType="end"/>
    </w:r>
  </w:p>
  <w:p w:rsidR="00431CE4" w:rsidRDefault="00431CE4" w:rsidP="000F7440">
    <w:pPr>
      <w:pStyle w:val="Footer"/>
      <w:ind w:right="360" w:firstLine="360"/>
    </w:pPr>
    <w:r>
      <w:rPr>
        <w:noProof/>
        <w:lang w:eastAsia="en-AU"/>
      </w:rPr>
      <w:drawing>
        <wp:anchor distT="0" distB="0" distL="114300" distR="114300" simplePos="0" relativeHeight="251658240" behindDoc="1" locked="0" layoutInCell="1" allowOverlap="1" wp14:anchorId="45C5C4BE" wp14:editId="5AD2E8FC">
          <wp:simplePos x="0" y="0"/>
          <wp:positionH relativeFrom="column">
            <wp:posOffset>-41911</wp:posOffset>
          </wp:positionH>
          <wp:positionV relativeFrom="paragraph">
            <wp:posOffset>-1021715</wp:posOffset>
          </wp:positionV>
          <wp:extent cx="2591435" cy="730090"/>
          <wp:effectExtent l="0" t="0" r="0" b="698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tr-foot.jpg"/>
                  <pic:cNvPicPr/>
                </pic:nvPicPr>
                <pic:blipFill>
                  <a:blip r:embed="rId1">
                    <a:extLst>
                      <a:ext uri="{28A0092B-C50C-407E-A947-70E740481C1C}">
                        <a14:useLocalDpi xmlns:a14="http://schemas.microsoft.com/office/drawing/2010/main" val="0"/>
                      </a:ext>
                    </a:extLst>
                  </a:blip>
                  <a:stretch>
                    <a:fillRect/>
                  </a:stretch>
                </pic:blipFill>
                <pic:spPr>
                  <a:xfrm>
                    <a:off x="0" y="0"/>
                    <a:ext cx="2607148" cy="734517"/>
                  </a:xfrm>
                  <a:prstGeom prst="rect">
                    <a:avLst/>
                  </a:prstGeom>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6499F" w:rsidRDefault="00F6499F" w:rsidP="00DD3A8F">
      <w:r>
        <w:separator/>
      </w:r>
    </w:p>
  </w:footnote>
  <w:footnote w:type="continuationSeparator" w:id="0">
    <w:p w:rsidR="00F6499F" w:rsidRDefault="00F6499F" w:rsidP="00DD3A8F">
      <w:r>
        <w:continuationSeparator/>
      </w:r>
    </w:p>
  </w:footnote>
  <w:footnote w:id="1">
    <w:p w:rsidR="00431CE4" w:rsidRPr="00473264" w:rsidRDefault="00431CE4">
      <w:pPr>
        <w:pStyle w:val="FootnoteText"/>
        <w:rPr>
          <w:sz w:val="19"/>
          <w:szCs w:val="19"/>
        </w:rPr>
      </w:pPr>
      <w:r w:rsidRPr="00473264">
        <w:rPr>
          <w:rStyle w:val="FootnoteReference"/>
          <w:sz w:val="19"/>
          <w:szCs w:val="19"/>
        </w:rPr>
        <w:footnoteRef/>
      </w:r>
      <w:r w:rsidRPr="00473264">
        <w:rPr>
          <w:sz w:val="19"/>
          <w:szCs w:val="19"/>
        </w:rPr>
        <w:t xml:space="preserve"> All statutory references in this submission are to this Act.</w:t>
      </w:r>
    </w:p>
  </w:footnote>
  <w:footnote w:id="2">
    <w:p w:rsidR="00431CE4" w:rsidRPr="00473264" w:rsidRDefault="00431CE4">
      <w:pPr>
        <w:pStyle w:val="FootnoteText"/>
        <w:rPr>
          <w:sz w:val="19"/>
          <w:szCs w:val="19"/>
        </w:rPr>
      </w:pPr>
      <w:r w:rsidRPr="00473264">
        <w:rPr>
          <w:rStyle w:val="FootnoteReference"/>
          <w:sz w:val="19"/>
          <w:szCs w:val="19"/>
        </w:rPr>
        <w:footnoteRef/>
      </w:r>
      <w:r w:rsidRPr="00473264">
        <w:rPr>
          <w:sz w:val="19"/>
          <w:szCs w:val="19"/>
        </w:rPr>
        <w:t xml:space="preserve"> </w:t>
      </w:r>
      <w:proofErr w:type="gramStart"/>
      <w:r w:rsidRPr="00473264">
        <w:rPr>
          <w:i/>
          <w:sz w:val="19"/>
          <w:szCs w:val="19"/>
        </w:rPr>
        <w:t>Greenfields Agreement Review Background Paper</w:t>
      </w:r>
      <w:r w:rsidRPr="00473264">
        <w:rPr>
          <w:sz w:val="19"/>
          <w:szCs w:val="19"/>
        </w:rPr>
        <w:t>, p 9.</w:t>
      </w:r>
      <w:proofErr w:type="gramEnd"/>
    </w:p>
  </w:footnote>
  <w:footnote w:id="3">
    <w:p w:rsidR="002564BF" w:rsidRPr="00473264" w:rsidRDefault="00431CE4" w:rsidP="002564BF">
      <w:pPr>
        <w:pStyle w:val="FootnoteText"/>
        <w:rPr>
          <w:i/>
          <w:sz w:val="19"/>
          <w:szCs w:val="19"/>
        </w:rPr>
      </w:pPr>
      <w:r w:rsidRPr="00473264">
        <w:rPr>
          <w:rStyle w:val="FootnoteReference"/>
          <w:sz w:val="19"/>
          <w:szCs w:val="19"/>
        </w:rPr>
        <w:footnoteRef/>
      </w:r>
      <w:r w:rsidRPr="00473264">
        <w:rPr>
          <w:sz w:val="19"/>
          <w:szCs w:val="19"/>
        </w:rPr>
        <w:t xml:space="preserve"> </w:t>
      </w:r>
      <w:r w:rsidR="002564BF" w:rsidRPr="00473264">
        <w:rPr>
          <w:sz w:val="19"/>
          <w:szCs w:val="19"/>
        </w:rPr>
        <w:t xml:space="preserve">Fair Work Act Review, </w:t>
      </w:r>
      <w:r w:rsidR="002564BF" w:rsidRPr="00473264">
        <w:rPr>
          <w:i/>
          <w:sz w:val="19"/>
          <w:szCs w:val="19"/>
        </w:rPr>
        <w:t>Towards more productive and equitable workplaces: An evaluation of the Fair</w:t>
      </w:r>
    </w:p>
    <w:p w:rsidR="00431CE4" w:rsidRPr="00473264" w:rsidRDefault="002564BF" w:rsidP="002564BF">
      <w:pPr>
        <w:pStyle w:val="FootnoteText"/>
        <w:rPr>
          <w:sz w:val="19"/>
          <w:szCs w:val="19"/>
        </w:rPr>
      </w:pPr>
      <w:proofErr w:type="gramStart"/>
      <w:r w:rsidRPr="00473264">
        <w:rPr>
          <w:i/>
          <w:sz w:val="19"/>
          <w:szCs w:val="19"/>
        </w:rPr>
        <w:t>Work legislation</w:t>
      </w:r>
      <w:r w:rsidRPr="00473264">
        <w:rPr>
          <w:sz w:val="19"/>
          <w:szCs w:val="19"/>
        </w:rPr>
        <w:t xml:space="preserve">, </w:t>
      </w:r>
      <w:r w:rsidR="00431CE4" w:rsidRPr="00473264">
        <w:rPr>
          <w:sz w:val="19"/>
          <w:szCs w:val="19"/>
        </w:rPr>
        <w:t xml:space="preserve">2012, p </w:t>
      </w:r>
      <w:r w:rsidRPr="00473264">
        <w:rPr>
          <w:sz w:val="19"/>
          <w:szCs w:val="19"/>
        </w:rPr>
        <w:t>172</w:t>
      </w:r>
      <w:r w:rsidR="00431CE4" w:rsidRPr="00473264">
        <w:rPr>
          <w:sz w:val="19"/>
          <w:szCs w:val="19"/>
        </w:rPr>
        <w:t xml:space="preserve"> [</w:t>
      </w:r>
      <w:r w:rsidRPr="00473264">
        <w:rPr>
          <w:sz w:val="19"/>
          <w:szCs w:val="19"/>
        </w:rPr>
        <w:t>6.5.3</w:t>
      </w:r>
      <w:r w:rsidR="00431CE4" w:rsidRPr="00473264">
        <w:rPr>
          <w:sz w:val="19"/>
          <w:szCs w:val="19"/>
        </w:rPr>
        <w:t>].</w:t>
      </w:r>
      <w:proofErr w:type="gramEnd"/>
    </w:p>
  </w:footnote>
  <w:footnote w:id="4">
    <w:p w:rsidR="00431CE4" w:rsidRPr="00473264" w:rsidRDefault="00431CE4">
      <w:pPr>
        <w:pStyle w:val="FootnoteText"/>
        <w:rPr>
          <w:sz w:val="19"/>
          <w:szCs w:val="19"/>
        </w:rPr>
      </w:pPr>
      <w:r w:rsidRPr="00473264">
        <w:rPr>
          <w:rStyle w:val="FootnoteReference"/>
          <w:sz w:val="19"/>
          <w:szCs w:val="19"/>
        </w:rPr>
        <w:footnoteRef/>
      </w:r>
      <w:r w:rsidRPr="00473264">
        <w:rPr>
          <w:sz w:val="19"/>
          <w:szCs w:val="19"/>
        </w:rPr>
        <w:t xml:space="preserve"> </w:t>
      </w:r>
      <w:proofErr w:type="gramStart"/>
      <w:r w:rsidRPr="00473264">
        <w:rPr>
          <w:sz w:val="19"/>
          <w:szCs w:val="19"/>
        </w:rPr>
        <w:t>Section 3(e) and (f).</w:t>
      </w:r>
      <w:proofErr w:type="gramEnd"/>
    </w:p>
  </w:footnote>
  <w:footnote w:id="5">
    <w:p w:rsidR="00431CE4" w:rsidRPr="00473264" w:rsidRDefault="00431CE4" w:rsidP="001675A5">
      <w:pPr>
        <w:pStyle w:val="FootnoteText"/>
        <w:rPr>
          <w:sz w:val="19"/>
          <w:szCs w:val="19"/>
        </w:rPr>
      </w:pPr>
      <w:r w:rsidRPr="00473264">
        <w:rPr>
          <w:rStyle w:val="FootnoteReference"/>
          <w:sz w:val="19"/>
          <w:szCs w:val="19"/>
        </w:rPr>
        <w:footnoteRef/>
      </w:r>
      <w:r w:rsidRPr="00473264">
        <w:rPr>
          <w:sz w:val="19"/>
          <w:szCs w:val="19"/>
        </w:rPr>
        <w:t xml:space="preserve"> </w:t>
      </w:r>
      <w:proofErr w:type="gramStart"/>
      <w:r w:rsidRPr="00473264">
        <w:rPr>
          <w:i/>
          <w:sz w:val="19"/>
          <w:szCs w:val="19"/>
        </w:rPr>
        <w:t>Greenfields Agreement Review Background Paper</w:t>
      </w:r>
      <w:r w:rsidRPr="00473264">
        <w:rPr>
          <w:sz w:val="19"/>
          <w:szCs w:val="19"/>
        </w:rPr>
        <w:t>, p 6.</w:t>
      </w:r>
      <w:proofErr w:type="gramEnd"/>
    </w:p>
  </w:footnote>
  <w:footnote w:id="6">
    <w:p w:rsidR="00431CE4" w:rsidRPr="00473264" w:rsidRDefault="00431CE4">
      <w:pPr>
        <w:pStyle w:val="FootnoteText"/>
        <w:rPr>
          <w:sz w:val="19"/>
          <w:szCs w:val="19"/>
        </w:rPr>
      </w:pPr>
      <w:r w:rsidRPr="00473264">
        <w:rPr>
          <w:rStyle w:val="FootnoteReference"/>
          <w:sz w:val="19"/>
          <w:szCs w:val="19"/>
        </w:rPr>
        <w:footnoteRef/>
      </w:r>
      <w:r w:rsidRPr="00473264">
        <w:rPr>
          <w:sz w:val="19"/>
          <w:szCs w:val="19"/>
        </w:rPr>
        <w:t xml:space="preserve"> </w:t>
      </w:r>
      <w:r w:rsidRPr="00473264">
        <w:rPr>
          <w:i/>
          <w:sz w:val="19"/>
          <w:szCs w:val="19"/>
        </w:rPr>
        <w:t>Workplace Relations Framework</w:t>
      </w:r>
      <w:r w:rsidRPr="00473264">
        <w:rPr>
          <w:sz w:val="19"/>
          <w:szCs w:val="19"/>
        </w:rPr>
        <w:t xml:space="preserve">, Productivity Commission Inquiry Report No 76, 30 November 2015, </w:t>
      </w:r>
      <w:proofErr w:type="spellStart"/>
      <w:r w:rsidRPr="00473264">
        <w:rPr>
          <w:sz w:val="19"/>
          <w:szCs w:val="19"/>
        </w:rPr>
        <w:t>vol</w:t>
      </w:r>
      <w:proofErr w:type="spellEnd"/>
      <w:r w:rsidRPr="00473264">
        <w:rPr>
          <w:sz w:val="19"/>
          <w:szCs w:val="19"/>
        </w:rPr>
        <w:t xml:space="preserve"> 2, p 711.</w:t>
      </w:r>
    </w:p>
  </w:footnote>
  <w:footnote w:id="7">
    <w:p w:rsidR="00431CE4" w:rsidRPr="00473264" w:rsidRDefault="00431CE4">
      <w:pPr>
        <w:pStyle w:val="FootnoteText"/>
        <w:rPr>
          <w:sz w:val="19"/>
          <w:szCs w:val="19"/>
        </w:rPr>
      </w:pPr>
      <w:r w:rsidRPr="00473264">
        <w:rPr>
          <w:rStyle w:val="FootnoteReference"/>
          <w:sz w:val="19"/>
          <w:szCs w:val="19"/>
        </w:rPr>
        <w:footnoteRef/>
      </w:r>
      <w:r w:rsidRPr="00473264">
        <w:rPr>
          <w:sz w:val="19"/>
          <w:szCs w:val="19"/>
        </w:rPr>
        <w:t xml:space="preserve"> </w:t>
      </w:r>
      <w:proofErr w:type="gramStart"/>
      <w:r w:rsidRPr="00473264">
        <w:rPr>
          <w:i/>
          <w:sz w:val="19"/>
          <w:szCs w:val="19"/>
        </w:rPr>
        <w:t>Greenfields Agreement Review Background Paper</w:t>
      </w:r>
      <w:r w:rsidRPr="00473264">
        <w:rPr>
          <w:sz w:val="19"/>
          <w:szCs w:val="19"/>
        </w:rPr>
        <w:t>, p 4.</w:t>
      </w:r>
      <w:proofErr w:type="gramEnd"/>
    </w:p>
  </w:footnote>
  <w:footnote w:id="8">
    <w:p w:rsidR="00431CE4" w:rsidRPr="00473264" w:rsidRDefault="00431CE4">
      <w:pPr>
        <w:pStyle w:val="FootnoteText"/>
        <w:rPr>
          <w:sz w:val="19"/>
          <w:szCs w:val="19"/>
        </w:rPr>
      </w:pPr>
      <w:r w:rsidRPr="00473264">
        <w:rPr>
          <w:rStyle w:val="FootnoteReference"/>
          <w:sz w:val="19"/>
          <w:szCs w:val="19"/>
        </w:rPr>
        <w:footnoteRef/>
      </w:r>
      <w:r w:rsidRPr="00473264">
        <w:rPr>
          <w:sz w:val="19"/>
          <w:szCs w:val="19"/>
        </w:rPr>
        <w:t xml:space="preserve"> </w:t>
      </w:r>
      <w:r w:rsidRPr="00473264">
        <w:rPr>
          <w:i/>
          <w:sz w:val="19"/>
          <w:szCs w:val="19"/>
        </w:rPr>
        <w:t>Workplace Relations Framework</w:t>
      </w:r>
      <w:r w:rsidRPr="00473264">
        <w:rPr>
          <w:sz w:val="19"/>
          <w:szCs w:val="19"/>
        </w:rPr>
        <w:t xml:space="preserve">, Productivity Commission Inquiry Report No 76, 30 November 2015, </w:t>
      </w:r>
      <w:proofErr w:type="spellStart"/>
      <w:r w:rsidRPr="00473264">
        <w:rPr>
          <w:sz w:val="19"/>
          <w:szCs w:val="19"/>
        </w:rPr>
        <w:t>vol</w:t>
      </w:r>
      <w:proofErr w:type="spellEnd"/>
      <w:r w:rsidRPr="00473264">
        <w:rPr>
          <w:sz w:val="19"/>
          <w:szCs w:val="19"/>
        </w:rPr>
        <w:t xml:space="preserve"> 2, p 717.</w:t>
      </w:r>
    </w:p>
  </w:footnote>
  <w:footnote w:id="9">
    <w:p w:rsidR="00431CE4" w:rsidRPr="00473264" w:rsidRDefault="00431CE4">
      <w:pPr>
        <w:pStyle w:val="FootnoteText"/>
        <w:rPr>
          <w:i/>
          <w:sz w:val="19"/>
          <w:szCs w:val="19"/>
        </w:rPr>
      </w:pPr>
      <w:r w:rsidRPr="00473264">
        <w:rPr>
          <w:rStyle w:val="FootnoteReference"/>
          <w:sz w:val="19"/>
          <w:szCs w:val="19"/>
        </w:rPr>
        <w:footnoteRef/>
      </w:r>
      <w:r w:rsidRPr="00473264">
        <w:rPr>
          <w:sz w:val="19"/>
          <w:szCs w:val="19"/>
        </w:rPr>
        <w:t xml:space="preserve"> </w:t>
      </w:r>
      <w:r w:rsidR="002564BF" w:rsidRPr="00473264">
        <w:rPr>
          <w:i/>
          <w:sz w:val="19"/>
          <w:szCs w:val="19"/>
        </w:rPr>
        <w:t xml:space="preserve">Fair Work Act Review, </w:t>
      </w:r>
      <w:proofErr w:type="gramStart"/>
      <w:r w:rsidR="002564BF" w:rsidRPr="00473264">
        <w:rPr>
          <w:i/>
          <w:sz w:val="19"/>
          <w:szCs w:val="19"/>
        </w:rPr>
        <w:t>Towards</w:t>
      </w:r>
      <w:proofErr w:type="gramEnd"/>
      <w:r w:rsidR="002564BF" w:rsidRPr="00473264">
        <w:rPr>
          <w:i/>
          <w:sz w:val="19"/>
          <w:szCs w:val="19"/>
        </w:rPr>
        <w:t xml:space="preserve"> more productive and equitable workplaces: An evaluation of the Fair Work legislation</w:t>
      </w:r>
      <w:r w:rsidRPr="00473264">
        <w:rPr>
          <w:sz w:val="19"/>
          <w:szCs w:val="19"/>
        </w:rPr>
        <w:t xml:space="preserve">, p </w:t>
      </w:r>
      <w:r w:rsidR="00586461" w:rsidRPr="00473264">
        <w:rPr>
          <w:sz w:val="19"/>
          <w:szCs w:val="19"/>
        </w:rPr>
        <w:t>172</w:t>
      </w:r>
      <w:r w:rsidRPr="00473264">
        <w:rPr>
          <w:sz w:val="19"/>
          <w:szCs w:val="19"/>
        </w:rPr>
        <w:t xml:space="preserve"> [</w:t>
      </w:r>
      <w:r w:rsidR="00586461" w:rsidRPr="00473264">
        <w:rPr>
          <w:sz w:val="19"/>
          <w:szCs w:val="19"/>
        </w:rPr>
        <w:t>6.5.3</w:t>
      </w:r>
      <w:r w:rsidRPr="00473264">
        <w:rPr>
          <w:sz w:val="19"/>
          <w:szCs w:val="19"/>
        </w:rPr>
        <w:t xml:space="preserve">] and </w:t>
      </w:r>
      <w:r w:rsidRPr="00473264">
        <w:rPr>
          <w:i/>
          <w:sz w:val="19"/>
          <w:szCs w:val="19"/>
        </w:rPr>
        <w:t>Workplace Relations Framework</w:t>
      </w:r>
      <w:r w:rsidRPr="00473264">
        <w:rPr>
          <w:sz w:val="19"/>
          <w:szCs w:val="19"/>
        </w:rPr>
        <w:t xml:space="preserve">, Productivity Commission Inquiry Report No 76, 30 November 2015, </w:t>
      </w:r>
      <w:proofErr w:type="spellStart"/>
      <w:r w:rsidRPr="00473264">
        <w:rPr>
          <w:sz w:val="19"/>
          <w:szCs w:val="19"/>
        </w:rPr>
        <w:t>vol</w:t>
      </w:r>
      <w:proofErr w:type="spellEnd"/>
      <w:r w:rsidRPr="00473264">
        <w:rPr>
          <w:sz w:val="19"/>
          <w:szCs w:val="19"/>
        </w:rPr>
        <w:t xml:space="preserve"> 2, p 716, respectively.</w:t>
      </w:r>
    </w:p>
  </w:footnote>
  <w:footnote w:id="10">
    <w:p w:rsidR="00431CE4" w:rsidRPr="00473264" w:rsidRDefault="00431CE4" w:rsidP="006E1FED">
      <w:pPr>
        <w:pStyle w:val="FootnoteText"/>
        <w:rPr>
          <w:sz w:val="19"/>
          <w:szCs w:val="19"/>
        </w:rPr>
      </w:pPr>
      <w:r w:rsidRPr="00473264">
        <w:rPr>
          <w:rStyle w:val="FootnoteReference"/>
          <w:sz w:val="19"/>
          <w:szCs w:val="19"/>
        </w:rPr>
        <w:footnoteRef/>
      </w:r>
      <w:r w:rsidRPr="00473264">
        <w:rPr>
          <w:sz w:val="19"/>
          <w:szCs w:val="19"/>
        </w:rPr>
        <w:t xml:space="preserve"> See, </w:t>
      </w:r>
      <w:proofErr w:type="spellStart"/>
      <w:r w:rsidRPr="00473264">
        <w:rPr>
          <w:sz w:val="19"/>
          <w:szCs w:val="19"/>
        </w:rPr>
        <w:t>eg</w:t>
      </w:r>
      <w:proofErr w:type="spellEnd"/>
      <w:r w:rsidRPr="00473264">
        <w:rPr>
          <w:sz w:val="19"/>
          <w:szCs w:val="19"/>
        </w:rPr>
        <w:t xml:space="preserve">, </w:t>
      </w:r>
      <w:r w:rsidRPr="00473264">
        <w:rPr>
          <w:i/>
          <w:sz w:val="19"/>
          <w:szCs w:val="19"/>
        </w:rPr>
        <w:t>Workplace Relations Framework</w:t>
      </w:r>
      <w:r w:rsidRPr="00473264">
        <w:rPr>
          <w:sz w:val="19"/>
          <w:szCs w:val="19"/>
        </w:rPr>
        <w:t xml:space="preserve">, Productivity Commission Inquiry Report No 76, 30 November 2015, </w:t>
      </w:r>
      <w:proofErr w:type="spellStart"/>
      <w:r w:rsidRPr="00473264">
        <w:rPr>
          <w:sz w:val="19"/>
          <w:szCs w:val="19"/>
        </w:rPr>
        <w:t>vol</w:t>
      </w:r>
      <w:proofErr w:type="spellEnd"/>
      <w:r w:rsidRPr="00473264">
        <w:rPr>
          <w:sz w:val="19"/>
          <w:szCs w:val="19"/>
        </w:rPr>
        <w:t xml:space="preserve"> 2, p 716 and the research cited therein; Carolyn Sutherland, ‘Agreement-making under Work Choices The impact of the legal framework on bargaining practices and outcomes’, Office of the Workplace Rights Advocate, October 2007.</w:t>
      </w:r>
    </w:p>
  </w:footnote>
  <w:footnote w:id="11">
    <w:p w:rsidR="00431CE4" w:rsidRPr="00473264" w:rsidRDefault="00431CE4" w:rsidP="00287797">
      <w:pPr>
        <w:pStyle w:val="FootnoteText"/>
        <w:rPr>
          <w:sz w:val="19"/>
          <w:szCs w:val="19"/>
        </w:rPr>
      </w:pPr>
      <w:r w:rsidRPr="00473264">
        <w:rPr>
          <w:rStyle w:val="FootnoteReference"/>
          <w:sz w:val="19"/>
          <w:szCs w:val="19"/>
        </w:rPr>
        <w:footnoteRef/>
      </w:r>
      <w:r w:rsidRPr="00473264">
        <w:rPr>
          <w:sz w:val="19"/>
          <w:szCs w:val="19"/>
        </w:rPr>
        <w:t xml:space="preserve"> </w:t>
      </w:r>
      <w:r w:rsidR="002564BF" w:rsidRPr="00473264">
        <w:rPr>
          <w:i/>
          <w:sz w:val="19"/>
          <w:szCs w:val="19"/>
        </w:rPr>
        <w:t xml:space="preserve">Fair Work Act Review, </w:t>
      </w:r>
      <w:proofErr w:type="gramStart"/>
      <w:r w:rsidR="002564BF" w:rsidRPr="00473264">
        <w:rPr>
          <w:i/>
          <w:sz w:val="19"/>
          <w:szCs w:val="19"/>
        </w:rPr>
        <w:t>Towards</w:t>
      </w:r>
      <w:proofErr w:type="gramEnd"/>
      <w:r w:rsidR="002564BF" w:rsidRPr="00473264">
        <w:rPr>
          <w:i/>
          <w:sz w:val="19"/>
          <w:szCs w:val="19"/>
        </w:rPr>
        <w:t xml:space="preserve"> more productive and equitable workplaces: An evaluation of the Fair Work legislation</w:t>
      </w:r>
      <w:r w:rsidRPr="00473264">
        <w:rPr>
          <w:sz w:val="19"/>
          <w:szCs w:val="19"/>
        </w:rPr>
        <w:t xml:space="preserve">, p 82 [4.6.6] (emphasis added). The Explanatory Memorandum to the </w:t>
      </w:r>
      <w:r w:rsidRPr="00473264">
        <w:rPr>
          <w:i/>
          <w:sz w:val="19"/>
          <w:szCs w:val="19"/>
        </w:rPr>
        <w:t>Fair Work Amendment Bill 2014</w:t>
      </w:r>
      <w:r w:rsidRPr="00473264">
        <w:rPr>
          <w:sz w:val="19"/>
          <w:szCs w:val="19"/>
        </w:rPr>
        <w:t xml:space="preserve"> (</w:t>
      </w:r>
      <w:proofErr w:type="spellStart"/>
      <w:r w:rsidRPr="00473264">
        <w:rPr>
          <w:sz w:val="19"/>
          <w:szCs w:val="19"/>
        </w:rPr>
        <w:t>Cth</w:t>
      </w:r>
      <w:proofErr w:type="spellEnd"/>
      <w:r w:rsidRPr="00473264">
        <w:rPr>
          <w:sz w:val="19"/>
          <w:szCs w:val="19"/>
        </w:rPr>
        <w:t>) (</w:t>
      </w:r>
      <w:r w:rsidRPr="00473264">
        <w:rPr>
          <w:b/>
          <w:sz w:val="19"/>
          <w:szCs w:val="19"/>
        </w:rPr>
        <w:t>Explanatory Memorandum</w:t>
      </w:r>
      <w:r w:rsidRPr="00473264">
        <w:rPr>
          <w:sz w:val="19"/>
          <w:szCs w:val="19"/>
        </w:rPr>
        <w:t xml:space="preserve">) picked up on these themes, as noted in </w:t>
      </w:r>
      <w:r w:rsidRPr="00473264">
        <w:rPr>
          <w:i/>
          <w:sz w:val="19"/>
          <w:szCs w:val="19"/>
        </w:rPr>
        <w:t>Greenfields Agreement Review Background Paper</w:t>
      </w:r>
      <w:r w:rsidRPr="00473264">
        <w:rPr>
          <w:sz w:val="19"/>
          <w:szCs w:val="19"/>
        </w:rPr>
        <w:t>, p 13.</w:t>
      </w:r>
    </w:p>
  </w:footnote>
  <w:footnote w:id="12">
    <w:p w:rsidR="00431CE4" w:rsidRPr="00473264" w:rsidRDefault="00431CE4" w:rsidP="00287797">
      <w:pPr>
        <w:pStyle w:val="FootnoteText"/>
        <w:rPr>
          <w:sz w:val="19"/>
          <w:szCs w:val="19"/>
        </w:rPr>
      </w:pPr>
      <w:r w:rsidRPr="00473264">
        <w:rPr>
          <w:rStyle w:val="FootnoteReference"/>
          <w:sz w:val="19"/>
          <w:szCs w:val="19"/>
        </w:rPr>
        <w:footnoteRef/>
      </w:r>
      <w:r w:rsidRPr="00473264">
        <w:rPr>
          <w:sz w:val="19"/>
          <w:szCs w:val="19"/>
        </w:rPr>
        <w:t xml:space="preserve"> Ibid.</w:t>
      </w:r>
    </w:p>
  </w:footnote>
  <w:footnote w:id="13">
    <w:p w:rsidR="00431CE4" w:rsidRPr="00473264" w:rsidRDefault="00431CE4">
      <w:pPr>
        <w:pStyle w:val="FootnoteText"/>
        <w:rPr>
          <w:b/>
          <w:sz w:val="19"/>
          <w:szCs w:val="19"/>
        </w:rPr>
      </w:pPr>
      <w:r w:rsidRPr="00473264">
        <w:rPr>
          <w:rStyle w:val="FootnoteReference"/>
          <w:sz w:val="19"/>
          <w:szCs w:val="19"/>
        </w:rPr>
        <w:footnoteRef/>
      </w:r>
      <w:r w:rsidRPr="00473264">
        <w:rPr>
          <w:sz w:val="19"/>
          <w:szCs w:val="19"/>
        </w:rPr>
        <w:t xml:space="preserve"> </w:t>
      </w:r>
      <w:proofErr w:type="gramStart"/>
      <w:r w:rsidRPr="00473264">
        <w:rPr>
          <w:sz w:val="19"/>
          <w:szCs w:val="19"/>
        </w:rPr>
        <w:t>Explanatory Memorandum, p xii.</w:t>
      </w:r>
      <w:proofErr w:type="gramEnd"/>
    </w:p>
  </w:footnote>
  <w:footnote w:id="14">
    <w:p w:rsidR="00431CE4" w:rsidRPr="00473264" w:rsidRDefault="00431CE4" w:rsidP="00C21398">
      <w:pPr>
        <w:pStyle w:val="FootnoteText"/>
        <w:rPr>
          <w:i/>
          <w:sz w:val="19"/>
          <w:szCs w:val="19"/>
        </w:rPr>
      </w:pPr>
      <w:r w:rsidRPr="00473264">
        <w:rPr>
          <w:rStyle w:val="FootnoteReference"/>
          <w:sz w:val="19"/>
          <w:szCs w:val="19"/>
        </w:rPr>
        <w:footnoteRef/>
      </w:r>
      <w:r w:rsidRPr="00473264">
        <w:rPr>
          <w:sz w:val="19"/>
          <w:szCs w:val="19"/>
        </w:rPr>
        <w:t xml:space="preserve"> We note that both the </w:t>
      </w:r>
      <w:r w:rsidR="002564BF" w:rsidRPr="00473264">
        <w:rPr>
          <w:sz w:val="19"/>
          <w:szCs w:val="19"/>
        </w:rPr>
        <w:t>Fair Work Act Review, Towards more productive and equitable workplaces: An evaluation of the Fair Work legislation</w:t>
      </w:r>
      <w:r w:rsidRPr="00473264">
        <w:rPr>
          <w:sz w:val="19"/>
          <w:szCs w:val="19"/>
        </w:rPr>
        <w:t xml:space="preserve"> and the Productivity Commission Inquiry recommended alternative options to address this perceived risk. The ACTU has previously made submissions in respect of those options and other recommendations of the Productivity Commission relating to greenfields agreements: ACTU Response to Towards More Productive and Equitable Workplaces: An evaluation of the Fair Work Legislation, D</w:t>
      </w:r>
      <w:r w:rsidR="00AE5FEF" w:rsidRPr="00473264">
        <w:rPr>
          <w:sz w:val="19"/>
          <w:szCs w:val="19"/>
        </w:rPr>
        <w:t>.</w:t>
      </w:r>
      <w:r w:rsidRPr="00473264">
        <w:rPr>
          <w:sz w:val="19"/>
          <w:szCs w:val="19"/>
        </w:rPr>
        <w:t xml:space="preserve"> No 49/2012, 21 August 2012 &lt;</w:t>
      </w:r>
      <w:hyperlink r:id="rId1" w:history="1">
        <w:r w:rsidR="00AE5FEF" w:rsidRPr="00473264">
          <w:rPr>
            <w:rStyle w:val="Hyperlink"/>
            <w:sz w:val="19"/>
            <w:szCs w:val="19"/>
          </w:rPr>
          <w:t>https://www.actu.org.au/media/297226/ACTU%20Response%20to%20Towards%20More%20Productive%20and%20Equitable%20Workplaces%20-%20An%20evaluation%20of%20the%20Fair%20Work%20legislation.pdf</w:t>
        </w:r>
      </w:hyperlink>
      <w:r w:rsidRPr="00473264">
        <w:rPr>
          <w:sz w:val="19"/>
          <w:szCs w:val="19"/>
        </w:rPr>
        <w:t>&gt;; and ACTU Submission to the Productivity Commission Inquiry into the Workplace Relations Framework &lt;</w:t>
      </w:r>
      <w:hyperlink r:id="rId2" w:history="1">
        <w:r w:rsidR="00AE5FEF" w:rsidRPr="00473264">
          <w:rPr>
            <w:rStyle w:val="Hyperlink"/>
            <w:sz w:val="19"/>
            <w:szCs w:val="19"/>
          </w:rPr>
          <w:t>https://www.pc.gov.au/__data/assets/pdf_file/0007/188287/sub0167-workplace-relations.pdf</w:t>
        </w:r>
      </w:hyperlink>
      <w:r w:rsidRPr="00473264">
        <w:rPr>
          <w:sz w:val="19"/>
          <w:szCs w:val="19"/>
        </w:rPr>
        <w:t>&gt;.</w:t>
      </w:r>
    </w:p>
  </w:footnote>
  <w:footnote w:id="15">
    <w:p w:rsidR="00431CE4" w:rsidRPr="00473264" w:rsidRDefault="00431CE4" w:rsidP="004C742B">
      <w:pPr>
        <w:pStyle w:val="FootnoteText"/>
        <w:rPr>
          <w:sz w:val="19"/>
          <w:szCs w:val="19"/>
        </w:rPr>
      </w:pPr>
      <w:r w:rsidRPr="00473264">
        <w:rPr>
          <w:rStyle w:val="FootnoteReference"/>
          <w:sz w:val="19"/>
          <w:szCs w:val="19"/>
        </w:rPr>
        <w:footnoteRef/>
      </w:r>
      <w:r w:rsidRPr="00473264">
        <w:rPr>
          <w:sz w:val="19"/>
          <w:szCs w:val="19"/>
        </w:rPr>
        <w:t xml:space="preserve"> The ACTU is unaware of any such applications and has been unable to identify any such applications.</w:t>
      </w:r>
    </w:p>
  </w:footnote>
  <w:footnote w:id="16">
    <w:p w:rsidR="00431CE4" w:rsidRPr="00473264" w:rsidRDefault="00431CE4" w:rsidP="004548F4">
      <w:pPr>
        <w:pStyle w:val="FootnoteText"/>
        <w:rPr>
          <w:sz w:val="19"/>
          <w:szCs w:val="19"/>
        </w:rPr>
      </w:pPr>
      <w:r w:rsidRPr="00473264">
        <w:rPr>
          <w:rStyle w:val="FootnoteReference"/>
          <w:sz w:val="19"/>
          <w:szCs w:val="19"/>
        </w:rPr>
        <w:footnoteRef/>
      </w:r>
      <w:r w:rsidRPr="00473264">
        <w:rPr>
          <w:sz w:val="19"/>
          <w:szCs w:val="19"/>
        </w:rPr>
        <w:t xml:space="preserve"> </w:t>
      </w:r>
      <w:r w:rsidRPr="00473264">
        <w:rPr>
          <w:i/>
          <w:sz w:val="19"/>
          <w:szCs w:val="19"/>
        </w:rPr>
        <w:t>Workplace Relations Framework</w:t>
      </w:r>
      <w:r w:rsidRPr="00473264">
        <w:rPr>
          <w:sz w:val="19"/>
          <w:szCs w:val="19"/>
        </w:rPr>
        <w:t xml:space="preserve">, Productivity Commission Inquiry Report No 76, 30 November 2015, </w:t>
      </w:r>
      <w:proofErr w:type="spellStart"/>
      <w:r w:rsidRPr="00473264">
        <w:rPr>
          <w:sz w:val="19"/>
          <w:szCs w:val="19"/>
        </w:rPr>
        <w:t>vol</w:t>
      </w:r>
      <w:proofErr w:type="spellEnd"/>
      <w:r w:rsidRPr="00473264">
        <w:rPr>
          <w:sz w:val="19"/>
          <w:szCs w:val="19"/>
        </w:rPr>
        <w:t xml:space="preserve"> 2, p 716.</w:t>
      </w:r>
    </w:p>
  </w:footnote>
  <w:footnote w:id="17">
    <w:p w:rsidR="00431CE4" w:rsidRPr="00473264" w:rsidRDefault="00431CE4" w:rsidP="004548F4">
      <w:pPr>
        <w:pStyle w:val="FootnoteText"/>
        <w:rPr>
          <w:sz w:val="19"/>
          <w:szCs w:val="19"/>
        </w:rPr>
      </w:pPr>
      <w:r w:rsidRPr="00473264">
        <w:rPr>
          <w:rStyle w:val="FootnoteReference"/>
          <w:sz w:val="19"/>
          <w:szCs w:val="19"/>
        </w:rPr>
        <w:footnoteRef/>
      </w:r>
      <w:r w:rsidRPr="00473264">
        <w:rPr>
          <w:sz w:val="19"/>
          <w:szCs w:val="19"/>
        </w:rPr>
        <w:t xml:space="preserve"> As noted in </w:t>
      </w:r>
      <w:r w:rsidRPr="00473264">
        <w:rPr>
          <w:i/>
          <w:sz w:val="19"/>
          <w:szCs w:val="19"/>
        </w:rPr>
        <w:t>Greenfields Agreement Review Background Paper</w:t>
      </w:r>
      <w:r w:rsidRPr="00473264">
        <w:rPr>
          <w:sz w:val="19"/>
          <w:szCs w:val="19"/>
        </w:rPr>
        <w:t>, p 13, by reference to the Explanatory Memorandum.</w:t>
      </w:r>
    </w:p>
  </w:footnote>
  <w:footnote w:id="18">
    <w:p w:rsidR="00431CE4" w:rsidRPr="00473264" w:rsidRDefault="00431CE4" w:rsidP="004548F4">
      <w:pPr>
        <w:pStyle w:val="FootnoteText"/>
        <w:rPr>
          <w:sz w:val="19"/>
          <w:szCs w:val="19"/>
        </w:rPr>
      </w:pPr>
      <w:r w:rsidRPr="00473264">
        <w:rPr>
          <w:rStyle w:val="FootnoteReference"/>
          <w:sz w:val="19"/>
          <w:szCs w:val="19"/>
        </w:rPr>
        <w:footnoteRef/>
      </w:r>
      <w:r w:rsidRPr="00473264">
        <w:rPr>
          <w:sz w:val="19"/>
          <w:szCs w:val="19"/>
        </w:rPr>
        <w:t xml:space="preserve"> </w:t>
      </w:r>
      <w:r w:rsidRPr="00473264">
        <w:rPr>
          <w:i/>
          <w:sz w:val="19"/>
          <w:szCs w:val="19"/>
        </w:rPr>
        <w:t>Workplace Relations Framework</w:t>
      </w:r>
      <w:r w:rsidRPr="00473264">
        <w:rPr>
          <w:sz w:val="19"/>
          <w:szCs w:val="19"/>
        </w:rPr>
        <w:t xml:space="preserve">, Productivity Commission Inquiry Report No 76, 30 November 2015, </w:t>
      </w:r>
      <w:proofErr w:type="spellStart"/>
      <w:r w:rsidRPr="00473264">
        <w:rPr>
          <w:sz w:val="19"/>
          <w:szCs w:val="19"/>
        </w:rPr>
        <w:t>vol</w:t>
      </w:r>
      <w:proofErr w:type="spellEnd"/>
      <w:r w:rsidRPr="00473264">
        <w:rPr>
          <w:sz w:val="19"/>
          <w:szCs w:val="19"/>
        </w:rPr>
        <w:t xml:space="preserve"> 2, p 716.</w:t>
      </w:r>
    </w:p>
  </w:footnote>
  <w:footnote w:id="19">
    <w:p w:rsidR="00431CE4" w:rsidRPr="00473264" w:rsidRDefault="00431CE4" w:rsidP="004548F4">
      <w:pPr>
        <w:pStyle w:val="FootnoteText"/>
        <w:rPr>
          <w:sz w:val="19"/>
          <w:szCs w:val="19"/>
        </w:rPr>
      </w:pPr>
      <w:r w:rsidRPr="00473264">
        <w:rPr>
          <w:rStyle w:val="FootnoteReference"/>
          <w:sz w:val="19"/>
          <w:szCs w:val="19"/>
        </w:rPr>
        <w:footnoteRef/>
      </w:r>
      <w:r w:rsidRPr="00473264">
        <w:rPr>
          <w:sz w:val="19"/>
          <w:szCs w:val="19"/>
        </w:rPr>
        <w:t xml:space="preserve"> </w:t>
      </w:r>
      <w:proofErr w:type="gramStart"/>
      <w:r w:rsidRPr="00473264">
        <w:rPr>
          <w:i/>
          <w:sz w:val="19"/>
          <w:szCs w:val="19"/>
        </w:rPr>
        <w:t>Greenfields Agreement Review Background Paper</w:t>
      </w:r>
      <w:r w:rsidRPr="00473264">
        <w:rPr>
          <w:sz w:val="19"/>
          <w:szCs w:val="19"/>
        </w:rPr>
        <w:t>, p 17.</w:t>
      </w:r>
      <w:proofErr w:type="gramEnd"/>
    </w:p>
  </w:footnote>
  <w:footnote w:id="20">
    <w:p w:rsidR="00431CE4" w:rsidRPr="00473264" w:rsidRDefault="00431CE4" w:rsidP="002E1374">
      <w:pPr>
        <w:pStyle w:val="FootnoteText"/>
        <w:rPr>
          <w:sz w:val="19"/>
          <w:szCs w:val="19"/>
        </w:rPr>
      </w:pPr>
      <w:r w:rsidRPr="00473264">
        <w:rPr>
          <w:rStyle w:val="FootnoteReference"/>
          <w:sz w:val="19"/>
          <w:szCs w:val="19"/>
        </w:rPr>
        <w:footnoteRef/>
      </w:r>
      <w:r w:rsidRPr="00473264">
        <w:rPr>
          <w:sz w:val="19"/>
          <w:szCs w:val="19"/>
        </w:rPr>
        <w:t xml:space="preserve"> See, </w:t>
      </w:r>
      <w:proofErr w:type="spellStart"/>
      <w:r w:rsidRPr="00473264">
        <w:rPr>
          <w:sz w:val="19"/>
          <w:szCs w:val="19"/>
        </w:rPr>
        <w:t>eg</w:t>
      </w:r>
      <w:proofErr w:type="spellEnd"/>
      <w:r w:rsidRPr="00473264">
        <w:rPr>
          <w:sz w:val="19"/>
          <w:szCs w:val="19"/>
        </w:rPr>
        <w:t xml:space="preserve">, </w:t>
      </w:r>
      <w:r w:rsidRPr="00473264">
        <w:rPr>
          <w:i/>
          <w:sz w:val="19"/>
          <w:szCs w:val="19"/>
        </w:rPr>
        <w:t>Workplace Relations Framework</w:t>
      </w:r>
      <w:r w:rsidRPr="00473264">
        <w:rPr>
          <w:sz w:val="19"/>
          <w:szCs w:val="19"/>
        </w:rPr>
        <w:t xml:space="preserve">, Productivity Commission Inquiry Report No 76, 30 November 2015, </w:t>
      </w:r>
      <w:proofErr w:type="spellStart"/>
      <w:r w:rsidRPr="00473264">
        <w:rPr>
          <w:sz w:val="19"/>
          <w:szCs w:val="19"/>
        </w:rPr>
        <w:t>vol</w:t>
      </w:r>
      <w:proofErr w:type="spellEnd"/>
      <w:r w:rsidRPr="00473264">
        <w:rPr>
          <w:sz w:val="19"/>
          <w:szCs w:val="19"/>
        </w:rPr>
        <w:t xml:space="preserve"> 2, p 716 and the research cited therein; Carolyn Sutherland, ‘Agreement-making under Work Choices The impact of the legal framework on bargaining practices and outcomes’, Office of the Workplace Rights Advocate, October 2007.</w:t>
      </w:r>
    </w:p>
  </w:footnote>
  <w:footnote w:id="21">
    <w:p w:rsidR="00431CE4" w:rsidRPr="00473264" w:rsidRDefault="00431CE4">
      <w:pPr>
        <w:pStyle w:val="FootnoteText"/>
        <w:rPr>
          <w:sz w:val="19"/>
          <w:szCs w:val="19"/>
        </w:rPr>
      </w:pPr>
      <w:r w:rsidRPr="00473264">
        <w:rPr>
          <w:rStyle w:val="FootnoteReference"/>
          <w:sz w:val="19"/>
          <w:szCs w:val="19"/>
        </w:rPr>
        <w:footnoteRef/>
      </w:r>
      <w:r w:rsidRPr="00473264">
        <w:rPr>
          <w:sz w:val="19"/>
          <w:szCs w:val="19"/>
        </w:rPr>
        <w:t xml:space="preserve"> </w:t>
      </w:r>
      <w:r w:rsidR="003C7199" w:rsidRPr="00473264">
        <w:rPr>
          <w:sz w:val="19"/>
          <w:szCs w:val="19"/>
        </w:rPr>
        <w:t xml:space="preserve">See, </w:t>
      </w:r>
      <w:proofErr w:type="spellStart"/>
      <w:r w:rsidR="003C7199" w:rsidRPr="00473264">
        <w:rPr>
          <w:sz w:val="19"/>
          <w:szCs w:val="19"/>
        </w:rPr>
        <w:t>eg</w:t>
      </w:r>
      <w:proofErr w:type="spellEnd"/>
      <w:r w:rsidR="003C7199" w:rsidRPr="00473264">
        <w:rPr>
          <w:sz w:val="19"/>
          <w:szCs w:val="19"/>
        </w:rPr>
        <w:t>, t</w:t>
      </w:r>
      <w:r w:rsidRPr="00473264">
        <w:rPr>
          <w:sz w:val="19"/>
          <w:szCs w:val="19"/>
        </w:rPr>
        <w:t xml:space="preserve">he Senate Education and Employment References Committee, </w:t>
      </w:r>
      <w:r w:rsidRPr="00473264">
        <w:rPr>
          <w:i/>
          <w:sz w:val="19"/>
          <w:szCs w:val="19"/>
        </w:rPr>
        <w:t>Corporate avoidance of the Fair Work Act 2009</w:t>
      </w:r>
      <w:r w:rsidRPr="00473264">
        <w:rPr>
          <w:sz w:val="19"/>
          <w:szCs w:val="19"/>
        </w:rPr>
        <w:t>, September 2017, especially p 111 [9.9]-[9.12]</w:t>
      </w:r>
      <w:r w:rsidR="003C7199" w:rsidRPr="00473264">
        <w:rPr>
          <w:sz w:val="19"/>
          <w:szCs w:val="19"/>
        </w:rPr>
        <w:t>, and the research cited therein</w:t>
      </w:r>
      <w:r w:rsidRPr="00473264">
        <w:rPr>
          <w:sz w:val="19"/>
          <w:szCs w:val="19"/>
        </w:rPr>
        <w:t>.</w:t>
      </w:r>
    </w:p>
  </w:footnote>
  <w:footnote w:id="22">
    <w:p w:rsidR="00422680" w:rsidRPr="00473264" w:rsidRDefault="00422680" w:rsidP="00422680">
      <w:pPr>
        <w:pStyle w:val="FootnoteText"/>
        <w:rPr>
          <w:sz w:val="19"/>
          <w:szCs w:val="19"/>
        </w:rPr>
      </w:pPr>
      <w:r w:rsidRPr="00473264">
        <w:rPr>
          <w:rStyle w:val="FootnoteReference"/>
          <w:sz w:val="19"/>
          <w:szCs w:val="19"/>
        </w:rPr>
        <w:footnoteRef/>
      </w:r>
      <w:r w:rsidRPr="00473264">
        <w:rPr>
          <w:sz w:val="19"/>
          <w:szCs w:val="19"/>
        </w:rPr>
        <w:t xml:space="preserve"> </w:t>
      </w:r>
      <w:r w:rsidR="00F6499F" w:rsidRPr="00473264">
        <w:rPr>
          <w:sz w:val="19"/>
          <w:szCs w:val="19"/>
        </w:rPr>
        <w:t xml:space="preserve">See, </w:t>
      </w:r>
      <w:proofErr w:type="spellStart"/>
      <w:r w:rsidR="00F6499F" w:rsidRPr="00473264">
        <w:rPr>
          <w:sz w:val="19"/>
          <w:szCs w:val="19"/>
        </w:rPr>
        <w:t>eg</w:t>
      </w:r>
      <w:proofErr w:type="spellEnd"/>
      <w:r w:rsidR="00F6499F" w:rsidRPr="00473264">
        <w:rPr>
          <w:sz w:val="19"/>
          <w:szCs w:val="19"/>
        </w:rPr>
        <w:t>, commentary from the: Reserve Bank of Australia &lt;</w:t>
      </w:r>
      <w:hyperlink r:id="rId3" w:history="1">
        <w:r w:rsidR="00F6499F" w:rsidRPr="00473264">
          <w:rPr>
            <w:rStyle w:val="Hyperlink"/>
            <w:sz w:val="19"/>
            <w:szCs w:val="19"/>
          </w:rPr>
          <w:t>https://www.rba.gov.au/speeches/2017/sp-gov-2017-07-26.html</w:t>
        </w:r>
      </w:hyperlink>
      <w:r w:rsidR="00F6499F" w:rsidRPr="00473264">
        <w:rPr>
          <w:sz w:val="19"/>
          <w:szCs w:val="19"/>
        </w:rPr>
        <w:t>&gt;; Treasurer Scott Morrison &lt;</w:t>
      </w:r>
      <w:hyperlink r:id="rId4" w:history="1">
        <w:r w:rsidR="00F6499F" w:rsidRPr="00473264">
          <w:rPr>
            <w:rStyle w:val="Hyperlink"/>
            <w:sz w:val="19"/>
            <w:szCs w:val="19"/>
          </w:rPr>
          <w:t>http://www.abc.net.au/news/2017-03-13/scott-morrison-low-wage-growth-biggest-challenge-economy/8350032</w:t>
        </w:r>
      </w:hyperlink>
      <w:r w:rsidR="00F6499F" w:rsidRPr="00473264">
        <w:rPr>
          <w:sz w:val="19"/>
          <w:szCs w:val="19"/>
        </w:rPr>
        <w:t>&gt;; International Monetary Fund &lt;</w:t>
      </w:r>
      <w:hyperlink r:id="rId5" w:history="1">
        <w:r w:rsidR="00F6499F" w:rsidRPr="00473264">
          <w:rPr>
            <w:rStyle w:val="Hyperlink"/>
            <w:sz w:val="19"/>
            <w:szCs w:val="19"/>
          </w:rPr>
          <w:t>http://www.news.com.au/finance/economy/australian-economy/imf-slashes-australias-economic-growth-forecast/news-story/f85284eee706076dabe19640c107f341</w:t>
        </w:r>
      </w:hyperlink>
      <w:r w:rsidR="00F6499F" w:rsidRPr="00473264">
        <w:rPr>
          <w:sz w:val="19"/>
          <w:szCs w:val="19"/>
        </w:rPr>
        <w:t xml:space="preserve">&gt;.   </w:t>
      </w:r>
    </w:p>
  </w:footnote>
  <w:footnote w:id="23">
    <w:p w:rsidR="00431CE4" w:rsidRPr="00473264" w:rsidRDefault="00431CE4">
      <w:pPr>
        <w:pStyle w:val="FootnoteText"/>
        <w:rPr>
          <w:sz w:val="19"/>
          <w:szCs w:val="19"/>
        </w:rPr>
      </w:pPr>
      <w:r w:rsidRPr="00473264">
        <w:rPr>
          <w:rStyle w:val="FootnoteReference"/>
          <w:sz w:val="19"/>
          <w:szCs w:val="19"/>
        </w:rPr>
        <w:footnoteRef/>
      </w:r>
      <w:r w:rsidRPr="00473264">
        <w:rPr>
          <w:sz w:val="19"/>
          <w:szCs w:val="19"/>
        </w:rPr>
        <w:t xml:space="preserve"> </w:t>
      </w:r>
      <w:r w:rsidR="002564BF" w:rsidRPr="00473264">
        <w:rPr>
          <w:i/>
          <w:sz w:val="19"/>
          <w:szCs w:val="19"/>
        </w:rPr>
        <w:t xml:space="preserve">Fair Work Act Review, </w:t>
      </w:r>
      <w:proofErr w:type="gramStart"/>
      <w:r w:rsidR="002564BF" w:rsidRPr="00473264">
        <w:rPr>
          <w:i/>
          <w:sz w:val="19"/>
          <w:szCs w:val="19"/>
        </w:rPr>
        <w:t>Towards</w:t>
      </w:r>
      <w:proofErr w:type="gramEnd"/>
      <w:r w:rsidR="002564BF" w:rsidRPr="00473264">
        <w:rPr>
          <w:i/>
          <w:sz w:val="19"/>
          <w:szCs w:val="19"/>
        </w:rPr>
        <w:t xml:space="preserve"> more productive and equitable workplaces: An evaluation of the Fair Work legislation</w:t>
      </w:r>
      <w:r w:rsidRPr="00473264">
        <w:rPr>
          <w:sz w:val="19"/>
          <w:szCs w:val="19"/>
        </w:rPr>
        <w:t xml:space="preserve">, p </w:t>
      </w:r>
      <w:r w:rsidR="00586461" w:rsidRPr="00473264">
        <w:rPr>
          <w:sz w:val="19"/>
          <w:szCs w:val="19"/>
        </w:rPr>
        <w:t>172</w:t>
      </w:r>
      <w:r w:rsidRPr="00473264">
        <w:rPr>
          <w:sz w:val="19"/>
          <w:szCs w:val="19"/>
        </w:rPr>
        <w:t xml:space="preserve"> [</w:t>
      </w:r>
      <w:r w:rsidR="00586461" w:rsidRPr="00473264">
        <w:rPr>
          <w:sz w:val="19"/>
          <w:szCs w:val="19"/>
        </w:rPr>
        <w:t>6.5.3</w:t>
      </w:r>
      <w:r w:rsidRPr="00473264">
        <w:rPr>
          <w:sz w:val="19"/>
          <w:szCs w:val="19"/>
        </w:rPr>
        <w:t>].</w:t>
      </w:r>
    </w:p>
  </w:footnote>
  <w:footnote w:id="24">
    <w:p w:rsidR="00431CE4" w:rsidRPr="00473264" w:rsidRDefault="00431CE4" w:rsidP="001675A5">
      <w:pPr>
        <w:pStyle w:val="FootnoteText"/>
        <w:rPr>
          <w:sz w:val="19"/>
          <w:szCs w:val="19"/>
        </w:rPr>
      </w:pPr>
      <w:r w:rsidRPr="00473264">
        <w:rPr>
          <w:rStyle w:val="FootnoteReference"/>
          <w:sz w:val="19"/>
          <w:szCs w:val="19"/>
        </w:rPr>
        <w:footnoteRef/>
      </w:r>
      <w:r w:rsidRPr="00473264">
        <w:rPr>
          <w:sz w:val="19"/>
          <w:szCs w:val="19"/>
        </w:rPr>
        <w:t xml:space="preserve"> For a discussion of the increase in this type of agreement making, see, the Senate Education and Employment References Committee, </w:t>
      </w:r>
      <w:r w:rsidRPr="00473264">
        <w:rPr>
          <w:i/>
          <w:sz w:val="19"/>
          <w:szCs w:val="19"/>
        </w:rPr>
        <w:t>Corporate avoidance of the Fair Work Act 2009</w:t>
      </w:r>
      <w:r w:rsidRPr="00473264">
        <w:rPr>
          <w:sz w:val="19"/>
          <w:szCs w:val="19"/>
        </w:rPr>
        <w:t>, September 2017, pp 14-21, [3.9]-[3.39]</w:t>
      </w:r>
    </w:p>
  </w:footnote>
  <w:footnote w:id="25">
    <w:p w:rsidR="00CD0D49" w:rsidRPr="00473264" w:rsidRDefault="00CD0D49">
      <w:pPr>
        <w:pStyle w:val="FootnoteText"/>
        <w:rPr>
          <w:sz w:val="19"/>
          <w:szCs w:val="19"/>
        </w:rPr>
      </w:pPr>
      <w:r w:rsidRPr="00473264">
        <w:rPr>
          <w:rStyle w:val="FootnoteReference"/>
          <w:sz w:val="19"/>
          <w:szCs w:val="19"/>
        </w:rPr>
        <w:footnoteRef/>
      </w:r>
      <w:r w:rsidRPr="00473264">
        <w:rPr>
          <w:sz w:val="19"/>
          <w:szCs w:val="19"/>
        </w:rPr>
        <w:t xml:space="preserve"> </w:t>
      </w:r>
      <w:proofErr w:type="gramStart"/>
      <w:r w:rsidRPr="00473264">
        <w:rPr>
          <w:i/>
          <w:sz w:val="19"/>
          <w:szCs w:val="19"/>
        </w:rPr>
        <w:t>Greenfields Agreement Review Background Paper</w:t>
      </w:r>
      <w:r w:rsidRPr="00473264">
        <w:rPr>
          <w:sz w:val="19"/>
          <w:szCs w:val="19"/>
        </w:rPr>
        <w:t>, p 19.</w:t>
      </w:r>
      <w:proofErr w:type="gramEnd"/>
    </w:p>
  </w:footnote>
  <w:footnote w:id="26">
    <w:p w:rsidR="00CD0D49" w:rsidRPr="00473264" w:rsidRDefault="00CD0D49">
      <w:pPr>
        <w:pStyle w:val="FootnoteText"/>
        <w:rPr>
          <w:sz w:val="19"/>
          <w:szCs w:val="19"/>
        </w:rPr>
      </w:pPr>
      <w:r w:rsidRPr="00473264">
        <w:rPr>
          <w:rStyle w:val="FootnoteReference"/>
          <w:sz w:val="19"/>
          <w:szCs w:val="19"/>
        </w:rPr>
        <w:footnoteRef/>
      </w:r>
      <w:r w:rsidRPr="00473264">
        <w:rPr>
          <w:sz w:val="19"/>
          <w:szCs w:val="19"/>
        </w:rPr>
        <w:t xml:space="preserve"> </w:t>
      </w:r>
      <w:proofErr w:type="gramStart"/>
      <w:r w:rsidRPr="00473264">
        <w:rPr>
          <w:i/>
          <w:sz w:val="19"/>
          <w:szCs w:val="19"/>
        </w:rPr>
        <w:t>Greenfields Agreement Review Background Paper</w:t>
      </w:r>
      <w:r w:rsidRPr="00473264">
        <w:rPr>
          <w:sz w:val="19"/>
          <w:szCs w:val="19"/>
        </w:rPr>
        <w:t>, p 9.</w:t>
      </w:r>
      <w:proofErr w:type="gramEnd"/>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31CE4" w:rsidRDefault="00431CE4">
    <w:pPr>
      <w:pStyle w:val="Header"/>
    </w:pPr>
    <w:r>
      <w:rPr>
        <w:noProof/>
        <w:lang w:eastAsia="en-AU"/>
      </w:rPr>
      <w:drawing>
        <wp:anchor distT="0" distB="0" distL="114300" distR="114300" simplePos="0" relativeHeight="251659264" behindDoc="1" locked="0" layoutInCell="1" allowOverlap="1" wp14:anchorId="4628219D" wp14:editId="37FCFEE4">
          <wp:simplePos x="0" y="0"/>
          <wp:positionH relativeFrom="column">
            <wp:posOffset>-40005</wp:posOffset>
          </wp:positionH>
          <wp:positionV relativeFrom="paragraph">
            <wp:posOffset>426720</wp:posOffset>
          </wp:positionV>
          <wp:extent cx="1853108" cy="739956"/>
          <wp:effectExtent l="0" t="0" r="127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tr-head.jpg"/>
                  <pic:cNvPicPr/>
                </pic:nvPicPr>
                <pic:blipFill>
                  <a:blip r:embed="rId1">
                    <a:extLst>
                      <a:ext uri="{28A0092B-C50C-407E-A947-70E740481C1C}">
                        <a14:useLocalDpi xmlns:a14="http://schemas.microsoft.com/office/drawing/2010/main" val="0"/>
                      </a:ext>
                    </a:extLst>
                  </a:blip>
                  <a:stretch>
                    <a:fillRect/>
                  </a:stretch>
                </pic:blipFill>
                <pic:spPr>
                  <a:xfrm>
                    <a:off x="0" y="0"/>
                    <a:ext cx="1853108" cy="739956"/>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1627FA"/>
    <w:multiLevelType w:val="hybridMultilevel"/>
    <w:tmpl w:val="4BD81D36"/>
    <w:lvl w:ilvl="0" w:tplc="1158C072">
      <w:start w:val="1"/>
      <w:numFmt w:val="decimal"/>
      <w:lvlText w:val="%1."/>
      <w:lvlJc w:val="left"/>
      <w:pPr>
        <w:ind w:left="720" w:hanging="72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
    <w:nsid w:val="3E840237"/>
    <w:multiLevelType w:val="hybridMultilevel"/>
    <w:tmpl w:val="3514882E"/>
    <w:lvl w:ilvl="0" w:tplc="8A32278A">
      <w:start w:val="9"/>
      <w:numFmt w:val="bullet"/>
      <w:lvlText w:val=""/>
      <w:lvlJc w:val="left"/>
      <w:pPr>
        <w:ind w:left="927" w:hanging="360"/>
      </w:pPr>
      <w:rPr>
        <w:rFonts w:ascii="Symbol" w:eastAsia="Arial" w:hAnsi="Symbol" w:cs="Times New Roman" w:hint="default"/>
      </w:rPr>
    </w:lvl>
    <w:lvl w:ilvl="1" w:tplc="0C090003" w:tentative="1">
      <w:start w:val="1"/>
      <w:numFmt w:val="bullet"/>
      <w:lvlText w:val="o"/>
      <w:lvlJc w:val="left"/>
      <w:pPr>
        <w:ind w:left="1647" w:hanging="360"/>
      </w:pPr>
      <w:rPr>
        <w:rFonts w:ascii="Courier New" w:hAnsi="Courier New" w:cs="Courier New" w:hint="default"/>
      </w:rPr>
    </w:lvl>
    <w:lvl w:ilvl="2" w:tplc="0C090005" w:tentative="1">
      <w:start w:val="1"/>
      <w:numFmt w:val="bullet"/>
      <w:lvlText w:val=""/>
      <w:lvlJc w:val="left"/>
      <w:pPr>
        <w:ind w:left="2367" w:hanging="360"/>
      </w:pPr>
      <w:rPr>
        <w:rFonts w:ascii="Wingdings" w:hAnsi="Wingdings" w:hint="default"/>
      </w:rPr>
    </w:lvl>
    <w:lvl w:ilvl="3" w:tplc="0C090001" w:tentative="1">
      <w:start w:val="1"/>
      <w:numFmt w:val="bullet"/>
      <w:lvlText w:val=""/>
      <w:lvlJc w:val="left"/>
      <w:pPr>
        <w:ind w:left="3087" w:hanging="360"/>
      </w:pPr>
      <w:rPr>
        <w:rFonts w:ascii="Symbol" w:hAnsi="Symbol" w:hint="default"/>
      </w:rPr>
    </w:lvl>
    <w:lvl w:ilvl="4" w:tplc="0C090003" w:tentative="1">
      <w:start w:val="1"/>
      <w:numFmt w:val="bullet"/>
      <w:lvlText w:val="o"/>
      <w:lvlJc w:val="left"/>
      <w:pPr>
        <w:ind w:left="3807" w:hanging="360"/>
      </w:pPr>
      <w:rPr>
        <w:rFonts w:ascii="Courier New" w:hAnsi="Courier New" w:cs="Courier New" w:hint="default"/>
      </w:rPr>
    </w:lvl>
    <w:lvl w:ilvl="5" w:tplc="0C090005" w:tentative="1">
      <w:start w:val="1"/>
      <w:numFmt w:val="bullet"/>
      <w:lvlText w:val=""/>
      <w:lvlJc w:val="left"/>
      <w:pPr>
        <w:ind w:left="4527" w:hanging="360"/>
      </w:pPr>
      <w:rPr>
        <w:rFonts w:ascii="Wingdings" w:hAnsi="Wingdings" w:hint="default"/>
      </w:rPr>
    </w:lvl>
    <w:lvl w:ilvl="6" w:tplc="0C090001" w:tentative="1">
      <w:start w:val="1"/>
      <w:numFmt w:val="bullet"/>
      <w:lvlText w:val=""/>
      <w:lvlJc w:val="left"/>
      <w:pPr>
        <w:ind w:left="5247" w:hanging="360"/>
      </w:pPr>
      <w:rPr>
        <w:rFonts w:ascii="Symbol" w:hAnsi="Symbol" w:hint="default"/>
      </w:rPr>
    </w:lvl>
    <w:lvl w:ilvl="7" w:tplc="0C090003" w:tentative="1">
      <w:start w:val="1"/>
      <w:numFmt w:val="bullet"/>
      <w:lvlText w:val="o"/>
      <w:lvlJc w:val="left"/>
      <w:pPr>
        <w:ind w:left="5967" w:hanging="360"/>
      </w:pPr>
      <w:rPr>
        <w:rFonts w:ascii="Courier New" w:hAnsi="Courier New" w:cs="Courier New" w:hint="default"/>
      </w:rPr>
    </w:lvl>
    <w:lvl w:ilvl="8" w:tplc="0C090005" w:tentative="1">
      <w:start w:val="1"/>
      <w:numFmt w:val="bullet"/>
      <w:lvlText w:val=""/>
      <w:lvlJc w:val="left"/>
      <w:pPr>
        <w:ind w:left="6687" w:hanging="360"/>
      </w:pPr>
      <w:rPr>
        <w:rFonts w:ascii="Wingdings" w:hAnsi="Wingdings" w:hint="default"/>
      </w:rPr>
    </w:lvl>
  </w:abstractNum>
  <w:abstractNum w:abstractNumId="2">
    <w:nsid w:val="43A41C19"/>
    <w:multiLevelType w:val="hybridMultilevel"/>
    <w:tmpl w:val="92AC7CC6"/>
    <w:lvl w:ilvl="0" w:tplc="528E6B5E">
      <w:start w:val="1"/>
      <w:numFmt w:val="decimal"/>
      <w:lvlText w:val="%1."/>
      <w:lvlJc w:val="left"/>
      <w:pPr>
        <w:ind w:left="927" w:hanging="360"/>
      </w:pPr>
      <w:rPr>
        <w:rFonts w:hint="default"/>
      </w:rPr>
    </w:lvl>
    <w:lvl w:ilvl="1" w:tplc="0C090019" w:tentative="1">
      <w:start w:val="1"/>
      <w:numFmt w:val="lowerLetter"/>
      <w:lvlText w:val="%2."/>
      <w:lvlJc w:val="left"/>
      <w:pPr>
        <w:ind w:left="1647" w:hanging="360"/>
      </w:pPr>
    </w:lvl>
    <w:lvl w:ilvl="2" w:tplc="0C09001B" w:tentative="1">
      <w:start w:val="1"/>
      <w:numFmt w:val="lowerRoman"/>
      <w:lvlText w:val="%3."/>
      <w:lvlJc w:val="right"/>
      <w:pPr>
        <w:ind w:left="2367" w:hanging="180"/>
      </w:pPr>
    </w:lvl>
    <w:lvl w:ilvl="3" w:tplc="0C09000F" w:tentative="1">
      <w:start w:val="1"/>
      <w:numFmt w:val="decimal"/>
      <w:lvlText w:val="%4."/>
      <w:lvlJc w:val="left"/>
      <w:pPr>
        <w:ind w:left="3087" w:hanging="360"/>
      </w:pPr>
    </w:lvl>
    <w:lvl w:ilvl="4" w:tplc="0C090019" w:tentative="1">
      <w:start w:val="1"/>
      <w:numFmt w:val="lowerLetter"/>
      <w:lvlText w:val="%5."/>
      <w:lvlJc w:val="left"/>
      <w:pPr>
        <w:ind w:left="3807" w:hanging="360"/>
      </w:pPr>
    </w:lvl>
    <w:lvl w:ilvl="5" w:tplc="0C09001B" w:tentative="1">
      <w:start w:val="1"/>
      <w:numFmt w:val="lowerRoman"/>
      <w:lvlText w:val="%6."/>
      <w:lvlJc w:val="right"/>
      <w:pPr>
        <w:ind w:left="4527" w:hanging="180"/>
      </w:pPr>
    </w:lvl>
    <w:lvl w:ilvl="6" w:tplc="0C09000F" w:tentative="1">
      <w:start w:val="1"/>
      <w:numFmt w:val="decimal"/>
      <w:lvlText w:val="%7."/>
      <w:lvlJc w:val="left"/>
      <w:pPr>
        <w:ind w:left="5247" w:hanging="360"/>
      </w:pPr>
    </w:lvl>
    <w:lvl w:ilvl="7" w:tplc="0C090019" w:tentative="1">
      <w:start w:val="1"/>
      <w:numFmt w:val="lowerLetter"/>
      <w:lvlText w:val="%8."/>
      <w:lvlJc w:val="left"/>
      <w:pPr>
        <w:ind w:left="5967" w:hanging="360"/>
      </w:pPr>
    </w:lvl>
    <w:lvl w:ilvl="8" w:tplc="0C09001B" w:tentative="1">
      <w:start w:val="1"/>
      <w:numFmt w:val="lowerRoman"/>
      <w:lvlText w:val="%9."/>
      <w:lvlJc w:val="right"/>
      <w:pPr>
        <w:ind w:left="6687" w:hanging="180"/>
      </w:pPr>
    </w:lvl>
  </w:abstractNum>
  <w:abstractNum w:abstractNumId="3">
    <w:nsid w:val="4F715DAE"/>
    <w:multiLevelType w:val="hybridMultilevel"/>
    <w:tmpl w:val="51629A7A"/>
    <w:lvl w:ilvl="0" w:tplc="0C09000F">
      <w:start w:val="1"/>
      <w:numFmt w:val="decimal"/>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4">
    <w:nsid w:val="6BF577A4"/>
    <w:multiLevelType w:val="hybridMultilevel"/>
    <w:tmpl w:val="7E8A10D0"/>
    <w:lvl w:ilvl="0" w:tplc="0C09000F">
      <w:start w:val="1"/>
      <w:numFmt w:val="decimal"/>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num w:numId="1">
    <w:abstractNumId w:val="0"/>
  </w:num>
  <w:num w:numId="2">
    <w:abstractNumId w:val="3"/>
  </w:num>
  <w:num w:numId="3">
    <w:abstractNumId w:val="4"/>
  </w:num>
  <w:num w:numId="4">
    <w:abstractNumId w:val="1"/>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drawingGridHorizontalSpacing w:val="110"/>
  <w:displayHorizontalDrawingGridEvery w:val="2"/>
  <w:displayVerticalDrawingGridEvery w:val="2"/>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6499F"/>
    <w:rsid w:val="00035A0D"/>
    <w:rsid w:val="0006037F"/>
    <w:rsid w:val="00066E03"/>
    <w:rsid w:val="000762B2"/>
    <w:rsid w:val="00077F3F"/>
    <w:rsid w:val="000941EF"/>
    <w:rsid w:val="000A63B6"/>
    <w:rsid w:val="000C1328"/>
    <w:rsid w:val="000D5A7C"/>
    <w:rsid w:val="000F03E7"/>
    <w:rsid w:val="000F7440"/>
    <w:rsid w:val="00106FDC"/>
    <w:rsid w:val="00166479"/>
    <w:rsid w:val="001675A5"/>
    <w:rsid w:val="00172988"/>
    <w:rsid w:val="00180474"/>
    <w:rsid w:val="001D4CD1"/>
    <w:rsid w:val="001F2CAB"/>
    <w:rsid w:val="002564BF"/>
    <w:rsid w:val="0026635C"/>
    <w:rsid w:val="00273912"/>
    <w:rsid w:val="0027699F"/>
    <w:rsid w:val="00287797"/>
    <w:rsid w:val="002D3ACA"/>
    <w:rsid w:val="002E1374"/>
    <w:rsid w:val="00306189"/>
    <w:rsid w:val="00364B06"/>
    <w:rsid w:val="00370145"/>
    <w:rsid w:val="00386F1F"/>
    <w:rsid w:val="003B0C2F"/>
    <w:rsid w:val="003C7199"/>
    <w:rsid w:val="003F6B68"/>
    <w:rsid w:val="00422680"/>
    <w:rsid w:val="00431CE4"/>
    <w:rsid w:val="004548F4"/>
    <w:rsid w:val="00457EE4"/>
    <w:rsid w:val="00473264"/>
    <w:rsid w:val="00480FA7"/>
    <w:rsid w:val="00495051"/>
    <w:rsid w:val="004B51BF"/>
    <w:rsid w:val="004B56E9"/>
    <w:rsid w:val="004B6F22"/>
    <w:rsid w:val="004C33C7"/>
    <w:rsid w:val="004C742B"/>
    <w:rsid w:val="004E5E47"/>
    <w:rsid w:val="004F40B1"/>
    <w:rsid w:val="00503AFB"/>
    <w:rsid w:val="00503FE1"/>
    <w:rsid w:val="00505FD4"/>
    <w:rsid w:val="00531C9F"/>
    <w:rsid w:val="00546ECB"/>
    <w:rsid w:val="00553999"/>
    <w:rsid w:val="00586461"/>
    <w:rsid w:val="005F6B76"/>
    <w:rsid w:val="00612640"/>
    <w:rsid w:val="006376CB"/>
    <w:rsid w:val="0066786B"/>
    <w:rsid w:val="00670E2D"/>
    <w:rsid w:val="006A1483"/>
    <w:rsid w:val="006B49F5"/>
    <w:rsid w:val="006B791D"/>
    <w:rsid w:val="006C1276"/>
    <w:rsid w:val="006D0540"/>
    <w:rsid w:val="006E1FED"/>
    <w:rsid w:val="00717E7A"/>
    <w:rsid w:val="007706A8"/>
    <w:rsid w:val="00775104"/>
    <w:rsid w:val="00792E86"/>
    <w:rsid w:val="007A0873"/>
    <w:rsid w:val="007B72CF"/>
    <w:rsid w:val="007F109E"/>
    <w:rsid w:val="00845D0E"/>
    <w:rsid w:val="00877544"/>
    <w:rsid w:val="008B53AE"/>
    <w:rsid w:val="008B7673"/>
    <w:rsid w:val="00925D59"/>
    <w:rsid w:val="009511E3"/>
    <w:rsid w:val="00964C17"/>
    <w:rsid w:val="00992F2C"/>
    <w:rsid w:val="009C2876"/>
    <w:rsid w:val="00A2058C"/>
    <w:rsid w:val="00A60F8D"/>
    <w:rsid w:val="00AA0AE4"/>
    <w:rsid w:val="00AB6FBD"/>
    <w:rsid w:val="00AC2403"/>
    <w:rsid w:val="00AE5FEF"/>
    <w:rsid w:val="00B3317C"/>
    <w:rsid w:val="00B367FD"/>
    <w:rsid w:val="00B43419"/>
    <w:rsid w:val="00B833C9"/>
    <w:rsid w:val="00B92478"/>
    <w:rsid w:val="00B950B2"/>
    <w:rsid w:val="00BB7495"/>
    <w:rsid w:val="00BC412E"/>
    <w:rsid w:val="00BE2C96"/>
    <w:rsid w:val="00BF142F"/>
    <w:rsid w:val="00BF31B4"/>
    <w:rsid w:val="00BF3262"/>
    <w:rsid w:val="00C04ADE"/>
    <w:rsid w:val="00C21398"/>
    <w:rsid w:val="00C45FB9"/>
    <w:rsid w:val="00C71DAC"/>
    <w:rsid w:val="00C72A7A"/>
    <w:rsid w:val="00CC4FC4"/>
    <w:rsid w:val="00CD0D49"/>
    <w:rsid w:val="00CF685C"/>
    <w:rsid w:val="00D01A6B"/>
    <w:rsid w:val="00D02A70"/>
    <w:rsid w:val="00D17BD6"/>
    <w:rsid w:val="00D67E27"/>
    <w:rsid w:val="00D741C8"/>
    <w:rsid w:val="00DD3A8F"/>
    <w:rsid w:val="00DD6957"/>
    <w:rsid w:val="00DF72BE"/>
    <w:rsid w:val="00E023E3"/>
    <w:rsid w:val="00E33230"/>
    <w:rsid w:val="00E40190"/>
    <w:rsid w:val="00E44EDF"/>
    <w:rsid w:val="00E476D4"/>
    <w:rsid w:val="00EE1B89"/>
    <w:rsid w:val="00F02DE4"/>
    <w:rsid w:val="00F03578"/>
    <w:rsid w:val="00F475CD"/>
    <w:rsid w:val="00F6499F"/>
    <w:rsid w:val="00F67063"/>
    <w:rsid w:val="00F97D35"/>
    <w:rsid w:val="00FA19C0"/>
    <w:rsid w:val="00FC1FB3"/>
    <w:rsid w:val="00FD12C0"/>
    <w:rsid w:val="00FE463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efaultImageDpi w14:val="327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aliases w:val="ctr-body"/>
    <w:qFormat/>
    <w:rsid w:val="004F40B1"/>
    <w:pPr>
      <w:spacing w:line="276" w:lineRule="auto"/>
    </w:pPr>
    <w:rPr>
      <w:rFonts w:ascii="Arial" w:eastAsia="Arial" w:hAnsi="Arial" w:cs="Times New Roman"/>
      <w:color w:val="595959"/>
      <w:sz w:val="21"/>
      <w:lang w:val="en-AU"/>
    </w:rPr>
  </w:style>
  <w:style w:type="paragraph" w:styleId="Heading1">
    <w:name w:val="heading 1"/>
    <w:aliases w:val="ctr-head"/>
    <w:basedOn w:val="Normal"/>
    <w:next w:val="Normal"/>
    <w:link w:val="Heading1Char"/>
    <w:uiPriority w:val="9"/>
    <w:qFormat/>
    <w:rsid w:val="00877544"/>
    <w:pPr>
      <w:outlineLvl w:val="0"/>
    </w:pPr>
    <w:rPr>
      <w:b/>
      <w:sz w:val="24"/>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67063"/>
    <w:pPr>
      <w:tabs>
        <w:tab w:val="center" w:pos="4513"/>
        <w:tab w:val="right" w:pos="9026"/>
      </w:tabs>
    </w:pPr>
  </w:style>
  <w:style w:type="character" w:customStyle="1" w:styleId="HeaderChar">
    <w:name w:val="Header Char"/>
    <w:basedOn w:val="DefaultParagraphFont"/>
    <w:link w:val="Header"/>
    <w:uiPriority w:val="99"/>
    <w:rsid w:val="00F67063"/>
  </w:style>
  <w:style w:type="paragraph" w:styleId="Footer">
    <w:name w:val="footer"/>
    <w:basedOn w:val="Normal"/>
    <w:link w:val="FooterChar"/>
    <w:uiPriority w:val="99"/>
    <w:unhideWhenUsed/>
    <w:rsid w:val="00F67063"/>
    <w:pPr>
      <w:tabs>
        <w:tab w:val="center" w:pos="4513"/>
        <w:tab w:val="right" w:pos="9026"/>
      </w:tabs>
    </w:pPr>
  </w:style>
  <w:style w:type="character" w:customStyle="1" w:styleId="FooterChar">
    <w:name w:val="Footer Char"/>
    <w:basedOn w:val="DefaultParagraphFont"/>
    <w:link w:val="Footer"/>
    <w:uiPriority w:val="99"/>
    <w:rsid w:val="00F67063"/>
  </w:style>
  <w:style w:type="paragraph" w:styleId="NormalWeb">
    <w:name w:val="Normal (Web)"/>
    <w:basedOn w:val="Normal"/>
    <w:uiPriority w:val="99"/>
    <w:unhideWhenUsed/>
    <w:rsid w:val="00503AFB"/>
    <w:pPr>
      <w:spacing w:before="100" w:beforeAutospacing="1" w:after="100" w:afterAutospacing="1"/>
    </w:pPr>
    <w:rPr>
      <w:rFonts w:ascii="Times New Roman" w:hAnsi="Times New Roman"/>
    </w:rPr>
  </w:style>
  <w:style w:type="character" w:customStyle="1" w:styleId="Heading1Char">
    <w:name w:val="Heading 1 Char"/>
    <w:aliases w:val="ctr-head Char"/>
    <w:basedOn w:val="DefaultParagraphFont"/>
    <w:link w:val="Heading1"/>
    <w:uiPriority w:val="9"/>
    <w:rsid w:val="00877544"/>
    <w:rPr>
      <w:rFonts w:ascii="Arial" w:eastAsia="Arial" w:hAnsi="Arial" w:cs="Times New Roman"/>
      <w:b/>
      <w:color w:val="595959"/>
      <w:szCs w:val="28"/>
    </w:rPr>
  </w:style>
  <w:style w:type="character" w:styleId="PageNumber">
    <w:name w:val="page number"/>
    <w:basedOn w:val="DefaultParagraphFont"/>
    <w:uiPriority w:val="99"/>
    <w:semiHidden/>
    <w:unhideWhenUsed/>
    <w:rsid w:val="00370145"/>
  </w:style>
  <w:style w:type="paragraph" w:styleId="NoSpacing">
    <w:name w:val="No Spacing"/>
    <w:link w:val="NoSpacingChar"/>
    <w:uiPriority w:val="1"/>
    <w:qFormat/>
    <w:rsid w:val="006A1483"/>
    <w:rPr>
      <w:rFonts w:eastAsiaTheme="minorEastAsia"/>
      <w:sz w:val="22"/>
      <w:szCs w:val="22"/>
      <w:lang w:eastAsia="zh-CN"/>
    </w:rPr>
  </w:style>
  <w:style w:type="character" w:customStyle="1" w:styleId="NoSpacingChar">
    <w:name w:val="No Spacing Char"/>
    <w:basedOn w:val="DefaultParagraphFont"/>
    <w:link w:val="NoSpacing"/>
    <w:uiPriority w:val="1"/>
    <w:rsid w:val="006A1483"/>
    <w:rPr>
      <w:rFonts w:eastAsiaTheme="minorEastAsia"/>
      <w:sz w:val="22"/>
      <w:szCs w:val="22"/>
      <w:lang w:eastAsia="zh-CN"/>
    </w:rPr>
  </w:style>
  <w:style w:type="paragraph" w:styleId="ListParagraph">
    <w:name w:val="List Paragraph"/>
    <w:basedOn w:val="Normal"/>
    <w:uiPriority w:val="34"/>
    <w:qFormat/>
    <w:rsid w:val="00877544"/>
    <w:pPr>
      <w:ind w:left="720"/>
      <w:contextualSpacing/>
    </w:pPr>
  </w:style>
  <w:style w:type="paragraph" w:styleId="FootnoteText">
    <w:name w:val="footnote text"/>
    <w:basedOn w:val="Normal"/>
    <w:link w:val="FootnoteTextChar"/>
    <w:uiPriority w:val="99"/>
    <w:semiHidden/>
    <w:unhideWhenUsed/>
    <w:rsid w:val="009C2876"/>
    <w:pPr>
      <w:spacing w:line="240" w:lineRule="auto"/>
    </w:pPr>
    <w:rPr>
      <w:sz w:val="20"/>
      <w:szCs w:val="20"/>
    </w:rPr>
  </w:style>
  <w:style w:type="character" w:customStyle="1" w:styleId="FootnoteTextChar">
    <w:name w:val="Footnote Text Char"/>
    <w:basedOn w:val="DefaultParagraphFont"/>
    <w:link w:val="FootnoteText"/>
    <w:uiPriority w:val="99"/>
    <w:semiHidden/>
    <w:rsid w:val="009C2876"/>
    <w:rPr>
      <w:rFonts w:ascii="Arial" w:eastAsia="Arial" w:hAnsi="Arial" w:cs="Times New Roman"/>
      <w:color w:val="595959"/>
      <w:sz w:val="20"/>
      <w:szCs w:val="20"/>
    </w:rPr>
  </w:style>
  <w:style w:type="character" w:styleId="FootnoteReference">
    <w:name w:val="footnote reference"/>
    <w:basedOn w:val="DefaultParagraphFont"/>
    <w:uiPriority w:val="99"/>
    <w:semiHidden/>
    <w:unhideWhenUsed/>
    <w:rsid w:val="009C2876"/>
    <w:rPr>
      <w:vertAlign w:val="superscript"/>
    </w:rPr>
  </w:style>
  <w:style w:type="character" w:styleId="CommentReference">
    <w:name w:val="annotation reference"/>
    <w:basedOn w:val="DefaultParagraphFont"/>
    <w:uiPriority w:val="99"/>
    <w:semiHidden/>
    <w:unhideWhenUsed/>
    <w:rsid w:val="00E44EDF"/>
    <w:rPr>
      <w:sz w:val="16"/>
      <w:szCs w:val="16"/>
    </w:rPr>
  </w:style>
  <w:style w:type="paragraph" w:styleId="CommentText">
    <w:name w:val="annotation text"/>
    <w:basedOn w:val="Normal"/>
    <w:link w:val="CommentTextChar"/>
    <w:uiPriority w:val="99"/>
    <w:semiHidden/>
    <w:unhideWhenUsed/>
    <w:rsid w:val="00E44EDF"/>
    <w:pPr>
      <w:spacing w:line="240" w:lineRule="auto"/>
    </w:pPr>
    <w:rPr>
      <w:sz w:val="20"/>
      <w:szCs w:val="20"/>
    </w:rPr>
  </w:style>
  <w:style w:type="character" w:customStyle="1" w:styleId="CommentTextChar">
    <w:name w:val="Comment Text Char"/>
    <w:basedOn w:val="DefaultParagraphFont"/>
    <w:link w:val="CommentText"/>
    <w:uiPriority w:val="99"/>
    <w:semiHidden/>
    <w:rsid w:val="00E44EDF"/>
    <w:rPr>
      <w:rFonts w:ascii="Arial" w:eastAsia="Arial" w:hAnsi="Arial" w:cs="Times New Roman"/>
      <w:color w:val="595959"/>
      <w:sz w:val="20"/>
      <w:szCs w:val="20"/>
    </w:rPr>
  </w:style>
  <w:style w:type="paragraph" w:styleId="CommentSubject">
    <w:name w:val="annotation subject"/>
    <w:basedOn w:val="CommentText"/>
    <w:next w:val="CommentText"/>
    <w:link w:val="CommentSubjectChar"/>
    <w:uiPriority w:val="99"/>
    <w:semiHidden/>
    <w:unhideWhenUsed/>
    <w:rsid w:val="00E44EDF"/>
    <w:rPr>
      <w:b/>
      <w:bCs/>
    </w:rPr>
  </w:style>
  <w:style w:type="character" w:customStyle="1" w:styleId="CommentSubjectChar">
    <w:name w:val="Comment Subject Char"/>
    <w:basedOn w:val="CommentTextChar"/>
    <w:link w:val="CommentSubject"/>
    <w:uiPriority w:val="99"/>
    <w:semiHidden/>
    <w:rsid w:val="00E44EDF"/>
    <w:rPr>
      <w:rFonts w:ascii="Arial" w:eastAsia="Arial" w:hAnsi="Arial" w:cs="Times New Roman"/>
      <w:b/>
      <w:bCs/>
      <w:color w:val="595959"/>
      <w:sz w:val="20"/>
      <w:szCs w:val="20"/>
    </w:rPr>
  </w:style>
  <w:style w:type="paragraph" w:styleId="BalloonText">
    <w:name w:val="Balloon Text"/>
    <w:basedOn w:val="Normal"/>
    <w:link w:val="BalloonTextChar"/>
    <w:uiPriority w:val="99"/>
    <w:semiHidden/>
    <w:unhideWhenUsed/>
    <w:rsid w:val="00E44EDF"/>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44EDF"/>
    <w:rPr>
      <w:rFonts w:ascii="Tahoma" w:eastAsia="Arial" w:hAnsi="Tahoma" w:cs="Tahoma"/>
      <w:color w:val="595959"/>
      <w:sz w:val="16"/>
      <w:szCs w:val="16"/>
    </w:rPr>
  </w:style>
  <w:style w:type="character" w:styleId="Hyperlink">
    <w:name w:val="Hyperlink"/>
    <w:basedOn w:val="DefaultParagraphFont"/>
    <w:uiPriority w:val="99"/>
    <w:unhideWhenUsed/>
    <w:rsid w:val="00AE5FEF"/>
    <w:rPr>
      <w:color w:val="0563C1"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aliases w:val="ctr-body"/>
    <w:qFormat/>
    <w:rsid w:val="004F40B1"/>
    <w:pPr>
      <w:spacing w:line="276" w:lineRule="auto"/>
    </w:pPr>
    <w:rPr>
      <w:rFonts w:ascii="Arial" w:eastAsia="Arial" w:hAnsi="Arial" w:cs="Times New Roman"/>
      <w:color w:val="595959"/>
      <w:sz w:val="21"/>
      <w:lang w:val="en-AU"/>
    </w:rPr>
  </w:style>
  <w:style w:type="paragraph" w:styleId="Heading1">
    <w:name w:val="heading 1"/>
    <w:aliases w:val="ctr-head"/>
    <w:basedOn w:val="Normal"/>
    <w:next w:val="Normal"/>
    <w:link w:val="Heading1Char"/>
    <w:uiPriority w:val="9"/>
    <w:qFormat/>
    <w:rsid w:val="00877544"/>
    <w:pPr>
      <w:outlineLvl w:val="0"/>
    </w:pPr>
    <w:rPr>
      <w:b/>
      <w:sz w:val="24"/>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67063"/>
    <w:pPr>
      <w:tabs>
        <w:tab w:val="center" w:pos="4513"/>
        <w:tab w:val="right" w:pos="9026"/>
      </w:tabs>
    </w:pPr>
  </w:style>
  <w:style w:type="character" w:customStyle="1" w:styleId="HeaderChar">
    <w:name w:val="Header Char"/>
    <w:basedOn w:val="DefaultParagraphFont"/>
    <w:link w:val="Header"/>
    <w:uiPriority w:val="99"/>
    <w:rsid w:val="00F67063"/>
  </w:style>
  <w:style w:type="paragraph" w:styleId="Footer">
    <w:name w:val="footer"/>
    <w:basedOn w:val="Normal"/>
    <w:link w:val="FooterChar"/>
    <w:uiPriority w:val="99"/>
    <w:unhideWhenUsed/>
    <w:rsid w:val="00F67063"/>
    <w:pPr>
      <w:tabs>
        <w:tab w:val="center" w:pos="4513"/>
        <w:tab w:val="right" w:pos="9026"/>
      </w:tabs>
    </w:pPr>
  </w:style>
  <w:style w:type="character" w:customStyle="1" w:styleId="FooterChar">
    <w:name w:val="Footer Char"/>
    <w:basedOn w:val="DefaultParagraphFont"/>
    <w:link w:val="Footer"/>
    <w:uiPriority w:val="99"/>
    <w:rsid w:val="00F67063"/>
  </w:style>
  <w:style w:type="paragraph" w:styleId="NormalWeb">
    <w:name w:val="Normal (Web)"/>
    <w:basedOn w:val="Normal"/>
    <w:uiPriority w:val="99"/>
    <w:unhideWhenUsed/>
    <w:rsid w:val="00503AFB"/>
    <w:pPr>
      <w:spacing w:before="100" w:beforeAutospacing="1" w:after="100" w:afterAutospacing="1"/>
    </w:pPr>
    <w:rPr>
      <w:rFonts w:ascii="Times New Roman" w:hAnsi="Times New Roman"/>
    </w:rPr>
  </w:style>
  <w:style w:type="character" w:customStyle="1" w:styleId="Heading1Char">
    <w:name w:val="Heading 1 Char"/>
    <w:aliases w:val="ctr-head Char"/>
    <w:basedOn w:val="DefaultParagraphFont"/>
    <w:link w:val="Heading1"/>
    <w:uiPriority w:val="9"/>
    <w:rsid w:val="00877544"/>
    <w:rPr>
      <w:rFonts w:ascii="Arial" w:eastAsia="Arial" w:hAnsi="Arial" w:cs="Times New Roman"/>
      <w:b/>
      <w:color w:val="595959"/>
      <w:szCs w:val="28"/>
    </w:rPr>
  </w:style>
  <w:style w:type="character" w:styleId="PageNumber">
    <w:name w:val="page number"/>
    <w:basedOn w:val="DefaultParagraphFont"/>
    <w:uiPriority w:val="99"/>
    <w:semiHidden/>
    <w:unhideWhenUsed/>
    <w:rsid w:val="00370145"/>
  </w:style>
  <w:style w:type="paragraph" w:styleId="NoSpacing">
    <w:name w:val="No Spacing"/>
    <w:link w:val="NoSpacingChar"/>
    <w:uiPriority w:val="1"/>
    <w:qFormat/>
    <w:rsid w:val="006A1483"/>
    <w:rPr>
      <w:rFonts w:eastAsiaTheme="minorEastAsia"/>
      <w:sz w:val="22"/>
      <w:szCs w:val="22"/>
      <w:lang w:eastAsia="zh-CN"/>
    </w:rPr>
  </w:style>
  <w:style w:type="character" w:customStyle="1" w:styleId="NoSpacingChar">
    <w:name w:val="No Spacing Char"/>
    <w:basedOn w:val="DefaultParagraphFont"/>
    <w:link w:val="NoSpacing"/>
    <w:uiPriority w:val="1"/>
    <w:rsid w:val="006A1483"/>
    <w:rPr>
      <w:rFonts w:eastAsiaTheme="minorEastAsia"/>
      <w:sz w:val="22"/>
      <w:szCs w:val="22"/>
      <w:lang w:eastAsia="zh-CN"/>
    </w:rPr>
  </w:style>
  <w:style w:type="paragraph" w:styleId="ListParagraph">
    <w:name w:val="List Paragraph"/>
    <w:basedOn w:val="Normal"/>
    <w:uiPriority w:val="34"/>
    <w:qFormat/>
    <w:rsid w:val="00877544"/>
    <w:pPr>
      <w:ind w:left="720"/>
      <w:contextualSpacing/>
    </w:pPr>
  </w:style>
  <w:style w:type="paragraph" w:styleId="FootnoteText">
    <w:name w:val="footnote text"/>
    <w:basedOn w:val="Normal"/>
    <w:link w:val="FootnoteTextChar"/>
    <w:uiPriority w:val="99"/>
    <w:semiHidden/>
    <w:unhideWhenUsed/>
    <w:rsid w:val="009C2876"/>
    <w:pPr>
      <w:spacing w:line="240" w:lineRule="auto"/>
    </w:pPr>
    <w:rPr>
      <w:sz w:val="20"/>
      <w:szCs w:val="20"/>
    </w:rPr>
  </w:style>
  <w:style w:type="character" w:customStyle="1" w:styleId="FootnoteTextChar">
    <w:name w:val="Footnote Text Char"/>
    <w:basedOn w:val="DefaultParagraphFont"/>
    <w:link w:val="FootnoteText"/>
    <w:uiPriority w:val="99"/>
    <w:semiHidden/>
    <w:rsid w:val="009C2876"/>
    <w:rPr>
      <w:rFonts w:ascii="Arial" w:eastAsia="Arial" w:hAnsi="Arial" w:cs="Times New Roman"/>
      <w:color w:val="595959"/>
      <w:sz w:val="20"/>
      <w:szCs w:val="20"/>
    </w:rPr>
  </w:style>
  <w:style w:type="character" w:styleId="FootnoteReference">
    <w:name w:val="footnote reference"/>
    <w:basedOn w:val="DefaultParagraphFont"/>
    <w:uiPriority w:val="99"/>
    <w:semiHidden/>
    <w:unhideWhenUsed/>
    <w:rsid w:val="009C2876"/>
    <w:rPr>
      <w:vertAlign w:val="superscript"/>
    </w:rPr>
  </w:style>
  <w:style w:type="character" w:styleId="CommentReference">
    <w:name w:val="annotation reference"/>
    <w:basedOn w:val="DefaultParagraphFont"/>
    <w:uiPriority w:val="99"/>
    <w:semiHidden/>
    <w:unhideWhenUsed/>
    <w:rsid w:val="00E44EDF"/>
    <w:rPr>
      <w:sz w:val="16"/>
      <w:szCs w:val="16"/>
    </w:rPr>
  </w:style>
  <w:style w:type="paragraph" w:styleId="CommentText">
    <w:name w:val="annotation text"/>
    <w:basedOn w:val="Normal"/>
    <w:link w:val="CommentTextChar"/>
    <w:uiPriority w:val="99"/>
    <w:semiHidden/>
    <w:unhideWhenUsed/>
    <w:rsid w:val="00E44EDF"/>
    <w:pPr>
      <w:spacing w:line="240" w:lineRule="auto"/>
    </w:pPr>
    <w:rPr>
      <w:sz w:val="20"/>
      <w:szCs w:val="20"/>
    </w:rPr>
  </w:style>
  <w:style w:type="character" w:customStyle="1" w:styleId="CommentTextChar">
    <w:name w:val="Comment Text Char"/>
    <w:basedOn w:val="DefaultParagraphFont"/>
    <w:link w:val="CommentText"/>
    <w:uiPriority w:val="99"/>
    <w:semiHidden/>
    <w:rsid w:val="00E44EDF"/>
    <w:rPr>
      <w:rFonts w:ascii="Arial" w:eastAsia="Arial" w:hAnsi="Arial" w:cs="Times New Roman"/>
      <w:color w:val="595959"/>
      <w:sz w:val="20"/>
      <w:szCs w:val="20"/>
    </w:rPr>
  </w:style>
  <w:style w:type="paragraph" w:styleId="CommentSubject">
    <w:name w:val="annotation subject"/>
    <w:basedOn w:val="CommentText"/>
    <w:next w:val="CommentText"/>
    <w:link w:val="CommentSubjectChar"/>
    <w:uiPriority w:val="99"/>
    <w:semiHidden/>
    <w:unhideWhenUsed/>
    <w:rsid w:val="00E44EDF"/>
    <w:rPr>
      <w:b/>
      <w:bCs/>
    </w:rPr>
  </w:style>
  <w:style w:type="character" w:customStyle="1" w:styleId="CommentSubjectChar">
    <w:name w:val="Comment Subject Char"/>
    <w:basedOn w:val="CommentTextChar"/>
    <w:link w:val="CommentSubject"/>
    <w:uiPriority w:val="99"/>
    <w:semiHidden/>
    <w:rsid w:val="00E44EDF"/>
    <w:rPr>
      <w:rFonts w:ascii="Arial" w:eastAsia="Arial" w:hAnsi="Arial" w:cs="Times New Roman"/>
      <w:b/>
      <w:bCs/>
      <w:color w:val="595959"/>
      <w:sz w:val="20"/>
      <w:szCs w:val="20"/>
    </w:rPr>
  </w:style>
  <w:style w:type="paragraph" w:styleId="BalloonText">
    <w:name w:val="Balloon Text"/>
    <w:basedOn w:val="Normal"/>
    <w:link w:val="BalloonTextChar"/>
    <w:uiPriority w:val="99"/>
    <w:semiHidden/>
    <w:unhideWhenUsed/>
    <w:rsid w:val="00E44EDF"/>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44EDF"/>
    <w:rPr>
      <w:rFonts w:ascii="Tahoma" w:eastAsia="Arial" w:hAnsi="Tahoma" w:cs="Tahoma"/>
      <w:color w:val="595959"/>
      <w:sz w:val="16"/>
      <w:szCs w:val="16"/>
    </w:rPr>
  </w:style>
  <w:style w:type="character" w:styleId="Hyperlink">
    <w:name w:val="Hyperlink"/>
    <w:basedOn w:val="DefaultParagraphFont"/>
    <w:uiPriority w:val="99"/>
    <w:unhideWhenUsed/>
    <w:rsid w:val="00AE5FEF"/>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5060971">
      <w:bodyDiv w:val="1"/>
      <w:marLeft w:val="0"/>
      <w:marRight w:val="0"/>
      <w:marTop w:val="0"/>
      <w:marBottom w:val="0"/>
      <w:divBdr>
        <w:top w:val="none" w:sz="0" w:space="0" w:color="auto"/>
        <w:left w:val="none" w:sz="0" w:space="0" w:color="auto"/>
        <w:bottom w:val="none" w:sz="0" w:space="0" w:color="auto"/>
        <w:right w:val="none" w:sz="0" w:space="0" w:color="auto"/>
      </w:divBdr>
    </w:div>
    <w:div w:id="69273433">
      <w:bodyDiv w:val="1"/>
      <w:marLeft w:val="0"/>
      <w:marRight w:val="0"/>
      <w:marTop w:val="0"/>
      <w:marBottom w:val="0"/>
      <w:divBdr>
        <w:top w:val="none" w:sz="0" w:space="0" w:color="auto"/>
        <w:left w:val="none" w:sz="0" w:space="0" w:color="auto"/>
        <w:bottom w:val="none" w:sz="0" w:space="0" w:color="auto"/>
        <w:right w:val="none" w:sz="0" w:space="0" w:color="auto"/>
      </w:divBdr>
    </w:div>
    <w:div w:id="577060706">
      <w:bodyDiv w:val="1"/>
      <w:marLeft w:val="0"/>
      <w:marRight w:val="0"/>
      <w:marTop w:val="0"/>
      <w:marBottom w:val="0"/>
      <w:divBdr>
        <w:top w:val="none" w:sz="0" w:space="0" w:color="auto"/>
        <w:left w:val="none" w:sz="0" w:space="0" w:color="auto"/>
        <w:bottom w:val="none" w:sz="0" w:space="0" w:color="auto"/>
        <w:right w:val="none" w:sz="0" w:space="0" w:color="auto"/>
      </w:divBdr>
    </w:div>
    <w:div w:id="577179657">
      <w:bodyDiv w:val="1"/>
      <w:marLeft w:val="0"/>
      <w:marRight w:val="0"/>
      <w:marTop w:val="0"/>
      <w:marBottom w:val="0"/>
      <w:divBdr>
        <w:top w:val="none" w:sz="0" w:space="0" w:color="auto"/>
        <w:left w:val="none" w:sz="0" w:space="0" w:color="auto"/>
        <w:bottom w:val="none" w:sz="0" w:space="0" w:color="auto"/>
        <w:right w:val="none" w:sz="0" w:space="0" w:color="auto"/>
      </w:divBdr>
    </w:div>
    <w:div w:id="746465266">
      <w:bodyDiv w:val="1"/>
      <w:marLeft w:val="0"/>
      <w:marRight w:val="0"/>
      <w:marTop w:val="0"/>
      <w:marBottom w:val="0"/>
      <w:divBdr>
        <w:top w:val="none" w:sz="0" w:space="0" w:color="auto"/>
        <w:left w:val="none" w:sz="0" w:space="0" w:color="auto"/>
        <w:bottom w:val="none" w:sz="0" w:space="0" w:color="auto"/>
        <w:right w:val="none" w:sz="0" w:space="0" w:color="auto"/>
      </w:divBdr>
    </w:div>
    <w:div w:id="1099789633">
      <w:bodyDiv w:val="1"/>
      <w:marLeft w:val="0"/>
      <w:marRight w:val="0"/>
      <w:marTop w:val="0"/>
      <w:marBottom w:val="0"/>
      <w:divBdr>
        <w:top w:val="none" w:sz="0" w:space="0" w:color="auto"/>
        <w:left w:val="none" w:sz="0" w:space="0" w:color="auto"/>
        <w:bottom w:val="none" w:sz="0" w:space="0" w:color="auto"/>
        <w:right w:val="none" w:sz="0" w:space="0" w:color="auto"/>
      </w:divBdr>
    </w:div>
    <w:div w:id="1161652011">
      <w:bodyDiv w:val="1"/>
      <w:marLeft w:val="0"/>
      <w:marRight w:val="0"/>
      <w:marTop w:val="0"/>
      <w:marBottom w:val="0"/>
      <w:divBdr>
        <w:top w:val="none" w:sz="0" w:space="0" w:color="auto"/>
        <w:left w:val="none" w:sz="0" w:space="0" w:color="auto"/>
        <w:bottom w:val="none" w:sz="0" w:space="0" w:color="auto"/>
        <w:right w:val="none" w:sz="0" w:space="0" w:color="auto"/>
      </w:divBdr>
    </w:div>
    <w:div w:id="1339579688">
      <w:bodyDiv w:val="1"/>
      <w:marLeft w:val="0"/>
      <w:marRight w:val="0"/>
      <w:marTop w:val="0"/>
      <w:marBottom w:val="0"/>
      <w:divBdr>
        <w:top w:val="none" w:sz="0" w:space="0" w:color="auto"/>
        <w:left w:val="none" w:sz="0" w:space="0" w:color="auto"/>
        <w:bottom w:val="none" w:sz="0" w:space="0" w:color="auto"/>
        <w:right w:val="none" w:sz="0" w:space="0" w:color="auto"/>
      </w:divBdr>
    </w:div>
    <w:div w:id="1410883296">
      <w:bodyDiv w:val="1"/>
      <w:marLeft w:val="0"/>
      <w:marRight w:val="0"/>
      <w:marTop w:val="0"/>
      <w:marBottom w:val="0"/>
      <w:divBdr>
        <w:top w:val="none" w:sz="0" w:space="0" w:color="auto"/>
        <w:left w:val="none" w:sz="0" w:space="0" w:color="auto"/>
        <w:bottom w:val="none" w:sz="0" w:space="0" w:color="auto"/>
        <w:right w:val="none" w:sz="0" w:space="0" w:color="auto"/>
      </w:divBdr>
    </w:div>
    <w:div w:id="1492410461">
      <w:bodyDiv w:val="1"/>
      <w:marLeft w:val="0"/>
      <w:marRight w:val="0"/>
      <w:marTop w:val="0"/>
      <w:marBottom w:val="0"/>
      <w:divBdr>
        <w:top w:val="none" w:sz="0" w:space="0" w:color="auto"/>
        <w:left w:val="none" w:sz="0" w:space="0" w:color="auto"/>
        <w:bottom w:val="none" w:sz="0" w:space="0" w:color="auto"/>
        <w:right w:val="none" w:sz="0" w:space="0" w:color="auto"/>
      </w:divBdr>
    </w:div>
    <w:div w:id="1534884730">
      <w:bodyDiv w:val="1"/>
      <w:marLeft w:val="0"/>
      <w:marRight w:val="0"/>
      <w:marTop w:val="0"/>
      <w:marBottom w:val="0"/>
      <w:divBdr>
        <w:top w:val="none" w:sz="0" w:space="0" w:color="auto"/>
        <w:left w:val="none" w:sz="0" w:space="0" w:color="auto"/>
        <w:bottom w:val="none" w:sz="0" w:space="0" w:color="auto"/>
        <w:right w:val="none" w:sz="0" w:space="0" w:color="auto"/>
      </w:divBdr>
    </w:div>
    <w:div w:id="1627352017">
      <w:bodyDiv w:val="1"/>
      <w:marLeft w:val="0"/>
      <w:marRight w:val="0"/>
      <w:marTop w:val="0"/>
      <w:marBottom w:val="0"/>
      <w:divBdr>
        <w:top w:val="none" w:sz="0" w:space="0" w:color="auto"/>
        <w:left w:val="none" w:sz="0" w:space="0" w:color="auto"/>
        <w:bottom w:val="none" w:sz="0" w:space="0" w:color="auto"/>
        <w:right w:val="none" w:sz="0" w:space="0" w:color="auto"/>
      </w:divBdr>
    </w:div>
    <w:div w:id="1651789516">
      <w:bodyDiv w:val="1"/>
      <w:marLeft w:val="0"/>
      <w:marRight w:val="0"/>
      <w:marTop w:val="0"/>
      <w:marBottom w:val="0"/>
      <w:divBdr>
        <w:top w:val="none" w:sz="0" w:space="0" w:color="auto"/>
        <w:left w:val="none" w:sz="0" w:space="0" w:color="auto"/>
        <w:bottom w:val="none" w:sz="0" w:space="0" w:color="auto"/>
        <w:right w:val="none" w:sz="0" w:space="0" w:color="auto"/>
      </w:divBdr>
    </w:div>
    <w:div w:id="1753043151">
      <w:bodyDiv w:val="1"/>
      <w:marLeft w:val="0"/>
      <w:marRight w:val="0"/>
      <w:marTop w:val="0"/>
      <w:marBottom w:val="0"/>
      <w:divBdr>
        <w:top w:val="none" w:sz="0" w:space="0" w:color="auto"/>
        <w:left w:val="none" w:sz="0" w:space="0" w:color="auto"/>
        <w:bottom w:val="none" w:sz="0" w:space="0" w:color="auto"/>
        <w:right w:val="none" w:sz="0" w:space="0" w:color="auto"/>
      </w:divBdr>
    </w:div>
    <w:div w:id="2127889034">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customXml" Target="../customXml/item4.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customXml" Target="../customXml/item3.xml"/><Relationship Id="rId10"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customXml" Target="../customXml/item2.xml"/></Relationships>
</file>

<file path=word/_rels/footer2.xml.rels><?xml version="1.0" encoding="UTF-8" standalone="yes"?>
<Relationships xmlns="http://schemas.openxmlformats.org/package/2006/relationships"><Relationship Id="rId1" Type="http://schemas.openxmlformats.org/officeDocument/2006/relationships/image" Target="media/image2.jpg"/></Relationships>
</file>

<file path=word/_rels/footnotes.xml.rels><?xml version="1.0" encoding="UTF-8" standalone="yes"?>
<Relationships xmlns="http://schemas.openxmlformats.org/package/2006/relationships"><Relationship Id="rId3" Type="http://schemas.openxmlformats.org/officeDocument/2006/relationships/hyperlink" Target="https://www.rba.gov.au/speeches/2017/sp-gov-2017-07-26.html" TargetMode="External"/><Relationship Id="rId2" Type="http://schemas.openxmlformats.org/officeDocument/2006/relationships/hyperlink" Target="https://www.pc.gov.au/__data/assets/pdf_file/0007/188287/sub0167-workplace-relations.pdf" TargetMode="External"/><Relationship Id="rId1" Type="http://schemas.openxmlformats.org/officeDocument/2006/relationships/hyperlink" Target="https://www.actu.org.au/media/297226/ACTU%20Response%20to%20Towards%20More%20Productive%20and%20Equitable%20Workplaces%20-%20An%20evaluation%20of%20the%20Fair%20Work%20legislation.pdf" TargetMode="External"/><Relationship Id="rId5" Type="http://schemas.openxmlformats.org/officeDocument/2006/relationships/hyperlink" Target="http://www.news.com.au/finance/economy/australian-economy/imf-slashes-australias-economic-growth-forecast/news-story/f85284eee706076dabe19640c107f341" TargetMode="External"/><Relationship Id="rId4" Type="http://schemas.openxmlformats.org/officeDocument/2006/relationships/hyperlink" Target="http://www.abc.net.au/news/2017-03-13/scott-morrison-low-wage-growth-biggest-challenge-economy/8350032"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2.xml><?xml version="1.0" encoding="utf-8"?>
<ct:contentTypeSchema xmlns:ct="http://schemas.microsoft.com/office/2006/metadata/contentType" xmlns:ma="http://schemas.microsoft.com/office/2006/metadata/properties/metaAttributes" ct:_="" ma:_="" ma:contentTypeName="Document" ma:contentTypeID="0x0101006F44B46CD48E7D439D0376E9A76A2E31" ma:contentTypeVersion="2" ma:contentTypeDescription="Create a new document." ma:contentTypeScope="" ma:versionID="165a45e2c905b319c790719ca812c696">
  <xsd:schema xmlns:xsd="http://www.w3.org/2001/XMLSchema" xmlns:xs="http://www.w3.org/2001/XMLSchema" xmlns:p="http://schemas.microsoft.com/office/2006/metadata/properties" xmlns:ns1="http://schemas.microsoft.com/sharepoint/v3" targetNamespace="http://schemas.microsoft.com/office/2006/metadata/properties" ma:root="true" ma:fieldsID="6f9746fe128b0ca74698fd9d7c13d39e" ns1:_="">
    <xsd:import namespace="http://schemas.microsoft.com/sharepoint/v3"/>
    <xsd:element name="properties">
      <xsd:complexType>
        <xsd:sequence>
          <xsd:element name="documentManagement">
            <xsd:complexType>
              <xsd:all>
                <xsd:element ref="ns1:PublishingStartDate" minOccurs="0"/>
                <xsd:element ref="ns1:PublishingExpirationDat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PublishingStartDate" ma:index="8" nillable="true" ma:displayName="Scheduling Start Date" ma:internalName="PublishingStartDate">
      <xsd:simpleType>
        <xsd:restriction base="dms:Unknown"/>
      </xsd:simpleType>
    </xsd:element>
    <xsd:element name="PublishingExpirationDate" ma:index="9" nillable="true" ma:displayName="Scheduling End Date" ma:internalName="PublishingExpirationDat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ublishingExpirationDate xmlns="http://schemas.microsoft.com/sharepoint/v3" xsi:nil="true"/>
    <PublishingStartDate xmlns="http://schemas.microsoft.com/sharepoint/v3" xsi:nil="true"/>
  </documentManagement>
</p:properties>
</file>

<file path=customXml/itemProps1.xml><?xml version="1.0" encoding="utf-8"?>
<ds:datastoreItem xmlns:ds="http://schemas.openxmlformats.org/officeDocument/2006/customXml" ds:itemID="{47D7EC98-E263-4C49-8942-3D38E7320C2D}"/>
</file>

<file path=customXml/itemProps2.xml><?xml version="1.0" encoding="utf-8"?>
<ds:datastoreItem xmlns:ds="http://schemas.openxmlformats.org/officeDocument/2006/customXml" ds:itemID="{EC5379AA-5577-4765-9B5D-278D07DA49F9}"/>
</file>

<file path=customXml/itemProps3.xml><?xml version="1.0" encoding="utf-8"?>
<ds:datastoreItem xmlns:ds="http://schemas.openxmlformats.org/officeDocument/2006/customXml" ds:itemID="{3766CDB3-1FB8-4171-BD02-1065EA3CA183}"/>
</file>

<file path=customXml/itemProps4.xml><?xml version="1.0" encoding="utf-8"?>
<ds:datastoreItem xmlns:ds="http://schemas.openxmlformats.org/officeDocument/2006/customXml" ds:itemID="{D9F31C31-1E2A-4147-B74C-AA71F97679E9}"/>
</file>

<file path=docProps/app.xml><?xml version="1.0" encoding="utf-8"?>
<Properties xmlns="http://schemas.openxmlformats.org/officeDocument/2006/extended-properties" xmlns:vt="http://schemas.openxmlformats.org/officeDocument/2006/docPropsVTypes">
  <Template>Normal</Template>
  <TotalTime>50</TotalTime>
  <Pages>5</Pages>
  <Words>1752</Words>
  <Characters>9989</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Hewlett-Packard Company</Company>
  <LinksUpToDate>false</LinksUpToDate>
  <CharactersWithSpaces>11718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Elyane Palmer</dc:creator>
  <cp:lastModifiedBy>Elyane Palmer</cp:lastModifiedBy>
  <cp:revision>20</cp:revision>
  <cp:lastPrinted>2017-09-14T02:10:00Z</cp:lastPrinted>
  <dcterms:created xsi:type="dcterms:W3CDTF">2017-10-25T06:23:00Z</dcterms:created>
  <dcterms:modified xsi:type="dcterms:W3CDTF">2017-10-26T00:14:00Z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0x0101006F44B46CD48E7D439D0376E9A76A2E31</vt:lpwstr>
  </property>
  <property fmtid="{D5CDD505-2E9C-101B-9397-08002B2CF9AE}" pid="3" name="Order">
    <vt:r8>22000</vt:r8>
  </property>
  <property fmtid="{D5CDD505-2E9C-101B-9397-08002B2CF9AE}" pid="4" name="TemplateUrl">
    <vt:lpwstr/>
  </property>
  <property fmtid="{D5CDD505-2E9C-101B-9397-08002B2CF9AE}" pid="5" name="xd_Signature">
    <vt:bool>false</vt:bool>
  </property>
  <property fmtid="{D5CDD505-2E9C-101B-9397-08002B2CF9AE}" pid="6" name="xd_ProgID">
    <vt:lpwstr/>
  </property>
  <property fmtid="{D5CDD505-2E9C-101B-9397-08002B2CF9AE}" pid="7" name="_SourceUrl">
    <vt:lpwstr/>
  </property>
  <property fmtid="{D5CDD505-2E9C-101B-9397-08002B2CF9AE}" pid="8" name="_SharedFileIndex">
    <vt:lpwstr/>
  </property>
</Properties>
</file>