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8C885" w14:textId="77777777" w:rsidR="00254421" w:rsidRPr="00C61917" w:rsidRDefault="00A16663">
      <w:pPr>
        <w:spacing w:before="0" w:after="160" w:line="259" w:lineRule="auto"/>
        <w:rPr>
          <w:lang w:val="en-GB"/>
        </w:rPr>
        <w:sectPr w:rsidR="00254421" w:rsidRPr="00C61917" w:rsidSect="005B73CB">
          <w:headerReference w:type="default" r:id="rId8"/>
          <w:footerReference w:type="default" r:id="rId9"/>
          <w:pgSz w:w="11906" w:h="16838"/>
          <w:pgMar w:top="2211" w:right="1134" w:bottom="1134" w:left="1701" w:header="709" w:footer="709" w:gutter="0"/>
          <w:cols w:space="708"/>
          <w:docGrid w:linePitch="360"/>
        </w:sectPr>
      </w:pPr>
      <w:r w:rsidRPr="00C61917">
        <w:rPr>
          <w:noProof/>
          <w:lang w:eastAsia="en-AU"/>
        </w:rPr>
        <mc:AlternateContent>
          <mc:Choice Requires="wpg">
            <w:drawing>
              <wp:anchor distT="0" distB="0" distL="114300" distR="114300" simplePos="0" relativeHeight="251659264" behindDoc="1" locked="1" layoutInCell="1" allowOverlap="1" wp14:anchorId="62AEBADE" wp14:editId="6443C192">
                <wp:simplePos x="0" y="0"/>
                <wp:positionH relativeFrom="page">
                  <wp:posOffset>370840</wp:posOffset>
                </wp:positionH>
                <wp:positionV relativeFrom="page">
                  <wp:posOffset>353060</wp:posOffset>
                </wp:positionV>
                <wp:extent cx="6833880" cy="6000840"/>
                <wp:effectExtent l="0" t="0" r="24130" b="19050"/>
                <wp:wrapNone/>
                <wp:docPr id="12" name="Group 12"/>
                <wp:cNvGraphicFramePr/>
                <a:graphic xmlns:a="http://schemas.openxmlformats.org/drawingml/2006/main">
                  <a:graphicData uri="http://schemas.microsoft.com/office/word/2010/wordprocessingGroup">
                    <wpg:wgp>
                      <wpg:cNvGrpSpPr/>
                      <wpg:grpSpPr>
                        <a:xfrm>
                          <a:off x="0" y="0"/>
                          <a:ext cx="6833880" cy="6000840"/>
                          <a:chOff x="0" y="0"/>
                          <a:chExt cx="6833870" cy="6000750"/>
                        </a:xfrm>
                      </wpg:grpSpPr>
                      <wps:wsp>
                        <wps:cNvPr id="13" name="Rectangle 7"/>
                        <wps:cNvSpPr/>
                        <wps:spPr>
                          <a:xfrm>
                            <a:off x="952500" y="0"/>
                            <a:ext cx="5881370" cy="6000750"/>
                          </a:xfrm>
                          <a:custGeom>
                            <a:avLst/>
                            <a:gdLst>
                              <a:gd name="connsiteX0" fmla="*/ 0 w 5881370"/>
                              <a:gd name="connsiteY0" fmla="*/ 0 h 6000750"/>
                              <a:gd name="connsiteX1" fmla="*/ 5881370 w 5881370"/>
                              <a:gd name="connsiteY1" fmla="*/ 0 h 6000750"/>
                              <a:gd name="connsiteX2" fmla="*/ 5881370 w 5881370"/>
                              <a:gd name="connsiteY2" fmla="*/ 6000750 h 6000750"/>
                              <a:gd name="connsiteX3" fmla="*/ 0 w 5881370"/>
                              <a:gd name="connsiteY3" fmla="*/ 6000750 h 6000750"/>
                              <a:gd name="connsiteX4" fmla="*/ 0 w 5881370"/>
                              <a:gd name="connsiteY4" fmla="*/ 0 h 6000750"/>
                              <a:gd name="connsiteX0" fmla="*/ 0 w 5881370"/>
                              <a:gd name="connsiteY0" fmla="*/ 0 h 6000750"/>
                              <a:gd name="connsiteX1" fmla="*/ 5881370 w 5881370"/>
                              <a:gd name="connsiteY1" fmla="*/ 0 h 6000750"/>
                              <a:gd name="connsiteX2" fmla="*/ 5881370 w 5881370"/>
                              <a:gd name="connsiteY2" fmla="*/ 6000750 h 6000750"/>
                              <a:gd name="connsiteX3" fmla="*/ 1885950 w 5881370"/>
                              <a:gd name="connsiteY3" fmla="*/ 6000750 h 6000750"/>
                              <a:gd name="connsiteX4" fmla="*/ 0 w 5881370"/>
                              <a:gd name="connsiteY4" fmla="*/ 0 h 6000750"/>
                              <a:gd name="connsiteX0" fmla="*/ 0 w 5881370"/>
                              <a:gd name="connsiteY0" fmla="*/ 0 h 6000750"/>
                              <a:gd name="connsiteX1" fmla="*/ 5881370 w 5881370"/>
                              <a:gd name="connsiteY1" fmla="*/ 0 h 6000750"/>
                              <a:gd name="connsiteX2" fmla="*/ 5881370 w 5881370"/>
                              <a:gd name="connsiteY2" fmla="*/ 6000750 h 6000750"/>
                              <a:gd name="connsiteX3" fmla="*/ 2790825 w 5881370"/>
                              <a:gd name="connsiteY3" fmla="*/ 6000750 h 6000750"/>
                              <a:gd name="connsiteX4" fmla="*/ 0 w 5881370"/>
                              <a:gd name="connsiteY4" fmla="*/ 0 h 6000750"/>
                              <a:gd name="connsiteX0" fmla="*/ 0 w 5881370"/>
                              <a:gd name="connsiteY0" fmla="*/ 0 h 6000750"/>
                              <a:gd name="connsiteX1" fmla="*/ 5881370 w 5881370"/>
                              <a:gd name="connsiteY1" fmla="*/ 0 h 6000750"/>
                              <a:gd name="connsiteX2" fmla="*/ 5881370 w 5881370"/>
                              <a:gd name="connsiteY2" fmla="*/ 6000750 h 6000750"/>
                              <a:gd name="connsiteX3" fmla="*/ 2095500 w 5881370"/>
                              <a:gd name="connsiteY3" fmla="*/ 6000750 h 6000750"/>
                              <a:gd name="connsiteX4" fmla="*/ 0 w 5881370"/>
                              <a:gd name="connsiteY4" fmla="*/ 0 h 6000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81370" h="6000750">
                                <a:moveTo>
                                  <a:pt x="0" y="0"/>
                                </a:moveTo>
                                <a:lnTo>
                                  <a:pt x="5881370" y="0"/>
                                </a:lnTo>
                                <a:lnTo>
                                  <a:pt x="5881370" y="6000750"/>
                                </a:lnTo>
                                <a:lnTo>
                                  <a:pt x="2095500" y="6000750"/>
                                </a:lnTo>
                                <a:lnTo>
                                  <a:pt x="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057525" y="161925"/>
                            <a:ext cx="1057910" cy="334645"/>
                          </a:xfrm>
                          <a:prstGeom prst="rect">
                            <a:avLst/>
                          </a:prstGeom>
                          <a:noFill/>
                          <a:ln>
                            <a:noFill/>
                          </a:ln>
                        </pic:spPr>
                      </pic:pic>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914525"/>
                            <a:ext cx="2920365" cy="27051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666A23" id="Group 12" o:spid="_x0000_s1026" style="position:absolute;margin-left:29.2pt;margin-top:27.8pt;width:538.1pt;height:472.5pt;z-index:-251657216;mso-position-horizontal-relative:page;mso-position-vertical-relative:page;mso-width-relative:margin;mso-height-relative:margin" coordsize="68338,600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">
                <v:shape id="Rectangle 7" o:spid="_x0000_s1027" style="position:absolute;left:9525;width:58813;height:60007;visibility:visible;mso-wrap-style:square;v-text-anchor:middle" coordsize="5881370,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" path="m,l5881370,r,6000750l2095500,6000750,,xe" fillcolor="#14377d [3204]" strokecolor="#0a1b3e [1604]" strokeweight="1pt">
                  <v:stroke joinstyle="miter"/>
                  <v:path arrowok="t" o:connecttype="custom" o:connectlocs="0,0;5881370,0;5881370,6000750;2095500,6000750;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left:30575;top:1619;width:10579;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">
                  <v:imagedata r:id="rId12" o:title=""/>
                  <v:path arrowok="t"/>
                </v:shape>
                <v:shape id="Picture 15" o:spid="_x0000_s1029" type="#_x0000_t75" style="position:absolute;top:19145;width:29203;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">
                  <v:imagedata r:id="rId13" o:title=""/>
                  <v:path arrowok="t"/>
                </v:shape>
                <w10:wrap anchorx="page" anchory="page"/>
                <w10:anchorlock/>
              </v:group>
            </w:pict>
          </mc:Fallback>
        </mc:AlternateContent>
      </w:r>
    </w:p>
    <w:bookmarkStart w:id="0" w:name="Subtitle"/>
    <w:bookmarkStart w:id="1" w:name="_GoBack"/>
    <w:p w14:paraId="2A117660" w14:textId="77777777" w:rsidR="000D432A" w:rsidRPr="00C61917" w:rsidRDefault="00135195" w:rsidP="000D432A">
      <w:pPr>
        <w:pStyle w:val="Title"/>
        <w:rPr>
          <w:lang w:val="en-GB"/>
        </w:rPr>
      </w:pPr>
      <w:sdt>
        <w:sdtPr>
          <w:rPr>
            <w:b/>
            <w:lang w:val="en-GB"/>
          </w:rPr>
          <w:alias w:val="Title"/>
          <w:tag w:val=""/>
          <w:id w:val="-304703470"/>
          <w:placeholder>
            <w:docPart w:val="AE2C1783A52645F88D6C8442ADB784AB"/>
          </w:placeholder>
          <w:dataBinding w:prefixMappings="xmlns:ns0='http://purl.org/dc/elements/1.1/' xmlns:ns1='http://schemas.openxmlformats.org/package/2006/metadata/core-properties' " w:xpath="/ns1:coreProperties[1]/ns0:title[1]" w:storeItemID="{6C3C8BC8-F283-45AE-878A-BAB7291924A1}"/>
          <w:text/>
        </w:sdtPr>
        <w:sdtEndPr/>
        <w:sdtContent>
          <w:r w:rsidR="00D9577C" w:rsidRPr="00C61917">
            <w:rPr>
              <w:b/>
              <w:lang w:val="en-GB"/>
            </w:rPr>
            <w:t>Greenfields Agreement Review</w:t>
          </w:r>
          <w:r w:rsidR="00F72003" w:rsidRPr="00C61917">
            <w:rPr>
              <w:b/>
              <w:lang w:val="en-GB"/>
            </w:rPr>
            <w:t>: Response to Consultation Paper</w:t>
          </w:r>
        </w:sdtContent>
      </w:sdt>
      <w:bookmarkEnd w:id="1"/>
      <w:r w:rsidR="000D432A" w:rsidRPr="00C61917">
        <w:rPr>
          <w:lang w:val="en-GB"/>
        </w:rPr>
        <w:t xml:space="preserve"> </w:t>
      </w:r>
    </w:p>
    <w:p w14:paraId="7AF71577" w14:textId="77777777" w:rsidR="00C06A43" w:rsidRPr="00C61917" w:rsidRDefault="00135195" w:rsidP="000D432A">
      <w:pPr>
        <w:pStyle w:val="Title"/>
        <w:spacing w:before="240"/>
        <w:rPr>
          <w:b/>
          <w:lang w:val="en-GB"/>
        </w:rPr>
      </w:pPr>
      <w:sdt>
        <w:sdtPr>
          <w:rPr>
            <w:b/>
            <w:sz w:val="28"/>
            <w:szCs w:val="28"/>
            <w:lang w:val="en-GB"/>
          </w:rPr>
          <w:alias w:val="Dates"/>
          <w:tag w:val=""/>
          <w:id w:val="-1309004320"/>
          <w:placeholder>
            <w:docPart w:val="00A681A5639B4E00BBB262D6B2BB1CF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577C" w:rsidRPr="00C61917">
            <w:rPr>
              <w:b/>
              <w:sz w:val="28"/>
              <w:szCs w:val="28"/>
              <w:lang w:val="en-GB"/>
            </w:rPr>
            <w:t>25</w:t>
          </w:r>
          <w:r w:rsidR="00520EE0" w:rsidRPr="00C61917">
            <w:rPr>
              <w:b/>
              <w:sz w:val="28"/>
              <w:szCs w:val="28"/>
              <w:lang w:val="en-GB"/>
            </w:rPr>
            <w:t xml:space="preserve"> October </w:t>
          </w:r>
          <w:r w:rsidR="00346E43" w:rsidRPr="00C61917">
            <w:rPr>
              <w:b/>
              <w:sz w:val="28"/>
              <w:szCs w:val="28"/>
              <w:lang w:val="en-GB"/>
            </w:rPr>
            <w:t>2017</w:t>
          </w:r>
        </w:sdtContent>
      </w:sdt>
      <w:bookmarkEnd w:id="0"/>
    </w:p>
    <w:p w14:paraId="73FF7934" w14:textId="77777777" w:rsidR="00254421" w:rsidRPr="00C61917" w:rsidRDefault="00254421">
      <w:pPr>
        <w:spacing w:before="0" w:after="160" w:line="259" w:lineRule="auto"/>
        <w:rPr>
          <w:sz w:val="40"/>
          <w:szCs w:val="40"/>
          <w:lang w:val="en-GB"/>
        </w:rPr>
      </w:pPr>
      <w:r w:rsidRPr="00C61917">
        <w:rPr>
          <w:lang w:val="en-GB"/>
        </w:rPr>
        <w:br w:type="page"/>
      </w:r>
    </w:p>
    <w:p w14:paraId="2AD9AD36" w14:textId="77777777" w:rsidR="001F474E" w:rsidRPr="00C61917" w:rsidRDefault="001F474E" w:rsidP="00502570">
      <w:pPr>
        <w:pStyle w:val="NoSpacing"/>
        <w:rPr>
          <w:rStyle w:val="Strong"/>
          <w:lang w:val="en-GB"/>
        </w:rPr>
      </w:pPr>
    </w:p>
    <w:p w14:paraId="7BD6CB0D" w14:textId="77777777" w:rsidR="001F474E" w:rsidRPr="00C61917" w:rsidRDefault="001F474E" w:rsidP="00502570">
      <w:pPr>
        <w:pStyle w:val="NoSpacing"/>
        <w:rPr>
          <w:rStyle w:val="Strong"/>
          <w:lang w:val="en-GB"/>
        </w:rPr>
      </w:pPr>
    </w:p>
    <w:p w14:paraId="7A38BB23" w14:textId="77777777" w:rsidR="001F474E" w:rsidRPr="00C61917" w:rsidRDefault="001F474E" w:rsidP="00502570">
      <w:pPr>
        <w:pStyle w:val="NoSpacing"/>
        <w:rPr>
          <w:rStyle w:val="Strong"/>
          <w:lang w:val="en-GB"/>
        </w:rPr>
      </w:pPr>
    </w:p>
    <w:p w14:paraId="6D703303" w14:textId="77777777" w:rsidR="001F474E" w:rsidRPr="00C61917" w:rsidRDefault="001F474E" w:rsidP="00502570">
      <w:pPr>
        <w:pStyle w:val="NoSpacing"/>
        <w:rPr>
          <w:rStyle w:val="Strong"/>
          <w:lang w:val="en-GB"/>
        </w:rPr>
      </w:pPr>
    </w:p>
    <w:p w14:paraId="0461D954" w14:textId="77777777" w:rsidR="001F474E" w:rsidRPr="00C61917" w:rsidRDefault="001F474E" w:rsidP="00502570">
      <w:pPr>
        <w:pStyle w:val="NoSpacing"/>
        <w:rPr>
          <w:rStyle w:val="Strong"/>
          <w:lang w:val="en-GB"/>
        </w:rPr>
      </w:pPr>
    </w:p>
    <w:p w14:paraId="38DB19E6" w14:textId="77777777" w:rsidR="001F474E" w:rsidRPr="00C61917" w:rsidRDefault="001F474E" w:rsidP="00502570">
      <w:pPr>
        <w:pStyle w:val="NoSpacing"/>
        <w:rPr>
          <w:rStyle w:val="Strong"/>
          <w:lang w:val="en-GB"/>
        </w:rPr>
      </w:pPr>
    </w:p>
    <w:p w14:paraId="487D50BD" w14:textId="77777777" w:rsidR="001F474E" w:rsidRPr="00C61917" w:rsidRDefault="001F474E" w:rsidP="00502570">
      <w:pPr>
        <w:pStyle w:val="NoSpacing"/>
        <w:rPr>
          <w:rStyle w:val="Strong"/>
          <w:lang w:val="en-GB"/>
        </w:rPr>
      </w:pPr>
    </w:p>
    <w:p w14:paraId="0A8F47BE" w14:textId="77777777" w:rsidR="001F474E" w:rsidRPr="00C61917" w:rsidRDefault="001F474E" w:rsidP="00502570">
      <w:pPr>
        <w:pStyle w:val="NoSpacing"/>
        <w:rPr>
          <w:rStyle w:val="Strong"/>
          <w:lang w:val="en-GB"/>
        </w:rPr>
      </w:pPr>
    </w:p>
    <w:p w14:paraId="35BFF8C6" w14:textId="77777777" w:rsidR="001F474E" w:rsidRPr="00C61917" w:rsidRDefault="001F474E" w:rsidP="00502570">
      <w:pPr>
        <w:pStyle w:val="NoSpacing"/>
        <w:rPr>
          <w:rStyle w:val="Strong"/>
          <w:lang w:val="en-GB"/>
        </w:rPr>
      </w:pPr>
    </w:p>
    <w:p w14:paraId="20B798FA" w14:textId="77777777" w:rsidR="00A067D1" w:rsidRPr="00C61917" w:rsidRDefault="00A067D1" w:rsidP="00A067D1">
      <w:pPr>
        <w:rPr>
          <w:lang w:val="en-GB"/>
        </w:rPr>
      </w:pPr>
    </w:p>
    <w:p w14:paraId="3E746884" w14:textId="77777777" w:rsidR="00A067D1" w:rsidRPr="00C61917" w:rsidRDefault="00A067D1" w:rsidP="00A067D1">
      <w:pPr>
        <w:rPr>
          <w:lang w:val="en-GB"/>
        </w:rPr>
      </w:pPr>
    </w:p>
    <w:p w14:paraId="12DA648D" w14:textId="77777777" w:rsidR="00A067D1" w:rsidRPr="00C61917" w:rsidRDefault="00A067D1" w:rsidP="00A067D1">
      <w:pPr>
        <w:rPr>
          <w:lang w:val="en-GB"/>
        </w:rPr>
      </w:pPr>
    </w:p>
    <w:p w14:paraId="5F502B78" w14:textId="77777777" w:rsidR="001F474E" w:rsidRPr="00C61917" w:rsidRDefault="001F474E" w:rsidP="00502570">
      <w:pPr>
        <w:pStyle w:val="NoSpacing"/>
        <w:rPr>
          <w:rStyle w:val="Strong"/>
          <w:lang w:val="en-GB"/>
        </w:rPr>
      </w:pPr>
    </w:p>
    <w:p w14:paraId="21A087EB" w14:textId="77777777" w:rsidR="00720398" w:rsidRPr="00C61917" w:rsidRDefault="00720398" w:rsidP="00502570">
      <w:pPr>
        <w:pStyle w:val="NoSpacing"/>
        <w:rPr>
          <w:rStyle w:val="IntenseEmphasis"/>
          <w:lang w:val="en-GB"/>
        </w:rPr>
      </w:pPr>
      <w:r w:rsidRPr="00C61917">
        <w:rPr>
          <w:rStyle w:val="IntenseEmphasis"/>
          <w:lang w:val="en-GB"/>
        </w:rPr>
        <w:t>Working for business.</w:t>
      </w:r>
    </w:p>
    <w:p w14:paraId="268AF660" w14:textId="77777777" w:rsidR="00720398" w:rsidRPr="00C61917" w:rsidRDefault="00720398" w:rsidP="00502570">
      <w:pPr>
        <w:pStyle w:val="NoSpacing"/>
        <w:rPr>
          <w:rStyle w:val="IntenseEmphasis"/>
          <w:lang w:val="en-GB"/>
        </w:rPr>
      </w:pPr>
      <w:r w:rsidRPr="00C61917">
        <w:rPr>
          <w:rStyle w:val="IntenseEmphasis"/>
          <w:lang w:val="en-GB"/>
        </w:rPr>
        <w:t xml:space="preserve">Working for Australia </w:t>
      </w:r>
    </w:p>
    <w:p w14:paraId="3C1A7699" w14:textId="77777777" w:rsidR="00720398" w:rsidRPr="00C61917" w:rsidRDefault="00720398" w:rsidP="00502570">
      <w:pPr>
        <w:pStyle w:val="NoSpacing"/>
        <w:rPr>
          <w:lang w:val="en-GB"/>
        </w:rPr>
      </w:pPr>
      <w:r w:rsidRPr="00C61917">
        <w:rPr>
          <w:lang w:val="en-GB"/>
        </w:rPr>
        <w:t xml:space="preserve">Telephone 02 6270 8000 </w:t>
      </w:r>
    </w:p>
    <w:p w14:paraId="5E44AE7C" w14:textId="77777777" w:rsidR="00720398" w:rsidRPr="00C61917" w:rsidRDefault="00720398" w:rsidP="00502570">
      <w:pPr>
        <w:pStyle w:val="NoSpacing"/>
        <w:rPr>
          <w:lang w:val="en-GB"/>
        </w:rPr>
      </w:pPr>
      <w:r w:rsidRPr="00C61917">
        <w:rPr>
          <w:lang w:val="en-GB"/>
        </w:rPr>
        <w:t xml:space="preserve">Email  </w:t>
      </w:r>
      <w:hyperlink r:id="rId14" w:history="1">
        <w:r w:rsidRPr="00C61917">
          <w:rPr>
            <w:rStyle w:val="Hyperlink"/>
            <w:lang w:val="en-GB"/>
          </w:rPr>
          <w:t>info@acci.asn.au</w:t>
        </w:r>
      </w:hyperlink>
      <w:r w:rsidRPr="00C61917">
        <w:rPr>
          <w:lang w:val="en-GB"/>
        </w:rPr>
        <w:t xml:space="preserve"> </w:t>
      </w:r>
    </w:p>
    <w:p w14:paraId="0BE6C243" w14:textId="77777777" w:rsidR="00720398" w:rsidRPr="00C61917" w:rsidRDefault="00720398" w:rsidP="00502570">
      <w:pPr>
        <w:pStyle w:val="NoSpacing"/>
        <w:rPr>
          <w:rStyle w:val="Strong"/>
          <w:b w:val="0"/>
          <w:bCs w:val="0"/>
          <w:lang w:val="en-GB"/>
        </w:rPr>
      </w:pPr>
      <w:r w:rsidRPr="00C61917">
        <w:rPr>
          <w:lang w:val="en-GB"/>
        </w:rPr>
        <w:t xml:space="preserve">Website </w:t>
      </w:r>
      <w:hyperlink r:id="rId15" w:history="1">
        <w:r w:rsidR="000552FD" w:rsidRPr="00C61917">
          <w:rPr>
            <w:rStyle w:val="Hyperlink"/>
            <w:lang w:val="en-GB"/>
          </w:rPr>
          <w:t>www.acci.asn.au</w:t>
        </w:r>
      </w:hyperlink>
      <w:r w:rsidR="000552FD" w:rsidRPr="00C61917">
        <w:rPr>
          <w:lang w:val="en-GB"/>
        </w:rPr>
        <w:t xml:space="preserve"> </w:t>
      </w:r>
      <w:r w:rsidRPr="00C61917">
        <w:rPr>
          <w:lang w:val="en-GB"/>
        </w:rPr>
        <w:t xml:space="preserve"> </w:t>
      </w:r>
    </w:p>
    <w:p w14:paraId="2EB73771" w14:textId="77777777" w:rsidR="00720398" w:rsidRPr="00C61917" w:rsidRDefault="00720398" w:rsidP="00720398">
      <w:pPr>
        <w:rPr>
          <w:rStyle w:val="IntenseEmphasis"/>
          <w:lang w:val="en-GB"/>
        </w:rPr>
      </w:pPr>
      <w:r w:rsidRPr="00C61917">
        <w:rPr>
          <w:rStyle w:val="IntenseEmphasis"/>
          <w:lang w:val="en-GB"/>
        </w:rPr>
        <w:t>Canberra Office</w:t>
      </w:r>
    </w:p>
    <w:p w14:paraId="45D6BF3F" w14:textId="77777777" w:rsidR="00720398" w:rsidRPr="00C61917" w:rsidRDefault="00720398" w:rsidP="00502570">
      <w:pPr>
        <w:pStyle w:val="NoSpacing"/>
        <w:rPr>
          <w:lang w:val="en-GB"/>
        </w:rPr>
      </w:pPr>
      <w:r w:rsidRPr="00C61917">
        <w:rPr>
          <w:lang w:val="en-GB"/>
        </w:rPr>
        <w:t xml:space="preserve">Commerce House </w:t>
      </w:r>
    </w:p>
    <w:p w14:paraId="5A739B84" w14:textId="77777777" w:rsidR="00720398" w:rsidRPr="00C61917" w:rsidRDefault="001F474E" w:rsidP="00502570">
      <w:pPr>
        <w:pStyle w:val="NoSpacing"/>
        <w:rPr>
          <w:lang w:val="en-GB"/>
        </w:rPr>
      </w:pPr>
      <w:r w:rsidRPr="00C61917">
        <w:rPr>
          <w:lang w:val="en-GB"/>
        </w:rPr>
        <w:t>Level 3</w:t>
      </w:r>
      <w:r w:rsidR="00720398" w:rsidRPr="00C61917">
        <w:rPr>
          <w:lang w:val="en-GB"/>
        </w:rPr>
        <w:t xml:space="preserve">, 24 Brisbane Avenue </w:t>
      </w:r>
    </w:p>
    <w:p w14:paraId="202209AC" w14:textId="77777777" w:rsidR="00720398" w:rsidRPr="00C61917" w:rsidRDefault="00720398" w:rsidP="00502570">
      <w:pPr>
        <w:pStyle w:val="NoSpacing"/>
        <w:rPr>
          <w:lang w:val="en-GB"/>
        </w:rPr>
      </w:pPr>
      <w:r w:rsidRPr="00C61917">
        <w:rPr>
          <w:lang w:val="en-GB"/>
        </w:rPr>
        <w:t>Barton ACT 2600 PO BOX 6005</w:t>
      </w:r>
    </w:p>
    <w:p w14:paraId="54D9C27B" w14:textId="77777777" w:rsidR="00720398" w:rsidRPr="00C61917" w:rsidRDefault="00720398" w:rsidP="00502570">
      <w:pPr>
        <w:pStyle w:val="NoSpacing"/>
        <w:rPr>
          <w:rStyle w:val="Strong"/>
          <w:b w:val="0"/>
          <w:bCs w:val="0"/>
          <w:lang w:val="en-GB"/>
        </w:rPr>
      </w:pPr>
      <w:r w:rsidRPr="00C61917">
        <w:rPr>
          <w:lang w:val="en-GB"/>
        </w:rPr>
        <w:t xml:space="preserve">Kingston ACT 2604 </w:t>
      </w:r>
    </w:p>
    <w:p w14:paraId="4106CEF6" w14:textId="77777777" w:rsidR="00720398" w:rsidRPr="00C61917" w:rsidRDefault="00720398" w:rsidP="00720398">
      <w:pPr>
        <w:rPr>
          <w:rStyle w:val="IntenseEmphasis"/>
          <w:lang w:val="en-GB"/>
        </w:rPr>
      </w:pPr>
      <w:r w:rsidRPr="00C61917">
        <w:rPr>
          <w:rStyle w:val="IntenseEmphasis"/>
          <w:lang w:val="en-GB"/>
        </w:rPr>
        <w:t xml:space="preserve">Melbourne Office </w:t>
      </w:r>
    </w:p>
    <w:p w14:paraId="3D3E8AE2" w14:textId="77777777" w:rsidR="00720398" w:rsidRPr="00C61917" w:rsidRDefault="00720398" w:rsidP="00502570">
      <w:pPr>
        <w:pStyle w:val="NoSpacing"/>
        <w:rPr>
          <w:lang w:val="en-GB"/>
        </w:rPr>
      </w:pPr>
      <w:r w:rsidRPr="00C61917">
        <w:rPr>
          <w:lang w:val="en-GB"/>
        </w:rPr>
        <w:t xml:space="preserve">Level 2, 150 Collins Street </w:t>
      </w:r>
    </w:p>
    <w:p w14:paraId="2362DFF0" w14:textId="77777777" w:rsidR="00720398" w:rsidRPr="00C61917" w:rsidRDefault="00720398" w:rsidP="00502570">
      <w:pPr>
        <w:pStyle w:val="NoSpacing"/>
        <w:rPr>
          <w:lang w:val="en-GB"/>
        </w:rPr>
      </w:pPr>
      <w:r w:rsidRPr="00C61917">
        <w:rPr>
          <w:lang w:val="en-GB"/>
        </w:rPr>
        <w:t xml:space="preserve">Melbourne VIC 3000 </w:t>
      </w:r>
    </w:p>
    <w:p w14:paraId="2335B9E1" w14:textId="77777777" w:rsidR="00720398" w:rsidRPr="00C61917" w:rsidRDefault="00720398" w:rsidP="00502570">
      <w:pPr>
        <w:pStyle w:val="NoSpacing"/>
        <w:rPr>
          <w:lang w:val="en-GB"/>
        </w:rPr>
      </w:pPr>
      <w:r w:rsidRPr="00C61917">
        <w:rPr>
          <w:lang w:val="en-GB"/>
        </w:rPr>
        <w:t xml:space="preserve">PO BOX 18008 </w:t>
      </w:r>
    </w:p>
    <w:p w14:paraId="5F28AF59" w14:textId="77777777" w:rsidR="00720398" w:rsidRPr="00C61917" w:rsidRDefault="00720398" w:rsidP="00502570">
      <w:pPr>
        <w:pStyle w:val="NoSpacing"/>
        <w:rPr>
          <w:lang w:val="en-GB"/>
        </w:rPr>
      </w:pPr>
      <w:r w:rsidRPr="00C61917">
        <w:rPr>
          <w:lang w:val="en-GB"/>
        </w:rPr>
        <w:t xml:space="preserve">Collins Street East </w:t>
      </w:r>
    </w:p>
    <w:p w14:paraId="36DBD588" w14:textId="77777777" w:rsidR="00720398" w:rsidRPr="00C61917" w:rsidRDefault="00720398" w:rsidP="00502570">
      <w:pPr>
        <w:pStyle w:val="NoSpacing"/>
        <w:rPr>
          <w:lang w:val="en-GB"/>
        </w:rPr>
      </w:pPr>
      <w:r w:rsidRPr="00C61917">
        <w:rPr>
          <w:lang w:val="en-GB"/>
        </w:rPr>
        <w:t xml:space="preserve">Melbourne VIC 8003 </w:t>
      </w:r>
    </w:p>
    <w:p w14:paraId="2A9B80F9" w14:textId="77777777" w:rsidR="00720398" w:rsidRPr="00C61917" w:rsidRDefault="00720398" w:rsidP="00720398">
      <w:pPr>
        <w:rPr>
          <w:rStyle w:val="IntenseEmphasis"/>
          <w:lang w:val="en-GB"/>
        </w:rPr>
      </w:pPr>
      <w:r w:rsidRPr="00C61917">
        <w:rPr>
          <w:rStyle w:val="IntenseEmphasis"/>
          <w:lang w:val="en-GB"/>
        </w:rPr>
        <w:t xml:space="preserve">Sydney Office </w:t>
      </w:r>
    </w:p>
    <w:p w14:paraId="2AAF9DA3" w14:textId="77777777" w:rsidR="00720398" w:rsidRPr="00C61917" w:rsidRDefault="00720398" w:rsidP="00502570">
      <w:pPr>
        <w:pStyle w:val="NoSpacing"/>
        <w:rPr>
          <w:lang w:val="en-GB"/>
        </w:rPr>
      </w:pPr>
      <w:r w:rsidRPr="00C61917">
        <w:rPr>
          <w:lang w:val="en-GB"/>
        </w:rPr>
        <w:t xml:space="preserve">Level 15, 140 Arthur Street </w:t>
      </w:r>
    </w:p>
    <w:p w14:paraId="2E3F2D24" w14:textId="77777777" w:rsidR="00720398" w:rsidRPr="00C61917" w:rsidRDefault="00720398" w:rsidP="00502570">
      <w:pPr>
        <w:pStyle w:val="NoSpacing"/>
        <w:rPr>
          <w:lang w:val="en-GB"/>
        </w:rPr>
      </w:pPr>
      <w:r w:rsidRPr="00C61917">
        <w:rPr>
          <w:lang w:val="en-GB"/>
        </w:rPr>
        <w:t xml:space="preserve">North Sydney NSW 2060 </w:t>
      </w:r>
    </w:p>
    <w:p w14:paraId="48B37706" w14:textId="77777777" w:rsidR="00720398" w:rsidRPr="00C61917" w:rsidRDefault="00720398" w:rsidP="00502570">
      <w:pPr>
        <w:pStyle w:val="NoSpacing"/>
        <w:rPr>
          <w:lang w:val="en-GB"/>
        </w:rPr>
      </w:pPr>
      <w:r w:rsidRPr="00C61917">
        <w:rPr>
          <w:lang w:val="en-GB"/>
        </w:rPr>
        <w:t xml:space="preserve">Locked Bag 938 </w:t>
      </w:r>
    </w:p>
    <w:p w14:paraId="27E9FCD2" w14:textId="77777777" w:rsidR="00720398" w:rsidRPr="00C61917" w:rsidRDefault="00720398" w:rsidP="00502570">
      <w:pPr>
        <w:pStyle w:val="NoSpacing"/>
        <w:rPr>
          <w:lang w:val="en-GB"/>
        </w:rPr>
      </w:pPr>
      <w:r w:rsidRPr="00C61917">
        <w:rPr>
          <w:lang w:val="en-GB"/>
        </w:rPr>
        <w:t>North Sydney NSW 2059</w:t>
      </w:r>
    </w:p>
    <w:p w14:paraId="5694BD62" w14:textId="77777777" w:rsidR="00720398" w:rsidRPr="00C61917" w:rsidRDefault="00720398" w:rsidP="00720398">
      <w:pPr>
        <w:pStyle w:val="Disclaimer"/>
        <w:rPr>
          <w:lang w:val="en-GB"/>
        </w:rPr>
      </w:pPr>
      <w:r w:rsidRPr="00C61917">
        <w:rPr>
          <w:lang w:val="en-GB"/>
        </w:rPr>
        <w:br/>
        <w:t>ABN 85 008 391 795</w:t>
      </w:r>
      <w:r w:rsidR="00E11598" w:rsidRPr="00C61917">
        <w:rPr>
          <w:lang w:val="en-GB"/>
        </w:rPr>
        <w:br/>
        <w:t>© Australian Chamber of Commerce and Industry 201</w:t>
      </w:r>
      <w:r w:rsidR="00361942" w:rsidRPr="00C61917">
        <w:rPr>
          <w:lang w:val="en-GB"/>
        </w:rPr>
        <w:t>7</w:t>
      </w:r>
    </w:p>
    <w:p w14:paraId="2332422D" w14:textId="77777777" w:rsidR="00720398" w:rsidRPr="00C61917" w:rsidRDefault="00720398" w:rsidP="00720398">
      <w:pPr>
        <w:pStyle w:val="Disclaimer"/>
        <w:rPr>
          <w:lang w:val="en-GB"/>
        </w:rPr>
      </w:pPr>
      <w:r w:rsidRPr="00C61917">
        <w:rPr>
          <w:lang w:val="en-GB"/>
        </w:rPr>
        <w:t xml:space="preserve">This work is copyright. </w:t>
      </w:r>
      <w:r w:rsidR="001F474E" w:rsidRPr="00C61917">
        <w:rPr>
          <w:lang w:val="en-GB"/>
        </w:rPr>
        <w:t>No part of this publication may be reproduced or used in any way without acknowledgement to the Australian Chamber of Commerce and Industry.</w:t>
      </w:r>
    </w:p>
    <w:p w14:paraId="5A218F90" w14:textId="77777777" w:rsidR="003B4AD8" w:rsidRPr="00C61917" w:rsidRDefault="00720398" w:rsidP="0069020A">
      <w:pPr>
        <w:pStyle w:val="Disclaimer"/>
        <w:jc w:val="both"/>
        <w:rPr>
          <w:lang w:val="en-GB"/>
        </w:rPr>
      </w:pPr>
      <w:r w:rsidRPr="00C61917">
        <w:rPr>
          <w:rStyle w:val="Strong"/>
          <w:lang w:val="en-GB"/>
        </w:rPr>
        <w:t>Disclaimers &amp; Acknowledgements</w:t>
      </w:r>
      <w:r w:rsidRPr="00C61917">
        <w:rPr>
          <w:lang w:val="en-GB"/>
        </w:rPr>
        <w:t xml:space="preserve"> </w:t>
      </w:r>
    </w:p>
    <w:p w14:paraId="548D71A3" w14:textId="77777777" w:rsidR="003B4AD8" w:rsidRPr="00C61917" w:rsidRDefault="001F474E" w:rsidP="003B4AD8">
      <w:pPr>
        <w:pStyle w:val="Disclaimer"/>
        <w:spacing w:before="0"/>
        <w:jc w:val="both"/>
        <w:rPr>
          <w:lang w:val="en-GB"/>
        </w:rPr>
      </w:pPr>
      <w:r w:rsidRPr="00C61917">
        <w:rPr>
          <w:lang w:val="en-GB"/>
        </w:rPr>
        <w:t>The Australian Chamber of Commerce and Industry has taken reasonable care in publishing the information contained in this publication but does not guarantee that the information is complete, accurate or current. In particular, the Australian Chamber is not responsible for the accuracy of information that has been provided by other parties. The information in this publication is not intended to be used as the basis for making any investment decision and must not be relied upon as investment advice. To the maximum extent permitted by law, the Australian Chamber disclaims all liability (including liability in negligence) to any person arising out of use or reliance on the information contained in this publication including for loss or damage which you or anyone else might suffer as a result of that use or reliance.</w:t>
      </w:r>
    </w:p>
    <w:p w14:paraId="514D4A63" w14:textId="77777777" w:rsidR="005414B0" w:rsidRPr="00C61917" w:rsidRDefault="00D66DEE" w:rsidP="0069020A">
      <w:pPr>
        <w:pStyle w:val="Disclaimer"/>
        <w:jc w:val="both"/>
        <w:rPr>
          <w:lang w:val="en-GB"/>
        </w:rPr>
        <w:sectPr w:rsidR="005414B0" w:rsidRPr="00C61917" w:rsidSect="005B73CB">
          <w:headerReference w:type="default" r:id="rId16"/>
          <w:footerReference w:type="default" r:id="rId17"/>
          <w:type w:val="continuous"/>
          <w:pgSz w:w="11906" w:h="16838"/>
          <w:pgMar w:top="2211" w:right="851" w:bottom="1134" w:left="1701" w:header="709" w:footer="497" w:gutter="0"/>
          <w:cols w:space="708"/>
          <w:docGrid w:linePitch="360"/>
        </w:sectPr>
      </w:pPr>
      <w:r w:rsidRPr="00C61917">
        <w:rPr>
          <w:lang w:val="en-GB"/>
        </w:rPr>
        <w:br w:type="page"/>
      </w:r>
    </w:p>
    <w:p w14:paraId="1D2B9F71" w14:textId="77777777" w:rsidR="009A5198" w:rsidRPr="00C61917" w:rsidRDefault="009A5198" w:rsidP="0075593F">
      <w:pPr>
        <w:pStyle w:val="TOCHeading"/>
        <w:rPr>
          <w:lang w:val="en-GB"/>
        </w:rPr>
      </w:pPr>
      <w:bookmarkStart w:id="2" w:name="_Toc478559599"/>
      <w:bookmarkStart w:id="3" w:name="_Toc478559704"/>
      <w:bookmarkStart w:id="4" w:name="_Toc479340175"/>
      <w:bookmarkStart w:id="5" w:name="_Toc479512726"/>
      <w:bookmarkStart w:id="6" w:name="_Toc495937448"/>
      <w:r w:rsidRPr="00C61917">
        <w:rPr>
          <w:lang w:val="en-GB"/>
        </w:rPr>
        <w:lastRenderedPageBreak/>
        <w:t>Table of Contents</w:t>
      </w:r>
      <w:bookmarkEnd w:id="2"/>
      <w:bookmarkEnd w:id="3"/>
      <w:bookmarkEnd w:id="4"/>
      <w:bookmarkEnd w:id="5"/>
      <w:bookmarkEnd w:id="6"/>
    </w:p>
    <w:p w14:paraId="2D9085F9" w14:textId="5DF454DC" w:rsidR="00D03E26" w:rsidRDefault="005126DB">
      <w:pPr>
        <w:pStyle w:val="TOC1"/>
        <w:rPr>
          <w:rFonts w:eastAsiaTheme="minorEastAsia"/>
          <w:b w:val="0"/>
          <w:noProof/>
          <w:sz w:val="22"/>
          <w:lang w:eastAsia="en-AU"/>
        </w:rPr>
      </w:pPr>
      <w:r w:rsidRPr="00C61917">
        <w:rPr>
          <w:lang w:val="en-GB"/>
        </w:rPr>
        <w:fldChar w:fldCharType="begin"/>
      </w:r>
      <w:r w:rsidRPr="00C61917">
        <w:rPr>
          <w:lang w:val="en-GB"/>
        </w:rPr>
        <w:instrText xml:space="preserve"> TOC \o "1-1" \h \z \u </w:instrText>
      </w:r>
      <w:r w:rsidRPr="00C61917">
        <w:rPr>
          <w:lang w:val="en-GB"/>
        </w:rPr>
        <w:fldChar w:fldCharType="separate"/>
      </w:r>
      <w:hyperlink w:anchor="_Toc495937448" w:history="1">
        <w:r w:rsidR="00D03E26" w:rsidRPr="000558CC">
          <w:rPr>
            <w:rStyle w:val="Hyperlink"/>
            <w:noProof/>
            <w:lang w:val="en-GB"/>
          </w:rPr>
          <w:t>Table of Contents</w:t>
        </w:r>
        <w:r w:rsidR="00D03E26">
          <w:rPr>
            <w:noProof/>
            <w:webHidden/>
          </w:rPr>
          <w:tab/>
        </w:r>
        <w:r w:rsidR="00D03E26">
          <w:rPr>
            <w:noProof/>
            <w:webHidden/>
          </w:rPr>
          <w:fldChar w:fldCharType="begin"/>
        </w:r>
        <w:r w:rsidR="00D03E26">
          <w:rPr>
            <w:noProof/>
            <w:webHidden/>
          </w:rPr>
          <w:instrText xml:space="preserve"> PAGEREF _Toc495937448 \h </w:instrText>
        </w:r>
        <w:r w:rsidR="00D03E26">
          <w:rPr>
            <w:noProof/>
            <w:webHidden/>
          </w:rPr>
        </w:r>
        <w:r w:rsidR="00D03E26">
          <w:rPr>
            <w:noProof/>
            <w:webHidden/>
          </w:rPr>
          <w:fldChar w:fldCharType="separate"/>
        </w:r>
        <w:r w:rsidR="00135195">
          <w:rPr>
            <w:noProof/>
            <w:webHidden/>
          </w:rPr>
          <w:t>i</w:t>
        </w:r>
        <w:r w:rsidR="00D03E26">
          <w:rPr>
            <w:noProof/>
            <w:webHidden/>
          </w:rPr>
          <w:fldChar w:fldCharType="end"/>
        </w:r>
      </w:hyperlink>
    </w:p>
    <w:p w14:paraId="1C7065B8" w14:textId="77CAE0A0" w:rsidR="00D03E26" w:rsidRDefault="00135195">
      <w:pPr>
        <w:pStyle w:val="TOC1"/>
        <w:rPr>
          <w:rFonts w:eastAsiaTheme="minorEastAsia"/>
          <w:b w:val="0"/>
          <w:noProof/>
          <w:sz w:val="22"/>
          <w:lang w:eastAsia="en-AU"/>
        </w:rPr>
      </w:pPr>
      <w:hyperlink w:anchor="_Toc495937449" w:history="1">
        <w:r w:rsidR="00D03E26" w:rsidRPr="000558CC">
          <w:rPr>
            <w:rStyle w:val="Hyperlink"/>
            <w:noProof/>
            <w:lang w:val="en-GB"/>
          </w:rPr>
          <w:t>1. Introduction</w:t>
        </w:r>
        <w:r w:rsidR="00D03E26">
          <w:rPr>
            <w:noProof/>
            <w:webHidden/>
          </w:rPr>
          <w:tab/>
        </w:r>
        <w:r w:rsidR="00D03E26">
          <w:rPr>
            <w:noProof/>
            <w:webHidden/>
          </w:rPr>
          <w:fldChar w:fldCharType="begin"/>
        </w:r>
        <w:r w:rsidR="00D03E26">
          <w:rPr>
            <w:noProof/>
            <w:webHidden/>
          </w:rPr>
          <w:instrText xml:space="preserve"> PAGEREF _Toc495937449 \h </w:instrText>
        </w:r>
        <w:r w:rsidR="00D03E26">
          <w:rPr>
            <w:noProof/>
            <w:webHidden/>
          </w:rPr>
        </w:r>
        <w:r w:rsidR="00D03E26">
          <w:rPr>
            <w:noProof/>
            <w:webHidden/>
          </w:rPr>
          <w:fldChar w:fldCharType="separate"/>
        </w:r>
        <w:r>
          <w:rPr>
            <w:noProof/>
            <w:webHidden/>
          </w:rPr>
          <w:t>1</w:t>
        </w:r>
        <w:r w:rsidR="00D03E26">
          <w:rPr>
            <w:noProof/>
            <w:webHidden/>
          </w:rPr>
          <w:fldChar w:fldCharType="end"/>
        </w:r>
      </w:hyperlink>
    </w:p>
    <w:p w14:paraId="1EFB0988" w14:textId="681D9367" w:rsidR="00D03E26" w:rsidRDefault="00135195">
      <w:pPr>
        <w:pStyle w:val="TOC1"/>
        <w:rPr>
          <w:rFonts w:eastAsiaTheme="minorEastAsia"/>
          <w:b w:val="0"/>
          <w:noProof/>
          <w:sz w:val="22"/>
          <w:lang w:eastAsia="en-AU"/>
        </w:rPr>
      </w:pPr>
      <w:hyperlink w:anchor="_Toc495937450" w:history="1">
        <w:r w:rsidR="00D03E26" w:rsidRPr="000558CC">
          <w:rPr>
            <w:rStyle w:val="Hyperlink"/>
            <w:noProof/>
            <w:lang w:val="en-GB"/>
          </w:rPr>
          <w:t>2. Background paper questions</w:t>
        </w:r>
        <w:r w:rsidR="00D03E26">
          <w:rPr>
            <w:noProof/>
            <w:webHidden/>
          </w:rPr>
          <w:tab/>
        </w:r>
        <w:r w:rsidR="00D03E26">
          <w:rPr>
            <w:noProof/>
            <w:webHidden/>
          </w:rPr>
          <w:fldChar w:fldCharType="begin"/>
        </w:r>
        <w:r w:rsidR="00D03E26">
          <w:rPr>
            <w:noProof/>
            <w:webHidden/>
          </w:rPr>
          <w:instrText xml:space="preserve"> PAGEREF _Toc495937450 \h </w:instrText>
        </w:r>
        <w:r w:rsidR="00D03E26">
          <w:rPr>
            <w:noProof/>
            <w:webHidden/>
          </w:rPr>
        </w:r>
        <w:r w:rsidR="00D03E26">
          <w:rPr>
            <w:noProof/>
            <w:webHidden/>
          </w:rPr>
          <w:fldChar w:fldCharType="separate"/>
        </w:r>
        <w:r>
          <w:rPr>
            <w:noProof/>
            <w:webHidden/>
          </w:rPr>
          <w:t>3</w:t>
        </w:r>
        <w:r w:rsidR="00D03E26">
          <w:rPr>
            <w:noProof/>
            <w:webHidden/>
          </w:rPr>
          <w:fldChar w:fldCharType="end"/>
        </w:r>
      </w:hyperlink>
    </w:p>
    <w:p w14:paraId="1FA95709" w14:textId="6E5387B3" w:rsidR="00D03E26" w:rsidRDefault="00135195">
      <w:pPr>
        <w:pStyle w:val="TOC1"/>
        <w:rPr>
          <w:rFonts w:eastAsiaTheme="minorEastAsia"/>
          <w:b w:val="0"/>
          <w:noProof/>
          <w:sz w:val="22"/>
          <w:lang w:eastAsia="en-AU"/>
        </w:rPr>
      </w:pPr>
      <w:hyperlink w:anchor="_Toc495937451" w:history="1">
        <w:r w:rsidR="00D03E26" w:rsidRPr="000558CC">
          <w:rPr>
            <w:rStyle w:val="Hyperlink"/>
            <w:noProof/>
            <w:lang w:val="en-GB"/>
          </w:rPr>
          <w:t>3. Additional considerations</w:t>
        </w:r>
        <w:r w:rsidR="00D03E26">
          <w:rPr>
            <w:noProof/>
            <w:webHidden/>
          </w:rPr>
          <w:tab/>
        </w:r>
        <w:r w:rsidR="00D03E26">
          <w:rPr>
            <w:noProof/>
            <w:webHidden/>
          </w:rPr>
          <w:fldChar w:fldCharType="begin"/>
        </w:r>
        <w:r w:rsidR="00D03E26">
          <w:rPr>
            <w:noProof/>
            <w:webHidden/>
          </w:rPr>
          <w:instrText xml:space="preserve"> PAGEREF _Toc495937451 \h </w:instrText>
        </w:r>
        <w:r w:rsidR="00D03E26">
          <w:rPr>
            <w:noProof/>
            <w:webHidden/>
          </w:rPr>
        </w:r>
        <w:r w:rsidR="00D03E26">
          <w:rPr>
            <w:noProof/>
            <w:webHidden/>
          </w:rPr>
          <w:fldChar w:fldCharType="separate"/>
        </w:r>
        <w:r>
          <w:rPr>
            <w:noProof/>
            <w:webHidden/>
          </w:rPr>
          <w:t>17</w:t>
        </w:r>
        <w:r w:rsidR="00D03E26">
          <w:rPr>
            <w:noProof/>
            <w:webHidden/>
          </w:rPr>
          <w:fldChar w:fldCharType="end"/>
        </w:r>
      </w:hyperlink>
    </w:p>
    <w:p w14:paraId="3E7CC9B0" w14:textId="62704E03" w:rsidR="00D03E26" w:rsidRDefault="00135195">
      <w:pPr>
        <w:pStyle w:val="TOC1"/>
        <w:rPr>
          <w:rFonts w:eastAsiaTheme="minorEastAsia"/>
          <w:b w:val="0"/>
          <w:noProof/>
          <w:sz w:val="22"/>
          <w:lang w:eastAsia="en-AU"/>
        </w:rPr>
      </w:pPr>
      <w:hyperlink w:anchor="_Toc495937452" w:history="1">
        <w:r w:rsidR="00D03E26" w:rsidRPr="000558CC">
          <w:rPr>
            <w:rStyle w:val="Hyperlink"/>
            <w:noProof/>
            <w:lang w:val="en-GB"/>
          </w:rPr>
          <w:t>Attachment A: Productivity Commission Recommendations</w:t>
        </w:r>
        <w:r w:rsidR="00D03E26">
          <w:rPr>
            <w:noProof/>
            <w:webHidden/>
          </w:rPr>
          <w:tab/>
        </w:r>
        <w:r w:rsidR="00D03E26">
          <w:rPr>
            <w:noProof/>
            <w:webHidden/>
          </w:rPr>
          <w:fldChar w:fldCharType="begin"/>
        </w:r>
        <w:r w:rsidR="00D03E26">
          <w:rPr>
            <w:noProof/>
            <w:webHidden/>
          </w:rPr>
          <w:instrText xml:space="preserve"> PAGEREF _Toc495937452 \h </w:instrText>
        </w:r>
        <w:r w:rsidR="00D03E26">
          <w:rPr>
            <w:noProof/>
            <w:webHidden/>
          </w:rPr>
        </w:r>
        <w:r w:rsidR="00D03E26">
          <w:rPr>
            <w:noProof/>
            <w:webHidden/>
          </w:rPr>
          <w:fldChar w:fldCharType="separate"/>
        </w:r>
        <w:r>
          <w:rPr>
            <w:noProof/>
            <w:webHidden/>
          </w:rPr>
          <w:t>25</w:t>
        </w:r>
        <w:r w:rsidR="00D03E26">
          <w:rPr>
            <w:noProof/>
            <w:webHidden/>
          </w:rPr>
          <w:fldChar w:fldCharType="end"/>
        </w:r>
      </w:hyperlink>
    </w:p>
    <w:p w14:paraId="54524179" w14:textId="51DECA4A" w:rsidR="00D03E26" w:rsidRDefault="00135195">
      <w:pPr>
        <w:pStyle w:val="TOC1"/>
        <w:rPr>
          <w:rFonts w:eastAsiaTheme="minorEastAsia"/>
          <w:b w:val="0"/>
          <w:noProof/>
          <w:sz w:val="22"/>
          <w:lang w:eastAsia="en-AU"/>
        </w:rPr>
      </w:pPr>
      <w:hyperlink w:anchor="_Toc495937453" w:history="1">
        <w:r w:rsidR="00D03E26" w:rsidRPr="000558CC">
          <w:rPr>
            <w:rStyle w:val="Hyperlink"/>
            <w:noProof/>
            <w:lang w:val="en-GB"/>
          </w:rPr>
          <w:t>About the Australian Chamber</w:t>
        </w:r>
        <w:r w:rsidR="00D03E26">
          <w:rPr>
            <w:noProof/>
            <w:webHidden/>
          </w:rPr>
          <w:tab/>
        </w:r>
        <w:r w:rsidR="00D03E26">
          <w:rPr>
            <w:noProof/>
            <w:webHidden/>
          </w:rPr>
          <w:fldChar w:fldCharType="begin"/>
        </w:r>
        <w:r w:rsidR="00D03E26">
          <w:rPr>
            <w:noProof/>
            <w:webHidden/>
          </w:rPr>
          <w:instrText xml:space="preserve"> PAGEREF _Toc495937453 \h </w:instrText>
        </w:r>
        <w:r w:rsidR="00D03E26">
          <w:rPr>
            <w:noProof/>
            <w:webHidden/>
          </w:rPr>
        </w:r>
        <w:r w:rsidR="00D03E26">
          <w:rPr>
            <w:noProof/>
            <w:webHidden/>
          </w:rPr>
          <w:fldChar w:fldCharType="separate"/>
        </w:r>
        <w:r>
          <w:rPr>
            <w:noProof/>
            <w:webHidden/>
          </w:rPr>
          <w:t>27</w:t>
        </w:r>
        <w:r w:rsidR="00D03E26">
          <w:rPr>
            <w:noProof/>
            <w:webHidden/>
          </w:rPr>
          <w:fldChar w:fldCharType="end"/>
        </w:r>
      </w:hyperlink>
    </w:p>
    <w:p w14:paraId="72A6A54E" w14:textId="7CD38EFC" w:rsidR="00D03E26" w:rsidRDefault="00135195">
      <w:pPr>
        <w:pStyle w:val="TOC1"/>
        <w:rPr>
          <w:rFonts w:eastAsiaTheme="minorEastAsia"/>
          <w:b w:val="0"/>
          <w:noProof/>
          <w:sz w:val="22"/>
          <w:lang w:eastAsia="en-AU"/>
        </w:rPr>
      </w:pPr>
      <w:hyperlink w:anchor="_Toc495937454" w:history="1">
        <w:r w:rsidR="00D03E26" w:rsidRPr="000558CC">
          <w:rPr>
            <w:rStyle w:val="Hyperlink"/>
            <w:noProof/>
            <w:lang w:val="en-GB"/>
          </w:rPr>
          <w:t>Australian Chamber Members</w:t>
        </w:r>
        <w:r w:rsidR="00D03E26">
          <w:rPr>
            <w:noProof/>
            <w:webHidden/>
          </w:rPr>
          <w:tab/>
        </w:r>
        <w:r w:rsidR="00D03E26">
          <w:rPr>
            <w:noProof/>
            <w:webHidden/>
          </w:rPr>
          <w:fldChar w:fldCharType="begin"/>
        </w:r>
        <w:r w:rsidR="00D03E26">
          <w:rPr>
            <w:noProof/>
            <w:webHidden/>
          </w:rPr>
          <w:instrText xml:space="preserve"> PAGEREF _Toc495937454 \h </w:instrText>
        </w:r>
        <w:r w:rsidR="00D03E26">
          <w:rPr>
            <w:noProof/>
            <w:webHidden/>
          </w:rPr>
        </w:r>
        <w:r w:rsidR="00D03E26">
          <w:rPr>
            <w:noProof/>
            <w:webHidden/>
          </w:rPr>
          <w:fldChar w:fldCharType="separate"/>
        </w:r>
        <w:r>
          <w:rPr>
            <w:noProof/>
            <w:webHidden/>
          </w:rPr>
          <w:t>28</w:t>
        </w:r>
        <w:r w:rsidR="00D03E26">
          <w:rPr>
            <w:noProof/>
            <w:webHidden/>
          </w:rPr>
          <w:fldChar w:fldCharType="end"/>
        </w:r>
      </w:hyperlink>
    </w:p>
    <w:p w14:paraId="7E20A62E" w14:textId="77777777" w:rsidR="003E4019" w:rsidRPr="00C61917" w:rsidRDefault="005126DB">
      <w:pPr>
        <w:spacing w:before="0" w:after="160" w:line="259" w:lineRule="auto"/>
        <w:rPr>
          <w:lang w:val="en-GB"/>
        </w:rPr>
      </w:pPr>
      <w:r w:rsidRPr="00C61917">
        <w:rPr>
          <w:lang w:val="en-GB"/>
        </w:rPr>
        <w:fldChar w:fldCharType="end"/>
      </w:r>
    </w:p>
    <w:p w14:paraId="459434DD" w14:textId="77777777" w:rsidR="00511BEB" w:rsidRPr="00C61917" w:rsidRDefault="00511BEB">
      <w:pPr>
        <w:spacing w:before="0" w:after="160" w:line="259" w:lineRule="auto"/>
        <w:rPr>
          <w:sz w:val="2"/>
          <w:lang w:val="en-GB"/>
        </w:rPr>
      </w:pPr>
      <w:r w:rsidRPr="00C61917">
        <w:rPr>
          <w:sz w:val="2"/>
          <w:lang w:val="en-GB"/>
        </w:rPr>
        <w:br w:type="page"/>
      </w:r>
    </w:p>
    <w:p w14:paraId="61BCC964" w14:textId="77777777" w:rsidR="00D914DD" w:rsidRPr="00C61917" w:rsidRDefault="00D914DD" w:rsidP="00D914DD">
      <w:pPr>
        <w:spacing w:after="120"/>
        <w:jc w:val="both"/>
        <w:rPr>
          <w:sz w:val="2"/>
          <w:lang w:val="en-GB"/>
        </w:rPr>
      </w:pPr>
    </w:p>
    <w:p w14:paraId="2286E9A1" w14:textId="77777777" w:rsidR="00D914DD" w:rsidRPr="00C61917" w:rsidRDefault="00D914DD" w:rsidP="00D914DD">
      <w:pPr>
        <w:overflowPunct w:val="0"/>
        <w:autoSpaceDE w:val="0"/>
        <w:autoSpaceDN w:val="0"/>
        <w:adjustRightInd w:val="0"/>
        <w:spacing w:before="0" w:after="240" w:line="270" w:lineRule="atLeast"/>
        <w:jc w:val="both"/>
        <w:textAlignment w:val="baseline"/>
        <w:rPr>
          <w:rFonts w:ascii="Arial Narrow" w:hAnsi="Arial Narrow" w:cs="Arial"/>
          <w:sz w:val="14"/>
          <w:szCs w:val="26"/>
          <w:lang w:val="en-GB"/>
        </w:rPr>
      </w:pPr>
    </w:p>
    <w:p w14:paraId="2CBD9956" w14:textId="77777777" w:rsidR="003E4019" w:rsidRPr="00C61917" w:rsidRDefault="002C2541">
      <w:pPr>
        <w:spacing w:before="0" w:after="160" w:line="259" w:lineRule="auto"/>
        <w:rPr>
          <w:lang w:val="en-GB"/>
        </w:rPr>
        <w:sectPr w:rsidR="003E4019" w:rsidRPr="00C61917" w:rsidSect="003E4019">
          <w:footerReference w:type="default" r:id="rId18"/>
          <w:pgSz w:w="11906" w:h="16838"/>
          <w:pgMar w:top="2211" w:right="851" w:bottom="1134" w:left="1701" w:header="709" w:footer="497" w:gutter="0"/>
          <w:pgNumType w:fmt="lowerRoman" w:start="1"/>
          <w:cols w:space="708"/>
          <w:docGrid w:linePitch="360"/>
        </w:sectPr>
      </w:pPr>
      <w:r w:rsidRPr="00C61917">
        <w:rPr>
          <w:lang w:val="en-GB"/>
        </w:rPr>
        <w:br w:type="page"/>
      </w:r>
    </w:p>
    <w:p w14:paraId="00B0358A" w14:textId="77777777" w:rsidR="00BE1893" w:rsidRPr="00723944" w:rsidRDefault="00B94422" w:rsidP="0075593F">
      <w:pPr>
        <w:pStyle w:val="Heading1"/>
        <w:rPr>
          <w:lang w:val="en-GB"/>
        </w:rPr>
      </w:pPr>
      <w:bookmarkStart w:id="7" w:name="_Toc495937449"/>
      <w:r w:rsidRPr="00723944">
        <w:rPr>
          <w:lang w:val="en-GB"/>
        </w:rPr>
        <w:lastRenderedPageBreak/>
        <w:t xml:space="preserve">1. </w:t>
      </w:r>
      <w:bookmarkStart w:id="8" w:name="_Toc479512727"/>
      <w:r w:rsidR="00BE1893" w:rsidRPr="00723944">
        <w:rPr>
          <w:lang w:val="en-GB"/>
        </w:rPr>
        <w:t>Introduction</w:t>
      </w:r>
      <w:bookmarkEnd w:id="8"/>
      <w:bookmarkEnd w:id="7"/>
      <w:r w:rsidR="00BE1893" w:rsidRPr="00723944">
        <w:rPr>
          <w:lang w:val="en-GB"/>
        </w:rPr>
        <w:t xml:space="preserve"> </w:t>
      </w:r>
    </w:p>
    <w:p w14:paraId="03029294" w14:textId="77777777" w:rsidR="003916C6" w:rsidRPr="00723944" w:rsidRDefault="00C61917" w:rsidP="00186898">
      <w:pPr>
        <w:pStyle w:val="ListParagraph"/>
        <w:numPr>
          <w:ilvl w:val="0"/>
          <w:numId w:val="3"/>
        </w:numPr>
        <w:spacing w:before="0" w:after="280" w:line="270" w:lineRule="auto"/>
        <w:ind w:hanging="720"/>
        <w:contextualSpacing w:val="0"/>
        <w:jc w:val="both"/>
        <w:rPr>
          <w:lang w:val="en-GB"/>
        </w:rPr>
      </w:pPr>
      <w:r w:rsidRPr="00723944">
        <w:rPr>
          <w:lang w:val="en-GB"/>
        </w:rPr>
        <w:t xml:space="preserve">The </w:t>
      </w:r>
      <w:r w:rsidR="00F92382" w:rsidRPr="00723944">
        <w:rPr>
          <w:lang w:val="en-GB"/>
        </w:rPr>
        <w:t xml:space="preserve">Australian Chamber </w:t>
      </w:r>
      <w:r w:rsidRPr="00723944">
        <w:rPr>
          <w:lang w:val="en-GB"/>
        </w:rPr>
        <w:t xml:space="preserve">welcomes this opportunity to </w:t>
      </w:r>
      <w:r w:rsidR="00186898" w:rsidRPr="00723944">
        <w:rPr>
          <w:lang w:val="en-GB"/>
        </w:rPr>
        <w:t xml:space="preserve">input the independent review of the operation of Part 5 of Schedule 1 of the </w:t>
      </w:r>
      <w:r w:rsidR="00186898" w:rsidRPr="00723944">
        <w:rPr>
          <w:i/>
          <w:lang w:val="en-GB"/>
        </w:rPr>
        <w:t>Fair Work Amendment Act 2015</w:t>
      </w:r>
      <w:r w:rsidR="00186898" w:rsidRPr="00723944">
        <w:rPr>
          <w:lang w:val="en-GB"/>
        </w:rPr>
        <w:t xml:space="preserve"> </w:t>
      </w:r>
      <w:r w:rsidR="00FC288E" w:rsidRPr="00723944">
        <w:rPr>
          <w:lang w:val="en-GB"/>
        </w:rPr>
        <w:t>(</w:t>
      </w:r>
      <w:r w:rsidR="0011417C">
        <w:rPr>
          <w:lang w:val="en-GB"/>
        </w:rPr>
        <w:t xml:space="preserve">the </w:t>
      </w:r>
      <w:r w:rsidR="00FC288E" w:rsidRPr="00723944">
        <w:rPr>
          <w:lang w:val="en-GB"/>
        </w:rPr>
        <w:t xml:space="preserve">2015 Amendments) </w:t>
      </w:r>
      <w:r w:rsidR="00186898" w:rsidRPr="00723944">
        <w:rPr>
          <w:lang w:val="en-GB"/>
        </w:rPr>
        <w:t xml:space="preserve">and the changes made to </w:t>
      </w:r>
      <w:r w:rsidR="0011417C">
        <w:rPr>
          <w:lang w:val="en-GB"/>
        </w:rPr>
        <w:t>G</w:t>
      </w:r>
      <w:r w:rsidR="00186898" w:rsidRPr="00723944">
        <w:rPr>
          <w:lang w:val="en-GB"/>
        </w:rPr>
        <w:t>reenfield (GF) enterprise agreement making under the Fair Work Act 2009 (FW Act).</w:t>
      </w:r>
    </w:p>
    <w:p w14:paraId="14BDE806" w14:textId="49DE4E4C" w:rsidR="006D5D2F" w:rsidRPr="00723944" w:rsidRDefault="00186898" w:rsidP="00991BAD">
      <w:pPr>
        <w:pStyle w:val="ListParagraph"/>
        <w:numPr>
          <w:ilvl w:val="0"/>
          <w:numId w:val="3"/>
        </w:numPr>
        <w:spacing w:before="0" w:after="280" w:line="270" w:lineRule="auto"/>
        <w:ind w:hanging="720"/>
        <w:contextualSpacing w:val="0"/>
        <w:jc w:val="both"/>
        <w:rPr>
          <w:lang w:val="en-GB"/>
        </w:rPr>
      </w:pPr>
      <w:r w:rsidRPr="00723944">
        <w:rPr>
          <w:lang w:val="en-GB"/>
        </w:rPr>
        <w:t xml:space="preserve">The Australian Chamber and its members have long been strong supporters of </w:t>
      </w:r>
      <w:r w:rsidR="0011417C">
        <w:rPr>
          <w:lang w:val="en-GB"/>
        </w:rPr>
        <w:t>avenues</w:t>
      </w:r>
      <w:r w:rsidRPr="00723944">
        <w:rPr>
          <w:lang w:val="en-GB"/>
        </w:rPr>
        <w:t xml:space="preserve"> for GF agreement making to be included in our workplace </w:t>
      </w:r>
      <w:r w:rsidR="00E725BF" w:rsidRPr="00723944">
        <w:rPr>
          <w:lang w:val="en-GB"/>
        </w:rPr>
        <w:t>relations</w:t>
      </w:r>
      <w:r w:rsidRPr="00723944">
        <w:rPr>
          <w:lang w:val="en-GB"/>
        </w:rPr>
        <w:t xml:space="preserve"> legislation</w:t>
      </w:r>
      <w:r w:rsidR="00E725BF" w:rsidRPr="00723944">
        <w:rPr>
          <w:lang w:val="en-GB"/>
        </w:rPr>
        <w:t xml:space="preserve">. Clear, accessible and outcome oriented scope to secure GF agreements prior to hiring/ mobilisation must form part of our workplace relations system if we are to secure essential investment to develop new industries, new projects and new work in this country.  </w:t>
      </w:r>
      <w:r w:rsidR="006D5D2F" w:rsidRPr="00723944">
        <w:rPr>
          <w:lang w:val="en-GB"/>
        </w:rPr>
        <w:t xml:space="preserve">Investors, contractors, employees and unions need to have the security and certainty GF agreements provide. </w:t>
      </w:r>
    </w:p>
    <w:p w14:paraId="547AEC41" w14:textId="77777777" w:rsidR="006D5D2F" w:rsidRPr="00723944" w:rsidRDefault="006D5D2F" w:rsidP="00991BAD">
      <w:pPr>
        <w:pStyle w:val="ListParagraph"/>
        <w:numPr>
          <w:ilvl w:val="0"/>
          <w:numId w:val="3"/>
        </w:numPr>
        <w:spacing w:before="0" w:after="280" w:line="270" w:lineRule="auto"/>
        <w:ind w:hanging="720"/>
        <w:contextualSpacing w:val="0"/>
        <w:jc w:val="both"/>
        <w:rPr>
          <w:lang w:val="en-GB"/>
        </w:rPr>
      </w:pPr>
      <w:r w:rsidRPr="00723944">
        <w:rPr>
          <w:lang w:val="en-GB"/>
        </w:rPr>
        <w:t xml:space="preserve">Without GF agreements, and without a GF system that works, we would see: </w:t>
      </w:r>
    </w:p>
    <w:p w14:paraId="0AC66267" w14:textId="77777777" w:rsidR="0011417C" w:rsidRPr="00723944" w:rsidRDefault="0011417C" w:rsidP="0011417C">
      <w:pPr>
        <w:pStyle w:val="ListParagraph"/>
        <w:numPr>
          <w:ilvl w:val="1"/>
          <w:numId w:val="3"/>
        </w:numPr>
        <w:spacing w:before="0" w:after="280" w:line="270" w:lineRule="auto"/>
        <w:ind w:hanging="720"/>
        <w:contextualSpacing w:val="0"/>
        <w:jc w:val="both"/>
        <w:rPr>
          <w:lang w:val="en-GB"/>
        </w:rPr>
      </w:pPr>
      <w:r w:rsidRPr="00723944">
        <w:rPr>
          <w:lang w:val="en-GB"/>
        </w:rPr>
        <w:t xml:space="preserve">Employers rapidly exposed to protected industrial action as unions come in and organise their new workforces, and pursue enterprise agreements.  This would see strikes and bans precisely as new projects were being constructed or scaling up, and at the point at which investor sensitivity is greatest.  </w:t>
      </w:r>
    </w:p>
    <w:p w14:paraId="77B9D10C" w14:textId="77777777" w:rsidR="00CC1AA2" w:rsidRPr="00723944" w:rsidRDefault="00CC1AA2" w:rsidP="006D5D2F">
      <w:pPr>
        <w:pStyle w:val="ListParagraph"/>
        <w:numPr>
          <w:ilvl w:val="1"/>
          <w:numId w:val="3"/>
        </w:numPr>
        <w:spacing w:before="0" w:after="280" w:line="270" w:lineRule="auto"/>
        <w:ind w:hanging="720"/>
        <w:contextualSpacing w:val="0"/>
        <w:jc w:val="both"/>
        <w:rPr>
          <w:lang w:val="en-GB"/>
        </w:rPr>
      </w:pPr>
      <w:r w:rsidRPr="00723944">
        <w:rPr>
          <w:lang w:val="en-GB"/>
        </w:rPr>
        <w:t xml:space="preserve">Employers offering contracts of employment to hire, based on their assessment of market rates (which is not in itself problematic), but without any security or protection from additional claims or becoming exposed to exogenous union agendas that have nothing to do with their nascent workplace.  </w:t>
      </w:r>
      <w:r w:rsidR="005F43C3" w:rsidRPr="00723944">
        <w:rPr>
          <w:lang w:val="en-GB"/>
        </w:rPr>
        <w:t>This would include for example anti-contracting or anti-labour hire claims of the type the Productivity Commission (PC) recently recommended be eliminated from our agreement making system</w:t>
      </w:r>
      <w:r w:rsidR="00EF5EE4" w:rsidRPr="00723944">
        <w:rPr>
          <w:lang w:val="en-GB"/>
        </w:rPr>
        <w:t xml:space="preserve"> entirely</w:t>
      </w:r>
      <w:r w:rsidR="005F43C3" w:rsidRPr="00723944">
        <w:rPr>
          <w:rStyle w:val="FootnoteReference"/>
          <w:lang w:val="en-GB"/>
        </w:rPr>
        <w:footnoteReference w:id="1"/>
      </w:r>
      <w:r w:rsidR="005F43C3" w:rsidRPr="00723944">
        <w:rPr>
          <w:lang w:val="en-GB"/>
        </w:rPr>
        <w:t xml:space="preserve">.  </w:t>
      </w:r>
    </w:p>
    <w:p w14:paraId="2E95AC13" w14:textId="1A7BA1B8" w:rsidR="00EF5EE4" w:rsidRPr="00723944" w:rsidRDefault="00EF5EE4" w:rsidP="006D5D2F">
      <w:pPr>
        <w:pStyle w:val="ListParagraph"/>
        <w:numPr>
          <w:ilvl w:val="1"/>
          <w:numId w:val="3"/>
        </w:numPr>
        <w:spacing w:before="0" w:after="280" w:line="270" w:lineRule="auto"/>
        <w:ind w:hanging="720"/>
        <w:contextualSpacing w:val="0"/>
        <w:jc w:val="both"/>
        <w:rPr>
          <w:lang w:val="en-GB"/>
        </w:rPr>
      </w:pPr>
      <w:r w:rsidRPr="00723944">
        <w:rPr>
          <w:lang w:val="en-GB"/>
        </w:rPr>
        <w:t xml:space="preserve">Unions incentivised to bid up wages beyond sustainable </w:t>
      </w:r>
      <w:r w:rsidR="001D5133">
        <w:rPr>
          <w:lang w:val="en-GB"/>
        </w:rPr>
        <w:t>levels</w:t>
      </w:r>
      <w:r w:rsidRPr="00723944">
        <w:rPr>
          <w:lang w:val="en-GB"/>
        </w:rPr>
        <w:t xml:space="preserve">, and beyond the market rates upon which employers would </w:t>
      </w:r>
      <w:r w:rsidR="0011417C">
        <w:rPr>
          <w:lang w:val="en-GB"/>
        </w:rPr>
        <w:t xml:space="preserve">naturally </w:t>
      </w:r>
      <w:r w:rsidRPr="00723944">
        <w:rPr>
          <w:lang w:val="en-GB"/>
        </w:rPr>
        <w:t xml:space="preserve">hire employees.  </w:t>
      </w:r>
    </w:p>
    <w:p w14:paraId="3EF73257" w14:textId="77777777" w:rsidR="00E2192E" w:rsidRPr="00723944" w:rsidRDefault="00E2192E" w:rsidP="006D5D2F">
      <w:pPr>
        <w:pStyle w:val="ListParagraph"/>
        <w:numPr>
          <w:ilvl w:val="1"/>
          <w:numId w:val="3"/>
        </w:numPr>
        <w:spacing w:before="0" w:after="280" w:line="270" w:lineRule="auto"/>
        <w:ind w:hanging="720"/>
        <w:contextualSpacing w:val="0"/>
        <w:jc w:val="both"/>
        <w:rPr>
          <w:lang w:val="en-GB"/>
        </w:rPr>
      </w:pPr>
      <w:r w:rsidRPr="00723944">
        <w:rPr>
          <w:lang w:val="en-GB"/>
        </w:rPr>
        <w:t>More likely, investors avoid investing in Australia or attaching an additional workplace relations risk premium prior to injecting essential capital into this country (thereby reducing our competitiveness as an investment destination)</w:t>
      </w:r>
    </w:p>
    <w:p w14:paraId="2C52FA7D" w14:textId="77777777" w:rsidR="00E2192E" w:rsidRPr="00723944" w:rsidRDefault="00E2192E" w:rsidP="006D5D2F">
      <w:pPr>
        <w:pStyle w:val="ListParagraph"/>
        <w:numPr>
          <w:ilvl w:val="1"/>
          <w:numId w:val="3"/>
        </w:numPr>
        <w:spacing w:before="0" w:after="280" w:line="270" w:lineRule="auto"/>
        <w:ind w:hanging="720"/>
        <w:contextualSpacing w:val="0"/>
        <w:jc w:val="both"/>
        <w:rPr>
          <w:lang w:val="en-GB"/>
        </w:rPr>
      </w:pPr>
      <w:r w:rsidRPr="00723944">
        <w:rPr>
          <w:lang w:val="en-GB"/>
        </w:rPr>
        <w:lastRenderedPageBreak/>
        <w:t>An unbalanced approach in which unions would hold the whip hand in negotiations and be able to act capriciously and extortionately</w:t>
      </w:r>
      <w:r w:rsidR="0011417C">
        <w:rPr>
          <w:lang w:val="en-GB"/>
        </w:rPr>
        <w:t>, reducing</w:t>
      </w:r>
      <w:r w:rsidRPr="00723944">
        <w:rPr>
          <w:lang w:val="en-GB"/>
        </w:rPr>
        <w:t xml:space="preserve"> certainty </w:t>
      </w:r>
      <w:r w:rsidR="0011417C">
        <w:rPr>
          <w:lang w:val="en-GB"/>
        </w:rPr>
        <w:t xml:space="preserve">and confidence </w:t>
      </w:r>
      <w:r w:rsidRPr="00723944">
        <w:rPr>
          <w:lang w:val="en-GB"/>
        </w:rPr>
        <w:t xml:space="preserve">to those seeking to undertake essential project work in this country.  </w:t>
      </w:r>
    </w:p>
    <w:p w14:paraId="066060CF" w14:textId="77777777" w:rsidR="00723944" w:rsidRPr="00723944" w:rsidRDefault="00723944" w:rsidP="00723944">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723944">
        <w:rPr>
          <w:rFonts w:ascii="Arial Narrow" w:hAnsi="Arial Narrow" w:cs="Arial"/>
          <w:szCs w:val="26"/>
          <w:lang w:val="en-GB"/>
        </w:rPr>
        <w:t xml:space="preserve">The Australian Chamber and its member organisations have long engaged with the Parliament and other reviewers to: </w:t>
      </w:r>
    </w:p>
    <w:p w14:paraId="3A6E9F0B" w14:textId="77777777" w:rsidR="00723944" w:rsidRPr="00723944" w:rsidRDefault="00723944" w:rsidP="0072394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723944">
        <w:rPr>
          <w:rFonts w:ascii="Arial Narrow" w:hAnsi="Arial Narrow" w:cs="Arial"/>
          <w:szCs w:val="26"/>
          <w:lang w:val="en-GB"/>
        </w:rPr>
        <w:t xml:space="preserve">Champion the need for a GF agreement making stream or options under the FW Act and its predecessors. </w:t>
      </w:r>
    </w:p>
    <w:p w14:paraId="40D84B87" w14:textId="13F7DCCC" w:rsidR="00723944" w:rsidRPr="00723944" w:rsidRDefault="00723944" w:rsidP="0072394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723944">
        <w:rPr>
          <w:rFonts w:ascii="Arial Narrow" w:hAnsi="Arial Narrow" w:cs="Arial"/>
          <w:szCs w:val="26"/>
          <w:lang w:val="en-GB"/>
        </w:rPr>
        <w:t xml:space="preserve">Ensure GF agreements are able to be finalised in a timely and reliable manner that advances rather than places at risk incentives to invest, create jobs, deliver infrastructure etc in Australia.   </w:t>
      </w:r>
    </w:p>
    <w:p w14:paraId="44D64E6A" w14:textId="77777777" w:rsidR="00EF5EE4" w:rsidRPr="00C56284" w:rsidRDefault="00723944" w:rsidP="00991BAD">
      <w:pPr>
        <w:pStyle w:val="ListParagraph"/>
        <w:numPr>
          <w:ilvl w:val="0"/>
          <w:numId w:val="3"/>
        </w:numPr>
        <w:spacing w:before="0" w:after="280" w:line="270" w:lineRule="auto"/>
        <w:ind w:hanging="720"/>
        <w:contextualSpacing w:val="0"/>
        <w:jc w:val="both"/>
        <w:rPr>
          <w:lang w:val="en-GB"/>
        </w:rPr>
      </w:pPr>
      <w:r w:rsidRPr="00723944">
        <w:rPr>
          <w:lang w:val="en-GB"/>
        </w:rPr>
        <w:t xml:space="preserve">The Australian Chamber and its members strongly supported the </w:t>
      </w:r>
      <w:r w:rsidR="00890BB3">
        <w:rPr>
          <w:lang w:val="en-GB"/>
        </w:rPr>
        <w:t xml:space="preserve">2015 </w:t>
      </w:r>
      <w:r w:rsidRPr="00723944">
        <w:rPr>
          <w:lang w:val="en-GB"/>
        </w:rPr>
        <w:t>amendments</w:t>
      </w:r>
      <w:r w:rsidR="00890BB3">
        <w:rPr>
          <w:lang w:val="en-GB"/>
        </w:rPr>
        <w:t xml:space="preserve"> as essential </w:t>
      </w:r>
      <w:r w:rsidR="002919FF">
        <w:rPr>
          <w:lang w:val="en-GB"/>
        </w:rPr>
        <w:t xml:space="preserve">to ensure the GF </w:t>
      </w:r>
      <w:r w:rsidR="00890BB3">
        <w:rPr>
          <w:lang w:val="en-GB"/>
        </w:rPr>
        <w:t xml:space="preserve">pathway under </w:t>
      </w:r>
      <w:r w:rsidR="002919FF">
        <w:rPr>
          <w:lang w:val="en-GB"/>
        </w:rPr>
        <w:t xml:space="preserve">the </w:t>
      </w:r>
      <w:r w:rsidR="00890BB3">
        <w:rPr>
          <w:lang w:val="en-GB"/>
        </w:rPr>
        <w:t xml:space="preserve">FW Act </w:t>
      </w:r>
      <w:r w:rsidR="002919FF">
        <w:rPr>
          <w:lang w:val="en-GB"/>
        </w:rPr>
        <w:t xml:space="preserve">remains useable, relevant and </w:t>
      </w:r>
      <w:r w:rsidR="002919FF" w:rsidRPr="00C56284">
        <w:rPr>
          <w:lang w:val="en-GB"/>
        </w:rPr>
        <w:t xml:space="preserve">accessible. </w:t>
      </w:r>
      <w:r w:rsidRPr="00C56284">
        <w:rPr>
          <w:lang w:val="en-GB"/>
        </w:rPr>
        <w:t xml:space="preserve">   </w:t>
      </w:r>
    </w:p>
    <w:p w14:paraId="6C8B0036" w14:textId="77777777" w:rsidR="00C56284" w:rsidRPr="00C56284" w:rsidRDefault="00723944" w:rsidP="00890BB3">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56284">
        <w:rPr>
          <w:lang w:val="en-GB"/>
        </w:rPr>
        <w:t>As developed throughout this submission</w:t>
      </w:r>
      <w:r w:rsidR="00890BB3" w:rsidRPr="00C56284">
        <w:rPr>
          <w:lang w:val="en-GB"/>
        </w:rPr>
        <w:t xml:space="preserve">, this remains the case. </w:t>
      </w:r>
    </w:p>
    <w:p w14:paraId="2B94114D" w14:textId="77777777" w:rsidR="00890BB3" w:rsidRPr="00C56284" w:rsidRDefault="00890BB3" w:rsidP="00890BB3">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56284">
        <w:rPr>
          <w:rFonts w:ascii="Arial Narrow" w:hAnsi="Arial Narrow" w:cs="Arial"/>
          <w:szCs w:val="26"/>
          <w:lang w:val="en-GB"/>
        </w:rPr>
        <w:t xml:space="preserve">This review should conclude / recommend: </w:t>
      </w:r>
    </w:p>
    <w:p w14:paraId="6A689036" w14:textId="77777777" w:rsidR="00890BB3" w:rsidRPr="00537708" w:rsidRDefault="00890BB3" w:rsidP="00890BB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537708">
        <w:rPr>
          <w:rFonts w:ascii="Arial Narrow" w:hAnsi="Arial Narrow" w:cs="Arial"/>
          <w:szCs w:val="26"/>
          <w:lang w:val="en-GB"/>
        </w:rPr>
        <w:t>The 2015 amendments were valid and relevant</w:t>
      </w:r>
      <w:r w:rsidR="00C56284">
        <w:rPr>
          <w:rFonts w:ascii="Arial Narrow" w:hAnsi="Arial Narrow" w:cs="Arial"/>
          <w:szCs w:val="26"/>
          <w:lang w:val="en-GB"/>
        </w:rPr>
        <w:t>,</w:t>
      </w:r>
      <w:r w:rsidRPr="00537708">
        <w:rPr>
          <w:rFonts w:ascii="Arial Narrow" w:hAnsi="Arial Narrow" w:cs="Arial"/>
          <w:szCs w:val="26"/>
          <w:lang w:val="en-GB"/>
        </w:rPr>
        <w:t xml:space="preserve"> and remain valid and relevant, notwithstanding that the economic imperatives and drivers for GF agreements fell away markedly with the end phase of the resource investment boom. </w:t>
      </w:r>
    </w:p>
    <w:p w14:paraId="48714E45" w14:textId="77777777" w:rsidR="00890BB3" w:rsidRPr="00537708" w:rsidRDefault="00890BB3" w:rsidP="00890BB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537708">
        <w:rPr>
          <w:rFonts w:ascii="Arial Narrow" w:hAnsi="Arial Narrow" w:cs="Arial"/>
          <w:szCs w:val="26"/>
          <w:lang w:val="en-GB"/>
        </w:rPr>
        <w:t>The validity and relevance of the 2015 GF amendments cannot and should not be assessed</w:t>
      </w:r>
      <w:r>
        <w:rPr>
          <w:rFonts w:ascii="Arial Narrow" w:hAnsi="Arial Narrow" w:cs="Arial"/>
          <w:szCs w:val="26"/>
          <w:lang w:val="en-GB"/>
        </w:rPr>
        <w:t xml:space="preserve"> by crude measure</w:t>
      </w:r>
      <w:r w:rsidR="00C56284">
        <w:rPr>
          <w:rFonts w:ascii="Arial Narrow" w:hAnsi="Arial Narrow" w:cs="Arial"/>
          <w:szCs w:val="26"/>
          <w:lang w:val="en-GB"/>
        </w:rPr>
        <w:t>s</w:t>
      </w:r>
      <w:r>
        <w:rPr>
          <w:rFonts w:ascii="Arial Narrow" w:hAnsi="Arial Narrow" w:cs="Arial"/>
          <w:szCs w:val="26"/>
          <w:lang w:val="en-GB"/>
        </w:rPr>
        <w:t xml:space="preserve"> of their direct usage or application numbers. The GF </w:t>
      </w:r>
      <w:r w:rsidR="00C56284">
        <w:rPr>
          <w:rFonts w:ascii="Arial Narrow" w:hAnsi="Arial Narrow" w:cs="Arial"/>
          <w:szCs w:val="26"/>
          <w:lang w:val="en-GB"/>
        </w:rPr>
        <w:t xml:space="preserve">provisions </w:t>
      </w:r>
      <w:r>
        <w:rPr>
          <w:rFonts w:ascii="Arial Narrow" w:hAnsi="Arial Narrow" w:cs="Arial"/>
          <w:szCs w:val="26"/>
          <w:lang w:val="en-GB"/>
        </w:rPr>
        <w:t xml:space="preserve">of FW Act </w:t>
      </w:r>
      <w:r w:rsidR="00C56284">
        <w:rPr>
          <w:rFonts w:ascii="Arial Narrow" w:hAnsi="Arial Narrow" w:cs="Arial"/>
          <w:szCs w:val="26"/>
          <w:lang w:val="en-GB"/>
        </w:rPr>
        <w:t xml:space="preserve">provide </w:t>
      </w:r>
      <w:r>
        <w:rPr>
          <w:rFonts w:ascii="Arial Narrow" w:hAnsi="Arial Narrow" w:cs="Arial"/>
          <w:szCs w:val="26"/>
          <w:lang w:val="en-GB"/>
        </w:rPr>
        <w:t>an integrated system</w:t>
      </w:r>
      <w:r w:rsidR="00C56284">
        <w:rPr>
          <w:rFonts w:ascii="Arial Narrow" w:hAnsi="Arial Narrow" w:cs="Arial"/>
          <w:szCs w:val="26"/>
          <w:lang w:val="en-GB"/>
        </w:rPr>
        <w:t xml:space="preserve"> for GF agreement making</w:t>
      </w:r>
      <w:r>
        <w:rPr>
          <w:rFonts w:ascii="Arial Narrow" w:hAnsi="Arial Narrow" w:cs="Arial"/>
          <w:szCs w:val="26"/>
          <w:lang w:val="en-GB"/>
        </w:rPr>
        <w:t xml:space="preserve">, which has been improved </w:t>
      </w:r>
      <w:r w:rsidR="0011417C">
        <w:rPr>
          <w:rFonts w:ascii="Arial Narrow" w:hAnsi="Arial Narrow" w:cs="Arial"/>
          <w:szCs w:val="26"/>
          <w:lang w:val="en-GB"/>
        </w:rPr>
        <w:t xml:space="preserve">overall </w:t>
      </w:r>
      <w:r>
        <w:rPr>
          <w:rFonts w:ascii="Arial Narrow" w:hAnsi="Arial Narrow" w:cs="Arial"/>
          <w:szCs w:val="26"/>
          <w:lang w:val="en-GB"/>
        </w:rPr>
        <w:t xml:space="preserve">by the 2015 amendments.  </w:t>
      </w:r>
      <w:r w:rsidRPr="00537708">
        <w:rPr>
          <w:rFonts w:ascii="Arial Narrow" w:hAnsi="Arial Narrow" w:cs="Arial"/>
          <w:szCs w:val="26"/>
          <w:lang w:val="en-GB"/>
        </w:rPr>
        <w:t xml:space="preserve"> </w:t>
      </w:r>
    </w:p>
    <w:p w14:paraId="3DD48110" w14:textId="77777777" w:rsidR="00890BB3" w:rsidRPr="00537708" w:rsidRDefault="00890BB3" w:rsidP="00890BB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537708">
        <w:rPr>
          <w:rFonts w:ascii="Arial Narrow" w:hAnsi="Arial Narrow" w:cs="Arial"/>
          <w:szCs w:val="26"/>
          <w:lang w:val="en-GB"/>
        </w:rPr>
        <w:t xml:space="preserve">The 2015 amendments should be retained, and there should be no recommendation to reverse or retreat from them.  </w:t>
      </w:r>
    </w:p>
    <w:p w14:paraId="1C680E0B" w14:textId="77777777" w:rsidR="00890BB3" w:rsidRPr="000938D5" w:rsidRDefault="00890BB3" w:rsidP="00890BB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938D5">
        <w:rPr>
          <w:rFonts w:ascii="Arial Narrow" w:hAnsi="Arial Narrow" w:cs="Arial"/>
          <w:szCs w:val="26"/>
          <w:lang w:val="en-GB"/>
        </w:rPr>
        <w:t xml:space="preserve">Government should, in addition to the 2015 changes, implement the further recommendations on GF agreement making from the PC review (December 2015).   </w:t>
      </w:r>
    </w:p>
    <w:p w14:paraId="5EEF7D8F" w14:textId="77777777" w:rsidR="00890BB3" w:rsidRPr="000938D5" w:rsidRDefault="00890BB3" w:rsidP="00890BB3">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938D5">
        <w:rPr>
          <w:rFonts w:ascii="Arial Narrow" w:hAnsi="Arial Narrow" w:cs="Arial"/>
          <w:szCs w:val="26"/>
          <w:lang w:val="en-GB"/>
        </w:rPr>
        <w:t xml:space="preserve">Other </w:t>
      </w:r>
      <w:r w:rsidR="0011417C">
        <w:rPr>
          <w:rFonts w:ascii="Arial Narrow" w:hAnsi="Arial Narrow" w:cs="Arial"/>
          <w:szCs w:val="26"/>
          <w:lang w:val="en-GB"/>
        </w:rPr>
        <w:t>input</w:t>
      </w:r>
      <w:r w:rsidRPr="000938D5">
        <w:rPr>
          <w:rFonts w:ascii="Arial Narrow" w:hAnsi="Arial Narrow" w:cs="Arial"/>
          <w:szCs w:val="26"/>
          <w:lang w:val="en-GB"/>
        </w:rPr>
        <w:t xml:space="preserve"> will come from Australian Chamber network members with direct experience negotiating GF agreements. </w:t>
      </w:r>
      <w:r w:rsidR="0011417C">
        <w:rPr>
          <w:rFonts w:ascii="Arial Narrow" w:hAnsi="Arial Narrow" w:cs="Arial"/>
          <w:szCs w:val="26"/>
          <w:lang w:val="en-GB"/>
        </w:rPr>
        <w:t xml:space="preserve"> </w:t>
      </w:r>
      <w:r w:rsidRPr="000938D5">
        <w:rPr>
          <w:rFonts w:ascii="Arial Narrow" w:hAnsi="Arial Narrow" w:cs="Arial"/>
          <w:szCs w:val="26"/>
          <w:lang w:val="en-GB"/>
        </w:rPr>
        <w:t xml:space="preserve"> </w:t>
      </w:r>
      <w:r>
        <w:rPr>
          <w:rFonts w:ascii="Arial Narrow" w:hAnsi="Arial Narrow" w:cs="Arial"/>
          <w:szCs w:val="26"/>
          <w:lang w:val="en-GB"/>
        </w:rPr>
        <w:tab/>
      </w:r>
    </w:p>
    <w:p w14:paraId="24B0AE51" w14:textId="77777777" w:rsidR="00D03E26" w:rsidRDefault="00D03E26">
      <w:pPr>
        <w:spacing w:before="0" w:after="160" w:line="259" w:lineRule="auto"/>
        <w:rPr>
          <w:sz w:val="44"/>
          <w:szCs w:val="40"/>
          <w:lang w:val="en-GB"/>
        </w:rPr>
      </w:pPr>
      <w:r>
        <w:rPr>
          <w:lang w:val="en-GB"/>
        </w:rPr>
        <w:br w:type="page"/>
      </w:r>
    </w:p>
    <w:p w14:paraId="291C2B53" w14:textId="77777777" w:rsidR="00907D63" w:rsidRPr="00C61917" w:rsidRDefault="000342EF" w:rsidP="0075593F">
      <w:pPr>
        <w:pStyle w:val="Heading1"/>
        <w:rPr>
          <w:lang w:val="en-GB"/>
        </w:rPr>
      </w:pPr>
      <w:bookmarkStart w:id="9" w:name="_Toc495937450"/>
      <w:r>
        <w:rPr>
          <w:lang w:val="en-GB"/>
        </w:rPr>
        <w:lastRenderedPageBreak/>
        <w:t>2</w:t>
      </w:r>
      <w:r w:rsidR="00B94422" w:rsidRPr="00C61917">
        <w:rPr>
          <w:lang w:val="en-GB"/>
        </w:rPr>
        <w:t xml:space="preserve">. </w:t>
      </w:r>
      <w:r w:rsidR="00D92458" w:rsidRPr="00C61917">
        <w:rPr>
          <w:lang w:val="en-GB"/>
        </w:rPr>
        <w:t>Background paper questions</w:t>
      </w:r>
      <w:bookmarkEnd w:id="9"/>
      <w:r w:rsidR="00D92458" w:rsidRPr="00C61917">
        <w:rPr>
          <w:lang w:val="en-GB"/>
        </w:rPr>
        <w:t xml:space="preserve"> </w:t>
      </w:r>
    </w:p>
    <w:p w14:paraId="38B6D716" w14:textId="77777777" w:rsidR="00540F3E" w:rsidRPr="00C61917" w:rsidRDefault="002A3F38" w:rsidP="00540F3E">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Eight</w:t>
      </w:r>
      <w:r w:rsidR="00D65D6C">
        <w:rPr>
          <w:rFonts w:ascii="Arial Narrow" w:hAnsi="Arial Narrow" w:cs="Arial"/>
          <w:szCs w:val="26"/>
          <w:lang w:val="en-GB"/>
        </w:rPr>
        <w:t xml:space="preserve"> (8) </w:t>
      </w:r>
      <w:r w:rsidR="00540F3E">
        <w:rPr>
          <w:rFonts w:ascii="Arial Narrow" w:hAnsi="Arial Narrow" w:cs="Arial"/>
          <w:szCs w:val="26"/>
          <w:lang w:val="en-GB"/>
        </w:rPr>
        <w:t xml:space="preserve">“issues on which specific </w:t>
      </w:r>
      <w:r w:rsidR="00D65D6C">
        <w:rPr>
          <w:rFonts w:ascii="Arial Narrow" w:hAnsi="Arial Narrow" w:cs="Arial"/>
          <w:szCs w:val="26"/>
          <w:lang w:val="en-GB"/>
        </w:rPr>
        <w:t>comment is invited”</w:t>
      </w:r>
      <w:r>
        <w:rPr>
          <w:rFonts w:ascii="Arial Narrow" w:hAnsi="Arial Narrow" w:cs="Arial"/>
          <w:szCs w:val="26"/>
          <w:lang w:val="en-GB"/>
        </w:rPr>
        <w:t xml:space="preserve"> are</w:t>
      </w:r>
      <w:r w:rsidR="00D65D6C">
        <w:rPr>
          <w:rFonts w:ascii="Arial Narrow" w:hAnsi="Arial Narrow" w:cs="Arial"/>
          <w:szCs w:val="26"/>
          <w:lang w:val="en-GB"/>
        </w:rPr>
        <w:t xml:space="preserve"> listed on page </w:t>
      </w:r>
      <w:r w:rsidR="00540F3E">
        <w:rPr>
          <w:rFonts w:ascii="Arial Narrow" w:hAnsi="Arial Narrow" w:cs="Arial"/>
          <w:szCs w:val="26"/>
          <w:lang w:val="en-GB"/>
        </w:rPr>
        <w:t xml:space="preserve">19 of the Background Paper. </w:t>
      </w:r>
    </w:p>
    <w:p w14:paraId="596628DA" w14:textId="77777777" w:rsidR="00D92458" w:rsidRPr="00C61917" w:rsidRDefault="00D92458" w:rsidP="00D92458">
      <w:pPr>
        <w:pStyle w:val="Heading2"/>
        <w:rPr>
          <w:lang w:val="en-GB"/>
        </w:rPr>
      </w:pPr>
      <w:r w:rsidRPr="00C61917">
        <w:rPr>
          <w:lang w:val="en-GB"/>
        </w:rPr>
        <w:t xml:space="preserve">Changes to bargaining behaviours </w:t>
      </w:r>
    </w:p>
    <w:p w14:paraId="3F3A266F" w14:textId="77777777" w:rsidR="0098238D" w:rsidRPr="00C61917" w:rsidRDefault="0098238D" w:rsidP="00991BA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61917">
        <w:rPr>
          <w:rFonts w:ascii="Arial Narrow" w:hAnsi="Arial Narrow" w:cs="Arial"/>
          <w:szCs w:val="26"/>
          <w:lang w:val="en-GB"/>
        </w:rPr>
        <w:t xml:space="preserve">The first </w:t>
      </w:r>
      <w:r w:rsidR="00D65D6C">
        <w:rPr>
          <w:rFonts w:ascii="Arial Narrow" w:hAnsi="Arial Narrow" w:cs="Arial"/>
          <w:szCs w:val="26"/>
          <w:lang w:val="en-GB"/>
        </w:rPr>
        <w:t>issue</w:t>
      </w:r>
      <w:r w:rsidR="00253E53" w:rsidRPr="00C61917">
        <w:rPr>
          <w:rFonts w:ascii="Arial Narrow" w:hAnsi="Arial Narrow" w:cs="Arial"/>
          <w:szCs w:val="26"/>
          <w:lang w:val="en-GB"/>
        </w:rPr>
        <w:t xml:space="preserve"> on which specific comment is invited is</w:t>
      </w:r>
      <w:r w:rsidR="00AB1E39" w:rsidRPr="00C61917">
        <w:rPr>
          <w:rFonts w:ascii="Arial Narrow" w:hAnsi="Arial Narrow" w:cs="Arial"/>
          <w:szCs w:val="26"/>
          <w:lang w:val="en-GB"/>
        </w:rPr>
        <w:t xml:space="preserve">: </w:t>
      </w:r>
    </w:p>
    <w:p w14:paraId="34E1581A" w14:textId="77777777" w:rsidR="00253E53" w:rsidRPr="00C61917" w:rsidRDefault="00253E53" w:rsidP="00D92458">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r w:rsidRPr="00C61917">
        <w:rPr>
          <w:rFonts w:ascii="Arial Narrow" w:hAnsi="Arial Narrow" w:cs="Arial"/>
          <w:i/>
          <w:szCs w:val="26"/>
          <w:lang w:val="en-GB"/>
        </w:rPr>
        <w:t xml:space="preserve">The extent to which the 2015 </w:t>
      </w:r>
      <w:r w:rsidR="00BC202B">
        <w:rPr>
          <w:rFonts w:ascii="Arial Narrow" w:hAnsi="Arial Narrow" w:cs="Arial"/>
          <w:i/>
          <w:szCs w:val="26"/>
          <w:lang w:val="en-GB"/>
        </w:rPr>
        <w:t>Greenfields</w:t>
      </w:r>
      <w:r w:rsidRPr="00C61917">
        <w:rPr>
          <w:rFonts w:ascii="Arial Narrow" w:hAnsi="Arial Narrow" w:cs="Arial"/>
          <w:i/>
          <w:szCs w:val="26"/>
          <w:lang w:val="en-GB"/>
        </w:rPr>
        <w:t xml:space="preserve"> agreement amendments have altered bargaining behavio</w:t>
      </w:r>
      <w:r w:rsidR="005F3C06">
        <w:rPr>
          <w:rFonts w:ascii="Arial Narrow" w:hAnsi="Arial Narrow" w:cs="Arial"/>
          <w:i/>
          <w:szCs w:val="26"/>
          <w:lang w:val="en-GB"/>
        </w:rPr>
        <w:t>u</w:t>
      </w:r>
      <w:r w:rsidRPr="00C61917">
        <w:rPr>
          <w:rFonts w:ascii="Arial Narrow" w:hAnsi="Arial Narrow" w:cs="Arial"/>
          <w:i/>
          <w:szCs w:val="26"/>
          <w:lang w:val="en-GB"/>
        </w:rPr>
        <w:t>r on the part</w:t>
      </w:r>
      <w:r w:rsidR="00D92458" w:rsidRPr="00C61917">
        <w:rPr>
          <w:rFonts w:ascii="Arial Narrow" w:hAnsi="Arial Narrow" w:cs="Arial"/>
          <w:i/>
          <w:szCs w:val="26"/>
          <w:lang w:val="en-GB"/>
        </w:rPr>
        <w:t xml:space="preserve"> of either employers or unions.</w:t>
      </w:r>
    </w:p>
    <w:p w14:paraId="43FDA6E0" w14:textId="77777777" w:rsidR="00D92458" w:rsidRPr="00C61917" w:rsidRDefault="00D92458" w:rsidP="00D92458">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74F7B983" w14:textId="77777777" w:rsidR="00251100" w:rsidRDefault="00D05F04" w:rsidP="00D9245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Direct feedback on this issue is best </w:t>
      </w:r>
      <w:r w:rsidR="005D285F">
        <w:rPr>
          <w:rFonts w:ascii="Arial Narrow" w:hAnsi="Arial Narrow" w:cs="Arial"/>
          <w:szCs w:val="26"/>
          <w:lang w:val="en-GB"/>
        </w:rPr>
        <w:t xml:space="preserve">provided </w:t>
      </w:r>
      <w:r>
        <w:rPr>
          <w:rFonts w:ascii="Arial Narrow" w:hAnsi="Arial Narrow" w:cs="Arial"/>
          <w:szCs w:val="26"/>
          <w:lang w:val="en-GB"/>
        </w:rPr>
        <w:t>by our members who work directly with GF negotiations with union</w:t>
      </w:r>
      <w:r w:rsidR="002A3F38">
        <w:rPr>
          <w:rFonts w:ascii="Arial Narrow" w:hAnsi="Arial Narrow" w:cs="Arial"/>
          <w:szCs w:val="26"/>
          <w:lang w:val="en-GB"/>
        </w:rPr>
        <w:t>s</w:t>
      </w:r>
      <w:r w:rsidR="00251100">
        <w:rPr>
          <w:rFonts w:ascii="Arial Narrow" w:hAnsi="Arial Narrow" w:cs="Arial"/>
          <w:szCs w:val="26"/>
          <w:lang w:val="en-GB"/>
        </w:rPr>
        <w:t xml:space="preserve">, and who are responsible for the lodgement and advocacy </w:t>
      </w:r>
      <w:r w:rsidR="002A3F38">
        <w:rPr>
          <w:rFonts w:ascii="Arial Narrow" w:hAnsi="Arial Narrow" w:cs="Arial"/>
          <w:szCs w:val="26"/>
          <w:lang w:val="en-GB"/>
        </w:rPr>
        <w:t>in</w:t>
      </w:r>
      <w:r w:rsidR="00251100">
        <w:rPr>
          <w:rFonts w:ascii="Arial Narrow" w:hAnsi="Arial Narrow" w:cs="Arial"/>
          <w:szCs w:val="26"/>
          <w:lang w:val="en-GB"/>
        </w:rPr>
        <w:t xml:space="preserve"> making of GF agreements. </w:t>
      </w:r>
    </w:p>
    <w:p w14:paraId="5E94C422" w14:textId="77777777" w:rsidR="00D92458" w:rsidRDefault="00D05F04" w:rsidP="00D9245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However, we can usefully recall that: </w:t>
      </w:r>
    </w:p>
    <w:p w14:paraId="0C353BC6" w14:textId="77777777" w:rsidR="002352F4" w:rsidRDefault="00D05F04" w:rsidP="00D05F0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understand the majority of GF agreements to have always been </w:t>
      </w:r>
      <w:r w:rsidR="00537708">
        <w:rPr>
          <w:rFonts w:ascii="Arial Narrow" w:hAnsi="Arial Narrow" w:cs="Arial"/>
          <w:szCs w:val="26"/>
          <w:lang w:val="en-GB"/>
        </w:rPr>
        <w:t xml:space="preserve">successfully </w:t>
      </w:r>
      <w:r>
        <w:rPr>
          <w:rFonts w:ascii="Arial Narrow" w:hAnsi="Arial Narrow" w:cs="Arial"/>
          <w:szCs w:val="26"/>
          <w:lang w:val="en-GB"/>
        </w:rPr>
        <w:t>negotiated between prospective employers and trade unions, and agreed consensually to proceed for approval</w:t>
      </w:r>
      <w:r w:rsidR="002352F4">
        <w:rPr>
          <w:rFonts w:ascii="Arial Narrow" w:hAnsi="Arial Narrow" w:cs="Arial"/>
          <w:szCs w:val="26"/>
          <w:lang w:val="en-GB"/>
        </w:rPr>
        <w:t xml:space="preserve">.  </w:t>
      </w:r>
    </w:p>
    <w:p w14:paraId="7142D239" w14:textId="77777777" w:rsidR="002352F4" w:rsidRDefault="002352F4" w:rsidP="002352F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Thus</w:t>
      </w:r>
      <w:r w:rsidRPr="002352F4">
        <w:rPr>
          <w:rFonts w:ascii="Arial Narrow" w:hAnsi="Arial Narrow" w:cs="Arial"/>
          <w:szCs w:val="26"/>
          <w:lang w:val="en-GB"/>
        </w:rPr>
        <w:t xml:space="preserve">, in </w:t>
      </w:r>
      <w:r w:rsidR="00537708">
        <w:rPr>
          <w:rFonts w:ascii="Arial Narrow" w:hAnsi="Arial Narrow" w:cs="Arial"/>
          <w:szCs w:val="26"/>
          <w:lang w:val="en-GB"/>
        </w:rPr>
        <w:t xml:space="preserve">most </w:t>
      </w:r>
      <w:r w:rsidRPr="002352F4">
        <w:rPr>
          <w:rFonts w:ascii="Arial Narrow" w:hAnsi="Arial Narrow" w:cs="Arial"/>
          <w:szCs w:val="26"/>
          <w:lang w:val="en-GB"/>
        </w:rPr>
        <w:t>industries and circumstances</w:t>
      </w:r>
      <w:r>
        <w:rPr>
          <w:rFonts w:ascii="Arial Narrow" w:hAnsi="Arial Narrow" w:cs="Arial"/>
          <w:szCs w:val="26"/>
          <w:lang w:val="en-GB"/>
        </w:rPr>
        <w:t xml:space="preserve">, the 2015 changes will not have altered, or not have altered markedly, bargaining behaviours. This does not however diminish their importance, and their utility cannot be usefully assessed by </w:t>
      </w:r>
      <w:r w:rsidR="002A3F38">
        <w:rPr>
          <w:rFonts w:ascii="Arial Narrow" w:hAnsi="Arial Narrow" w:cs="Arial"/>
          <w:szCs w:val="26"/>
          <w:lang w:val="en-GB"/>
        </w:rPr>
        <w:t>solely</w:t>
      </w:r>
      <w:r>
        <w:rPr>
          <w:rFonts w:ascii="Arial Narrow" w:hAnsi="Arial Narrow" w:cs="Arial"/>
          <w:szCs w:val="26"/>
          <w:lang w:val="en-GB"/>
        </w:rPr>
        <w:t xml:space="preserve"> focussing on </w:t>
      </w:r>
      <w:r w:rsidR="002A3F38">
        <w:rPr>
          <w:rFonts w:ascii="Arial Narrow" w:hAnsi="Arial Narrow" w:cs="Arial"/>
          <w:szCs w:val="26"/>
          <w:lang w:val="en-GB"/>
        </w:rPr>
        <w:t>simple</w:t>
      </w:r>
      <w:r>
        <w:rPr>
          <w:rFonts w:ascii="Arial Narrow" w:hAnsi="Arial Narrow" w:cs="Arial"/>
          <w:szCs w:val="26"/>
          <w:lang w:val="en-GB"/>
        </w:rPr>
        <w:t xml:space="preserve"> measures of direct usage. </w:t>
      </w:r>
    </w:p>
    <w:p w14:paraId="2B87D6DC" w14:textId="008CA125" w:rsidR="00D05F04" w:rsidRDefault="002352F4" w:rsidP="002352F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focus of the 2015 changes was the minority of </w:t>
      </w:r>
      <w:r w:rsidR="00B625AC">
        <w:rPr>
          <w:rFonts w:ascii="Arial Narrow" w:hAnsi="Arial Narrow" w:cs="Arial"/>
          <w:szCs w:val="26"/>
          <w:lang w:val="en-GB"/>
        </w:rPr>
        <w:t xml:space="preserve">situations </w:t>
      </w:r>
      <w:r>
        <w:rPr>
          <w:rFonts w:ascii="Arial Narrow" w:hAnsi="Arial Narrow" w:cs="Arial"/>
          <w:szCs w:val="26"/>
          <w:lang w:val="en-GB"/>
        </w:rPr>
        <w:t xml:space="preserve">in which negotiations protract, are not conducted in good faith, or are being gamed to place investment pressures on employers to agree to overinflated terms. </w:t>
      </w:r>
      <w:r w:rsidR="00B625AC">
        <w:rPr>
          <w:rFonts w:ascii="Arial Narrow" w:hAnsi="Arial Narrow" w:cs="Arial"/>
          <w:szCs w:val="26"/>
          <w:lang w:val="en-GB"/>
        </w:rPr>
        <w:t xml:space="preserve"> This is why we describe the </w:t>
      </w:r>
      <w:r w:rsidR="002A3F38">
        <w:rPr>
          <w:rFonts w:ascii="Arial Narrow" w:hAnsi="Arial Narrow" w:cs="Arial"/>
          <w:szCs w:val="26"/>
          <w:lang w:val="en-GB"/>
        </w:rPr>
        <w:t>2015 amendments</w:t>
      </w:r>
      <w:r w:rsidR="00B625AC">
        <w:rPr>
          <w:rFonts w:ascii="Arial Narrow" w:hAnsi="Arial Narrow" w:cs="Arial"/>
          <w:szCs w:val="26"/>
          <w:lang w:val="en-GB"/>
        </w:rPr>
        <w:t xml:space="preserve"> as a circ</w:t>
      </w:r>
      <w:r w:rsidR="002A3F38">
        <w:rPr>
          <w:rFonts w:ascii="Arial Narrow" w:hAnsi="Arial Narrow" w:cs="Arial"/>
          <w:szCs w:val="26"/>
          <w:lang w:val="en-GB"/>
        </w:rPr>
        <w:t xml:space="preserve">uit breaker / </w:t>
      </w:r>
      <w:r w:rsidR="001D5133">
        <w:rPr>
          <w:rFonts w:ascii="Arial Narrow" w:hAnsi="Arial Narrow" w:cs="Arial"/>
          <w:szCs w:val="26"/>
          <w:lang w:val="en-GB"/>
        </w:rPr>
        <w:t>safety valv</w:t>
      </w:r>
      <w:r w:rsidR="00B625AC">
        <w:rPr>
          <w:rFonts w:ascii="Arial Narrow" w:hAnsi="Arial Narrow" w:cs="Arial"/>
          <w:szCs w:val="26"/>
          <w:lang w:val="en-GB"/>
        </w:rPr>
        <w:t xml:space="preserve">e for the minority of GF negotiations that protract and thereby endanger critical, job creating investment. </w:t>
      </w:r>
    </w:p>
    <w:p w14:paraId="154A7D08" w14:textId="571B7E05" w:rsidR="00761D07" w:rsidRPr="001B3976" w:rsidRDefault="005D285F" w:rsidP="001B3976">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Even where behaviours do change, the impact may have been subtle and difficult to observe. </w:t>
      </w:r>
      <w:r w:rsidR="001D5133">
        <w:rPr>
          <w:rFonts w:ascii="Arial Narrow" w:hAnsi="Arial Narrow" w:cs="Arial"/>
          <w:szCs w:val="26"/>
          <w:lang w:val="en-GB"/>
        </w:rPr>
        <w:t xml:space="preserve">The </w:t>
      </w:r>
      <w:r>
        <w:rPr>
          <w:rFonts w:ascii="Arial Narrow" w:hAnsi="Arial Narrow" w:cs="Arial"/>
          <w:szCs w:val="26"/>
          <w:lang w:val="en-GB"/>
        </w:rPr>
        <w:t xml:space="preserve">existence of the safety valve provided by </w:t>
      </w:r>
      <w:r w:rsidR="00761D07">
        <w:rPr>
          <w:rFonts w:ascii="Arial Narrow" w:hAnsi="Arial Narrow" w:cs="Arial"/>
          <w:szCs w:val="26"/>
          <w:lang w:val="en-GB"/>
        </w:rPr>
        <w:t xml:space="preserve">s 182(4) is likely to ensure </w:t>
      </w:r>
      <w:r w:rsidR="001D5133">
        <w:rPr>
          <w:rFonts w:ascii="Arial Narrow" w:hAnsi="Arial Narrow" w:cs="Arial"/>
          <w:szCs w:val="26"/>
          <w:lang w:val="en-GB"/>
        </w:rPr>
        <w:t xml:space="preserve">more GF </w:t>
      </w:r>
      <w:r w:rsidR="00761D07">
        <w:rPr>
          <w:rFonts w:ascii="Arial Narrow" w:hAnsi="Arial Narrow" w:cs="Arial"/>
          <w:szCs w:val="26"/>
          <w:lang w:val="en-GB"/>
        </w:rPr>
        <w:t>negotiations proceed consensually and constructively, and yield GF agreements supported by both prospective employer</w:t>
      </w:r>
      <w:r w:rsidR="00B625AC">
        <w:rPr>
          <w:rFonts w:ascii="Arial Narrow" w:hAnsi="Arial Narrow" w:cs="Arial"/>
          <w:szCs w:val="26"/>
          <w:lang w:val="en-GB"/>
        </w:rPr>
        <w:t>s</w:t>
      </w:r>
      <w:r w:rsidR="00761D07">
        <w:rPr>
          <w:rFonts w:ascii="Arial Narrow" w:hAnsi="Arial Narrow" w:cs="Arial"/>
          <w:szCs w:val="26"/>
          <w:lang w:val="en-GB"/>
        </w:rPr>
        <w:t xml:space="preserve"> and union</w:t>
      </w:r>
      <w:r w:rsidR="00B625AC">
        <w:rPr>
          <w:rFonts w:ascii="Arial Narrow" w:hAnsi="Arial Narrow" w:cs="Arial"/>
          <w:szCs w:val="26"/>
          <w:lang w:val="en-GB"/>
        </w:rPr>
        <w:t>s</w:t>
      </w:r>
      <w:r w:rsidR="00761D07">
        <w:rPr>
          <w:rFonts w:ascii="Arial Narrow" w:hAnsi="Arial Narrow" w:cs="Arial"/>
          <w:szCs w:val="26"/>
          <w:lang w:val="en-GB"/>
        </w:rPr>
        <w:t>.</w:t>
      </w:r>
      <w:r w:rsidR="00B625AC">
        <w:rPr>
          <w:rFonts w:ascii="Arial Narrow" w:hAnsi="Arial Narrow" w:cs="Arial"/>
          <w:szCs w:val="26"/>
          <w:lang w:val="en-GB"/>
        </w:rPr>
        <w:t xml:space="preserve"> </w:t>
      </w:r>
      <w:r w:rsidR="00B625AC" w:rsidRPr="001B3976">
        <w:rPr>
          <w:rFonts w:ascii="Arial Narrow" w:hAnsi="Arial Narrow" w:cs="Arial"/>
          <w:szCs w:val="26"/>
          <w:lang w:val="en-GB"/>
        </w:rPr>
        <w:t xml:space="preserve">Thus, much of the actual behavioural change may be observable through more GF agreements </w:t>
      </w:r>
      <w:r w:rsidR="002A3F38">
        <w:rPr>
          <w:rFonts w:ascii="Arial Narrow" w:hAnsi="Arial Narrow" w:cs="Arial"/>
          <w:szCs w:val="26"/>
          <w:lang w:val="en-GB"/>
        </w:rPr>
        <w:t xml:space="preserve">being </w:t>
      </w:r>
      <w:r w:rsidR="00B625AC" w:rsidRPr="001B3976">
        <w:rPr>
          <w:rFonts w:ascii="Arial Narrow" w:hAnsi="Arial Narrow" w:cs="Arial"/>
          <w:szCs w:val="26"/>
          <w:lang w:val="en-GB"/>
        </w:rPr>
        <w:t xml:space="preserve">successfully </w:t>
      </w:r>
      <w:r w:rsidR="002A3F38">
        <w:rPr>
          <w:rFonts w:ascii="Arial Narrow" w:hAnsi="Arial Narrow" w:cs="Arial"/>
          <w:szCs w:val="26"/>
          <w:lang w:val="en-GB"/>
        </w:rPr>
        <w:t>negotiated</w:t>
      </w:r>
      <w:r w:rsidR="00B625AC" w:rsidRPr="001B3976">
        <w:rPr>
          <w:rFonts w:ascii="Arial Narrow" w:hAnsi="Arial Narrow" w:cs="Arial"/>
          <w:szCs w:val="26"/>
          <w:lang w:val="en-GB"/>
        </w:rPr>
        <w:t xml:space="preserve"> </w:t>
      </w:r>
      <w:r w:rsidR="001D5133">
        <w:rPr>
          <w:rFonts w:ascii="Arial Narrow" w:hAnsi="Arial Narrow" w:cs="Arial"/>
          <w:szCs w:val="26"/>
          <w:lang w:val="en-GB"/>
        </w:rPr>
        <w:t xml:space="preserve">between </w:t>
      </w:r>
      <w:r w:rsidR="00B625AC" w:rsidRPr="001B3976">
        <w:rPr>
          <w:rFonts w:ascii="Arial Narrow" w:hAnsi="Arial Narrow" w:cs="Arial"/>
          <w:szCs w:val="26"/>
          <w:lang w:val="en-GB"/>
        </w:rPr>
        <w:t xml:space="preserve">employers and unions.  </w:t>
      </w:r>
    </w:p>
    <w:p w14:paraId="65AB5DD7" w14:textId="77777777" w:rsidR="001B3976" w:rsidRDefault="00761D07" w:rsidP="002352F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 xml:space="preserve">However this is something </w:t>
      </w:r>
      <w:r w:rsidR="0021145A">
        <w:rPr>
          <w:rFonts w:ascii="Arial Narrow" w:hAnsi="Arial Narrow" w:cs="Arial"/>
          <w:szCs w:val="26"/>
          <w:lang w:val="en-GB"/>
        </w:rPr>
        <w:t>of a counterfactual</w:t>
      </w:r>
      <w:r>
        <w:rPr>
          <w:rFonts w:ascii="Arial Narrow" w:hAnsi="Arial Narrow" w:cs="Arial"/>
          <w:szCs w:val="26"/>
          <w:lang w:val="en-GB"/>
        </w:rPr>
        <w:t xml:space="preserve"> which is difficult to measure, and it certainly does not come out in the agreement data provided to support this review.  </w:t>
      </w:r>
    </w:p>
    <w:p w14:paraId="7A3BFB4F" w14:textId="77777777" w:rsidR="00251100" w:rsidRDefault="00761D07" w:rsidP="002352F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What </w:t>
      </w:r>
      <w:r w:rsidR="001A1787">
        <w:rPr>
          <w:rFonts w:ascii="Arial Narrow" w:hAnsi="Arial Narrow" w:cs="Arial"/>
          <w:szCs w:val="26"/>
          <w:lang w:val="en-GB"/>
        </w:rPr>
        <w:t>is</w:t>
      </w:r>
      <w:r w:rsidR="001B3976">
        <w:rPr>
          <w:rFonts w:ascii="Arial Narrow" w:hAnsi="Arial Narrow" w:cs="Arial"/>
          <w:szCs w:val="26"/>
          <w:lang w:val="en-GB"/>
        </w:rPr>
        <w:t xml:space="preserve"> really need</w:t>
      </w:r>
      <w:r w:rsidR="001A1787">
        <w:rPr>
          <w:rFonts w:ascii="Arial Narrow" w:hAnsi="Arial Narrow" w:cs="Arial"/>
          <w:szCs w:val="26"/>
          <w:lang w:val="en-GB"/>
        </w:rPr>
        <w:t>ed</w:t>
      </w:r>
      <w:r w:rsidR="001B3976">
        <w:rPr>
          <w:rFonts w:ascii="Arial Narrow" w:hAnsi="Arial Narrow" w:cs="Arial"/>
          <w:szCs w:val="26"/>
          <w:lang w:val="en-GB"/>
        </w:rPr>
        <w:t xml:space="preserve"> to assess any change in behaviours </w:t>
      </w:r>
      <w:r>
        <w:rPr>
          <w:rFonts w:ascii="Arial Narrow" w:hAnsi="Arial Narrow" w:cs="Arial"/>
          <w:szCs w:val="26"/>
          <w:lang w:val="en-GB"/>
        </w:rPr>
        <w:t xml:space="preserve">is a “realisation rate” and an assessment of what </w:t>
      </w:r>
      <w:r w:rsidR="00251100">
        <w:rPr>
          <w:rFonts w:ascii="Arial Narrow" w:hAnsi="Arial Narrow" w:cs="Arial"/>
          <w:szCs w:val="26"/>
          <w:lang w:val="en-GB"/>
        </w:rPr>
        <w:t>proportion</w:t>
      </w:r>
      <w:r>
        <w:rPr>
          <w:rFonts w:ascii="Arial Narrow" w:hAnsi="Arial Narrow" w:cs="Arial"/>
          <w:szCs w:val="26"/>
          <w:lang w:val="en-GB"/>
        </w:rPr>
        <w:t xml:space="preserve"> of negotiations towards a GF agreement actually yield a GF agreement that is made consensually</w:t>
      </w:r>
      <w:r w:rsidR="00251100">
        <w:rPr>
          <w:rFonts w:ascii="Arial Narrow" w:hAnsi="Arial Narrow" w:cs="Arial"/>
          <w:szCs w:val="26"/>
          <w:lang w:val="en-GB"/>
        </w:rPr>
        <w:t>, and how this changes over time</w:t>
      </w:r>
      <w:r>
        <w:rPr>
          <w:rFonts w:ascii="Arial Narrow" w:hAnsi="Arial Narrow" w:cs="Arial"/>
          <w:szCs w:val="26"/>
          <w:lang w:val="en-GB"/>
        </w:rPr>
        <w:t>.</w:t>
      </w:r>
      <w:r w:rsidR="00251100">
        <w:rPr>
          <w:rFonts w:ascii="Arial Narrow" w:hAnsi="Arial Narrow" w:cs="Arial"/>
          <w:szCs w:val="26"/>
          <w:lang w:val="en-GB"/>
        </w:rPr>
        <w:t xml:space="preserve">  </w:t>
      </w:r>
      <w:r w:rsidR="001B3976">
        <w:rPr>
          <w:rFonts w:ascii="Arial Narrow" w:hAnsi="Arial Narrow" w:cs="Arial"/>
          <w:szCs w:val="26"/>
          <w:lang w:val="en-GB"/>
        </w:rPr>
        <w:t>We don’t understand this data to be available, and the review needs to rely</w:t>
      </w:r>
      <w:r w:rsidR="001A1787">
        <w:rPr>
          <w:rFonts w:ascii="Arial Narrow" w:hAnsi="Arial Narrow" w:cs="Arial"/>
          <w:szCs w:val="26"/>
          <w:lang w:val="en-GB"/>
        </w:rPr>
        <w:t xml:space="preserve"> instead</w:t>
      </w:r>
      <w:r w:rsidR="001B3976">
        <w:rPr>
          <w:rFonts w:ascii="Arial Narrow" w:hAnsi="Arial Narrow" w:cs="Arial"/>
          <w:szCs w:val="26"/>
          <w:lang w:val="en-GB"/>
        </w:rPr>
        <w:t xml:space="preserve"> on the views of those most experienced in making GF agreements. </w:t>
      </w:r>
    </w:p>
    <w:p w14:paraId="6A250FB7" w14:textId="77777777" w:rsidR="001B3976" w:rsidRDefault="001B3976" w:rsidP="002352F4">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H</w:t>
      </w:r>
      <w:r w:rsidR="00251100">
        <w:rPr>
          <w:rFonts w:ascii="Arial Narrow" w:hAnsi="Arial Narrow" w:cs="Arial"/>
          <w:szCs w:val="26"/>
          <w:lang w:val="en-GB"/>
        </w:rPr>
        <w:t>owever</w:t>
      </w:r>
      <w:r>
        <w:rPr>
          <w:rFonts w:ascii="Arial Narrow" w:hAnsi="Arial Narrow" w:cs="Arial"/>
          <w:szCs w:val="26"/>
          <w:lang w:val="en-GB"/>
        </w:rPr>
        <w:t>,</w:t>
      </w:r>
      <w:r w:rsidR="00251100">
        <w:rPr>
          <w:rFonts w:ascii="Arial Narrow" w:hAnsi="Arial Narrow" w:cs="Arial"/>
          <w:szCs w:val="26"/>
          <w:lang w:val="en-GB"/>
        </w:rPr>
        <w:t xml:space="preserve"> the Australian Chamber </w:t>
      </w:r>
      <w:r>
        <w:rPr>
          <w:rFonts w:ascii="Arial Narrow" w:hAnsi="Arial Narrow" w:cs="Arial"/>
          <w:szCs w:val="26"/>
          <w:lang w:val="en-GB"/>
        </w:rPr>
        <w:t xml:space="preserve">is not </w:t>
      </w:r>
      <w:r w:rsidR="00251100">
        <w:rPr>
          <w:rFonts w:ascii="Arial Narrow" w:hAnsi="Arial Narrow" w:cs="Arial"/>
          <w:szCs w:val="26"/>
          <w:lang w:val="en-GB"/>
        </w:rPr>
        <w:t>aware of</w:t>
      </w:r>
      <w:r>
        <w:rPr>
          <w:rFonts w:ascii="Arial Narrow" w:hAnsi="Arial Narrow" w:cs="Arial"/>
          <w:szCs w:val="26"/>
          <w:lang w:val="en-GB"/>
        </w:rPr>
        <w:t xml:space="preserve">: </w:t>
      </w:r>
    </w:p>
    <w:p w14:paraId="2AD8CFCD" w14:textId="26882048" w:rsidR="005D285F" w:rsidRDefault="001B3976" w:rsidP="001B3976">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Examples fol</w:t>
      </w:r>
      <w:r w:rsidR="00F31C96">
        <w:rPr>
          <w:rFonts w:ascii="Arial Narrow" w:hAnsi="Arial Narrow" w:cs="Arial"/>
          <w:szCs w:val="26"/>
          <w:lang w:val="en-GB"/>
        </w:rPr>
        <w:t>lowing the introduction of the 2015</w:t>
      </w:r>
      <w:r>
        <w:rPr>
          <w:rFonts w:ascii="Arial Narrow" w:hAnsi="Arial Narrow" w:cs="Arial"/>
          <w:szCs w:val="26"/>
          <w:lang w:val="en-GB"/>
        </w:rPr>
        <w:t xml:space="preserve"> amendments, of </w:t>
      </w:r>
      <w:r w:rsidR="00251100">
        <w:rPr>
          <w:rFonts w:ascii="Arial Narrow" w:hAnsi="Arial Narrow" w:cs="Arial"/>
          <w:szCs w:val="26"/>
          <w:lang w:val="en-GB"/>
        </w:rPr>
        <w:t>employer</w:t>
      </w:r>
      <w:r w:rsidR="00F31C96">
        <w:rPr>
          <w:rFonts w:ascii="Arial Narrow" w:hAnsi="Arial Narrow" w:cs="Arial"/>
          <w:szCs w:val="26"/>
          <w:lang w:val="en-GB"/>
        </w:rPr>
        <w:t>s</w:t>
      </w:r>
      <w:r w:rsidR="00251100">
        <w:rPr>
          <w:rFonts w:ascii="Arial Narrow" w:hAnsi="Arial Narrow" w:cs="Arial"/>
          <w:szCs w:val="26"/>
          <w:lang w:val="en-GB"/>
        </w:rPr>
        <w:t xml:space="preserve"> </w:t>
      </w:r>
      <w:r w:rsidR="00F31C96">
        <w:rPr>
          <w:rFonts w:ascii="Arial Narrow" w:hAnsi="Arial Narrow" w:cs="Arial"/>
          <w:szCs w:val="26"/>
          <w:lang w:val="en-GB"/>
        </w:rPr>
        <w:t>embarking</w:t>
      </w:r>
      <w:r w:rsidR="00251100">
        <w:rPr>
          <w:rFonts w:ascii="Arial Narrow" w:hAnsi="Arial Narrow" w:cs="Arial"/>
          <w:szCs w:val="26"/>
          <w:lang w:val="en-GB"/>
        </w:rPr>
        <w:t xml:space="preserve"> towards GF agreement</w:t>
      </w:r>
      <w:r w:rsidR="00F31C96">
        <w:rPr>
          <w:rFonts w:ascii="Arial Narrow" w:hAnsi="Arial Narrow" w:cs="Arial"/>
          <w:szCs w:val="26"/>
          <w:lang w:val="en-GB"/>
        </w:rPr>
        <w:t>s</w:t>
      </w:r>
      <w:r w:rsidR="00251100">
        <w:rPr>
          <w:rFonts w:ascii="Arial Narrow" w:hAnsi="Arial Narrow" w:cs="Arial"/>
          <w:szCs w:val="26"/>
          <w:lang w:val="en-GB"/>
        </w:rPr>
        <w:t xml:space="preserve"> </w:t>
      </w:r>
      <w:r w:rsidR="00F31C96">
        <w:rPr>
          <w:rFonts w:ascii="Arial Narrow" w:hAnsi="Arial Narrow" w:cs="Arial"/>
          <w:szCs w:val="26"/>
          <w:lang w:val="en-GB"/>
        </w:rPr>
        <w:t xml:space="preserve">they </w:t>
      </w:r>
      <w:r w:rsidR="001D5133">
        <w:rPr>
          <w:rFonts w:ascii="Arial Narrow" w:hAnsi="Arial Narrow" w:cs="Arial"/>
          <w:szCs w:val="26"/>
          <w:lang w:val="en-GB"/>
        </w:rPr>
        <w:t>judge</w:t>
      </w:r>
      <w:r w:rsidR="00251100">
        <w:rPr>
          <w:rFonts w:ascii="Arial Narrow" w:hAnsi="Arial Narrow" w:cs="Arial"/>
          <w:szCs w:val="26"/>
          <w:lang w:val="en-GB"/>
        </w:rPr>
        <w:t xml:space="preserve"> to be necessary for investment / the commencement of work, only to abandon </w:t>
      </w:r>
      <w:r w:rsidR="00F31C96">
        <w:rPr>
          <w:rFonts w:ascii="Arial Narrow" w:hAnsi="Arial Narrow" w:cs="Arial"/>
          <w:szCs w:val="26"/>
          <w:lang w:val="en-GB"/>
        </w:rPr>
        <w:t xml:space="preserve">them </w:t>
      </w:r>
      <w:r w:rsidR="00251100">
        <w:rPr>
          <w:rFonts w:ascii="Arial Narrow" w:hAnsi="Arial Narrow" w:cs="Arial"/>
          <w:szCs w:val="26"/>
          <w:lang w:val="en-GB"/>
        </w:rPr>
        <w:t xml:space="preserve">as too difficult.  </w:t>
      </w:r>
      <w:r w:rsidR="00761D07">
        <w:rPr>
          <w:rFonts w:ascii="Arial Narrow" w:hAnsi="Arial Narrow" w:cs="Arial"/>
          <w:szCs w:val="26"/>
          <w:lang w:val="en-GB"/>
        </w:rPr>
        <w:t xml:space="preserve"> </w:t>
      </w:r>
    </w:p>
    <w:p w14:paraId="5AA8A9A9" w14:textId="57BFDEB7" w:rsidR="00F31C96" w:rsidRDefault="00F31C96" w:rsidP="001B3976">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Any genuine union grievance with the process post-2015, or examples of unions being forced </w:t>
      </w:r>
      <w:r w:rsidR="001A1787">
        <w:rPr>
          <w:rFonts w:ascii="Arial Narrow" w:hAnsi="Arial Narrow" w:cs="Arial"/>
          <w:szCs w:val="26"/>
          <w:lang w:val="en-GB"/>
        </w:rPr>
        <w:t>to agree to a</w:t>
      </w:r>
      <w:r>
        <w:rPr>
          <w:rFonts w:ascii="Arial Narrow" w:hAnsi="Arial Narrow" w:cs="Arial"/>
          <w:szCs w:val="26"/>
          <w:lang w:val="en-GB"/>
        </w:rPr>
        <w:t xml:space="preserve"> GF agreement that ‘sells their members short’ for fear of being drawn into the process under s 182(4).  This was one of the professed concerns in 2014 and 2015, but we do not understand it to have </w:t>
      </w:r>
      <w:r w:rsidR="001D5133">
        <w:rPr>
          <w:rFonts w:ascii="Arial Narrow" w:hAnsi="Arial Narrow" w:cs="Arial"/>
          <w:szCs w:val="26"/>
          <w:lang w:val="en-GB"/>
        </w:rPr>
        <w:t xml:space="preserve">been borne out in practice </w:t>
      </w:r>
      <w:r w:rsidR="001A1787">
        <w:rPr>
          <w:rFonts w:ascii="Arial Narrow" w:hAnsi="Arial Narrow" w:cs="Arial"/>
          <w:szCs w:val="26"/>
          <w:lang w:val="en-GB"/>
        </w:rPr>
        <w:t>following the amendments</w:t>
      </w:r>
      <w:r>
        <w:rPr>
          <w:rFonts w:ascii="Arial Narrow" w:hAnsi="Arial Narrow" w:cs="Arial"/>
          <w:szCs w:val="26"/>
          <w:lang w:val="en-GB"/>
        </w:rPr>
        <w:t xml:space="preserve">. </w:t>
      </w:r>
    </w:p>
    <w:p w14:paraId="1381AF75" w14:textId="77777777" w:rsidR="00C177AC" w:rsidRDefault="0021145A" w:rsidP="0021145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Noting that GF agreements do continue to be successfully negotiated, albeit in reduced numbers due to </w:t>
      </w:r>
      <w:r w:rsidR="00C177AC">
        <w:rPr>
          <w:rFonts w:ascii="Arial Narrow" w:hAnsi="Arial Narrow" w:cs="Arial"/>
          <w:szCs w:val="26"/>
          <w:lang w:val="en-GB"/>
        </w:rPr>
        <w:t>cyclical</w:t>
      </w:r>
      <w:r>
        <w:rPr>
          <w:rFonts w:ascii="Arial Narrow" w:hAnsi="Arial Narrow" w:cs="Arial"/>
          <w:szCs w:val="26"/>
          <w:lang w:val="en-GB"/>
        </w:rPr>
        <w:t xml:space="preserve"> and demand factors rather than th</w:t>
      </w:r>
      <w:r w:rsidR="00C177AC">
        <w:rPr>
          <w:rFonts w:ascii="Arial Narrow" w:hAnsi="Arial Narrow" w:cs="Arial"/>
          <w:szCs w:val="26"/>
          <w:lang w:val="en-GB"/>
        </w:rPr>
        <w:t xml:space="preserve">e impact of </w:t>
      </w:r>
      <w:r w:rsidR="001A1787">
        <w:rPr>
          <w:rFonts w:ascii="Arial Narrow" w:hAnsi="Arial Narrow" w:cs="Arial"/>
          <w:szCs w:val="26"/>
          <w:lang w:val="en-GB"/>
        </w:rPr>
        <w:t>the</w:t>
      </w:r>
      <w:r w:rsidR="00C177AC">
        <w:rPr>
          <w:rFonts w:ascii="Arial Narrow" w:hAnsi="Arial Narrow" w:cs="Arial"/>
          <w:szCs w:val="26"/>
          <w:lang w:val="en-GB"/>
        </w:rPr>
        <w:t xml:space="preserve"> amendment</w:t>
      </w:r>
      <w:r w:rsidR="001A1787">
        <w:rPr>
          <w:rFonts w:ascii="Arial Narrow" w:hAnsi="Arial Narrow" w:cs="Arial"/>
          <w:szCs w:val="26"/>
          <w:lang w:val="en-GB"/>
        </w:rPr>
        <w:t>s</w:t>
      </w:r>
      <w:r w:rsidR="00C177AC">
        <w:rPr>
          <w:rFonts w:ascii="Arial Narrow" w:hAnsi="Arial Narrow" w:cs="Arial"/>
          <w:szCs w:val="26"/>
          <w:lang w:val="en-GB"/>
        </w:rPr>
        <w:t xml:space="preserve">, the </w:t>
      </w:r>
      <w:r>
        <w:rPr>
          <w:rFonts w:ascii="Arial Narrow" w:hAnsi="Arial Narrow" w:cs="Arial"/>
          <w:szCs w:val="26"/>
          <w:lang w:val="en-GB"/>
        </w:rPr>
        <w:t xml:space="preserve">review should conclude that </w:t>
      </w:r>
      <w:r w:rsidR="00C177AC">
        <w:rPr>
          <w:rFonts w:ascii="Arial Narrow" w:hAnsi="Arial Narrow" w:cs="Arial"/>
          <w:szCs w:val="26"/>
          <w:lang w:val="en-GB"/>
        </w:rPr>
        <w:t xml:space="preserve">any changes to bargaining behaviours that may have occurred </w:t>
      </w:r>
      <w:r w:rsidR="001A1787">
        <w:rPr>
          <w:rFonts w:ascii="Arial Narrow" w:hAnsi="Arial Narrow" w:cs="Arial"/>
          <w:szCs w:val="26"/>
          <w:lang w:val="en-GB"/>
        </w:rPr>
        <w:t>do not</w:t>
      </w:r>
      <w:r w:rsidR="00C177AC">
        <w:rPr>
          <w:rFonts w:ascii="Arial Narrow" w:hAnsi="Arial Narrow" w:cs="Arial"/>
          <w:szCs w:val="26"/>
          <w:lang w:val="en-GB"/>
        </w:rPr>
        <w:t xml:space="preserve"> warrant any changes to or departures from the 2015 amendments.  </w:t>
      </w:r>
    </w:p>
    <w:p w14:paraId="7134E707" w14:textId="77777777" w:rsidR="0021145A" w:rsidRDefault="00C177AC" w:rsidP="0021145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Further changes are required, as the PC has recommended, but this is not triggered by particular changes in bargaining behaviours.  </w:t>
      </w:r>
    </w:p>
    <w:p w14:paraId="158FFB58" w14:textId="77777777" w:rsidR="007260C9" w:rsidRDefault="001A1787" w:rsidP="007260C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If any party </w:t>
      </w:r>
      <w:r w:rsidR="007260C9" w:rsidRPr="007260C9">
        <w:rPr>
          <w:rFonts w:ascii="Arial Narrow" w:hAnsi="Arial Narrow" w:cs="Arial"/>
          <w:szCs w:val="26"/>
          <w:lang w:val="en-GB"/>
        </w:rPr>
        <w:t xml:space="preserve">asserts any GF agreement has been finalised in unduly pro-employer or unfair terms as a direct function of the 2015 amendments: </w:t>
      </w:r>
    </w:p>
    <w:p w14:paraId="4FAA25ED" w14:textId="77777777" w:rsidR="007260C9" w:rsidRDefault="007260C9" w:rsidP="007260C9">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Such concerns should be particularised in </w:t>
      </w:r>
      <w:r w:rsidR="001A1787">
        <w:rPr>
          <w:rFonts w:ascii="Arial Narrow" w:hAnsi="Arial Narrow" w:cs="Arial"/>
          <w:szCs w:val="26"/>
          <w:lang w:val="en-GB"/>
        </w:rPr>
        <w:t>the</w:t>
      </w:r>
      <w:r>
        <w:rPr>
          <w:rFonts w:ascii="Arial Narrow" w:hAnsi="Arial Narrow" w:cs="Arial"/>
          <w:szCs w:val="26"/>
          <w:lang w:val="en-GB"/>
        </w:rPr>
        <w:t xml:space="preserve"> submission making </w:t>
      </w:r>
      <w:r w:rsidR="001A1787">
        <w:rPr>
          <w:rFonts w:ascii="Arial Narrow" w:hAnsi="Arial Narrow" w:cs="Arial"/>
          <w:szCs w:val="26"/>
          <w:lang w:val="en-GB"/>
        </w:rPr>
        <w:t>such an</w:t>
      </w:r>
      <w:r>
        <w:rPr>
          <w:rFonts w:ascii="Arial Narrow" w:hAnsi="Arial Narrow" w:cs="Arial"/>
          <w:szCs w:val="26"/>
          <w:lang w:val="en-GB"/>
        </w:rPr>
        <w:t xml:space="preserve"> assertion, with detail on how a union claims it was forced into an outcome and how that outcome underserved that union’s members.    </w:t>
      </w:r>
    </w:p>
    <w:p w14:paraId="6E8CBDF4" w14:textId="77777777" w:rsidR="007260C9" w:rsidRDefault="007260C9" w:rsidP="007260C9">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Australian Chamber and our members would like an opportunity to respond. We appreciate this is a very rapid review, but it would be ill-served if </w:t>
      </w:r>
      <w:r w:rsidR="00AC70A3">
        <w:rPr>
          <w:rFonts w:ascii="Arial Narrow" w:hAnsi="Arial Narrow" w:cs="Arial"/>
          <w:szCs w:val="26"/>
          <w:lang w:val="en-GB"/>
        </w:rPr>
        <w:t xml:space="preserve">any </w:t>
      </w:r>
      <w:r>
        <w:rPr>
          <w:rFonts w:ascii="Arial Narrow" w:hAnsi="Arial Narrow" w:cs="Arial"/>
          <w:szCs w:val="26"/>
          <w:lang w:val="en-GB"/>
        </w:rPr>
        <w:t xml:space="preserve">claims on specific agreements and negotiations (involving member companies within our network) were not able to be responded to.   </w:t>
      </w:r>
    </w:p>
    <w:p w14:paraId="28601C8C" w14:textId="77777777" w:rsidR="00D92458" w:rsidRPr="00C61917" w:rsidRDefault="00D92458" w:rsidP="00D92458">
      <w:pPr>
        <w:pStyle w:val="Heading2"/>
        <w:rPr>
          <w:lang w:val="en-GB"/>
        </w:rPr>
      </w:pPr>
      <w:r w:rsidRPr="006A5C5C">
        <w:rPr>
          <w:lang w:val="en-GB"/>
        </w:rPr>
        <w:lastRenderedPageBreak/>
        <w:t>Impact of the 2015 changes on bargaining / number of applications</w:t>
      </w:r>
      <w:r w:rsidRPr="00C61917">
        <w:rPr>
          <w:lang w:val="en-GB"/>
        </w:rPr>
        <w:t xml:space="preserve"> </w:t>
      </w:r>
    </w:p>
    <w:p w14:paraId="0A33F7B6" w14:textId="77777777" w:rsidR="00AB1E39" w:rsidRPr="0097616A" w:rsidRDefault="00AB1E39" w:rsidP="00AB1E3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97616A">
        <w:rPr>
          <w:rFonts w:ascii="Arial Narrow" w:hAnsi="Arial Narrow" w:cs="Arial"/>
          <w:szCs w:val="26"/>
          <w:lang w:val="en-GB"/>
        </w:rPr>
        <w:t xml:space="preserve">The second </w:t>
      </w:r>
      <w:r w:rsidR="00D65D6C">
        <w:rPr>
          <w:rFonts w:ascii="Arial Narrow" w:hAnsi="Arial Narrow" w:cs="Arial"/>
          <w:szCs w:val="26"/>
          <w:lang w:val="en-GB"/>
        </w:rPr>
        <w:t>issue</w:t>
      </w:r>
      <w:r w:rsidRPr="0097616A">
        <w:rPr>
          <w:rFonts w:ascii="Arial Narrow" w:hAnsi="Arial Narrow" w:cs="Arial"/>
          <w:szCs w:val="26"/>
          <w:lang w:val="en-GB"/>
        </w:rPr>
        <w:t xml:space="preserve"> on which specific comment is invited is:</w:t>
      </w:r>
    </w:p>
    <w:p w14:paraId="06B2B439" w14:textId="77777777" w:rsidR="00253E53" w:rsidRPr="0097616A"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r w:rsidRPr="0097616A">
        <w:rPr>
          <w:rFonts w:ascii="Arial Narrow" w:hAnsi="Arial Narrow" w:cs="Arial"/>
          <w:i/>
          <w:szCs w:val="26"/>
          <w:lang w:val="en-GB"/>
        </w:rPr>
        <w:t xml:space="preserve">Any concerns relating to the effect of the 2015 </w:t>
      </w:r>
      <w:r w:rsidR="00BC202B" w:rsidRPr="0097616A">
        <w:rPr>
          <w:rFonts w:ascii="Arial Narrow" w:hAnsi="Arial Narrow" w:cs="Arial"/>
          <w:i/>
          <w:szCs w:val="26"/>
          <w:lang w:val="en-GB"/>
        </w:rPr>
        <w:t>Greenfields</w:t>
      </w:r>
      <w:r w:rsidRPr="0097616A">
        <w:rPr>
          <w:rFonts w:ascii="Arial Narrow" w:hAnsi="Arial Narrow" w:cs="Arial"/>
          <w:i/>
          <w:szCs w:val="26"/>
          <w:lang w:val="en-GB"/>
        </w:rPr>
        <w:t xml:space="preserve"> agreement amendments on bargaining outcomes and bargaining behaviour. </w:t>
      </w:r>
    </w:p>
    <w:p w14:paraId="10B89D8A" w14:textId="77777777" w:rsidR="00AB1E39" w:rsidRPr="0097616A" w:rsidRDefault="00AB1E39"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15807EC4" w14:textId="77777777" w:rsidR="00167F90" w:rsidRPr="0097616A" w:rsidRDefault="00167F90" w:rsidP="00AD5DC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97616A">
        <w:rPr>
          <w:rFonts w:ascii="Arial Narrow" w:hAnsi="Arial Narrow" w:cs="Arial"/>
          <w:szCs w:val="26"/>
          <w:lang w:val="en-GB"/>
        </w:rPr>
        <w:t xml:space="preserve">The Australian Chamber remains a strong supporter of the 2015 amendments, and considers further changes are needed to better deliver on the role GF agreements need to play in our system, as has been recommended by the PC.  The need for change has become more imperative as foreign investment and new project demand has become more scarce. </w:t>
      </w:r>
    </w:p>
    <w:p w14:paraId="7D8BF18D" w14:textId="77777777" w:rsidR="00AD5DCA" w:rsidRPr="0097616A" w:rsidRDefault="00167F90" w:rsidP="00AD5DC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97616A">
        <w:rPr>
          <w:rFonts w:ascii="Arial Narrow" w:hAnsi="Arial Narrow" w:cs="Arial"/>
          <w:szCs w:val="26"/>
          <w:lang w:val="en-GB"/>
        </w:rPr>
        <w:t>We supported the 2015 changes on the basis that they would yield improvements for not only employers and investors, but a</w:t>
      </w:r>
      <w:r w:rsidR="0097616A" w:rsidRPr="0097616A">
        <w:rPr>
          <w:rFonts w:ascii="Arial Narrow" w:hAnsi="Arial Narrow" w:cs="Arial"/>
          <w:szCs w:val="26"/>
          <w:lang w:val="en-GB"/>
        </w:rPr>
        <w:t xml:space="preserve">lso for job seekers and communities. </w:t>
      </w:r>
    </w:p>
    <w:p w14:paraId="7CBEB1F1" w14:textId="77777777" w:rsidR="0097616A" w:rsidRPr="0097616A" w:rsidRDefault="0097616A" w:rsidP="00AD5DC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97616A">
        <w:rPr>
          <w:rFonts w:ascii="Arial Narrow" w:hAnsi="Arial Narrow" w:cs="Arial"/>
          <w:szCs w:val="26"/>
          <w:lang w:val="en-GB"/>
        </w:rPr>
        <w:t xml:space="preserve">The Australian Chamber knows of no concerns that should lead to any questioning of, or consideration of reversing the 2015 changes. </w:t>
      </w:r>
      <w:r w:rsidR="006A5C5C">
        <w:rPr>
          <w:rFonts w:ascii="Arial Narrow" w:hAnsi="Arial Narrow" w:cs="Arial"/>
          <w:szCs w:val="26"/>
          <w:lang w:val="en-GB"/>
        </w:rPr>
        <w:t xml:space="preserve">This is hardly surprising: </w:t>
      </w:r>
    </w:p>
    <w:p w14:paraId="3ABD7757" w14:textId="77777777" w:rsidR="0097616A" w:rsidRDefault="006A5C5C" w:rsidP="0097616A">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E</w:t>
      </w:r>
      <w:r w:rsidR="0097616A">
        <w:rPr>
          <w:rFonts w:ascii="Arial Narrow" w:hAnsi="Arial Narrow" w:cs="Arial"/>
          <w:szCs w:val="26"/>
          <w:lang w:val="en-GB"/>
        </w:rPr>
        <w:t xml:space="preserve">nsuring negotiations are conducted in good faith should not create concerns </w:t>
      </w:r>
      <w:r w:rsidR="005F151E">
        <w:rPr>
          <w:rFonts w:ascii="Arial Narrow" w:hAnsi="Arial Narrow" w:cs="Arial"/>
          <w:szCs w:val="26"/>
          <w:lang w:val="en-GB"/>
        </w:rPr>
        <w:t>or prejudice</w:t>
      </w:r>
      <w:r>
        <w:rPr>
          <w:rFonts w:ascii="Arial Narrow" w:hAnsi="Arial Narrow" w:cs="Arial"/>
          <w:szCs w:val="26"/>
          <w:lang w:val="en-GB"/>
        </w:rPr>
        <w:t xml:space="preserve"> for any party</w:t>
      </w:r>
      <w:r w:rsidR="005F151E">
        <w:rPr>
          <w:rFonts w:ascii="Arial Narrow" w:hAnsi="Arial Narrow" w:cs="Arial"/>
          <w:szCs w:val="26"/>
          <w:lang w:val="en-GB"/>
        </w:rPr>
        <w:t xml:space="preserve">. </w:t>
      </w:r>
    </w:p>
    <w:p w14:paraId="11982A23" w14:textId="77777777" w:rsidR="009A5544" w:rsidRDefault="009A5544" w:rsidP="0097616A">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Background Paper </w:t>
      </w:r>
      <w:r w:rsidR="006A5C5C">
        <w:rPr>
          <w:rFonts w:ascii="Arial Narrow" w:hAnsi="Arial Narrow" w:cs="Arial"/>
          <w:szCs w:val="26"/>
          <w:lang w:val="en-GB"/>
        </w:rPr>
        <w:t xml:space="preserve">indicates </w:t>
      </w:r>
      <w:r>
        <w:rPr>
          <w:rFonts w:ascii="Arial Narrow" w:hAnsi="Arial Narrow" w:cs="Arial"/>
          <w:szCs w:val="26"/>
          <w:lang w:val="en-GB"/>
        </w:rPr>
        <w:t>that no application has been made for approval of a GF agreement under s 182(4) of the FW Act</w:t>
      </w:r>
      <w:r>
        <w:rPr>
          <w:rStyle w:val="FootnoteReference"/>
          <w:rFonts w:ascii="Arial Narrow" w:hAnsi="Arial Narrow" w:cs="Arial"/>
          <w:szCs w:val="26"/>
          <w:lang w:val="en-GB"/>
        </w:rPr>
        <w:footnoteReference w:id="2"/>
      </w:r>
      <w:r>
        <w:rPr>
          <w:rFonts w:ascii="Arial Narrow" w:hAnsi="Arial Narrow" w:cs="Arial"/>
          <w:szCs w:val="26"/>
          <w:lang w:val="en-GB"/>
        </w:rPr>
        <w:t>.</w:t>
      </w:r>
      <w:r w:rsidR="0021145A">
        <w:rPr>
          <w:rFonts w:ascii="Arial Narrow" w:hAnsi="Arial Narrow" w:cs="Arial"/>
          <w:szCs w:val="26"/>
          <w:lang w:val="en-GB"/>
        </w:rPr>
        <w:t xml:space="preserve"> </w:t>
      </w:r>
      <w:r w:rsidR="00FF323C">
        <w:rPr>
          <w:rFonts w:ascii="Arial Narrow" w:hAnsi="Arial Narrow" w:cs="Arial"/>
          <w:szCs w:val="26"/>
          <w:lang w:val="en-GB"/>
        </w:rPr>
        <w:t xml:space="preserve">If the agreements are not being made, they cannot </w:t>
      </w:r>
      <w:r w:rsidR="0021145A">
        <w:rPr>
          <w:rFonts w:ascii="Arial Narrow" w:hAnsi="Arial Narrow" w:cs="Arial"/>
          <w:szCs w:val="26"/>
          <w:lang w:val="en-GB"/>
        </w:rPr>
        <w:t>be presenting direct concerns</w:t>
      </w:r>
      <w:r w:rsidR="00FF323C">
        <w:rPr>
          <w:rFonts w:ascii="Arial Narrow" w:hAnsi="Arial Narrow" w:cs="Arial"/>
          <w:szCs w:val="26"/>
          <w:lang w:val="en-GB"/>
        </w:rPr>
        <w:t xml:space="preserve">. </w:t>
      </w:r>
    </w:p>
    <w:p w14:paraId="159538EA" w14:textId="3F8474AC" w:rsidR="005F151E" w:rsidRPr="0097616A" w:rsidRDefault="005F151E" w:rsidP="0097616A">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58 GF agreements approved during the first 6 months of 2017 will have passed the BOOT test and will</w:t>
      </w:r>
      <w:r w:rsidR="001D5133">
        <w:rPr>
          <w:rFonts w:ascii="Arial Narrow" w:hAnsi="Arial Narrow" w:cs="Arial"/>
          <w:szCs w:val="26"/>
          <w:lang w:val="en-GB"/>
        </w:rPr>
        <w:t xml:space="preserve"> have left employees better off, generally by a considerable margin.</w:t>
      </w:r>
      <w:r>
        <w:rPr>
          <w:rFonts w:ascii="Arial Narrow" w:hAnsi="Arial Narrow" w:cs="Arial"/>
          <w:szCs w:val="26"/>
          <w:lang w:val="en-GB"/>
        </w:rPr>
        <w:t xml:space="preserve"> </w:t>
      </w:r>
    </w:p>
    <w:p w14:paraId="18B52554" w14:textId="77777777" w:rsidR="0097616A" w:rsidRPr="0097616A" w:rsidRDefault="0021145A" w:rsidP="00AD5DC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review should conclude that there are no germane concerns that warrant any change to or departure from the 2015 changes. </w:t>
      </w:r>
    </w:p>
    <w:p w14:paraId="73084554" w14:textId="77777777" w:rsidR="00F97AE3" w:rsidRPr="0097616A" w:rsidRDefault="00F97AE3" w:rsidP="00F97AE3">
      <w:pPr>
        <w:pStyle w:val="Heading2"/>
        <w:rPr>
          <w:lang w:val="en-GB"/>
        </w:rPr>
      </w:pPr>
      <w:r w:rsidRPr="0097616A">
        <w:rPr>
          <w:lang w:val="en-GB"/>
        </w:rPr>
        <w:t xml:space="preserve">Impact of the 2015 changes on the number of GF applications </w:t>
      </w:r>
    </w:p>
    <w:p w14:paraId="1F58A207" w14:textId="77777777" w:rsidR="00AB1E39" w:rsidRPr="00C61917" w:rsidRDefault="00AB1E39" w:rsidP="00AB1E3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61917">
        <w:rPr>
          <w:rFonts w:ascii="Arial Narrow" w:hAnsi="Arial Narrow" w:cs="Arial"/>
          <w:szCs w:val="26"/>
          <w:lang w:val="en-GB"/>
        </w:rPr>
        <w:t xml:space="preserve">The third </w:t>
      </w:r>
      <w:r w:rsidR="00D65D6C">
        <w:rPr>
          <w:rFonts w:ascii="Arial Narrow" w:hAnsi="Arial Narrow" w:cs="Arial"/>
          <w:szCs w:val="26"/>
          <w:lang w:val="en-GB"/>
        </w:rPr>
        <w:t>issue</w:t>
      </w:r>
      <w:r w:rsidRPr="00C61917">
        <w:rPr>
          <w:rFonts w:ascii="Arial Narrow" w:hAnsi="Arial Narrow" w:cs="Arial"/>
          <w:szCs w:val="26"/>
          <w:lang w:val="en-GB"/>
        </w:rPr>
        <w:t xml:space="preserve"> on which specific comment is invited is:</w:t>
      </w:r>
    </w:p>
    <w:p w14:paraId="264C996C" w14:textId="77777777" w:rsidR="00253E53" w:rsidRPr="00C61917"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r w:rsidRPr="00C61917">
        <w:rPr>
          <w:rFonts w:ascii="Arial Narrow" w:hAnsi="Arial Narrow" w:cs="Arial"/>
          <w:i/>
          <w:szCs w:val="26"/>
          <w:lang w:val="en-GB"/>
        </w:rPr>
        <w:t xml:space="preserve">The extent to which there may be a relationship between these amendments and the number of applications for approval of </w:t>
      </w:r>
      <w:r w:rsidR="00BC202B">
        <w:rPr>
          <w:rFonts w:ascii="Arial Narrow" w:hAnsi="Arial Narrow" w:cs="Arial"/>
          <w:i/>
          <w:szCs w:val="26"/>
          <w:lang w:val="en-GB"/>
        </w:rPr>
        <w:t>Greenfields</w:t>
      </w:r>
      <w:r w:rsidRPr="00C61917">
        <w:rPr>
          <w:rFonts w:ascii="Arial Narrow" w:hAnsi="Arial Narrow" w:cs="Arial"/>
          <w:i/>
          <w:szCs w:val="26"/>
          <w:lang w:val="en-GB"/>
        </w:rPr>
        <w:t xml:space="preserve"> agreements.</w:t>
      </w:r>
    </w:p>
    <w:p w14:paraId="63A68485" w14:textId="77777777" w:rsidR="00253E53"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0636DCAE" w14:textId="65AD8845" w:rsidR="00F97AE3" w:rsidRPr="00D27358" w:rsidRDefault="002B2B36" w:rsidP="00F97AE3">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We note Table 1 in the Background Paper, but chose to</w:t>
      </w:r>
      <w:r w:rsidR="00763E39">
        <w:rPr>
          <w:rFonts w:ascii="Arial Narrow" w:hAnsi="Arial Narrow" w:cs="Arial"/>
          <w:szCs w:val="26"/>
          <w:lang w:val="en-GB"/>
        </w:rPr>
        <w:t xml:space="preserve"> use</w:t>
      </w:r>
      <w:r>
        <w:rPr>
          <w:rFonts w:ascii="Arial Narrow" w:hAnsi="Arial Narrow" w:cs="Arial"/>
          <w:szCs w:val="26"/>
          <w:lang w:val="en-GB"/>
        </w:rPr>
        <w:t xml:space="preserve"> the agreement list </w:t>
      </w:r>
      <w:r w:rsidR="00F97AE3" w:rsidRPr="00D27358">
        <w:rPr>
          <w:rFonts w:ascii="Arial Narrow" w:hAnsi="Arial Narrow" w:cs="Arial"/>
          <w:szCs w:val="26"/>
          <w:lang w:val="en-GB"/>
        </w:rPr>
        <w:t>provided for this review</w:t>
      </w:r>
      <w:r w:rsidR="00FF323C">
        <w:rPr>
          <w:rStyle w:val="FootnoteReference"/>
          <w:rFonts w:ascii="Arial Narrow" w:hAnsi="Arial Narrow" w:cs="Arial"/>
          <w:szCs w:val="26"/>
          <w:lang w:val="en-GB"/>
        </w:rPr>
        <w:footnoteReference w:id="3"/>
      </w:r>
      <w:r>
        <w:rPr>
          <w:rFonts w:ascii="Arial Narrow" w:hAnsi="Arial Narrow" w:cs="Arial"/>
          <w:szCs w:val="26"/>
          <w:lang w:val="en-GB"/>
        </w:rPr>
        <w:t xml:space="preserve"> to look at agreement making per calendar year. </w:t>
      </w:r>
      <w:r w:rsidR="001D5133">
        <w:rPr>
          <w:rFonts w:ascii="Arial Narrow" w:hAnsi="Arial Narrow" w:cs="Arial"/>
          <w:szCs w:val="26"/>
          <w:lang w:val="en-GB"/>
        </w:rPr>
        <w:t xml:space="preserve">This showed </w:t>
      </w:r>
      <w:r w:rsidR="00F97AE3" w:rsidRPr="00D27358">
        <w:rPr>
          <w:rFonts w:ascii="Arial Narrow" w:hAnsi="Arial Narrow" w:cs="Arial"/>
          <w:szCs w:val="26"/>
          <w:lang w:val="en-GB"/>
        </w:rPr>
        <w:t>approvals of GF agreements have trended as follows:</w:t>
      </w:r>
    </w:p>
    <w:tbl>
      <w:tblPr>
        <w:tblStyle w:val="TableGrid"/>
        <w:tblW w:w="0" w:type="auto"/>
        <w:tblInd w:w="1440" w:type="dxa"/>
        <w:tblLook w:val="04A0" w:firstRow="1" w:lastRow="0" w:firstColumn="1" w:lastColumn="0" w:noHBand="0" w:noVBand="1"/>
      </w:tblPr>
      <w:tblGrid>
        <w:gridCol w:w="1466"/>
        <w:gridCol w:w="1326"/>
        <w:gridCol w:w="1327"/>
        <w:gridCol w:w="1327"/>
        <w:gridCol w:w="1327"/>
        <w:gridCol w:w="1357"/>
      </w:tblGrid>
      <w:tr w:rsidR="00F97AE3" w14:paraId="71954B8F" w14:textId="77777777" w:rsidTr="00C63477">
        <w:trPr>
          <w:tblHeader/>
        </w:trPr>
        <w:tc>
          <w:tcPr>
            <w:tcW w:w="1595" w:type="dxa"/>
            <w:vAlign w:val="center"/>
          </w:tcPr>
          <w:p w14:paraId="01BCA414"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p>
        </w:tc>
        <w:tc>
          <w:tcPr>
            <w:tcW w:w="1595" w:type="dxa"/>
            <w:vAlign w:val="center"/>
          </w:tcPr>
          <w:p w14:paraId="3CEF54D4"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2013</w:t>
            </w:r>
          </w:p>
        </w:tc>
        <w:tc>
          <w:tcPr>
            <w:tcW w:w="1595" w:type="dxa"/>
            <w:vAlign w:val="center"/>
          </w:tcPr>
          <w:p w14:paraId="44962062"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2014</w:t>
            </w:r>
          </w:p>
        </w:tc>
        <w:tc>
          <w:tcPr>
            <w:tcW w:w="1595" w:type="dxa"/>
            <w:vAlign w:val="center"/>
          </w:tcPr>
          <w:p w14:paraId="4E653880"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2015</w:t>
            </w:r>
          </w:p>
        </w:tc>
        <w:tc>
          <w:tcPr>
            <w:tcW w:w="1595" w:type="dxa"/>
            <w:vAlign w:val="center"/>
          </w:tcPr>
          <w:p w14:paraId="1C356BBB"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2016</w:t>
            </w:r>
          </w:p>
        </w:tc>
        <w:tc>
          <w:tcPr>
            <w:tcW w:w="1595" w:type="dxa"/>
            <w:vAlign w:val="center"/>
          </w:tcPr>
          <w:p w14:paraId="4872A79F"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2017</w:t>
            </w:r>
            <w:r>
              <w:rPr>
                <w:rStyle w:val="FootnoteReference"/>
                <w:rFonts w:ascii="Arial Narrow" w:hAnsi="Arial Narrow" w:cs="Arial"/>
                <w:szCs w:val="26"/>
                <w:lang w:val="en-GB"/>
              </w:rPr>
              <w:footnoteReference w:id="4"/>
            </w:r>
            <w:r>
              <w:rPr>
                <w:rFonts w:ascii="Arial Narrow" w:hAnsi="Arial Narrow" w:cs="Arial"/>
                <w:szCs w:val="26"/>
                <w:lang w:val="en-GB"/>
              </w:rPr>
              <w:t xml:space="preserve"> </w:t>
            </w:r>
          </w:p>
        </w:tc>
      </w:tr>
      <w:tr w:rsidR="00F97AE3" w14:paraId="3A790FD3" w14:textId="77777777" w:rsidTr="006A4360">
        <w:tc>
          <w:tcPr>
            <w:tcW w:w="1595" w:type="dxa"/>
            <w:vAlign w:val="center"/>
          </w:tcPr>
          <w:p w14:paraId="0780B420"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Approvals</w:t>
            </w:r>
          </w:p>
        </w:tc>
        <w:tc>
          <w:tcPr>
            <w:tcW w:w="1595" w:type="dxa"/>
            <w:vAlign w:val="center"/>
          </w:tcPr>
          <w:p w14:paraId="6F8AD6CF"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112</w:t>
            </w:r>
          </w:p>
        </w:tc>
        <w:tc>
          <w:tcPr>
            <w:tcW w:w="1595" w:type="dxa"/>
            <w:vAlign w:val="center"/>
          </w:tcPr>
          <w:p w14:paraId="3C5FC354"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558</w:t>
            </w:r>
          </w:p>
        </w:tc>
        <w:tc>
          <w:tcPr>
            <w:tcW w:w="1595" w:type="dxa"/>
            <w:vAlign w:val="center"/>
          </w:tcPr>
          <w:p w14:paraId="40D5385F"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303</w:t>
            </w:r>
          </w:p>
        </w:tc>
        <w:tc>
          <w:tcPr>
            <w:tcW w:w="1595" w:type="dxa"/>
            <w:vAlign w:val="center"/>
          </w:tcPr>
          <w:p w14:paraId="4EE05998"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204</w:t>
            </w:r>
          </w:p>
        </w:tc>
        <w:tc>
          <w:tcPr>
            <w:tcW w:w="1595" w:type="dxa"/>
            <w:vAlign w:val="center"/>
          </w:tcPr>
          <w:p w14:paraId="0FDA0832" w14:textId="77777777" w:rsidR="00F97AE3" w:rsidRDefault="00F97AE3" w:rsidP="006A4360">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58 (116</w:t>
            </w:r>
            <w:r>
              <w:rPr>
                <w:rStyle w:val="FootnoteReference"/>
                <w:rFonts w:ascii="Arial Narrow" w:hAnsi="Arial Narrow" w:cs="Arial"/>
                <w:szCs w:val="26"/>
                <w:lang w:val="en-GB"/>
              </w:rPr>
              <w:footnoteReference w:id="5"/>
            </w:r>
            <w:r>
              <w:rPr>
                <w:rFonts w:ascii="Arial Narrow" w:hAnsi="Arial Narrow" w:cs="Arial"/>
                <w:szCs w:val="26"/>
                <w:lang w:val="en-GB"/>
              </w:rPr>
              <w:t>)</w:t>
            </w:r>
          </w:p>
        </w:tc>
      </w:tr>
    </w:tbl>
    <w:p w14:paraId="5160EB31" w14:textId="77777777" w:rsidR="00F97AE3" w:rsidRPr="00F97AE3" w:rsidRDefault="00F97AE3" w:rsidP="00F97AE3">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sz w:val="12"/>
          <w:szCs w:val="26"/>
          <w:lang w:val="en-GB"/>
        </w:rPr>
      </w:pPr>
    </w:p>
    <w:p w14:paraId="0E2B92F7" w14:textId="77777777" w:rsidR="00F97AE3" w:rsidRDefault="00F97AE3" w:rsidP="00F97AE3">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As set out below in relation to the seventh issue, we see this as</w:t>
      </w:r>
      <w:r w:rsidR="005D13DB">
        <w:rPr>
          <w:rFonts w:ascii="Arial Narrow" w:hAnsi="Arial Narrow" w:cs="Arial"/>
          <w:szCs w:val="26"/>
          <w:lang w:val="en-GB"/>
        </w:rPr>
        <w:t xml:space="preserve"> illustrating</w:t>
      </w:r>
      <w:r>
        <w:rPr>
          <w:rFonts w:ascii="Arial Narrow" w:hAnsi="Arial Narrow" w:cs="Arial"/>
          <w:szCs w:val="26"/>
          <w:lang w:val="en-GB"/>
        </w:rPr>
        <w:t xml:space="preserve">: </w:t>
      </w:r>
    </w:p>
    <w:p w14:paraId="38B1D13E" w14:textId="77777777" w:rsidR="00F97AE3" w:rsidRDefault="00F97AE3" w:rsidP="00F97AE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A reduction in GF numbers from a peak driven by massive </w:t>
      </w:r>
      <w:r w:rsidR="002B2B36">
        <w:rPr>
          <w:rFonts w:ascii="Arial Narrow" w:hAnsi="Arial Narrow" w:cs="Arial"/>
          <w:szCs w:val="26"/>
          <w:lang w:val="en-GB"/>
        </w:rPr>
        <w:t xml:space="preserve">investments in </w:t>
      </w:r>
      <w:r>
        <w:rPr>
          <w:rFonts w:ascii="Arial Narrow" w:hAnsi="Arial Narrow" w:cs="Arial"/>
          <w:szCs w:val="26"/>
          <w:lang w:val="en-GB"/>
        </w:rPr>
        <w:t>resources construction</w:t>
      </w:r>
      <w:r w:rsidR="002B2B36">
        <w:rPr>
          <w:rFonts w:ascii="Arial Narrow" w:hAnsi="Arial Narrow" w:cs="Arial"/>
          <w:szCs w:val="26"/>
          <w:lang w:val="en-GB"/>
        </w:rPr>
        <w:t>, which require</w:t>
      </w:r>
      <w:r w:rsidR="00763E39">
        <w:rPr>
          <w:rFonts w:ascii="Arial Narrow" w:hAnsi="Arial Narrow" w:cs="Arial"/>
          <w:szCs w:val="26"/>
          <w:lang w:val="en-GB"/>
        </w:rPr>
        <w:t>d</w:t>
      </w:r>
      <w:r w:rsidR="002B2B36">
        <w:rPr>
          <w:rFonts w:ascii="Arial Narrow" w:hAnsi="Arial Narrow" w:cs="Arial"/>
          <w:szCs w:val="26"/>
          <w:lang w:val="en-GB"/>
        </w:rPr>
        <w:t xml:space="preserve"> multiple contractors, each with </w:t>
      </w:r>
      <w:r w:rsidR="00763E39">
        <w:rPr>
          <w:rFonts w:ascii="Arial Narrow" w:hAnsi="Arial Narrow" w:cs="Arial"/>
          <w:szCs w:val="26"/>
          <w:lang w:val="en-GB"/>
        </w:rPr>
        <w:t xml:space="preserve">separate </w:t>
      </w:r>
      <w:r w:rsidR="002B2B36">
        <w:rPr>
          <w:rFonts w:ascii="Arial Narrow" w:hAnsi="Arial Narrow" w:cs="Arial"/>
          <w:szCs w:val="26"/>
          <w:lang w:val="en-GB"/>
        </w:rPr>
        <w:t>GF agreements</w:t>
      </w:r>
      <w:r>
        <w:rPr>
          <w:rFonts w:ascii="Arial Narrow" w:hAnsi="Arial Narrow" w:cs="Arial"/>
          <w:szCs w:val="26"/>
          <w:lang w:val="en-GB"/>
        </w:rPr>
        <w:t xml:space="preserve">. </w:t>
      </w:r>
    </w:p>
    <w:p w14:paraId="18B50441" w14:textId="77777777" w:rsidR="00F97AE3" w:rsidRPr="00D27358" w:rsidRDefault="00763E39" w:rsidP="00F97AE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Perhaps </w:t>
      </w:r>
      <w:r w:rsidR="00F97AE3">
        <w:rPr>
          <w:rFonts w:ascii="Arial Narrow" w:hAnsi="Arial Narrow" w:cs="Arial"/>
          <w:szCs w:val="26"/>
          <w:lang w:val="en-GB"/>
        </w:rPr>
        <w:t>a reversion towards a longer-term mean level of demand for GF agreements</w:t>
      </w:r>
      <w:r w:rsidR="005D13DB">
        <w:rPr>
          <w:rFonts w:ascii="Arial Narrow" w:hAnsi="Arial Narrow" w:cs="Arial"/>
          <w:szCs w:val="26"/>
          <w:lang w:val="en-GB"/>
        </w:rPr>
        <w:t xml:space="preserve"> following a peak driven by major resource projects</w:t>
      </w:r>
      <w:r w:rsidR="00F97AE3">
        <w:rPr>
          <w:rFonts w:ascii="Arial Narrow" w:hAnsi="Arial Narrow" w:cs="Arial"/>
          <w:szCs w:val="26"/>
          <w:lang w:val="en-GB"/>
        </w:rPr>
        <w:t xml:space="preserve">  </w:t>
      </w:r>
      <w:r>
        <w:rPr>
          <w:rFonts w:ascii="Arial Narrow" w:hAnsi="Arial Narrow" w:cs="Arial"/>
          <w:szCs w:val="26"/>
          <w:lang w:val="en-GB"/>
        </w:rPr>
        <w:t>(of around 100-200 agreements per year).</w:t>
      </w:r>
    </w:p>
    <w:p w14:paraId="7370E516" w14:textId="77777777" w:rsidR="00C377D8" w:rsidRDefault="00C377D8" w:rsidP="00C377D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say, and our members will expand upon this, that the reduction in GF agreement approvals is largely a function of the downturn in resource investment from peak levels, rather than </w:t>
      </w:r>
      <w:r w:rsidR="002B2B36">
        <w:rPr>
          <w:rFonts w:ascii="Arial Narrow" w:hAnsi="Arial Narrow" w:cs="Arial"/>
          <w:szCs w:val="26"/>
          <w:lang w:val="en-GB"/>
        </w:rPr>
        <w:t xml:space="preserve">any </w:t>
      </w:r>
      <w:r w:rsidR="00763E39">
        <w:rPr>
          <w:rFonts w:ascii="Arial Narrow" w:hAnsi="Arial Narrow" w:cs="Arial"/>
          <w:szCs w:val="26"/>
          <w:lang w:val="en-GB"/>
        </w:rPr>
        <w:t>negative consequence</w:t>
      </w:r>
      <w:r>
        <w:rPr>
          <w:rFonts w:ascii="Arial Narrow" w:hAnsi="Arial Narrow" w:cs="Arial"/>
          <w:szCs w:val="26"/>
          <w:lang w:val="en-GB"/>
        </w:rPr>
        <w:t xml:space="preserve"> of the 2015 amendments.  </w:t>
      </w:r>
    </w:p>
    <w:p w14:paraId="4D117507" w14:textId="77777777" w:rsidR="007B571E" w:rsidRDefault="007B571E" w:rsidP="00C377D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On the data as we understand it, peak </w:t>
      </w:r>
      <w:r w:rsidR="00763E39">
        <w:rPr>
          <w:rFonts w:ascii="Arial Narrow" w:hAnsi="Arial Narrow" w:cs="Arial"/>
          <w:szCs w:val="26"/>
          <w:lang w:val="en-GB"/>
        </w:rPr>
        <w:t xml:space="preserve">demand for GF agreements </w:t>
      </w:r>
      <w:r>
        <w:rPr>
          <w:rFonts w:ascii="Arial Narrow" w:hAnsi="Arial Narrow" w:cs="Arial"/>
          <w:szCs w:val="26"/>
          <w:lang w:val="en-GB"/>
        </w:rPr>
        <w:t xml:space="preserve">had already been reached and numbers were </w:t>
      </w:r>
      <w:r w:rsidR="002B2B36">
        <w:rPr>
          <w:rFonts w:ascii="Arial Narrow" w:hAnsi="Arial Narrow" w:cs="Arial"/>
          <w:szCs w:val="26"/>
          <w:lang w:val="en-GB"/>
        </w:rPr>
        <w:t xml:space="preserve">already </w:t>
      </w:r>
      <w:r>
        <w:rPr>
          <w:rFonts w:ascii="Arial Narrow" w:hAnsi="Arial Narrow" w:cs="Arial"/>
          <w:szCs w:val="26"/>
          <w:lang w:val="en-GB"/>
        </w:rPr>
        <w:t>coming off when the 2015 amendments commenced. This is not to in any way question the relevance or utility of the 2015 changes, but to note that their final timing (which was politically determined</w:t>
      </w:r>
      <w:r w:rsidR="002B2B36">
        <w:rPr>
          <w:rFonts w:ascii="Arial Narrow" w:hAnsi="Arial Narrow" w:cs="Arial"/>
          <w:szCs w:val="26"/>
          <w:lang w:val="en-GB"/>
        </w:rPr>
        <w:t xml:space="preserve"> and unduly delayed in Parliament</w:t>
      </w:r>
      <w:r>
        <w:rPr>
          <w:rFonts w:ascii="Arial Narrow" w:hAnsi="Arial Narrow" w:cs="Arial"/>
          <w:szCs w:val="26"/>
          <w:lang w:val="en-GB"/>
        </w:rPr>
        <w:t xml:space="preserve">) saw them commence when the decline in </w:t>
      </w:r>
      <w:r w:rsidR="00763E39">
        <w:rPr>
          <w:rFonts w:ascii="Arial Narrow" w:hAnsi="Arial Narrow" w:cs="Arial"/>
          <w:szCs w:val="26"/>
          <w:lang w:val="en-GB"/>
        </w:rPr>
        <w:t xml:space="preserve">overall </w:t>
      </w:r>
      <w:r>
        <w:rPr>
          <w:rFonts w:ascii="Arial Narrow" w:hAnsi="Arial Narrow" w:cs="Arial"/>
          <w:szCs w:val="26"/>
          <w:lang w:val="en-GB"/>
        </w:rPr>
        <w:t xml:space="preserve">demand for GF agreements had already commenced.  This includes for example </w:t>
      </w:r>
      <w:r w:rsidR="00763E39">
        <w:rPr>
          <w:rFonts w:ascii="Arial Narrow" w:hAnsi="Arial Narrow" w:cs="Arial"/>
          <w:szCs w:val="26"/>
          <w:lang w:val="en-GB"/>
        </w:rPr>
        <w:t xml:space="preserve">entering </w:t>
      </w:r>
      <w:r>
        <w:rPr>
          <w:rFonts w:ascii="Arial Narrow" w:hAnsi="Arial Narrow" w:cs="Arial"/>
          <w:szCs w:val="26"/>
          <w:lang w:val="en-GB"/>
        </w:rPr>
        <w:t xml:space="preserve">the final stages of major resource projects involving comparatively fewer new contractors and new staff compared to earlier stages of work.  </w:t>
      </w:r>
    </w:p>
    <w:p w14:paraId="31C36715" w14:textId="77777777" w:rsidR="005D13DB" w:rsidRPr="00253F05" w:rsidRDefault="005D13DB" w:rsidP="00253F05">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53F05">
        <w:rPr>
          <w:rFonts w:ascii="Arial Narrow" w:hAnsi="Arial Narrow" w:cs="Arial"/>
          <w:szCs w:val="26"/>
          <w:lang w:val="en-GB"/>
        </w:rPr>
        <w:t xml:space="preserve">We also note that: </w:t>
      </w:r>
    </w:p>
    <w:p w14:paraId="30566CCB" w14:textId="77777777" w:rsidR="005D13DB" w:rsidRDefault="005D13DB" w:rsidP="005D13DB">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are </w:t>
      </w:r>
      <w:r w:rsidR="00253F05">
        <w:rPr>
          <w:rFonts w:ascii="Arial Narrow" w:hAnsi="Arial Narrow" w:cs="Arial"/>
          <w:szCs w:val="26"/>
          <w:lang w:val="en-GB"/>
        </w:rPr>
        <w:t xml:space="preserve">broadly </w:t>
      </w:r>
      <w:r>
        <w:rPr>
          <w:rFonts w:ascii="Arial Narrow" w:hAnsi="Arial Narrow" w:cs="Arial"/>
          <w:szCs w:val="26"/>
          <w:lang w:val="en-GB"/>
        </w:rPr>
        <w:t xml:space="preserve">on track in 2017 for an equivalent number of GF agreements as we had in 2013. </w:t>
      </w:r>
    </w:p>
    <w:p w14:paraId="4EABC1B9" w14:textId="77777777" w:rsidR="001D5133" w:rsidRDefault="001D5133">
      <w:pPr>
        <w:spacing w:before="0" w:after="160" w:line="259" w:lineRule="auto"/>
        <w:rPr>
          <w:rFonts w:ascii="Arial Narrow" w:hAnsi="Arial Narrow" w:cs="Arial"/>
          <w:szCs w:val="26"/>
          <w:lang w:val="en-GB"/>
        </w:rPr>
      </w:pPr>
      <w:r>
        <w:rPr>
          <w:rFonts w:ascii="Arial Narrow" w:hAnsi="Arial Narrow" w:cs="Arial"/>
          <w:szCs w:val="26"/>
          <w:lang w:val="en-GB"/>
        </w:rPr>
        <w:br w:type="page"/>
      </w:r>
    </w:p>
    <w:p w14:paraId="7E986B41" w14:textId="15E5789E" w:rsidR="00FD253A" w:rsidRDefault="00DF5BFB" w:rsidP="005D13DB">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 xml:space="preserve">Logically, there </w:t>
      </w:r>
      <w:r w:rsidR="005D13DB">
        <w:rPr>
          <w:rFonts w:ascii="Arial Narrow" w:hAnsi="Arial Narrow" w:cs="Arial"/>
          <w:szCs w:val="26"/>
          <w:lang w:val="en-GB"/>
        </w:rPr>
        <w:t xml:space="preserve">is nothing in the 2015 changes that could </w:t>
      </w:r>
      <w:r w:rsidR="00FD253A">
        <w:rPr>
          <w:rFonts w:ascii="Arial Narrow" w:hAnsi="Arial Narrow" w:cs="Arial"/>
          <w:szCs w:val="26"/>
          <w:lang w:val="en-GB"/>
        </w:rPr>
        <w:t>have discouraged or dis- ince</w:t>
      </w:r>
      <w:r w:rsidR="005D13DB">
        <w:rPr>
          <w:rFonts w:ascii="Arial Narrow" w:hAnsi="Arial Narrow" w:cs="Arial"/>
          <w:szCs w:val="26"/>
          <w:lang w:val="en-GB"/>
        </w:rPr>
        <w:t>n</w:t>
      </w:r>
      <w:r w:rsidR="00FD253A">
        <w:rPr>
          <w:rFonts w:ascii="Arial Narrow" w:hAnsi="Arial Narrow" w:cs="Arial"/>
          <w:szCs w:val="26"/>
          <w:lang w:val="en-GB"/>
        </w:rPr>
        <w:t>t</w:t>
      </w:r>
      <w:r w:rsidR="005D13DB">
        <w:rPr>
          <w:rFonts w:ascii="Arial Narrow" w:hAnsi="Arial Narrow" w:cs="Arial"/>
          <w:szCs w:val="26"/>
          <w:lang w:val="en-GB"/>
        </w:rPr>
        <w:t xml:space="preserve">ivised </w:t>
      </w:r>
      <w:r w:rsidR="00FD253A">
        <w:rPr>
          <w:rFonts w:ascii="Arial Narrow" w:hAnsi="Arial Narrow" w:cs="Arial"/>
          <w:szCs w:val="26"/>
          <w:lang w:val="en-GB"/>
        </w:rPr>
        <w:t xml:space="preserve">the use of GF agreements. </w:t>
      </w:r>
      <w:r>
        <w:rPr>
          <w:rFonts w:ascii="Arial Narrow" w:hAnsi="Arial Narrow" w:cs="Arial"/>
          <w:szCs w:val="26"/>
          <w:lang w:val="en-GB"/>
        </w:rPr>
        <w:t xml:space="preserve">As we understand union submissions in 2014 and 2015, unions were </w:t>
      </w:r>
      <w:r w:rsidR="001D5133">
        <w:rPr>
          <w:rFonts w:ascii="Arial Narrow" w:hAnsi="Arial Narrow" w:cs="Arial"/>
          <w:szCs w:val="26"/>
          <w:lang w:val="en-GB"/>
        </w:rPr>
        <w:t>concerned</w:t>
      </w:r>
      <w:r>
        <w:rPr>
          <w:rFonts w:ascii="Arial Narrow" w:hAnsi="Arial Narrow" w:cs="Arial"/>
          <w:szCs w:val="26"/>
          <w:lang w:val="en-GB"/>
        </w:rPr>
        <w:t xml:space="preserve"> about too many GF agreements being made too easily</w:t>
      </w:r>
      <w:r w:rsidR="001D5133">
        <w:rPr>
          <w:rFonts w:ascii="Arial Narrow" w:hAnsi="Arial Narrow" w:cs="Arial"/>
          <w:szCs w:val="26"/>
          <w:lang w:val="en-GB"/>
        </w:rPr>
        <w:t xml:space="preserve"> following the 2015 changes, which hasn’t come to pass</w:t>
      </w:r>
      <w:r>
        <w:rPr>
          <w:rFonts w:ascii="Arial Narrow" w:hAnsi="Arial Narrow" w:cs="Arial"/>
          <w:szCs w:val="26"/>
          <w:lang w:val="en-GB"/>
        </w:rPr>
        <w:t xml:space="preserve">. </w:t>
      </w:r>
    </w:p>
    <w:p w14:paraId="38578FB4" w14:textId="77777777" w:rsidR="00FD253A" w:rsidRDefault="00322A08" w:rsidP="005D13DB">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Labor Senators </w:t>
      </w:r>
      <w:r w:rsidR="00253F05">
        <w:rPr>
          <w:rFonts w:ascii="Arial Narrow" w:hAnsi="Arial Narrow" w:cs="Arial"/>
          <w:szCs w:val="26"/>
          <w:lang w:val="en-GB"/>
        </w:rPr>
        <w:t xml:space="preserve">previously </w:t>
      </w:r>
      <w:r>
        <w:rPr>
          <w:rFonts w:ascii="Arial Narrow" w:hAnsi="Arial Narrow" w:cs="Arial"/>
          <w:szCs w:val="26"/>
          <w:lang w:val="en-GB"/>
        </w:rPr>
        <w:t xml:space="preserve">expressed concern that: </w:t>
      </w:r>
    </w:p>
    <w:p w14:paraId="1230C63C" w14:textId="77777777" w:rsidR="00322A08" w:rsidRPr="00322A08" w:rsidRDefault="00DF5BFB" w:rsidP="00322A08">
      <w:pPr>
        <w:pStyle w:val="ListParagraph"/>
        <w:overflowPunct w:val="0"/>
        <w:autoSpaceDE w:val="0"/>
        <w:autoSpaceDN w:val="0"/>
        <w:adjustRightInd w:val="0"/>
        <w:spacing w:before="0" w:after="280" w:line="270" w:lineRule="auto"/>
        <w:ind w:left="2160"/>
        <w:jc w:val="both"/>
        <w:textAlignment w:val="baseline"/>
        <w:rPr>
          <w:rFonts w:ascii="Arial Narrow" w:hAnsi="Arial Narrow" w:cs="Arial"/>
          <w:szCs w:val="26"/>
          <w:lang w:val="en-GB"/>
        </w:rPr>
      </w:pPr>
      <w:r>
        <w:rPr>
          <w:rFonts w:ascii="Arial Narrow" w:hAnsi="Arial Narrow" w:cs="Arial"/>
          <w:i/>
          <w:szCs w:val="26"/>
          <w:lang w:val="en-GB"/>
        </w:rPr>
        <w:t>…</w:t>
      </w:r>
      <w:r w:rsidR="00322A08" w:rsidRPr="00322A08">
        <w:rPr>
          <w:rFonts w:ascii="Arial Narrow" w:hAnsi="Arial Narrow" w:cs="Arial"/>
          <w:i/>
          <w:szCs w:val="26"/>
          <w:lang w:val="en-GB"/>
        </w:rPr>
        <w:t>the changes to the way Greenfields agreements are made essentially pave the way</w:t>
      </w:r>
      <w:r w:rsidR="00322A08">
        <w:rPr>
          <w:rFonts w:ascii="Arial Narrow" w:hAnsi="Arial Narrow" w:cs="Arial"/>
          <w:i/>
          <w:szCs w:val="26"/>
          <w:lang w:val="en-GB"/>
        </w:rPr>
        <w:t xml:space="preserve"> </w:t>
      </w:r>
      <w:r w:rsidR="00322A08" w:rsidRPr="00322A08">
        <w:rPr>
          <w:rFonts w:ascii="Arial Narrow" w:hAnsi="Arial Narrow" w:cs="Arial"/>
          <w:i/>
          <w:szCs w:val="26"/>
          <w:lang w:val="en-GB"/>
        </w:rPr>
        <w:t>for employers to make agreements with themselves, and seek only to remove unions</w:t>
      </w:r>
      <w:r w:rsidR="00322A08">
        <w:rPr>
          <w:rFonts w:ascii="Arial Narrow" w:hAnsi="Arial Narrow" w:cs="Arial"/>
          <w:i/>
          <w:szCs w:val="26"/>
          <w:lang w:val="en-GB"/>
        </w:rPr>
        <w:t xml:space="preserve"> </w:t>
      </w:r>
      <w:r w:rsidR="00322A08" w:rsidRPr="00322A08">
        <w:rPr>
          <w:rFonts w:ascii="Arial Narrow" w:hAnsi="Arial Narrow" w:cs="Arial"/>
          <w:i/>
          <w:szCs w:val="26"/>
          <w:lang w:val="en-GB"/>
        </w:rPr>
        <w:t>from the bargaining table.</w:t>
      </w:r>
      <w:r w:rsidR="00322A08">
        <w:rPr>
          <w:rStyle w:val="FootnoteReference"/>
          <w:rFonts w:ascii="Arial Narrow" w:hAnsi="Arial Narrow" w:cs="Arial"/>
          <w:i/>
          <w:szCs w:val="26"/>
          <w:lang w:val="en-GB"/>
        </w:rPr>
        <w:footnoteReference w:id="6"/>
      </w:r>
    </w:p>
    <w:p w14:paraId="7431971A" w14:textId="77777777" w:rsidR="00322A08" w:rsidRPr="00322A08" w:rsidRDefault="00322A08" w:rsidP="00322A08">
      <w:pPr>
        <w:pStyle w:val="ListParagraph"/>
        <w:overflowPunct w:val="0"/>
        <w:autoSpaceDE w:val="0"/>
        <w:autoSpaceDN w:val="0"/>
        <w:adjustRightInd w:val="0"/>
        <w:spacing w:before="0" w:after="280" w:line="270" w:lineRule="auto"/>
        <w:ind w:left="2160"/>
        <w:jc w:val="both"/>
        <w:textAlignment w:val="baseline"/>
        <w:rPr>
          <w:rFonts w:ascii="Arial Narrow" w:hAnsi="Arial Narrow" w:cs="Arial"/>
          <w:i/>
          <w:szCs w:val="26"/>
          <w:lang w:val="en-GB"/>
        </w:rPr>
      </w:pPr>
    </w:p>
    <w:p w14:paraId="2D7EC033" w14:textId="77777777" w:rsidR="00DF5BFB" w:rsidRDefault="00DF5BFB" w:rsidP="00DF5BFB">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This has not come to pass, and GF agreements have in fact </w:t>
      </w:r>
      <w:r w:rsidR="00253F05">
        <w:rPr>
          <w:rFonts w:ascii="Arial Narrow" w:hAnsi="Arial Narrow" w:cs="Arial"/>
          <w:szCs w:val="26"/>
          <w:lang w:val="en-GB"/>
        </w:rPr>
        <w:t xml:space="preserve">successfully </w:t>
      </w:r>
      <w:r>
        <w:rPr>
          <w:rFonts w:ascii="Arial Narrow" w:hAnsi="Arial Narrow" w:cs="Arial"/>
          <w:szCs w:val="26"/>
          <w:lang w:val="en-GB"/>
        </w:rPr>
        <w:t xml:space="preserve">proceeded via agreement between employers and unions, albeit in reduced numbers.  </w:t>
      </w:r>
    </w:p>
    <w:p w14:paraId="72A032D3" w14:textId="77777777" w:rsidR="00F97AE3" w:rsidRDefault="005D13DB" w:rsidP="005D13DB">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This further underscores that it is not the 2015 changes that have driven changing demand for GF agreements</w:t>
      </w:r>
      <w:r w:rsidR="009958C9">
        <w:rPr>
          <w:rFonts w:ascii="Arial Narrow" w:hAnsi="Arial Narrow" w:cs="Arial"/>
          <w:szCs w:val="26"/>
          <w:lang w:val="en-GB"/>
        </w:rPr>
        <w:t xml:space="preserve">; rather </w:t>
      </w:r>
      <w:r w:rsidR="00253F05">
        <w:rPr>
          <w:rFonts w:ascii="Arial Narrow" w:hAnsi="Arial Narrow" w:cs="Arial"/>
          <w:szCs w:val="26"/>
          <w:lang w:val="en-GB"/>
        </w:rPr>
        <w:t>the</w:t>
      </w:r>
      <w:r w:rsidR="009958C9">
        <w:rPr>
          <w:rFonts w:ascii="Arial Narrow" w:hAnsi="Arial Narrow" w:cs="Arial"/>
          <w:szCs w:val="26"/>
          <w:lang w:val="en-GB"/>
        </w:rPr>
        <w:t xml:space="preserve"> changing geopolitical and investment climate</w:t>
      </w:r>
      <w:r w:rsidR="00253F05">
        <w:rPr>
          <w:rFonts w:ascii="Arial Narrow" w:hAnsi="Arial Narrow" w:cs="Arial"/>
          <w:szCs w:val="26"/>
          <w:lang w:val="en-GB"/>
        </w:rPr>
        <w:t>, and reduced resource investment has led to fewer new GF agreements</w:t>
      </w:r>
      <w:r>
        <w:rPr>
          <w:rFonts w:ascii="Arial Narrow" w:hAnsi="Arial Narrow" w:cs="Arial"/>
          <w:szCs w:val="26"/>
          <w:lang w:val="en-GB"/>
        </w:rPr>
        <w:t xml:space="preserve">.  </w:t>
      </w:r>
    </w:p>
    <w:p w14:paraId="06CAC1BE" w14:textId="77777777" w:rsidR="00253F05" w:rsidRDefault="00C177AC" w:rsidP="00C177A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review should conclude that</w:t>
      </w:r>
      <w:r w:rsidR="00253F05">
        <w:rPr>
          <w:rFonts w:ascii="Arial Narrow" w:hAnsi="Arial Narrow" w:cs="Arial"/>
          <w:szCs w:val="26"/>
          <w:lang w:val="en-GB"/>
        </w:rPr>
        <w:t>:</w:t>
      </w:r>
    </w:p>
    <w:p w14:paraId="2B773785" w14:textId="77777777" w:rsidR="00253F05" w:rsidRDefault="00253F05" w:rsidP="001D513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C</w:t>
      </w:r>
      <w:r w:rsidR="00C177AC">
        <w:rPr>
          <w:rFonts w:ascii="Arial Narrow" w:hAnsi="Arial Narrow" w:cs="Arial"/>
          <w:szCs w:val="26"/>
          <w:lang w:val="en-GB"/>
        </w:rPr>
        <w:t>hanging numbers of GF approval</w:t>
      </w:r>
      <w:r>
        <w:rPr>
          <w:rFonts w:ascii="Arial Narrow" w:hAnsi="Arial Narrow" w:cs="Arial"/>
          <w:szCs w:val="26"/>
          <w:lang w:val="en-GB"/>
        </w:rPr>
        <w:t>s</w:t>
      </w:r>
      <w:r w:rsidR="00C177AC">
        <w:rPr>
          <w:rFonts w:ascii="Arial Narrow" w:hAnsi="Arial Narrow" w:cs="Arial"/>
          <w:szCs w:val="26"/>
          <w:lang w:val="en-GB"/>
        </w:rPr>
        <w:t>, whilst concerning</w:t>
      </w:r>
      <w:r w:rsidR="00AB67A2">
        <w:rPr>
          <w:rFonts w:ascii="Arial Narrow" w:hAnsi="Arial Narrow" w:cs="Arial"/>
          <w:szCs w:val="26"/>
          <w:lang w:val="en-GB"/>
        </w:rPr>
        <w:t>,</w:t>
      </w:r>
      <w:r w:rsidR="00C177AC">
        <w:rPr>
          <w:rFonts w:ascii="Arial Narrow" w:hAnsi="Arial Narrow" w:cs="Arial"/>
          <w:szCs w:val="26"/>
          <w:lang w:val="en-GB"/>
        </w:rPr>
        <w:t xml:space="preserve"> do not warrant any change to or departure from the 2015 changes. </w:t>
      </w:r>
    </w:p>
    <w:p w14:paraId="1799A436" w14:textId="77777777" w:rsidR="00C177AC" w:rsidRPr="00C177AC" w:rsidRDefault="00253F05" w:rsidP="001D5133">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w:t>
      </w:r>
      <w:r w:rsidR="00AB67A2">
        <w:rPr>
          <w:rFonts w:ascii="Arial Narrow" w:hAnsi="Arial Narrow" w:cs="Arial"/>
          <w:szCs w:val="26"/>
          <w:lang w:val="en-GB"/>
        </w:rPr>
        <w:t xml:space="preserve">he 2015 changes are more important than ever for Australia to successfully gather its share of future investment opportunities. </w:t>
      </w:r>
    </w:p>
    <w:p w14:paraId="7C3D7C9C" w14:textId="77777777" w:rsidR="00D92458" w:rsidRPr="00C61917" w:rsidRDefault="00D92458" w:rsidP="00D92458">
      <w:pPr>
        <w:pStyle w:val="Heading2"/>
        <w:rPr>
          <w:lang w:val="en-GB"/>
        </w:rPr>
      </w:pPr>
      <w:r w:rsidRPr="00C61917">
        <w:rPr>
          <w:lang w:val="en-GB"/>
        </w:rPr>
        <w:t xml:space="preserve">Impediments to making Greenfields agreements </w:t>
      </w:r>
    </w:p>
    <w:p w14:paraId="5DE27A6F" w14:textId="77777777" w:rsidR="00AB1E39" w:rsidRPr="00C61917" w:rsidRDefault="00AB1E39" w:rsidP="00AB1E3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61917">
        <w:rPr>
          <w:rFonts w:ascii="Arial Narrow" w:hAnsi="Arial Narrow" w:cs="Arial"/>
          <w:szCs w:val="26"/>
          <w:lang w:val="en-GB"/>
        </w:rPr>
        <w:t xml:space="preserve">The fourth </w:t>
      </w:r>
      <w:r w:rsidR="00D65D6C">
        <w:rPr>
          <w:rFonts w:ascii="Arial Narrow" w:hAnsi="Arial Narrow" w:cs="Arial"/>
          <w:szCs w:val="26"/>
          <w:lang w:val="en-GB"/>
        </w:rPr>
        <w:t>issue</w:t>
      </w:r>
      <w:r w:rsidRPr="00C61917">
        <w:rPr>
          <w:rFonts w:ascii="Arial Narrow" w:hAnsi="Arial Narrow" w:cs="Arial"/>
          <w:szCs w:val="26"/>
          <w:lang w:val="en-GB"/>
        </w:rPr>
        <w:t xml:space="preserve"> on which specific comment is invited is:</w:t>
      </w:r>
    </w:p>
    <w:p w14:paraId="547FE7A3" w14:textId="77777777" w:rsidR="00253E53" w:rsidRPr="00C61917" w:rsidRDefault="00253E53" w:rsidP="00D92458">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r w:rsidRPr="00C61917">
        <w:rPr>
          <w:rFonts w:ascii="Arial Narrow" w:hAnsi="Arial Narrow" w:cs="Arial"/>
          <w:i/>
          <w:szCs w:val="26"/>
          <w:lang w:val="en-GB"/>
        </w:rPr>
        <w:t xml:space="preserve">The extent to which there may be systemic issues or impediments to the making of </w:t>
      </w:r>
      <w:r w:rsidR="00BC202B">
        <w:rPr>
          <w:rFonts w:ascii="Arial Narrow" w:hAnsi="Arial Narrow" w:cs="Arial"/>
          <w:i/>
          <w:szCs w:val="26"/>
          <w:lang w:val="en-GB"/>
        </w:rPr>
        <w:t>Greenfields</w:t>
      </w:r>
      <w:r w:rsidR="00D92458" w:rsidRPr="00C61917">
        <w:rPr>
          <w:rFonts w:ascii="Arial Narrow" w:hAnsi="Arial Narrow" w:cs="Arial"/>
          <w:i/>
          <w:szCs w:val="26"/>
          <w:lang w:val="en-GB"/>
        </w:rPr>
        <w:t xml:space="preserve"> agreements.</w:t>
      </w:r>
    </w:p>
    <w:p w14:paraId="49E646F5" w14:textId="77777777" w:rsidR="00253E53" w:rsidRPr="00C61917"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223D10AE" w14:textId="77777777" w:rsidR="009958C9" w:rsidRDefault="009958C9" w:rsidP="009958C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Employers strongly supported the 2015 </w:t>
      </w:r>
      <w:r w:rsidR="00AB67A2">
        <w:rPr>
          <w:rFonts w:ascii="Arial Narrow" w:hAnsi="Arial Narrow" w:cs="Arial"/>
          <w:szCs w:val="26"/>
          <w:lang w:val="en-GB"/>
        </w:rPr>
        <w:t xml:space="preserve">GF </w:t>
      </w:r>
      <w:r>
        <w:rPr>
          <w:rFonts w:ascii="Arial Narrow" w:hAnsi="Arial Narrow" w:cs="Arial"/>
          <w:szCs w:val="26"/>
          <w:lang w:val="en-GB"/>
        </w:rPr>
        <w:t>amendments. However, other impediments to making GF agreements</w:t>
      </w:r>
      <w:r w:rsidR="00AB67A2">
        <w:rPr>
          <w:rFonts w:ascii="Arial Narrow" w:hAnsi="Arial Narrow" w:cs="Arial"/>
          <w:szCs w:val="26"/>
          <w:lang w:val="en-GB"/>
        </w:rPr>
        <w:t xml:space="preserve"> need to be addressed</w:t>
      </w:r>
      <w:r w:rsidR="00253F05">
        <w:rPr>
          <w:rFonts w:ascii="Arial Narrow" w:hAnsi="Arial Narrow" w:cs="Arial"/>
          <w:szCs w:val="26"/>
          <w:lang w:val="en-GB"/>
        </w:rPr>
        <w:t xml:space="preserve">, and the </w:t>
      </w:r>
      <w:r>
        <w:rPr>
          <w:rFonts w:ascii="Arial Narrow" w:hAnsi="Arial Narrow" w:cs="Arial"/>
          <w:szCs w:val="26"/>
          <w:lang w:val="en-GB"/>
        </w:rPr>
        <w:t>importance of addressing these impediments has increased as appetite for investment has waned and as Austral</w:t>
      </w:r>
      <w:r w:rsidR="00AB67A2">
        <w:rPr>
          <w:rFonts w:ascii="Arial Narrow" w:hAnsi="Arial Narrow" w:cs="Arial"/>
          <w:szCs w:val="26"/>
          <w:lang w:val="en-GB"/>
        </w:rPr>
        <w:t xml:space="preserve">ia must fight harder to secure </w:t>
      </w:r>
      <w:r>
        <w:rPr>
          <w:rFonts w:ascii="Arial Narrow" w:hAnsi="Arial Narrow" w:cs="Arial"/>
          <w:szCs w:val="26"/>
          <w:lang w:val="en-GB"/>
        </w:rPr>
        <w:t xml:space="preserve">future waves of resource investment. </w:t>
      </w:r>
    </w:p>
    <w:p w14:paraId="1BB5975D" w14:textId="77777777" w:rsidR="007A44FA" w:rsidRDefault="009958C9" w:rsidP="009958C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 xml:space="preserve">We have the prescriptions to </w:t>
      </w:r>
      <w:r w:rsidR="00403D90">
        <w:rPr>
          <w:rFonts w:ascii="Arial Narrow" w:hAnsi="Arial Narrow" w:cs="Arial"/>
          <w:szCs w:val="26"/>
          <w:lang w:val="en-GB"/>
        </w:rPr>
        <w:t xml:space="preserve">start to </w:t>
      </w:r>
      <w:r>
        <w:rPr>
          <w:rFonts w:ascii="Arial Narrow" w:hAnsi="Arial Narrow" w:cs="Arial"/>
          <w:szCs w:val="26"/>
          <w:lang w:val="en-GB"/>
        </w:rPr>
        <w:t xml:space="preserve">address the </w:t>
      </w:r>
      <w:r w:rsidR="00CA1B16">
        <w:rPr>
          <w:rFonts w:ascii="Arial Narrow" w:hAnsi="Arial Narrow" w:cs="Arial"/>
          <w:szCs w:val="26"/>
          <w:lang w:val="en-GB"/>
        </w:rPr>
        <w:t xml:space="preserve">further </w:t>
      </w:r>
      <w:r>
        <w:rPr>
          <w:rFonts w:ascii="Arial Narrow" w:hAnsi="Arial Narrow" w:cs="Arial"/>
          <w:szCs w:val="26"/>
          <w:lang w:val="en-GB"/>
        </w:rPr>
        <w:t xml:space="preserve">key impediments </w:t>
      </w:r>
      <w:r w:rsidR="00CA1B16">
        <w:rPr>
          <w:rFonts w:ascii="Arial Narrow" w:hAnsi="Arial Narrow" w:cs="Arial"/>
          <w:szCs w:val="26"/>
          <w:lang w:val="en-GB"/>
        </w:rPr>
        <w:t>to GF agreement making, through the recommendations of the PC (</w:t>
      </w:r>
      <w:r w:rsidR="00572973">
        <w:rPr>
          <w:rFonts w:ascii="Arial Narrow" w:hAnsi="Arial Narrow" w:cs="Arial"/>
          <w:szCs w:val="26"/>
          <w:u w:val="double"/>
          <w:lang w:val="en-GB"/>
        </w:rPr>
        <w:t>Attachment A</w:t>
      </w:r>
      <w:r w:rsidR="00CA1B16">
        <w:rPr>
          <w:rFonts w:ascii="Arial Narrow" w:hAnsi="Arial Narrow" w:cs="Arial"/>
          <w:szCs w:val="26"/>
          <w:lang w:val="en-GB"/>
        </w:rPr>
        <w:t xml:space="preserve">). </w:t>
      </w:r>
    </w:p>
    <w:p w14:paraId="207C8E73" w14:textId="77777777" w:rsidR="009958C9" w:rsidRPr="00C61917" w:rsidRDefault="00CA1B16" w:rsidP="009958C9">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This review should </w:t>
      </w:r>
      <w:r w:rsidR="00403D90">
        <w:rPr>
          <w:rFonts w:ascii="Arial Narrow" w:hAnsi="Arial Narrow" w:cs="Arial"/>
          <w:szCs w:val="26"/>
          <w:lang w:val="en-GB"/>
        </w:rPr>
        <w:t>re</w:t>
      </w:r>
      <w:r>
        <w:rPr>
          <w:rFonts w:ascii="Arial Narrow" w:hAnsi="Arial Narrow" w:cs="Arial"/>
          <w:szCs w:val="26"/>
          <w:lang w:val="en-GB"/>
        </w:rPr>
        <w:t xml:space="preserve">commend to government that it </w:t>
      </w:r>
      <w:r w:rsidR="007A44FA">
        <w:rPr>
          <w:rFonts w:ascii="Arial Narrow" w:hAnsi="Arial Narrow" w:cs="Arial"/>
          <w:szCs w:val="26"/>
          <w:lang w:val="en-GB"/>
        </w:rPr>
        <w:t>implement what the PC recommended</w:t>
      </w:r>
      <w:r w:rsidR="00FB169A">
        <w:rPr>
          <w:rFonts w:ascii="Arial Narrow" w:hAnsi="Arial Narrow" w:cs="Arial"/>
          <w:szCs w:val="26"/>
          <w:lang w:val="en-GB"/>
        </w:rPr>
        <w:t xml:space="preserve"> on GF agreements</w:t>
      </w:r>
      <w:r w:rsidR="00403D90">
        <w:rPr>
          <w:rFonts w:ascii="Arial Narrow" w:hAnsi="Arial Narrow" w:cs="Arial"/>
          <w:szCs w:val="26"/>
          <w:lang w:val="en-GB"/>
        </w:rPr>
        <w:t>,</w:t>
      </w:r>
      <w:r w:rsidR="007A44FA">
        <w:rPr>
          <w:rFonts w:ascii="Arial Narrow" w:hAnsi="Arial Narrow" w:cs="Arial"/>
          <w:szCs w:val="26"/>
          <w:lang w:val="en-GB"/>
        </w:rPr>
        <w:t xml:space="preserve"> in addition to </w:t>
      </w:r>
      <w:r w:rsidR="00403D90">
        <w:rPr>
          <w:rFonts w:ascii="Arial Narrow" w:hAnsi="Arial Narrow" w:cs="Arial"/>
          <w:szCs w:val="26"/>
          <w:lang w:val="en-GB"/>
        </w:rPr>
        <w:t xml:space="preserve">maintaining </w:t>
      </w:r>
      <w:r w:rsidR="007A44FA">
        <w:rPr>
          <w:rFonts w:ascii="Arial Narrow" w:hAnsi="Arial Narrow" w:cs="Arial"/>
          <w:szCs w:val="26"/>
          <w:lang w:val="en-GB"/>
        </w:rPr>
        <w:t>the 2015 changes</w:t>
      </w:r>
      <w:r>
        <w:rPr>
          <w:rFonts w:ascii="Arial Narrow" w:hAnsi="Arial Narrow" w:cs="Arial"/>
          <w:szCs w:val="26"/>
          <w:lang w:val="en-GB"/>
        </w:rPr>
        <w:t xml:space="preserve">.  </w:t>
      </w:r>
      <w:r w:rsidR="009958C9">
        <w:rPr>
          <w:rFonts w:ascii="Arial Narrow" w:hAnsi="Arial Narrow" w:cs="Arial"/>
          <w:szCs w:val="26"/>
          <w:lang w:val="en-GB"/>
        </w:rPr>
        <w:t xml:space="preserve"> </w:t>
      </w:r>
    </w:p>
    <w:p w14:paraId="65718613" w14:textId="77777777" w:rsidR="00D65D6C" w:rsidRPr="00072917" w:rsidRDefault="00D65D6C" w:rsidP="00D65D6C">
      <w:pPr>
        <w:pStyle w:val="Heading2"/>
        <w:rPr>
          <w:lang w:val="en-GB"/>
        </w:rPr>
      </w:pPr>
      <w:r w:rsidRPr="00072917">
        <w:rPr>
          <w:lang w:val="en-GB"/>
        </w:rPr>
        <w:t>PC Recommendations</w:t>
      </w:r>
      <w:r w:rsidRPr="00072917">
        <w:rPr>
          <w:rStyle w:val="FootnoteReference"/>
          <w:lang w:val="en-GB"/>
        </w:rPr>
        <w:footnoteReference w:id="7"/>
      </w:r>
      <w:r w:rsidRPr="00072917">
        <w:rPr>
          <w:lang w:val="en-GB"/>
        </w:rPr>
        <w:t xml:space="preserve"> </w:t>
      </w:r>
    </w:p>
    <w:p w14:paraId="4F317EDD" w14:textId="77777777" w:rsidR="00D65D6C" w:rsidRPr="00072917"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 xml:space="preserve">The fifth </w:t>
      </w:r>
      <w:r>
        <w:rPr>
          <w:rFonts w:ascii="Arial Narrow" w:hAnsi="Arial Narrow" w:cs="Arial"/>
          <w:szCs w:val="26"/>
          <w:lang w:val="en-GB"/>
        </w:rPr>
        <w:t>issue</w:t>
      </w:r>
      <w:r w:rsidRPr="00072917">
        <w:rPr>
          <w:rFonts w:ascii="Arial Narrow" w:hAnsi="Arial Narrow" w:cs="Arial"/>
          <w:szCs w:val="26"/>
          <w:lang w:val="en-GB"/>
        </w:rPr>
        <w:t xml:space="preserve"> on which specific comment is invited is:</w:t>
      </w:r>
    </w:p>
    <w:p w14:paraId="38DCB6B5" w14:textId="77777777" w:rsidR="00D65D6C" w:rsidRPr="00072917" w:rsidRDefault="00D65D6C" w:rsidP="00D65D6C">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r w:rsidRPr="00072917">
        <w:rPr>
          <w:rFonts w:ascii="Arial Narrow" w:hAnsi="Arial Narrow" w:cs="Arial"/>
          <w:i/>
          <w:szCs w:val="26"/>
          <w:lang w:val="en-GB"/>
        </w:rPr>
        <w:t xml:space="preserve">Recommendations of the Productivity Commission relating to </w:t>
      </w:r>
      <w:r>
        <w:rPr>
          <w:rFonts w:ascii="Arial Narrow" w:hAnsi="Arial Narrow" w:cs="Arial"/>
          <w:i/>
          <w:szCs w:val="26"/>
          <w:lang w:val="en-GB"/>
        </w:rPr>
        <w:t>Greenfields</w:t>
      </w:r>
      <w:r w:rsidRPr="00072917">
        <w:rPr>
          <w:rFonts w:ascii="Arial Narrow" w:hAnsi="Arial Narrow" w:cs="Arial"/>
          <w:i/>
          <w:szCs w:val="26"/>
          <w:lang w:val="en-GB"/>
        </w:rPr>
        <w:t xml:space="preserve"> agreements.</w:t>
      </w:r>
      <w:r w:rsidRPr="00072917">
        <w:rPr>
          <w:rStyle w:val="FootnoteReference"/>
          <w:rFonts w:ascii="Arial Narrow" w:hAnsi="Arial Narrow" w:cs="Arial"/>
          <w:szCs w:val="26"/>
          <w:lang w:val="en-GB"/>
        </w:rPr>
        <w:footnoteReference w:id="8"/>
      </w:r>
    </w:p>
    <w:p w14:paraId="065A101B" w14:textId="77777777" w:rsidR="00D65D6C" w:rsidRPr="00072917" w:rsidRDefault="00D65D6C" w:rsidP="00D65D6C">
      <w:pPr>
        <w:pStyle w:val="ListParagraph"/>
        <w:overflowPunct w:val="0"/>
        <w:autoSpaceDE w:val="0"/>
        <w:autoSpaceDN w:val="0"/>
        <w:adjustRightInd w:val="0"/>
        <w:spacing w:before="0" w:after="280" w:line="270" w:lineRule="auto"/>
        <w:contextualSpacing w:val="0"/>
        <w:jc w:val="both"/>
        <w:textAlignment w:val="baseline"/>
        <w:rPr>
          <w:rFonts w:ascii="Arial Narrow" w:hAnsi="Arial Narrow" w:cs="Arial"/>
          <w:sz w:val="4"/>
          <w:szCs w:val="26"/>
          <w:lang w:val="en-GB"/>
        </w:rPr>
      </w:pPr>
    </w:p>
    <w:p w14:paraId="482880D3" w14:textId="77777777" w:rsidR="00D65D6C" w:rsidRPr="00072917"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 xml:space="preserve">The PC was aware of the 2015 amendments when it made its final recommendations, stating: </w:t>
      </w:r>
    </w:p>
    <w:p w14:paraId="54E2EE26" w14:textId="77777777" w:rsidR="00D65D6C" w:rsidRPr="00072917" w:rsidRDefault="00D65D6C" w:rsidP="00D65D6C">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i/>
          <w:szCs w:val="26"/>
          <w:lang w:val="en-GB"/>
        </w:rPr>
      </w:pPr>
      <w:r w:rsidRPr="00072917">
        <w:rPr>
          <w:rFonts w:ascii="Arial Narrow" w:hAnsi="Arial Narrow" w:cs="Arial"/>
          <w:i/>
          <w:szCs w:val="26"/>
          <w:lang w:val="en-GB"/>
        </w:rPr>
        <w:t xml:space="preserve">While the recent amendments are likely to result in more expedient and balanced </w:t>
      </w:r>
      <w:r>
        <w:rPr>
          <w:rFonts w:ascii="Arial Narrow" w:hAnsi="Arial Narrow" w:cs="Arial"/>
          <w:i/>
          <w:szCs w:val="26"/>
          <w:lang w:val="en-GB"/>
        </w:rPr>
        <w:t>Greenfields</w:t>
      </w:r>
      <w:r w:rsidRPr="00072917">
        <w:rPr>
          <w:rFonts w:ascii="Arial Narrow" w:hAnsi="Arial Narrow" w:cs="Arial"/>
          <w:i/>
          <w:szCs w:val="26"/>
          <w:lang w:val="en-GB"/>
        </w:rPr>
        <w:t xml:space="preserve"> negotiations, the Productivity Commission continues to see merit in </w:t>
      </w:r>
      <w:r w:rsidRPr="0082565E">
        <w:rPr>
          <w:rFonts w:ascii="Arial Narrow" w:hAnsi="Arial Narrow" w:cs="Arial"/>
          <w:i/>
          <w:szCs w:val="26"/>
          <w:u w:val="single"/>
          <w:lang w:val="en-GB"/>
        </w:rPr>
        <w:t>further changes</w:t>
      </w:r>
      <w:r w:rsidRPr="00072917">
        <w:rPr>
          <w:rFonts w:ascii="Arial Narrow" w:hAnsi="Arial Narrow" w:cs="Arial"/>
          <w:i/>
          <w:szCs w:val="26"/>
          <w:lang w:val="en-GB"/>
        </w:rPr>
        <w:t>...</w:t>
      </w:r>
      <w:r w:rsidRPr="00072917">
        <w:rPr>
          <w:rStyle w:val="FootnoteReference"/>
          <w:rFonts w:ascii="Arial Narrow" w:hAnsi="Arial Narrow" w:cs="Arial"/>
          <w:szCs w:val="26"/>
          <w:lang w:val="en-GB"/>
        </w:rPr>
        <w:footnoteReference w:id="9"/>
      </w:r>
      <w:r w:rsidRPr="00072917">
        <w:rPr>
          <w:rFonts w:ascii="Arial Narrow" w:hAnsi="Arial Narrow" w:cs="Arial"/>
          <w:szCs w:val="26"/>
          <w:lang w:val="en-GB"/>
        </w:rPr>
        <w:t xml:space="preserve"> </w:t>
      </w:r>
    </w:p>
    <w:p w14:paraId="20D71D4B" w14:textId="77777777" w:rsidR="00D65D6C"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 xml:space="preserve">The Australian Chamber and its members agree, and support the PC recommendations to further reform GF agreement making, to better support new investment and new employment (with some nuances as set out in member submissions).  </w:t>
      </w:r>
    </w:p>
    <w:p w14:paraId="778B98E4" w14:textId="77777777" w:rsidR="00D65D6C" w:rsidRPr="00072917"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PC recommendations and current GF provisions could be melded, with a three rather than six month negotiation period, into a more useful, relevant and practical range of options.  It appears </w:t>
      </w:r>
      <w:r w:rsidR="00253F05">
        <w:rPr>
          <w:rFonts w:ascii="Arial Narrow" w:hAnsi="Arial Narrow" w:cs="Arial"/>
          <w:szCs w:val="26"/>
          <w:lang w:val="en-GB"/>
        </w:rPr>
        <w:t>absolutely</w:t>
      </w:r>
      <w:r>
        <w:rPr>
          <w:rFonts w:ascii="Arial Narrow" w:hAnsi="Arial Narrow" w:cs="Arial"/>
          <w:szCs w:val="26"/>
          <w:lang w:val="en-GB"/>
        </w:rPr>
        <w:t xml:space="preserve"> clear that this is what the PC envisaged.  </w:t>
      </w:r>
    </w:p>
    <w:p w14:paraId="41754A14" w14:textId="77777777" w:rsidR="00D65D6C" w:rsidRPr="00072917"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 xml:space="preserve">The PC recommendations on GF agreements </w:t>
      </w:r>
      <w:r w:rsidR="00812D6A">
        <w:rPr>
          <w:rFonts w:ascii="Arial Narrow" w:hAnsi="Arial Narrow" w:cs="Arial"/>
          <w:szCs w:val="26"/>
          <w:lang w:val="en-GB"/>
        </w:rPr>
        <w:t>(</w:t>
      </w:r>
      <w:r w:rsidR="00812D6A" w:rsidRPr="00812D6A">
        <w:rPr>
          <w:rFonts w:ascii="Arial Narrow" w:hAnsi="Arial Narrow" w:cs="Arial"/>
          <w:szCs w:val="26"/>
          <w:u w:val="double"/>
          <w:lang w:val="en-GB"/>
        </w:rPr>
        <w:t>Attachment A</w:t>
      </w:r>
      <w:r w:rsidR="00812D6A">
        <w:rPr>
          <w:rFonts w:ascii="Arial Narrow" w:hAnsi="Arial Narrow" w:cs="Arial"/>
          <w:szCs w:val="26"/>
          <w:lang w:val="en-GB"/>
        </w:rPr>
        <w:t xml:space="preserve">) </w:t>
      </w:r>
      <w:r w:rsidRPr="00072917">
        <w:rPr>
          <w:rFonts w:ascii="Arial Narrow" w:hAnsi="Arial Narrow" w:cs="Arial"/>
          <w:szCs w:val="26"/>
          <w:lang w:val="en-GB"/>
        </w:rPr>
        <w:t xml:space="preserve">are fourfold: </w:t>
      </w:r>
    </w:p>
    <w:p w14:paraId="4BA7C6CB" w14:textId="77777777" w:rsidR="00D65D6C" w:rsidRPr="00072917" w:rsidRDefault="00D65D6C" w:rsidP="00D65D6C">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Three month negotiation period (down from 6 months). [Recommendation 21.1</w:t>
      </w:r>
      <w:r w:rsidRPr="00072917">
        <w:rPr>
          <w:rStyle w:val="FootnoteReference"/>
          <w:rFonts w:ascii="Arial Narrow" w:hAnsi="Arial Narrow" w:cs="Arial"/>
          <w:szCs w:val="26"/>
          <w:lang w:val="en-GB"/>
        </w:rPr>
        <w:footnoteReference w:id="10"/>
      </w:r>
      <w:r w:rsidRPr="00072917">
        <w:rPr>
          <w:rFonts w:ascii="Arial Narrow" w:hAnsi="Arial Narrow" w:cs="Arial"/>
          <w:szCs w:val="26"/>
          <w:lang w:val="en-GB"/>
        </w:rPr>
        <w:t xml:space="preserve">] </w:t>
      </w:r>
    </w:p>
    <w:p w14:paraId="7E82384D" w14:textId="77777777" w:rsidR="00D65D6C" w:rsidRPr="00072917" w:rsidRDefault="00D65D6C" w:rsidP="00D65D6C">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Wider options at the end of the negotiating period. [Recommendation 21.1]</w:t>
      </w:r>
    </w:p>
    <w:p w14:paraId="64B6EB04" w14:textId="77777777" w:rsidR="00D65D6C" w:rsidRPr="00072917" w:rsidRDefault="00D65D6C" w:rsidP="00D65D6C">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An option for ‘l</w:t>
      </w:r>
      <w:r w:rsidRPr="00072917">
        <w:rPr>
          <w:rFonts w:ascii="Arial Narrow" w:hAnsi="Arial Narrow" w:cs="Arial"/>
          <w:szCs w:val="26"/>
          <w:lang w:val="en-GB"/>
        </w:rPr>
        <w:t>ast offer’ arbitration for FWC determinations after the negotiating period. [Recommendation 21.1]</w:t>
      </w:r>
    </w:p>
    <w:p w14:paraId="5862DAD5" w14:textId="77777777" w:rsidR="00D65D6C" w:rsidRPr="00072917" w:rsidRDefault="00D65D6C" w:rsidP="00D65D6C">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Project proponent GF agreements for major projects. [Recommendation 21.2</w:t>
      </w:r>
      <w:r w:rsidRPr="00072917">
        <w:rPr>
          <w:rStyle w:val="FootnoteReference"/>
          <w:rFonts w:ascii="Arial Narrow" w:hAnsi="Arial Narrow" w:cs="Arial"/>
          <w:szCs w:val="26"/>
          <w:lang w:val="en-GB"/>
        </w:rPr>
        <w:footnoteReference w:id="11"/>
      </w:r>
      <w:r w:rsidRPr="00072917">
        <w:rPr>
          <w:rFonts w:ascii="Arial Narrow" w:hAnsi="Arial Narrow" w:cs="Arial"/>
          <w:szCs w:val="26"/>
          <w:lang w:val="en-GB"/>
        </w:rPr>
        <w:t>]</w:t>
      </w:r>
    </w:p>
    <w:p w14:paraId="63720A2C" w14:textId="312E6752" w:rsidR="00D65D6C"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The Background Paper</w:t>
      </w:r>
      <w:r>
        <w:rPr>
          <w:rStyle w:val="FootnoteReference"/>
          <w:rFonts w:ascii="Arial Narrow" w:hAnsi="Arial Narrow" w:cs="Arial"/>
          <w:szCs w:val="26"/>
          <w:lang w:val="en-GB"/>
        </w:rPr>
        <w:footnoteReference w:id="12"/>
      </w:r>
      <w:r>
        <w:rPr>
          <w:rFonts w:ascii="Arial Narrow" w:hAnsi="Arial Narrow" w:cs="Arial"/>
          <w:szCs w:val="26"/>
          <w:lang w:val="en-GB"/>
        </w:rPr>
        <w:t xml:space="preserve"> seems to focus on the draft recommendations from the PC (August 2015) rather than the final recommendations (December 2015).  Respectfully, we think this is misguided, and note that the final PC recommendations are those which have been formally commended to government and reflect the full exchange of views between submitting parties</w:t>
      </w:r>
      <w:r w:rsidR="00812D6A">
        <w:rPr>
          <w:rFonts w:ascii="Arial Narrow" w:hAnsi="Arial Narrow" w:cs="Arial"/>
          <w:szCs w:val="26"/>
          <w:lang w:val="en-GB"/>
        </w:rPr>
        <w:t>, and with the PC</w:t>
      </w:r>
      <w:r>
        <w:rPr>
          <w:rFonts w:ascii="Arial Narrow" w:hAnsi="Arial Narrow" w:cs="Arial"/>
          <w:szCs w:val="26"/>
          <w:lang w:val="en-GB"/>
        </w:rPr>
        <w:t xml:space="preserve">. </w:t>
      </w:r>
    </w:p>
    <w:p w14:paraId="28FD304C" w14:textId="77777777" w:rsidR="00D65D6C"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suggest the following comment misunderstands the relationship between the PC recommendations and the 2015 amendments: </w:t>
      </w:r>
    </w:p>
    <w:p w14:paraId="1432A62F" w14:textId="77777777" w:rsidR="00D65D6C" w:rsidRPr="002B73C4" w:rsidRDefault="00D65D6C" w:rsidP="00D65D6C">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szCs w:val="26"/>
          <w:lang w:val="en-GB"/>
        </w:rPr>
      </w:pPr>
      <w:r w:rsidRPr="002B73C4">
        <w:rPr>
          <w:rFonts w:ascii="Arial Narrow" w:hAnsi="Arial Narrow" w:cs="Arial"/>
          <w:i/>
          <w:szCs w:val="26"/>
          <w:lang w:val="en-GB"/>
        </w:rPr>
        <w:t>The Productivity Commission noted the amendments to</w:t>
      </w:r>
      <w:r>
        <w:rPr>
          <w:rFonts w:ascii="Arial Narrow" w:hAnsi="Arial Narrow" w:cs="Arial"/>
          <w:i/>
          <w:szCs w:val="26"/>
          <w:lang w:val="en-GB"/>
        </w:rPr>
        <w:t xml:space="preserve"> </w:t>
      </w:r>
      <w:r w:rsidRPr="002B73C4">
        <w:rPr>
          <w:rFonts w:ascii="Arial Narrow" w:hAnsi="Arial Narrow" w:cs="Arial"/>
          <w:i/>
          <w:szCs w:val="26"/>
          <w:lang w:val="en-GB"/>
        </w:rPr>
        <w:t xml:space="preserve">the Fair Work Act </w:t>
      </w:r>
      <w:r w:rsidRPr="00DD04A7">
        <w:rPr>
          <w:rFonts w:ascii="Arial Narrow" w:hAnsi="Arial Narrow" w:cs="Arial"/>
          <w:i/>
          <w:szCs w:val="26"/>
          <w:u w:val="single"/>
          <w:lang w:val="en-GB"/>
        </w:rPr>
        <w:t>but</w:t>
      </w:r>
      <w:r w:rsidRPr="002B73C4">
        <w:rPr>
          <w:rFonts w:ascii="Arial Narrow" w:hAnsi="Arial Narrow" w:cs="Arial"/>
          <w:i/>
          <w:szCs w:val="26"/>
          <w:lang w:val="en-GB"/>
        </w:rPr>
        <w:t xml:space="preserve"> proceeded to make the following recommendation:</w:t>
      </w:r>
      <w:r w:rsidRPr="00DD04A7">
        <w:rPr>
          <w:rStyle w:val="FootnoteReference"/>
          <w:rFonts w:ascii="Arial Narrow" w:hAnsi="Arial Narrow" w:cs="Arial"/>
          <w:szCs w:val="26"/>
          <w:lang w:val="en-GB"/>
        </w:rPr>
        <w:footnoteReference w:id="13"/>
      </w:r>
    </w:p>
    <w:p w14:paraId="761E12FE" w14:textId="77777777" w:rsidR="00D65D6C" w:rsidRDefault="00D65D6C" w:rsidP="00D65D6C">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7ACB83C5" w14:textId="13489356" w:rsidR="00D65D6C" w:rsidRDefault="001D5133"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“but” is inaccurate. We </w:t>
      </w:r>
      <w:r w:rsidR="00D65D6C">
        <w:rPr>
          <w:rFonts w:ascii="Arial Narrow" w:hAnsi="Arial Narrow" w:cs="Arial"/>
          <w:szCs w:val="26"/>
          <w:lang w:val="en-GB"/>
        </w:rPr>
        <w:t xml:space="preserve">commend to the review the following from the </w:t>
      </w:r>
      <w:r w:rsidR="00D65D6C" w:rsidRPr="002B73C4">
        <w:rPr>
          <w:rFonts w:ascii="Arial Narrow" w:hAnsi="Arial Narrow" w:cs="Arial"/>
          <w:szCs w:val="26"/>
          <w:u w:val="single"/>
          <w:lang w:val="en-GB"/>
        </w:rPr>
        <w:t>final</w:t>
      </w:r>
      <w:r w:rsidR="00D65D6C">
        <w:rPr>
          <w:rFonts w:ascii="Arial Narrow" w:hAnsi="Arial Narrow" w:cs="Arial"/>
          <w:szCs w:val="26"/>
          <w:lang w:val="en-GB"/>
        </w:rPr>
        <w:t xml:space="preserve"> PC report which makes clear that the PC were well aware of the November 2015 amendments in making its final recommendations</w:t>
      </w:r>
      <w:r w:rsidR="003C4FC5">
        <w:rPr>
          <w:rFonts w:ascii="Arial Narrow" w:hAnsi="Arial Narrow" w:cs="Arial"/>
          <w:szCs w:val="26"/>
          <w:lang w:val="en-GB"/>
        </w:rPr>
        <w:t xml:space="preserve"> on GF</w:t>
      </w:r>
      <w:r w:rsidR="00D65D6C">
        <w:rPr>
          <w:rFonts w:ascii="Arial Narrow" w:hAnsi="Arial Narrow" w:cs="Arial"/>
          <w:szCs w:val="26"/>
          <w:lang w:val="en-GB"/>
        </w:rPr>
        <w:t xml:space="preserve"> which were specifically intended to be in addition to the November 2015 changes : </w:t>
      </w:r>
    </w:p>
    <w:p w14:paraId="6C8B132D" w14:textId="77777777" w:rsidR="00D65D6C" w:rsidRPr="00072917" w:rsidRDefault="00D65D6C" w:rsidP="00D65D6C">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i/>
          <w:szCs w:val="26"/>
          <w:lang w:val="en-GB"/>
        </w:rPr>
      </w:pPr>
      <w:r w:rsidRPr="00072917">
        <w:rPr>
          <w:rFonts w:ascii="Arial Narrow" w:hAnsi="Arial Narrow" w:cs="Arial"/>
          <w:i/>
          <w:szCs w:val="26"/>
          <w:lang w:val="en-GB"/>
        </w:rPr>
        <w:t xml:space="preserve">While the recent amendments are likely to result in more expedient and balanced </w:t>
      </w:r>
      <w:r>
        <w:rPr>
          <w:rFonts w:ascii="Arial Narrow" w:hAnsi="Arial Narrow" w:cs="Arial"/>
          <w:i/>
          <w:szCs w:val="26"/>
          <w:lang w:val="en-GB"/>
        </w:rPr>
        <w:t>Greenfields</w:t>
      </w:r>
      <w:r w:rsidRPr="00072917">
        <w:rPr>
          <w:rFonts w:ascii="Arial Narrow" w:hAnsi="Arial Narrow" w:cs="Arial"/>
          <w:i/>
          <w:szCs w:val="26"/>
          <w:lang w:val="en-GB"/>
        </w:rPr>
        <w:t xml:space="preserve"> negotiations, the Productivity Commission continues to see merit in further changes...</w:t>
      </w:r>
      <w:r w:rsidRPr="00072917">
        <w:rPr>
          <w:rStyle w:val="FootnoteReference"/>
          <w:rFonts w:ascii="Arial Narrow" w:hAnsi="Arial Narrow" w:cs="Arial"/>
          <w:szCs w:val="26"/>
          <w:lang w:val="en-GB"/>
        </w:rPr>
        <w:footnoteReference w:id="14"/>
      </w:r>
      <w:r w:rsidRPr="00072917">
        <w:rPr>
          <w:rFonts w:ascii="Arial Narrow" w:hAnsi="Arial Narrow" w:cs="Arial"/>
          <w:szCs w:val="26"/>
          <w:lang w:val="en-GB"/>
        </w:rPr>
        <w:t xml:space="preserve"> </w:t>
      </w:r>
    </w:p>
    <w:p w14:paraId="2E6B93DE" w14:textId="62490D4D" w:rsidR="00D65D6C" w:rsidRDefault="00D65D6C" w:rsidP="00D65D6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72917">
        <w:rPr>
          <w:rFonts w:ascii="Arial Narrow" w:hAnsi="Arial Narrow" w:cs="Arial"/>
          <w:szCs w:val="26"/>
          <w:lang w:val="en-GB"/>
        </w:rPr>
        <w:t xml:space="preserve">The </w:t>
      </w:r>
      <w:r>
        <w:rPr>
          <w:rFonts w:ascii="Arial Narrow" w:hAnsi="Arial Narrow" w:cs="Arial"/>
          <w:szCs w:val="26"/>
          <w:lang w:val="en-GB"/>
        </w:rPr>
        <w:t xml:space="preserve">review should endorse the </w:t>
      </w:r>
      <w:r w:rsidRPr="00634419">
        <w:rPr>
          <w:rFonts w:ascii="Arial Narrow" w:hAnsi="Arial Narrow" w:cs="Arial"/>
          <w:szCs w:val="26"/>
          <w:u w:val="single"/>
          <w:lang w:val="en-GB"/>
        </w:rPr>
        <w:t>final</w:t>
      </w:r>
      <w:r>
        <w:rPr>
          <w:rFonts w:ascii="Arial Narrow" w:hAnsi="Arial Narrow" w:cs="Arial"/>
          <w:szCs w:val="26"/>
          <w:lang w:val="en-GB"/>
        </w:rPr>
        <w:t xml:space="preserve"> analysis and recommendations of the PC (December 2015), and urge government to implement the </w:t>
      </w:r>
      <w:r w:rsidRPr="00634419">
        <w:rPr>
          <w:rFonts w:ascii="Arial Narrow" w:hAnsi="Arial Narrow" w:cs="Arial"/>
          <w:szCs w:val="26"/>
          <w:u w:val="single"/>
          <w:lang w:val="en-GB"/>
        </w:rPr>
        <w:t>final</w:t>
      </w:r>
      <w:r>
        <w:rPr>
          <w:rFonts w:ascii="Arial Narrow" w:hAnsi="Arial Narrow" w:cs="Arial"/>
          <w:szCs w:val="26"/>
          <w:lang w:val="en-GB"/>
        </w:rPr>
        <w:t xml:space="preserve"> PC recommendations on GF agreement making (</w:t>
      </w:r>
      <w:r w:rsidRPr="00634419">
        <w:rPr>
          <w:rFonts w:ascii="Arial Narrow" w:hAnsi="Arial Narrow" w:cs="Arial"/>
          <w:szCs w:val="26"/>
          <w:u w:val="double"/>
          <w:lang w:val="en-GB"/>
        </w:rPr>
        <w:t>Attachment A</w:t>
      </w:r>
      <w:r>
        <w:rPr>
          <w:rFonts w:ascii="Arial Narrow" w:hAnsi="Arial Narrow" w:cs="Arial"/>
          <w:szCs w:val="26"/>
          <w:lang w:val="en-GB"/>
        </w:rPr>
        <w:t>)</w:t>
      </w:r>
      <w:r w:rsidR="003C4FC5">
        <w:rPr>
          <w:rFonts w:ascii="Arial Narrow" w:hAnsi="Arial Narrow" w:cs="Arial"/>
          <w:szCs w:val="26"/>
          <w:lang w:val="en-GB"/>
        </w:rPr>
        <w:t>, in addition to the 2015 amendments</w:t>
      </w:r>
      <w:r>
        <w:rPr>
          <w:rFonts w:ascii="Arial Narrow" w:hAnsi="Arial Narrow" w:cs="Arial"/>
          <w:szCs w:val="26"/>
          <w:lang w:val="en-GB"/>
        </w:rPr>
        <w:t xml:space="preserve">. </w:t>
      </w:r>
    </w:p>
    <w:p w14:paraId="2790329E" w14:textId="77777777" w:rsidR="001D5133" w:rsidRPr="00072917" w:rsidRDefault="001D5133" w:rsidP="001D5133">
      <w:pPr>
        <w:pStyle w:val="ListParagraph"/>
        <w:overflowPunct w:val="0"/>
        <w:autoSpaceDE w:val="0"/>
        <w:autoSpaceDN w:val="0"/>
        <w:adjustRightInd w:val="0"/>
        <w:spacing w:before="0" w:after="280" w:line="270" w:lineRule="auto"/>
        <w:contextualSpacing w:val="0"/>
        <w:jc w:val="both"/>
        <w:textAlignment w:val="baseline"/>
        <w:rPr>
          <w:rFonts w:ascii="Arial Narrow" w:hAnsi="Arial Narrow" w:cs="Arial"/>
          <w:szCs w:val="26"/>
          <w:lang w:val="en-GB"/>
        </w:rPr>
      </w:pPr>
    </w:p>
    <w:p w14:paraId="7014827D" w14:textId="564B1776" w:rsidR="00F52CAC" w:rsidRPr="00F52CAC" w:rsidRDefault="001D5133" w:rsidP="00F52CAC">
      <w:pPr>
        <w:pStyle w:val="Heading2"/>
        <w:rPr>
          <w:lang w:val="en-GB"/>
        </w:rPr>
      </w:pPr>
      <w:r>
        <w:rPr>
          <w:lang w:val="en-GB"/>
        </w:rPr>
        <w:t xml:space="preserve">Reverting to </w:t>
      </w:r>
      <w:r w:rsidR="00F52CAC" w:rsidRPr="00F52CAC">
        <w:rPr>
          <w:lang w:val="en-GB"/>
        </w:rPr>
        <w:t>pre-2015</w:t>
      </w:r>
      <w:r>
        <w:rPr>
          <w:lang w:val="en-GB"/>
        </w:rPr>
        <w:t xml:space="preserve"> arrangements</w:t>
      </w:r>
    </w:p>
    <w:p w14:paraId="5DDEE341" w14:textId="77777777" w:rsidR="00231558" w:rsidRPr="00C61917" w:rsidRDefault="00231558" w:rsidP="0023155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61917">
        <w:rPr>
          <w:rFonts w:ascii="Arial Narrow" w:hAnsi="Arial Narrow" w:cs="Arial"/>
          <w:szCs w:val="26"/>
          <w:lang w:val="en-GB"/>
        </w:rPr>
        <w:t xml:space="preserve">The sixth </w:t>
      </w:r>
      <w:r w:rsidR="00D65D6C">
        <w:rPr>
          <w:rFonts w:ascii="Arial Narrow" w:hAnsi="Arial Narrow" w:cs="Arial"/>
          <w:szCs w:val="26"/>
          <w:lang w:val="en-GB"/>
        </w:rPr>
        <w:t>issue</w:t>
      </w:r>
      <w:r w:rsidRPr="00C61917">
        <w:rPr>
          <w:rFonts w:ascii="Arial Narrow" w:hAnsi="Arial Narrow" w:cs="Arial"/>
          <w:szCs w:val="26"/>
          <w:lang w:val="en-GB"/>
        </w:rPr>
        <w:t xml:space="preserve"> on which specific comment is invited is:</w:t>
      </w:r>
    </w:p>
    <w:p w14:paraId="4AC1198B" w14:textId="77777777" w:rsidR="00253E53" w:rsidRPr="00CB5846"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r w:rsidRPr="00C61917">
        <w:rPr>
          <w:rFonts w:ascii="Arial Narrow" w:hAnsi="Arial Narrow" w:cs="Arial"/>
          <w:i/>
          <w:szCs w:val="26"/>
          <w:lang w:val="en-GB"/>
        </w:rPr>
        <w:t xml:space="preserve">The anticipated effects of returning to the legislative arrangements which applied to </w:t>
      </w:r>
      <w:r w:rsidR="00BC202B" w:rsidRPr="00CB5846">
        <w:rPr>
          <w:rFonts w:ascii="Arial Narrow" w:hAnsi="Arial Narrow" w:cs="Arial"/>
          <w:i/>
          <w:szCs w:val="26"/>
          <w:lang w:val="en-GB"/>
        </w:rPr>
        <w:t>Greenfields</w:t>
      </w:r>
      <w:r w:rsidRPr="00CB5846">
        <w:rPr>
          <w:rFonts w:ascii="Arial Narrow" w:hAnsi="Arial Narrow" w:cs="Arial"/>
          <w:i/>
          <w:szCs w:val="26"/>
          <w:lang w:val="en-GB"/>
        </w:rPr>
        <w:t xml:space="preserve"> agreement making prior to November 2015.</w:t>
      </w:r>
    </w:p>
    <w:p w14:paraId="6CFDB6AB" w14:textId="77777777" w:rsidR="00231558" w:rsidRPr="00CB5846" w:rsidRDefault="00231558"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5C55C1C5" w14:textId="77777777" w:rsidR="00CB5846" w:rsidRPr="00CB5846" w:rsidRDefault="00CA1B16" w:rsidP="00CA1B16">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B5846">
        <w:rPr>
          <w:rFonts w:ascii="Arial Narrow" w:hAnsi="Arial Narrow" w:cs="Arial"/>
          <w:szCs w:val="26"/>
          <w:lang w:val="en-GB"/>
        </w:rPr>
        <w:t xml:space="preserve">The Australian Chamber strongly opposes any reversal of the 2015 changes, and knows of no evidence or </w:t>
      </w:r>
      <w:r w:rsidR="00403D90" w:rsidRPr="00CB5846">
        <w:rPr>
          <w:rFonts w:ascii="Arial Narrow" w:hAnsi="Arial Narrow" w:cs="Arial"/>
          <w:szCs w:val="26"/>
          <w:lang w:val="en-GB"/>
        </w:rPr>
        <w:t xml:space="preserve">policy </w:t>
      </w:r>
      <w:r w:rsidRPr="00CB5846">
        <w:rPr>
          <w:rFonts w:ascii="Arial Narrow" w:hAnsi="Arial Narrow" w:cs="Arial"/>
          <w:szCs w:val="26"/>
          <w:lang w:val="en-GB"/>
        </w:rPr>
        <w:t>basis to pursue such a reversal.</w:t>
      </w:r>
      <w:r w:rsidR="00CB5846" w:rsidRPr="00CB5846">
        <w:rPr>
          <w:rFonts w:ascii="Arial Narrow" w:hAnsi="Arial Narrow" w:cs="Arial"/>
          <w:szCs w:val="26"/>
          <w:lang w:val="en-GB"/>
        </w:rPr>
        <w:t xml:space="preserve">  </w:t>
      </w:r>
    </w:p>
    <w:p w14:paraId="60F781F3" w14:textId="77777777" w:rsidR="00CB5846" w:rsidRPr="00CB5846" w:rsidRDefault="00CB5846" w:rsidP="00CB5846">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B5846">
        <w:rPr>
          <w:rFonts w:ascii="Arial Narrow" w:hAnsi="Arial Narrow" w:cs="Arial"/>
          <w:szCs w:val="26"/>
          <w:lang w:val="en-GB"/>
        </w:rPr>
        <w:lastRenderedPageBreak/>
        <w:t xml:space="preserve">The continuing opposition of those who opposed the passage of the 2015 amendments, or a rehashing of the basis for such opposition cannot provide a basis to reverse the amendments. </w:t>
      </w:r>
    </w:p>
    <w:p w14:paraId="124129E3" w14:textId="77777777" w:rsidR="00A202F8" w:rsidRPr="00CB5846" w:rsidRDefault="00CB5846" w:rsidP="00CB5846">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B5846">
        <w:rPr>
          <w:rFonts w:ascii="Arial Narrow" w:hAnsi="Arial Narrow" w:cs="Arial"/>
          <w:szCs w:val="26"/>
          <w:lang w:val="en-GB"/>
        </w:rPr>
        <w:t xml:space="preserve">The paucity of use of s 182(4) means there </w:t>
      </w:r>
      <w:r w:rsidR="000B6169">
        <w:rPr>
          <w:rFonts w:ascii="Arial Narrow" w:hAnsi="Arial Narrow" w:cs="Arial"/>
          <w:szCs w:val="26"/>
          <w:lang w:val="en-GB"/>
        </w:rPr>
        <w:t xml:space="preserve">logically </w:t>
      </w:r>
      <w:r w:rsidRPr="00CB5846">
        <w:rPr>
          <w:rFonts w:ascii="Arial Narrow" w:hAnsi="Arial Narrow" w:cs="Arial"/>
          <w:szCs w:val="26"/>
          <w:lang w:val="en-GB"/>
        </w:rPr>
        <w:t xml:space="preserve">cannot be </w:t>
      </w:r>
      <w:r w:rsidR="000B6169">
        <w:rPr>
          <w:rFonts w:ascii="Arial Narrow" w:hAnsi="Arial Narrow" w:cs="Arial"/>
          <w:szCs w:val="26"/>
          <w:lang w:val="en-GB"/>
        </w:rPr>
        <w:t xml:space="preserve">direct </w:t>
      </w:r>
      <w:r w:rsidRPr="00CB5846">
        <w:rPr>
          <w:rFonts w:ascii="Arial Narrow" w:hAnsi="Arial Narrow" w:cs="Arial"/>
          <w:szCs w:val="26"/>
          <w:lang w:val="en-GB"/>
        </w:rPr>
        <w:t xml:space="preserve">evidence of misuse or negative impacts.  Opponents of these provisions cannot have it both ways; they are either not used, or are having a negative impact, it cannot be both.   </w:t>
      </w:r>
    </w:p>
    <w:p w14:paraId="68F09E70" w14:textId="19CFED13" w:rsidR="00A202F8" w:rsidRPr="00CB5846" w:rsidRDefault="00A202F8" w:rsidP="00CA1B16">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B5846">
        <w:rPr>
          <w:rFonts w:ascii="Arial Narrow" w:hAnsi="Arial Narrow" w:cs="Arial"/>
          <w:szCs w:val="26"/>
          <w:lang w:val="en-GB"/>
        </w:rPr>
        <w:t>As to the impact of such a misguided course of action</w:t>
      </w:r>
      <w:r w:rsidR="00CB5846">
        <w:rPr>
          <w:rFonts w:ascii="Arial Narrow" w:hAnsi="Arial Narrow" w:cs="Arial"/>
          <w:szCs w:val="26"/>
          <w:lang w:val="en-GB"/>
        </w:rPr>
        <w:t xml:space="preserve"> </w:t>
      </w:r>
      <w:r w:rsidR="000B6169">
        <w:rPr>
          <w:rFonts w:ascii="Arial Narrow" w:hAnsi="Arial Narrow" w:cs="Arial"/>
          <w:szCs w:val="26"/>
          <w:lang w:val="en-GB"/>
        </w:rPr>
        <w:t>(</w:t>
      </w:r>
      <w:r w:rsidR="00CB5846">
        <w:rPr>
          <w:rFonts w:ascii="Arial Narrow" w:hAnsi="Arial Narrow" w:cs="Arial"/>
          <w:szCs w:val="26"/>
          <w:lang w:val="en-GB"/>
        </w:rPr>
        <w:t>reversing the 2015 amendments</w:t>
      </w:r>
      <w:r w:rsidR="000B6169">
        <w:rPr>
          <w:rFonts w:ascii="Arial Narrow" w:hAnsi="Arial Narrow" w:cs="Arial"/>
          <w:szCs w:val="26"/>
          <w:lang w:val="en-GB"/>
        </w:rPr>
        <w:t>)</w:t>
      </w:r>
      <w:r w:rsidRPr="00CB5846">
        <w:rPr>
          <w:rFonts w:ascii="Arial Narrow" w:hAnsi="Arial Narrow" w:cs="Arial"/>
          <w:szCs w:val="26"/>
          <w:lang w:val="en-GB"/>
        </w:rPr>
        <w:t xml:space="preserve">: </w:t>
      </w:r>
    </w:p>
    <w:p w14:paraId="71FB18A2" w14:textId="77777777" w:rsidR="00A202F8" w:rsidRDefault="00A202F8" w:rsidP="00A202F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B5846">
        <w:rPr>
          <w:rFonts w:ascii="Arial Narrow" w:hAnsi="Arial Narrow" w:cs="Arial"/>
          <w:szCs w:val="26"/>
          <w:lang w:val="en-GB"/>
        </w:rPr>
        <w:t xml:space="preserve">It cannot be assumed that the impact of reversing the 2015 changes would be a </w:t>
      </w:r>
      <w:r w:rsidR="00AD5DCA" w:rsidRPr="00CB5846">
        <w:rPr>
          <w:rFonts w:ascii="Arial Narrow" w:hAnsi="Arial Narrow" w:cs="Arial"/>
          <w:szCs w:val="26"/>
          <w:lang w:val="en-GB"/>
        </w:rPr>
        <w:t xml:space="preserve">simple </w:t>
      </w:r>
      <w:r w:rsidRPr="00CB5846">
        <w:rPr>
          <w:rFonts w:ascii="Arial Narrow" w:hAnsi="Arial Narrow" w:cs="Arial"/>
          <w:szCs w:val="26"/>
          <w:lang w:val="en-GB"/>
        </w:rPr>
        <w:t xml:space="preserve">reversion to the directly preceding </w:t>
      </w:r>
      <w:r w:rsidR="00FB169A" w:rsidRPr="00CB5846">
        <w:rPr>
          <w:rFonts w:ascii="Arial Narrow" w:hAnsi="Arial Narrow" w:cs="Arial"/>
          <w:szCs w:val="26"/>
          <w:lang w:val="en-GB"/>
        </w:rPr>
        <w:t>situation</w:t>
      </w:r>
      <w:r w:rsidRPr="00CB5846">
        <w:rPr>
          <w:rFonts w:ascii="Arial Narrow" w:hAnsi="Arial Narrow" w:cs="Arial"/>
          <w:szCs w:val="26"/>
          <w:lang w:val="en-GB"/>
        </w:rPr>
        <w:t>. Rather it would create a third</w:t>
      </w:r>
      <w:r>
        <w:rPr>
          <w:rFonts w:ascii="Arial Narrow" w:hAnsi="Arial Narrow" w:cs="Arial"/>
          <w:szCs w:val="26"/>
          <w:lang w:val="en-GB"/>
        </w:rPr>
        <w:t xml:space="preserve"> scenario in which rules were changed to remove key avenues to successfully ensuring GF agreements are concluded. </w:t>
      </w:r>
    </w:p>
    <w:p w14:paraId="48ECF8E9" w14:textId="77777777" w:rsidR="00A202F8" w:rsidRDefault="00A202F8" w:rsidP="00A202F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Such a scenario would not only change laws and processes, but it would send </w:t>
      </w:r>
      <w:r w:rsidR="00FB169A">
        <w:rPr>
          <w:rFonts w:ascii="Arial Narrow" w:hAnsi="Arial Narrow" w:cs="Arial"/>
          <w:szCs w:val="26"/>
          <w:lang w:val="en-GB"/>
        </w:rPr>
        <w:t xml:space="preserve">clear, </w:t>
      </w:r>
      <w:r w:rsidR="00AD5DCA">
        <w:rPr>
          <w:rFonts w:ascii="Arial Narrow" w:hAnsi="Arial Narrow" w:cs="Arial"/>
          <w:szCs w:val="26"/>
          <w:lang w:val="en-GB"/>
        </w:rPr>
        <w:t xml:space="preserve">negative </w:t>
      </w:r>
      <w:r>
        <w:rPr>
          <w:rFonts w:ascii="Arial Narrow" w:hAnsi="Arial Narrow" w:cs="Arial"/>
          <w:szCs w:val="26"/>
          <w:lang w:val="en-GB"/>
        </w:rPr>
        <w:t>signals to unions, employers and investors</w:t>
      </w:r>
      <w:r w:rsidR="000B6169">
        <w:rPr>
          <w:rFonts w:ascii="Arial Narrow" w:hAnsi="Arial Narrow" w:cs="Arial"/>
          <w:szCs w:val="26"/>
          <w:lang w:val="en-GB"/>
        </w:rPr>
        <w:t xml:space="preserve"> on GF negotiations</w:t>
      </w:r>
      <w:r>
        <w:rPr>
          <w:rFonts w:ascii="Arial Narrow" w:hAnsi="Arial Narrow" w:cs="Arial"/>
          <w:szCs w:val="26"/>
          <w:lang w:val="en-GB"/>
        </w:rPr>
        <w:t xml:space="preserve">. </w:t>
      </w:r>
    </w:p>
    <w:p w14:paraId="4615D870" w14:textId="77777777" w:rsidR="00CA1B16" w:rsidRDefault="00A202F8" w:rsidP="00A202F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It would send a signal to unions and employers </w:t>
      </w:r>
      <w:r w:rsidR="009C2E7D">
        <w:rPr>
          <w:rFonts w:ascii="Arial Narrow" w:hAnsi="Arial Narrow" w:cs="Arial"/>
          <w:szCs w:val="26"/>
          <w:lang w:val="en-GB"/>
        </w:rPr>
        <w:t>that they no longer need to negotiate in good faith, and that it is acceptable to protract negotiations</w:t>
      </w:r>
      <w:r w:rsidR="00EA38F1">
        <w:rPr>
          <w:rFonts w:ascii="Arial Narrow" w:hAnsi="Arial Narrow" w:cs="Arial"/>
          <w:szCs w:val="26"/>
          <w:lang w:val="en-GB"/>
        </w:rPr>
        <w:t xml:space="preserve"> </w:t>
      </w:r>
      <w:r w:rsidR="009C2E7D">
        <w:rPr>
          <w:rFonts w:ascii="Arial Narrow" w:hAnsi="Arial Narrow" w:cs="Arial"/>
          <w:szCs w:val="26"/>
          <w:lang w:val="en-GB"/>
        </w:rPr>
        <w:t>and</w:t>
      </w:r>
      <w:r w:rsidR="00CA1B16">
        <w:rPr>
          <w:rFonts w:ascii="Arial Narrow" w:hAnsi="Arial Narrow" w:cs="Arial"/>
          <w:szCs w:val="26"/>
          <w:lang w:val="en-GB"/>
        </w:rPr>
        <w:t xml:space="preserve"> </w:t>
      </w:r>
      <w:r w:rsidR="009C2E7D">
        <w:rPr>
          <w:rFonts w:ascii="Arial Narrow" w:hAnsi="Arial Narrow" w:cs="Arial"/>
          <w:szCs w:val="26"/>
          <w:lang w:val="en-GB"/>
        </w:rPr>
        <w:t xml:space="preserve">endanger investments that will generate jobs for Australians. </w:t>
      </w:r>
      <w:r w:rsidR="00CA1B16">
        <w:rPr>
          <w:rFonts w:ascii="Arial Narrow" w:hAnsi="Arial Narrow" w:cs="Arial"/>
          <w:szCs w:val="26"/>
          <w:lang w:val="en-GB"/>
        </w:rPr>
        <w:t xml:space="preserve"> </w:t>
      </w:r>
    </w:p>
    <w:p w14:paraId="4F1D19B4" w14:textId="0C32FCFE" w:rsidR="00FB169A" w:rsidRPr="00C61917" w:rsidRDefault="00FB169A" w:rsidP="00A202F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Incentives to invest in Australia / investment competitiveness </w:t>
      </w:r>
      <w:r w:rsidR="001D5133">
        <w:rPr>
          <w:rFonts w:ascii="Arial Narrow" w:hAnsi="Arial Narrow" w:cs="Arial"/>
          <w:szCs w:val="26"/>
          <w:lang w:val="en-GB"/>
        </w:rPr>
        <w:t xml:space="preserve">would </w:t>
      </w:r>
      <w:r>
        <w:rPr>
          <w:rFonts w:ascii="Arial Narrow" w:hAnsi="Arial Narrow" w:cs="Arial"/>
          <w:szCs w:val="26"/>
          <w:lang w:val="en-GB"/>
        </w:rPr>
        <w:t>be diminished.</w:t>
      </w:r>
    </w:p>
    <w:p w14:paraId="2A6FE024" w14:textId="77777777" w:rsidR="007A44FA" w:rsidRPr="007A44FA" w:rsidRDefault="007A44FA" w:rsidP="007A44F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7A44FA">
        <w:rPr>
          <w:rFonts w:ascii="Arial Narrow" w:hAnsi="Arial Narrow" w:cs="Arial"/>
          <w:szCs w:val="26"/>
          <w:lang w:val="en-GB"/>
        </w:rPr>
        <w:t xml:space="preserve">This review should conclude that there is no basis to reverse the 2015 changes, or to attempt to return to the legislative arrangements that applied to </w:t>
      </w:r>
      <w:r w:rsidR="000B6169">
        <w:rPr>
          <w:rFonts w:ascii="Arial Narrow" w:hAnsi="Arial Narrow" w:cs="Arial"/>
          <w:szCs w:val="26"/>
          <w:lang w:val="en-GB"/>
        </w:rPr>
        <w:t>GF</w:t>
      </w:r>
      <w:r w:rsidRPr="007A44FA">
        <w:rPr>
          <w:rFonts w:ascii="Arial Narrow" w:hAnsi="Arial Narrow" w:cs="Arial"/>
          <w:szCs w:val="26"/>
          <w:lang w:val="en-GB"/>
        </w:rPr>
        <w:t xml:space="preserve"> agreement</w:t>
      </w:r>
      <w:r w:rsidR="00FB169A">
        <w:rPr>
          <w:rFonts w:ascii="Arial Narrow" w:hAnsi="Arial Narrow" w:cs="Arial"/>
          <w:szCs w:val="26"/>
          <w:lang w:val="en-GB"/>
        </w:rPr>
        <w:t xml:space="preserve"> making prior to November 2015.</w:t>
      </w:r>
      <w:r w:rsidRPr="007A44FA">
        <w:rPr>
          <w:rFonts w:ascii="Arial Narrow" w:hAnsi="Arial Narrow" w:cs="Arial"/>
          <w:szCs w:val="26"/>
          <w:lang w:val="en-GB"/>
        </w:rPr>
        <w:t xml:space="preserve">   </w:t>
      </w:r>
    </w:p>
    <w:p w14:paraId="20F67F13" w14:textId="77777777" w:rsidR="00F52CAC" w:rsidRPr="00F52CAC" w:rsidRDefault="00F52CAC" w:rsidP="00F52CAC">
      <w:pPr>
        <w:pStyle w:val="Heading2"/>
        <w:rPr>
          <w:lang w:val="en-GB"/>
        </w:rPr>
      </w:pPr>
      <w:r w:rsidRPr="00F52CAC">
        <w:rPr>
          <w:lang w:val="en-GB"/>
        </w:rPr>
        <w:t xml:space="preserve">Impact of the reduction in project numbers </w:t>
      </w:r>
    </w:p>
    <w:p w14:paraId="2B75C602" w14:textId="77777777" w:rsidR="00231558" w:rsidRPr="00C61917" w:rsidRDefault="00231558" w:rsidP="0023155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61917">
        <w:rPr>
          <w:rFonts w:ascii="Arial Narrow" w:hAnsi="Arial Narrow" w:cs="Arial"/>
          <w:szCs w:val="26"/>
          <w:lang w:val="en-GB"/>
        </w:rPr>
        <w:t xml:space="preserve">The seventh </w:t>
      </w:r>
      <w:r w:rsidR="0090618B">
        <w:rPr>
          <w:rFonts w:ascii="Arial Narrow" w:hAnsi="Arial Narrow" w:cs="Arial"/>
          <w:szCs w:val="26"/>
          <w:lang w:val="en-GB"/>
        </w:rPr>
        <w:t>issue</w:t>
      </w:r>
      <w:r w:rsidRPr="00C61917">
        <w:rPr>
          <w:rFonts w:ascii="Arial Narrow" w:hAnsi="Arial Narrow" w:cs="Arial"/>
          <w:szCs w:val="26"/>
          <w:lang w:val="en-GB"/>
        </w:rPr>
        <w:t xml:space="preserve"> on which specific comment is invited is:</w:t>
      </w:r>
    </w:p>
    <w:p w14:paraId="603A06DA" w14:textId="77777777" w:rsidR="00253E53" w:rsidRPr="0090618B"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szCs w:val="26"/>
          <w:lang w:val="en-GB"/>
        </w:rPr>
      </w:pPr>
      <w:r w:rsidRPr="00C61917">
        <w:rPr>
          <w:rFonts w:ascii="Arial Narrow" w:hAnsi="Arial Narrow" w:cs="Arial"/>
          <w:i/>
          <w:szCs w:val="26"/>
          <w:lang w:val="en-GB"/>
        </w:rPr>
        <w:t xml:space="preserve">The impact of the reduction in the number and scale of capital development projects on </w:t>
      </w:r>
      <w:r w:rsidR="00BC202B">
        <w:rPr>
          <w:rFonts w:ascii="Arial Narrow" w:hAnsi="Arial Narrow" w:cs="Arial"/>
          <w:i/>
          <w:szCs w:val="26"/>
          <w:lang w:val="en-GB"/>
        </w:rPr>
        <w:t>Greenfields</w:t>
      </w:r>
      <w:r w:rsidRPr="00C61917">
        <w:rPr>
          <w:rFonts w:ascii="Arial Narrow" w:hAnsi="Arial Narrow" w:cs="Arial"/>
          <w:i/>
          <w:szCs w:val="26"/>
          <w:lang w:val="en-GB"/>
        </w:rPr>
        <w:t xml:space="preserve"> agreement making since 2015.</w:t>
      </w:r>
      <w:r w:rsidR="0090618B" w:rsidRPr="00D27358">
        <w:rPr>
          <w:rStyle w:val="FootnoteReference"/>
          <w:rFonts w:ascii="Arial Narrow" w:hAnsi="Arial Narrow" w:cs="Arial"/>
          <w:szCs w:val="26"/>
          <w:lang w:val="en-GB"/>
        </w:rPr>
        <w:footnoteReference w:id="15"/>
      </w:r>
    </w:p>
    <w:p w14:paraId="2D25C804" w14:textId="77777777" w:rsidR="00253E53" w:rsidRDefault="00253E53" w:rsidP="00253E53">
      <w:pPr>
        <w:pStyle w:val="ListParagraph"/>
        <w:overflowPunct w:val="0"/>
        <w:autoSpaceDE w:val="0"/>
        <w:autoSpaceDN w:val="0"/>
        <w:adjustRightInd w:val="0"/>
        <w:spacing w:before="0" w:after="280" w:line="270" w:lineRule="auto"/>
        <w:ind w:left="1440"/>
        <w:jc w:val="both"/>
        <w:textAlignment w:val="baseline"/>
        <w:rPr>
          <w:rFonts w:ascii="Arial Narrow" w:hAnsi="Arial Narrow" w:cs="Arial"/>
          <w:i/>
          <w:szCs w:val="26"/>
          <w:lang w:val="en-GB"/>
        </w:rPr>
      </w:pPr>
    </w:p>
    <w:p w14:paraId="2CFDF03B" w14:textId="77777777" w:rsidR="001D5133" w:rsidRDefault="001D5133">
      <w:pPr>
        <w:spacing w:before="0" w:after="160" w:line="259" w:lineRule="auto"/>
        <w:rPr>
          <w:rFonts w:ascii="Arial Narrow" w:hAnsi="Arial Narrow" w:cs="Arial"/>
          <w:szCs w:val="26"/>
          <w:lang w:val="en-GB"/>
        </w:rPr>
      </w:pPr>
      <w:r>
        <w:rPr>
          <w:rFonts w:ascii="Arial Narrow" w:hAnsi="Arial Narrow" w:cs="Arial"/>
          <w:szCs w:val="26"/>
          <w:lang w:val="en-GB"/>
        </w:rPr>
        <w:br w:type="page"/>
      </w:r>
    </w:p>
    <w:p w14:paraId="1D770DBC" w14:textId="2F2B58E4" w:rsidR="00F56487" w:rsidRDefault="00F52CAC" w:rsidP="00F52CA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 xml:space="preserve">ACCI member organisations with direct membership in resources and resources construction, who are themselves principal </w:t>
      </w:r>
      <w:r w:rsidR="00263930">
        <w:rPr>
          <w:rFonts w:ascii="Arial Narrow" w:hAnsi="Arial Narrow" w:cs="Arial"/>
          <w:szCs w:val="26"/>
          <w:lang w:val="en-GB"/>
        </w:rPr>
        <w:t xml:space="preserve">practical negotiators and </w:t>
      </w:r>
      <w:r>
        <w:rPr>
          <w:rFonts w:ascii="Arial Narrow" w:hAnsi="Arial Narrow" w:cs="Arial"/>
          <w:szCs w:val="26"/>
          <w:lang w:val="en-GB"/>
        </w:rPr>
        <w:t>policy interlocutors on GF agreements</w:t>
      </w:r>
      <w:r w:rsidR="00F56487">
        <w:rPr>
          <w:rFonts w:ascii="Arial Narrow" w:hAnsi="Arial Narrow" w:cs="Arial"/>
          <w:szCs w:val="26"/>
          <w:lang w:val="en-GB"/>
        </w:rPr>
        <w:t xml:space="preserve">, are best placed to address the causes </w:t>
      </w:r>
      <w:r w:rsidR="0090618B">
        <w:rPr>
          <w:rFonts w:ascii="Arial Narrow" w:hAnsi="Arial Narrow" w:cs="Arial"/>
          <w:szCs w:val="26"/>
          <w:lang w:val="en-GB"/>
        </w:rPr>
        <w:t xml:space="preserve">and impacts </w:t>
      </w:r>
      <w:r w:rsidR="00F56487">
        <w:rPr>
          <w:rFonts w:ascii="Arial Narrow" w:hAnsi="Arial Narrow" w:cs="Arial"/>
          <w:szCs w:val="26"/>
          <w:lang w:val="en-GB"/>
        </w:rPr>
        <w:t xml:space="preserve">of the reduction in resource project investment </w:t>
      </w:r>
      <w:r>
        <w:rPr>
          <w:rFonts w:ascii="Arial Narrow" w:hAnsi="Arial Narrow" w:cs="Arial"/>
          <w:szCs w:val="26"/>
          <w:lang w:val="en-GB"/>
        </w:rPr>
        <w:t xml:space="preserve"> </w:t>
      </w:r>
      <w:r w:rsidR="00F56487">
        <w:rPr>
          <w:rFonts w:ascii="Arial Narrow" w:hAnsi="Arial Narrow" w:cs="Arial"/>
          <w:szCs w:val="26"/>
          <w:lang w:val="en-GB"/>
        </w:rPr>
        <w:t xml:space="preserve">and the needs of the industry for access to a useable GF agreement stream. </w:t>
      </w:r>
    </w:p>
    <w:p w14:paraId="7B569553" w14:textId="77777777" w:rsidR="00F56487" w:rsidRDefault="00F56487" w:rsidP="00F52CAC">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However, the Australian Chamber wishes to make the following points </w:t>
      </w:r>
      <w:r w:rsidR="007F138C">
        <w:rPr>
          <w:rFonts w:ascii="Arial Narrow" w:hAnsi="Arial Narrow" w:cs="Arial"/>
          <w:szCs w:val="26"/>
          <w:lang w:val="en-GB"/>
        </w:rPr>
        <w:t xml:space="preserve">to </w:t>
      </w:r>
      <w:r w:rsidR="002A30A1">
        <w:rPr>
          <w:rFonts w:ascii="Arial Narrow" w:hAnsi="Arial Narrow" w:cs="Arial"/>
          <w:szCs w:val="26"/>
          <w:lang w:val="en-GB"/>
        </w:rPr>
        <w:t xml:space="preserve">complement </w:t>
      </w:r>
      <w:r>
        <w:rPr>
          <w:rFonts w:ascii="Arial Narrow" w:hAnsi="Arial Narrow" w:cs="Arial"/>
          <w:szCs w:val="26"/>
          <w:lang w:val="en-GB"/>
        </w:rPr>
        <w:t xml:space="preserve">to those from our members with direct membership in resources and construction: </w:t>
      </w:r>
    </w:p>
    <w:p w14:paraId="43AB7B8D" w14:textId="05B6844A" w:rsidR="009B35D5" w:rsidRDefault="009B35D5"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u w:val="single"/>
          <w:lang w:val="en-GB"/>
        </w:rPr>
        <w:t xml:space="preserve">An increasingly </w:t>
      </w:r>
      <w:r w:rsidRPr="000E448F">
        <w:rPr>
          <w:rFonts w:ascii="Arial Narrow" w:hAnsi="Arial Narrow" w:cs="Arial"/>
          <w:szCs w:val="26"/>
          <w:u w:val="single"/>
          <w:lang w:val="en-GB"/>
        </w:rPr>
        <w:t>diverse range of industries are using GF agreements</w:t>
      </w:r>
      <w:r>
        <w:rPr>
          <w:rFonts w:ascii="Arial Narrow" w:hAnsi="Arial Narrow" w:cs="Arial"/>
          <w:szCs w:val="26"/>
          <w:lang w:val="en-GB"/>
        </w:rPr>
        <w:t xml:space="preserve">. Looking at GF agreements approved during 2016 and the first half of 2017 we see a diverse range of industries represented, including: </w:t>
      </w:r>
    </w:p>
    <w:p w14:paraId="24AFA75E"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Construction – non-resources </w:t>
      </w:r>
    </w:p>
    <w:p w14:paraId="01B47E25"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Correctional services </w:t>
      </w:r>
    </w:p>
    <w:p w14:paraId="0457FF60"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Healthcare / nursing </w:t>
      </w:r>
    </w:p>
    <w:p w14:paraId="3EECC69E"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Manufacturing </w:t>
      </w:r>
    </w:p>
    <w:p w14:paraId="1C8C6379" w14:textId="77777777" w:rsidR="009B35D5" w:rsidRPr="00246077"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46077">
        <w:rPr>
          <w:rFonts w:ascii="Arial Narrow" w:hAnsi="Arial Narrow" w:cs="Arial"/>
          <w:szCs w:val="26"/>
          <w:lang w:val="en-GB"/>
        </w:rPr>
        <w:t xml:space="preserve">Private education    </w:t>
      </w:r>
    </w:p>
    <w:p w14:paraId="50D0D978"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Resources construction </w:t>
      </w:r>
    </w:p>
    <w:p w14:paraId="7733B97E"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Security </w:t>
      </w:r>
    </w:p>
    <w:p w14:paraId="165FFC01"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Theatrical productions</w:t>
      </w:r>
    </w:p>
    <w:p w14:paraId="7B53751F"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Transport and logistics </w:t>
      </w:r>
    </w:p>
    <w:p w14:paraId="4BC12065"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Warehousing and distribution </w:t>
      </w:r>
    </w:p>
    <w:p w14:paraId="4B049F87" w14:textId="77777777" w:rsidR="009B35D5" w:rsidRDefault="009B35D5" w:rsidP="009B35D5">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Waste services </w:t>
      </w:r>
    </w:p>
    <w:p w14:paraId="0B68D9E9" w14:textId="77777777" w:rsidR="00FB169A" w:rsidRDefault="009B35D5"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It should be very clear that GF agreements are</w:t>
      </w:r>
      <w:r w:rsidR="00FB169A">
        <w:rPr>
          <w:rFonts w:ascii="Arial Narrow" w:hAnsi="Arial Narrow" w:cs="Arial"/>
          <w:szCs w:val="26"/>
          <w:lang w:val="en-GB"/>
        </w:rPr>
        <w:t xml:space="preserve">: </w:t>
      </w:r>
    </w:p>
    <w:p w14:paraId="507C6748" w14:textId="77777777" w:rsidR="00541ED8" w:rsidRDefault="00FB169A" w:rsidP="00FB169A">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Being </w:t>
      </w:r>
      <w:r w:rsidR="009B35D5">
        <w:rPr>
          <w:rFonts w:ascii="Arial Narrow" w:hAnsi="Arial Narrow" w:cs="Arial"/>
          <w:szCs w:val="26"/>
          <w:lang w:val="en-GB"/>
        </w:rPr>
        <w:t>used by, and are relevant to, employers, employees, unions and industries well beyond resources and resource construction</w:t>
      </w:r>
      <w:r w:rsidR="00541ED8">
        <w:rPr>
          <w:rFonts w:ascii="Arial Narrow" w:hAnsi="Arial Narrow" w:cs="Arial"/>
          <w:szCs w:val="26"/>
          <w:lang w:val="en-GB"/>
        </w:rPr>
        <w:t xml:space="preserve">. </w:t>
      </w:r>
    </w:p>
    <w:p w14:paraId="4F93125E" w14:textId="77777777" w:rsidR="009B35D5" w:rsidRPr="00C61917" w:rsidRDefault="00285878" w:rsidP="00FB169A">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GF agreements are</w:t>
      </w:r>
      <w:r w:rsidR="009B35D5">
        <w:rPr>
          <w:rFonts w:ascii="Arial Narrow" w:hAnsi="Arial Narrow" w:cs="Arial"/>
          <w:szCs w:val="26"/>
          <w:lang w:val="en-GB"/>
        </w:rPr>
        <w:t xml:space="preserve"> an important and essential avenue to secure working arrangements and investment in industry generally. </w:t>
      </w:r>
    </w:p>
    <w:p w14:paraId="5834787D" w14:textId="77777777" w:rsidR="009F428A" w:rsidRPr="00D27358" w:rsidRDefault="000E448F" w:rsidP="00D2735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0E448F">
        <w:rPr>
          <w:rFonts w:ascii="Arial Narrow" w:hAnsi="Arial Narrow" w:cs="Arial"/>
          <w:szCs w:val="26"/>
          <w:u w:val="single"/>
          <w:lang w:val="en-GB"/>
        </w:rPr>
        <w:lastRenderedPageBreak/>
        <w:t xml:space="preserve">Fewer projects / reduced resource investment </w:t>
      </w:r>
      <w:r w:rsidR="0090618B">
        <w:rPr>
          <w:rFonts w:ascii="Arial Narrow" w:hAnsi="Arial Narrow" w:cs="Arial"/>
          <w:szCs w:val="26"/>
          <w:u w:val="single"/>
          <w:lang w:val="en-GB"/>
        </w:rPr>
        <w:t xml:space="preserve">seems to have diminished aggregate demand for </w:t>
      </w:r>
      <w:r w:rsidRPr="000E448F">
        <w:rPr>
          <w:rFonts w:ascii="Arial Narrow" w:hAnsi="Arial Narrow" w:cs="Arial"/>
          <w:szCs w:val="26"/>
          <w:u w:val="single"/>
          <w:lang w:val="en-GB"/>
        </w:rPr>
        <w:t>GF agreements</w:t>
      </w:r>
      <w:r>
        <w:rPr>
          <w:rFonts w:ascii="Arial Narrow" w:hAnsi="Arial Narrow" w:cs="Arial"/>
          <w:szCs w:val="26"/>
          <w:lang w:val="en-GB"/>
        </w:rPr>
        <w:t xml:space="preserve">. </w:t>
      </w:r>
      <w:r w:rsidRPr="00D27358">
        <w:rPr>
          <w:rFonts w:ascii="Arial Narrow" w:hAnsi="Arial Narrow" w:cs="Arial"/>
          <w:szCs w:val="26"/>
          <w:lang w:val="en-GB"/>
        </w:rPr>
        <w:t>Using the data provided for this review</w:t>
      </w:r>
      <w:r w:rsidR="009F428A" w:rsidRPr="00D27358">
        <w:rPr>
          <w:rFonts w:ascii="Arial Narrow" w:hAnsi="Arial Narrow" w:cs="Arial"/>
          <w:szCs w:val="26"/>
          <w:lang w:val="en-GB"/>
        </w:rPr>
        <w:t xml:space="preserve">, we see </w:t>
      </w:r>
      <w:r w:rsidR="0090618B" w:rsidRPr="00D27358">
        <w:rPr>
          <w:rFonts w:ascii="Arial Narrow" w:hAnsi="Arial Narrow" w:cs="Arial"/>
          <w:szCs w:val="26"/>
          <w:lang w:val="en-GB"/>
        </w:rPr>
        <w:t xml:space="preserve">that </w:t>
      </w:r>
      <w:r w:rsidR="009F428A" w:rsidRPr="00D27358">
        <w:rPr>
          <w:rFonts w:ascii="Arial Narrow" w:hAnsi="Arial Narrow" w:cs="Arial"/>
          <w:szCs w:val="26"/>
          <w:lang w:val="en-GB"/>
        </w:rPr>
        <w:t xml:space="preserve">approvals </w:t>
      </w:r>
      <w:r w:rsidR="0090618B" w:rsidRPr="00D27358">
        <w:rPr>
          <w:rFonts w:ascii="Arial Narrow" w:hAnsi="Arial Narrow" w:cs="Arial"/>
          <w:szCs w:val="26"/>
          <w:lang w:val="en-GB"/>
        </w:rPr>
        <w:t xml:space="preserve">of GF agreements have </w:t>
      </w:r>
      <w:r w:rsidR="009F428A" w:rsidRPr="00D27358">
        <w:rPr>
          <w:rFonts w:ascii="Arial Narrow" w:hAnsi="Arial Narrow" w:cs="Arial"/>
          <w:szCs w:val="26"/>
          <w:lang w:val="en-GB"/>
        </w:rPr>
        <w:t>trend</w:t>
      </w:r>
      <w:r w:rsidR="0090618B" w:rsidRPr="00D27358">
        <w:rPr>
          <w:rFonts w:ascii="Arial Narrow" w:hAnsi="Arial Narrow" w:cs="Arial"/>
          <w:szCs w:val="26"/>
          <w:lang w:val="en-GB"/>
        </w:rPr>
        <w:t>ed</w:t>
      </w:r>
      <w:r w:rsidR="009F428A" w:rsidRPr="00D27358">
        <w:rPr>
          <w:rFonts w:ascii="Arial Narrow" w:hAnsi="Arial Narrow" w:cs="Arial"/>
          <w:szCs w:val="26"/>
          <w:lang w:val="en-GB"/>
        </w:rPr>
        <w:t xml:space="preserve"> as follows</w:t>
      </w:r>
      <w:r w:rsidRPr="00D27358">
        <w:rPr>
          <w:rFonts w:ascii="Arial Narrow" w:hAnsi="Arial Narrow" w:cs="Arial"/>
          <w:szCs w:val="26"/>
          <w:lang w:val="en-GB"/>
        </w:rPr>
        <w:t>:</w:t>
      </w:r>
    </w:p>
    <w:tbl>
      <w:tblPr>
        <w:tblStyle w:val="TableGrid"/>
        <w:tblW w:w="0" w:type="auto"/>
        <w:tblInd w:w="1440" w:type="dxa"/>
        <w:tblLook w:val="04A0" w:firstRow="1" w:lastRow="0" w:firstColumn="1" w:lastColumn="0" w:noHBand="0" w:noVBand="1"/>
      </w:tblPr>
      <w:tblGrid>
        <w:gridCol w:w="1466"/>
        <w:gridCol w:w="1322"/>
        <w:gridCol w:w="1322"/>
        <w:gridCol w:w="1322"/>
        <w:gridCol w:w="1322"/>
        <w:gridCol w:w="1376"/>
      </w:tblGrid>
      <w:tr w:rsidR="009F428A" w14:paraId="74CA9737" w14:textId="77777777" w:rsidTr="00C63477">
        <w:trPr>
          <w:tblHeader/>
        </w:trPr>
        <w:tc>
          <w:tcPr>
            <w:tcW w:w="1595" w:type="dxa"/>
            <w:vAlign w:val="center"/>
          </w:tcPr>
          <w:p w14:paraId="6FFF332A"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p>
        </w:tc>
        <w:tc>
          <w:tcPr>
            <w:tcW w:w="1595" w:type="dxa"/>
            <w:vAlign w:val="center"/>
          </w:tcPr>
          <w:p w14:paraId="2C5AD7B5"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2013</w:t>
            </w:r>
          </w:p>
        </w:tc>
        <w:tc>
          <w:tcPr>
            <w:tcW w:w="1595" w:type="dxa"/>
            <w:vAlign w:val="center"/>
          </w:tcPr>
          <w:p w14:paraId="34120190"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2014</w:t>
            </w:r>
          </w:p>
        </w:tc>
        <w:tc>
          <w:tcPr>
            <w:tcW w:w="1595" w:type="dxa"/>
            <w:vAlign w:val="center"/>
          </w:tcPr>
          <w:p w14:paraId="31D2BDBE"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2015</w:t>
            </w:r>
          </w:p>
        </w:tc>
        <w:tc>
          <w:tcPr>
            <w:tcW w:w="1595" w:type="dxa"/>
            <w:vAlign w:val="center"/>
          </w:tcPr>
          <w:p w14:paraId="7CC5DFFC"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2016</w:t>
            </w:r>
          </w:p>
        </w:tc>
        <w:tc>
          <w:tcPr>
            <w:tcW w:w="1595" w:type="dxa"/>
            <w:vAlign w:val="center"/>
          </w:tcPr>
          <w:p w14:paraId="4E2ECF11"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2017</w:t>
            </w:r>
            <w:r w:rsidR="00246077">
              <w:rPr>
                <w:rStyle w:val="FootnoteReference"/>
                <w:rFonts w:ascii="Arial Narrow" w:hAnsi="Arial Narrow" w:cs="Arial"/>
                <w:szCs w:val="26"/>
                <w:lang w:val="en-GB"/>
              </w:rPr>
              <w:footnoteReference w:id="16"/>
            </w:r>
            <w:r>
              <w:rPr>
                <w:rFonts w:ascii="Arial Narrow" w:hAnsi="Arial Narrow" w:cs="Arial"/>
                <w:szCs w:val="26"/>
                <w:lang w:val="en-GB"/>
              </w:rPr>
              <w:t xml:space="preserve"> </w:t>
            </w:r>
          </w:p>
        </w:tc>
      </w:tr>
      <w:tr w:rsidR="009F428A" w14:paraId="5F8C42D3" w14:textId="77777777" w:rsidTr="00246077">
        <w:tc>
          <w:tcPr>
            <w:tcW w:w="1595" w:type="dxa"/>
            <w:vAlign w:val="center"/>
          </w:tcPr>
          <w:p w14:paraId="1B18033B" w14:textId="77777777" w:rsidR="009F428A" w:rsidRDefault="009F428A"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Approvals</w:t>
            </w:r>
          </w:p>
        </w:tc>
        <w:tc>
          <w:tcPr>
            <w:tcW w:w="1595" w:type="dxa"/>
            <w:vAlign w:val="center"/>
          </w:tcPr>
          <w:p w14:paraId="0340B7CB" w14:textId="77777777" w:rsidR="009F428A" w:rsidRDefault="00246077"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112</w:t>
            </w:r>
          </w:p>
        </w:tc>
        <w:tc>
          <w:tcPr>
            <w:tcW w:w="1595" w:type="dxa"/>
            <w:vAlign w:val="center"/>
          </w:tcPr>
          <w:p w14:paraId="64D7938D" w14:textId="77777777" w:rsidR="009F428A" w:rsidRDefault="00246077"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558</w:t>
            </w:r>
          </w:p>
        </w:tc>
        <w:tc>
          <w:tcPr>
            <w:tcW w:w="1595" w:type="dxa"/>
            <w:vAlign w:val="center"/>
          </w:tcPr>
          <w:p w14:paraId="3D4479E4" w14:textId="77777777" w:rsidR="009F428A" w:rsidRDefault="00246077"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303</w:t>
            </w:r>
          </w:p>
        </w:tc>
        <w:tc>
          <w:tcPr>
            <w:tcW w:w="1595" w:type="dxa"/>
            <w:vAlign w:val="center"/>
          </w:tcPr>
          <w:p w14:paraId="0704FF5E" w14:textId="77777777" w:rsidR="009F428A" w:rsidRDefault="00246077"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204</w:t>
            </w:r>
          </w:p>
        </w:tc>
        <w:tc>
          <w:tcPr>
            <w:tcW w:w="1595" w:type="dxa"/>
            <w:vAlign w:val="center"/>
          </w:tcPr>
          <w:p w14:paraId="65C55CF6" w14:textId="77777777" w:rsidR="009F428A" w:rsidRDefault="00246077" w:rsidP="00246077">
            <w:pPr>
              <w:pStyle w:val="ListParagraph"/>
              <w:overflowPunct w:val="0"/>
              <w:autoSpaceDE w:val="0"/>
              <w:autoSpaceDN w:val="0"/>
              <w:adjustRightInd w:val="0"/>
              <w:spacing w:before="120" w:after="240"/>
              <w:ind w:left="0"/>
              <w:contextualSpacing w:val="0"/>
              <w:jc w:val="center"/>
              <w:textAlignment w:val="baseline"/>
              <w:rPr>
                <w:rFonts w:ascii="Arial Narrow" w:hAnsi="Arial Narrow" w:cs="Arial"/>
                <w:szCs w:val="26"/>
                <w:lang w:val="en-GB"/>
              </w:rPr>
            </w:pPr>
            <w:r>
              <w:rPr>
                <w:rFonts w:ascii="Arial Narrow" w:hAnsi="Arial Narrow" w:cs="Arial"/>
                <w:szCs w:val="26"/>
                <w:lang w:val="en-GB"/>
              </w:rPr>
              <w:t>58 (116</w:t>
            </w:r>
            <w:r w:rsidR="00006A7F">
              <w:rPr>
                <w:rStyle w:val="FootnoteReference"/>
                <w:rFonts w:ascii="Arial Narrow" w:hAnsi="Arial Narrow" w:cs="Arial"/>
                <w:szCs w:val="26"/>
                <w:lang w:val="en-GB"/>
              </w:rPr>
              <w:footnoteReference w:id="17"/>
            </w:r>
            <w:r>
              <w:rPr>
                <w:rFonts w:ascii="Arial Narrow" w:hAnsi="Arial Narrow" w:cs="Arial"/>
                <w:szCs w:val="26"/>
                <w:lang w:val="en-GB"/>
              </w:rPr>
              <w:t>)</w:t>
            </w:r>
          </w:p>
        </w:tc>
      </w:tr>
    </w:tbl>
    <w:p w14:paraId="22EC835A" w14:textId="77777777" w:rsidR="000E448F" w:rsidRPr="0090618B" w:rsidRDefault="000E448F" w:rsidP="009F428A">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sz w:val="10"/>
          <w:szCs w:val="26"/>
          <w:lang w:val="en-GB"/>
        </w:rPr>
      </w:pPr>
      <w:r>
        <w:rPr>
          <w:rFonts w:ascii="Arial Narrow" w:hAnsi="Arial Narrow" w:cs="Arial"/>
          <w:szCs w:val="26"/>
          <w:lang w:val="en-GB"/>
        </w:rPr>
        <w:t xml:space="preserve"> </w:t>
      </w:r>
    </w:p>
    <w:p w14:paraId="6677E058" w14:textId="77777777" w:rsidR="00D27358" w:rsidRDefault="00D27358" w:rsidP="00D2735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Looking at the specific question, the primary impact of the reduction </w:t>
      </w:r>
      <w:r w:rsidRPr="00D27358">
        <w:rPr>
          <w:rFonts w:ascii="Arial Narrow" w:hAnsi="Arial Narrow" w:cs="Arial"/>
          <w:szCs w:val="26"/>
          <w:lang w:val="en-GB"/>
        </w:rPr>
        <w:t xml:space="preserve">in the number and scale of capital development projects on </w:t>
      </w:r>
      <w:r w:rsidR="00BC202B">
        <w:rPr>
          <w:rFonts w:ascii="Arial Narrow" w:hAnsi="Arial Narrow" w:cs="Arial"/>
          <w:szCs w:val="26"/>
          <w:lang w:val="en-GB"/>
        </w:rPr>
        <w:t>Greenfields</w:t>
      </w:r>
      <w:r w:rsidRPr="00D27358">
        <w:rPr>
          <w:rFonts w:ascii="Arial Narrow" w:hAnsi="Arial Narrow" w:cs="Arial"/>
          <w:szCs w:val="26"/>
          <w:lang w:val="en-GB"/>
        </w:rPr>
        <w:t xml:space="preserve"> agreement making </w:t>
      </w:r>
      <w:r w:rsidR="00AB1690">
        <w:rPr>
          <w:rFonts w:ascii="Arial Narrow" w:hAnsi="Arial Narrow" w:cs="Arial"/>
          <w:szCs w:val="26"/>
          <w:lang w:val="en-GB"/>
        </w:rPr>
        <w:t xml:space="preserve">seems to be reduced aggregate demand for GF agreements. This does not seem remarkable, mega projects involving hundreds of different contractors are going to give rise to </w:t>
      </w:r>
      <w:r w:rsidR="00285878">
        <w:rPr>
          <w:rFonts w:ascii="Arial Narrow" w:hAnsi="Arial Narrow" w:cs="Arial"/>
          <w:szCs w:val="26"/>
          <w:lang w:val="en-GB"/>
        </w:rPr>
        <w:t xml:space="preserve">multiple </w:t>
      </w:r>
      <w:r w:rsidR="00AB1690">
        <w:rPr>
          <w:rFonts w:ascii="Arial Narrow" w:hAnsi="Arial Narrow" w:cs="Arial"/>
          <w:szCs w:val="26"/>
          <w:lang w:val="en-GB"/>
        </w:rPr>
        <w:t xml:space="preserve">specific workplace relations arrangements for the life of work on such projects.  </w:t>
      </w:r>
      <w:r w:rsidR="00541ED8">
        <w:rPr>
          <w:rFonts w:ascii="Arial Narrow" w:hAnsi="Arial Narrow" w:cs="Arial"/>
          <w:szCs w:val="26"/>
          <w:lang w:val="en-GB"/>
        </w:rPr>
        <w:t>As the projects complete, there will</w:t>
      </w:r>
      <w:r w:rsidR="00285878">
        <w:rPr>
          <w:rFonts w:ascii="Arial Narrow" w:hAnsi="Arial Narrow" w:cs="Arial"/>
          <w:szCs w:val="26"/>
          <w:lang w:val="en-GB"/>
        </w:rPr>
        <w:t xml:space="preserve"> logically</w:t>
      </w:r>
      <w:r w:rsidR="00541ED8">
        <w:rPr>
          <w:rFonts w:ascii="Arial Narrow" w:hAnsi="Arial Narrow" w:cs="Arial"/>
          <w:szCs w:val="26"/>
          <w:lang w:val="en-GB"/>
        </w:rPr>
        <w:t xml:space="preserve"> be fewer GF agreements in total – regardless of the policy settings in the FW Act.</w:t>
      </w:r>
    </w:p>
    <w:p w14:paraId="1FE68934" w14:textId="2D69E77F" w:rsidR="009B35D5" w:rsidRDefault="009B35D5"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There are a number of ways this could be interpreted, including as the peak of the resources investment boom being something of an outlier, following which numbers of GF agreements have returned to more typical levels. </w:t>
      </w:r>
      <w:r w:rsidR="00541ED8">
        <w:rPr>
          <w:rFonts w:ascii="Arial Narrow" w:hAnsi="Arial Narrow" w:cs="Arial"/>
          <w:szCs w:val="26"/>
          <w:lang w:val="en-GB"/>
        </w:rPr>
        <w:t xml:space="preserve">Cautiously, there may be something of a reversion to a longer term mean </w:t>
      </w:r>
      <w:r w:rsidR="001D5133">
        <w:rPr>
          <w:rFonts w:ascii="Arial Narrow" w:hAnsi="Arial Narrow" w:cs="Arial"/>
          <w:szCs w:val="26"/>
          <w:lang w:val="en-GB"/>
        </w:rPr>
        <w:t>level of GF agreement making</w:t>
      </w:r>
      <w:r w:rsidR="00541ED8">
        <w:rPr>
          <w:rFonts w:ascii="Arial Narrow" w:hAnsi="Arial Narrow" w:cs="Arial"/>
          <w:szCs w:val="26"/>
          <w:lang w:val="en-GB"/>
        </w:rPr>
        <w:t xml:space="preserve">.  </w:t>
      </w:r>
    </w:p>
    <w:p w14:paraId="6A2A65AE" w14:textId="77777777" w:rsidR="00903D71" w:rsidRDefault="00746DBF"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746DBF">
        <w:rPr>
          <w:rFonts w:ascii="Arial Narrow" w:hAnsi="Arial Narrow" w:cs="Arial"/>
          <w:szCs w:val="26"/>
          <w:u w:val="single"/>
          <w:lang w:val="en-GB"/>
        </w:rPr>
        <w:t>Practical, useable capacity to make GF agreements is critical to securing future resource investment</w:t>
      </w:r>
      <w:r>
        <w:rPr>
          <w:rFonts w:ascii="Arial Narrow" w:hAnsi="Arial Narrow" w:cs="Arial"/>
          <w:szCs w:val="26"/>
          <w:lang w:val="en-GB"/>
        </w:rPr>
        <w:t xml:space="preserve">.  As resource industry employers have repeatedly stressed, the world will have continuing appetite for resource commodities, including those Australia has </w:t>
      </w:r>
      <w:r w:rsidR="00285878">
        <w:rPr>
          <w:rFonts w:ascii="Arial Narrow" w:hAnsi="Arial Narrow" w:cs="Arial"/>
          <w:szCs w:val="26"/>
          <w:lang w:val="en-GB"/>
        </w:rPr>
        <w:t xml:space="preserve">in </w:t>
      </w:r>
      <w:r>
        <w:rPr>
          <w:rFonts w:ascii="Arial Narrow" w:hAnsi="Arial Narrow" w:cs="Arial"/>
          <w:szCs w:val="26"/>
          <w:lang w:val="en-GB"/>
        </w:rPr>
        <w:t xml:space="preserve">natural abundance. </w:t>
      </w:r>
    </w:p>
    <w:p w14:paraId="778BC396" w14:textId="77777777" w:rsidR="00001398" w:rsidRDefault="00903D71"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903D71">
        <w:rPr>
          <w:rFonts w:ascii="Arial Narrow" w:hAnsi="Arial Narrow" w:cs="Arial"/>
          <w:szCs w:val="26"/>
          <w:lang w:val="en-GB"/>
        </w:rPr>
        <w:t>Future waves of resource</w:t>
      </w:r>
      <w:r>
        <w:rPr>
          <w:rFonts w:ascii="Arial Narrow" w:hAnsi="Arial Narrow" w:cs="Arial"/>
          <w:szCs w:val="26"/>
          <w:lang w:val="en-GB"/>
        </w:rPr>
        <w:t xml:space="preserve"> investment will be made globally, and new project opportunities will be available to Australia, </w:t>
      </w:r>
      <w:r w:rsidR="00CB2C81">
        <w:rPr>
          <w:rFonts w:ascii="Arial Narrow" w:hAnsi="Arial Narrow" w:cs="Arial"/>
          <w:szCs w:val="26"/>
          <w:lang w:val="en-GB"/>
        </w:rPr>
        <w:t>but we will need to compete</w:t>
      </w:r>
      <w:r>
        <w:rPr>
          <w:rFonts w:ascii="Arial Narrow" w:hAnsi="Arial Narrow" w:cs="Arial"/>
          <w:szCs w:val="26"/>
          <w:lang w:val="en-GB"/>
        </w:rPr>
        <w:t xml:space="preserve"> with other economies with </w:t>
      </w:r>
      <w:r w:rsidR="00CB2C81">
        <w:rPr>
          <w:rFonts w:ascii="Arial Narrow" w:hAnsi="Arial Narrow" w:cs="Arial"/>
          <w:szCs w:val="26"/>
          <w:lang w:val="en-GB"/>
        </w:rPr>
        <w:t xml:space="preserve">deposits </w:t>
      </w:r>
      <w:r>
        <w:rPr>
          <w:rFonts w:ascii="Arial Narrow" w:hAnsi="Arial Narrow" w:cs="Arial"/>
          <w:szCs w:val="26"/>
          <w:lang w:val="en-GB"/>
        </w:rPr>
        <w:t>LNG, oil, iron ore and coal, amongst others.</w:t>
      </w:r>
      <w:r w:rsidR="00CB2C81">
        <w:rPr>
          <w:rFonts w:ascii="Arial Narrow" w:hAnsi="Arial Narrow" w:cs="Arial"/>
          <w:szCs w:val="26"/>
          <w:lang w:val="en-GB"/>
        </w:rPr>
        <w:t xml:space="preserve"> </w:t>
      </w:r>
    </w:p>
    <w:p w14:paraId="47DB499A" w14:textId="77777777" w:rsidR="00903D71" w:rsidRDefault="00CB2C81"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know that the costs and risks of doing business in Australia, including workplace relations risks, impact on </w:t>
      </w:r>
      <w:r w:rsidR="00A63B41">
        <w:rPr>
          <w:rFonts w:ascii="Arial Narrow" w:hAnsi="Arial Narrow" w:cs="Arial"/>
          <w:szCs w:val="26"/>
          <w:lang w:val="en-GB"/>
        </w:rPr>
        <w:t>investment</w:t>
      </w:r>
      <w:r>
        <w:rPr>
          <w:rFonts w:ascii="Arial Narrow" w:hAnsi="Arial Narrow" w:cs="Arial"/>
          <w:szCs w:val="26"/>
          <w:lang w:val="en-GB"/>
        </w:rPr>
        <w:t xml:space="preserve"> decision making. </w:t>
      </w:r>
    </w:p>
    <w:p w14:paraId="5AED261C" w14:textId="77777777" w:rsidR="001D5133" w:rsidRDefault="006B75BB"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Australia’s </w:t>
      </w:r>
      <w:r w:rsidR="00903D71">
        <w:rPr>
          <w:rFonts w:ascii="Arial Narrow" w:hAnsi="Arial Narrow" w:cs="Arial"/>
          <w:szCs w:val="26"/>
          <w:lang w:val="en-GB"/>
        </w:rPr>
        <w:t xml:space="preserve">success in attracting future job creating investment, new projects and project expansions will depend on a range of factors that include our cost competitiveness, </w:t>
      </w:r>
      <w:r>
        <w:rPr>
          <w:rFonts w:ascii="Arial Narrow" w:hAnsi="Arial Narrow" w:cs="Arial"/>
          <w:szCs w:val="26"/>
          <w:lang w:val="en-GB"/>
        </w:rPr>
        <w:t xml:space="preserve">and relative </w:t>
      </w:r>
      <w:r w:rsidR="00903D71">
        <w:rPr>
          <w:rFonts w:ascii="Arial Narrow" w:hAnsi="Arial Narrow" w:cs="Arial"/>
          <w:szCs w:val="26"/>
          <w:lang w:val="en-GB"/>
        </w:rPr>
        <w:t>investment certainty</w:t>
      </w:r>
      <w:r w:rsidR="00A63B41">
        <w:rPr>
          <w:rFonts w:ascii="Arial Narrow" w:hAnsi="Arial Narrow" w:cs="Arial"/>
          <w:szCs w:val="26"/>
          <w:lang w:val="en-GB"/>
        </w:rPr>
        <w:t xml:space="preserve">. </w:t>
      </w:r>
    </w:p>
    <w:p w14:paraId="14744F50" w14:textId="4B536F99" w:rsidR="00F52CAC" w:rsidRDefault="00A63B41"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This is turn includes</w:t>
      </w:r>
      <w:r w:rsidR="006B75BB">
        <w:rPr>
          <w:rFonts w:ascii="Arial Narrow" w:hAnsi="Arial Narrow" w:cs="Arial"/>
          <w:szCs w:val="26"/>
          <w:lang w:val="en-GB"/>
        </w:rPr>
        <w:t xml:space="preserve"> capacity to have workplace relations arrangements in place prior to </w:t>
      </w:r>
      <w:r w:rsidR="00CB2C81">
        <w:rPr>
          <w:rFonts w:ascii="Arial Narrow" w:hAnsi="Arial Narrow" w:cs="Arial"/>
          <w:szCs w:val="26"/>
          <w:lang w:val="en-GB"/>
        </w:rPr>
        <w:t xml:space="preserve">final investment decisions, </w:t>
      </w:r>
      <w:r w:rsidR="006B75BB">
        <w:rPr>
          <w:rFonts w:ascii="Arial Narrow" w:hAnsi="Arial Narrow" w:cs="Arial"/>
          <w:szCs w:val="26"/>
          <w:lang w:val="en-GB"/>
        </w:rPr>
        <w:t xml:space="preserve">hiring and commencement and minimised risk of disruptive industrial action (which is precisely what a GF agreement </w:t>
      </w:r>
      <w:r w:rsidR="00B6388C">
        <w:rPr>
          <w:rFonts w:ascii="Arial Narrow" w:hAnsi="Arial Narrow" w:cs="Arial"/>
          <w:szCs w:val="26"/>
          <w:lang w:val="en-GB"/>
        </w:rPr>
        <w:t>stream should provide</w:t>
      </w:r>
      <w:r w:rsidR="006B75BB">
        <w:rPr>
          <w:rFonts w:ascii="Arial Narrow" w:hAnsi="Arial Narrow" w:cs="Arial"/>
          <w:szCs w:val="26"/>
          <w:lang w:val="en-GB"/>
        </w:rPr>
        <w:t xml:space="preserve">). </w:t>
      </w:r>
    </w:p>
    <w:p w14:paraId="4D137811" w14:textId="77777777" w:rsidR="006B75BB" w:rsidRPr="00903D71" w:rsidRDefault="006B75BB" w:rsidP="009B35D5">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fact that Australia is in somewhat</w:t>
      </w:r>
      <w:r w:rsidR="00B6388C">
        <w:rPr>
          <w:rFonts w:ascii="Arial Narrow" w:hAnsi="Arial Narrow" w:cs="Arial"/>
          <w:szCs w:val="26"/>
          <w:lang w:val="en-GB"/>
        </w:rPr>
        <w:t xml:space="preserve"> of an investment lull after an</w:t>
      </w:r>
      <w:r>
        <w:rPr>
          <w:rFonts w:ascii="Arial Narrow" w:hAnsi="Arial Narrow" w:cs="Arial"/>
          <w:szCs w:val="26"/>
          <w:lang w:val="en-GB"/>
        </w:rPr>
        <w:t xml:space="preserve"> investment boom need not be permanent. Returning to trend or above trend levels of resource investment will be a function of </w:t>
      </w:r>
      <w:r w:rsidR="0090618B">
        <w:rPr>
          <w:rFonts w:ascii="Arial Narrow" w:hAnsi="Arial Narrow" w:cs="Arial"/>
          <w:szCs w:val="26"/>
          <w:lang w:val="en-GB"/>
        </w:rPr>
        <w:t xml:space="preserve">our regulatory system and market attractiveness, which </w:t>
      </w:r>
      <w:r w:rsidR="00B6388C">
        <w:rPr>
          <w:rFonts w:ascii="Arial Narrow" w:hAnsi="Arial Narrow" w:cs="Arial"/>
          <w:szCs w:val="26"/>
          <w:lang w:val="en-GB"/>
        </w:rPr>
        <w:t xml:space="preserve">must </w:t>
      </w:r>
      <w:r w:rsidR="0090618B">
        <w:rPr>
          <w:rFonts w:ascii="Arial Narrow" w:hAnsi="Arial Narrow" w:cs="Arial"/>
          <w:szCs w:val="26"/>
          <w:lang w:val="en-GB"/>
        </w:rPr>
        <w:t xml:space="preserve">include as an essential plank, useable, reliable scope to make GF agreements. </w:t>
      </w:r>
      <w:r>
        <w:rPr>
          <w:rFonts w:ascii="Arial Narrow" w:hAnsi="Arial Narrow" w:cs="Arial"/>
          <w:szCs w:val="26"/>
          <w:lang w:val="en-GB"/>
        </w:rPr>
        <w:t xml:space="preserve"> </w:t>
      </w:r>
    </w:p>
    <w:p w14:paraId="7EF2135E" w14:textId="77777777" w:rsidR="0082565E" w:rsidRDefault="007A44FA" w:rsidP="007A44F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review should conclude that the reduction in the number and scale of capital development projects </w:t>
      </w:r>
      <w:r w:rsidR="00E754A7">
        <w:rPr>
          <w:rFonts w:ascii="Arial Narrow" w:hAnsi="Arial Narrow" w:cs="Arial"/>
          <w:szCs w:val="26"/>
          <w:lang w:val="en-GB"/>
        </w:rPr>
        <w:t>is a concern, and warrants</w:t>
      </w:r>
      <w:r w:rsidR="0082565E">
        <w:rPr>
          <w:rFonts w:ascii="Arial Narrow" w:hAnsi="Arial Narrow" w:cs="Arial"/>
          <w:szCs w:val="26"/>
          <w:lang w:val="en-GB"/>
        </w:rPr>
        <w:t xml:space="preserve">: </w:t>
      </w:r>
    </w:p>
    <w:p w14:paraId="27DDEC45" w14:textId="77777777" w:rsidR="0082565E" w:rsidRDefault="0082565E" w:rsidP="0082565E">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Retention of the 2015 amendments. </w:t>
      </w:r>
    </w:p>
    <w:p w14:paraId="07BDD4EF" w14:textId="77777777" w:rsidR="007A44FA" w:rsidRDefault="0082565E" w:rsidP="0082565E">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F</w:t>
      </w:r>
      <w:r w:rsidR="00E754A7">
        <w:rPr>
          <w:rFonts w:ascii="Arial Narrow" w:hAnsi="Arial Narrow" w:cs="Arial"/>
          <w:szCs w:val="26"/>
          <w:lang w:val="en-GB"/>
        </w:rPr>
        <w:t xml:space="preserve">urther reform of GF agreement making as recommended by the </w:t>
      </w:r>
      <w:r w:rsidR="00A63B41">
        <w:rPr>
          <w:rFonts w:ascii="Arial Narrow" w:hAnsi="Arial Narrow" w:cs="Arial"/>
          <w:szCs w:val="26"/>
          <w:lang w:val="en-GB"/>
        </w:rPr>
        <w:t>PC.</w:t>
      </w:r>
      <w:r w:rsidR="00E754A7">
        <w:rPr>
          <w:rFonts w:ascii="Arial Narrow" w:hAnsi="Arial Narrow" w:cs="Arial"/>
          <w:szCs w:val="26"/>
          <w:lang w:val="en-GB"/>
        </w:rPr>
        <w:t xml:space="preserve"> </w:t>
      </w:r>
    </w:p>
    <w:p w14:paraId="189E7B57" w14:textId="77777777" w:rsidR="003565B4" w:rsidRPr="007A44FA" w:rsidRDefault="003565B4" w:rsidP="003565B4">
      <w:pPr>
        <w:pStyle w:val="ListParagraph"/>
        <w:overflowPunct w:val="0"/>
        <w:autoSpaceDE w:val="0"/>
        <w:autoSpaceDN w:val="0"/>
        <w:adjustRightInd w:val="0"/>
        <w:spacing w:before="0" w:after="280" w:line="270" w:lineRule="auto"/>
        <w:contextualSpacing w:val="0"/>
        <w:jc w:val="both"/>
        <w:textAlignment w:val="baseline"/>
        <w:rPr>
          <w:rFonts w:ascii="Arial Narrow" w:hAnsi="Arial Narrow" w:cs="Arial"/>
          <w:szCs w:val="26"/>
          <w:lang w:val="en-GB"/>
        </w:rPr>
      </w:pPr>
    </w:p>
    <w:p w14:paraId="12EE7A05" w14:textId="77777777" w:rsidR="00F52CAC" w:rsidRPr="00072917" w:rsidRDefault="00F52CAC" w:rsidP="00F52CAC">
      <w:pPr>
        <w:pStyle w:val="Heading2"/>
        <w:rPr>
          <w:lang w:val="en-GB"/>
        </w:rPr>
      </w:pPr>
      <w:r w:rsidRPr="00072917">
        <w:rPr>
          <w:lang w:val="en-GB"/>
        </w:rPr>
        <w:t xml:space="preserve">Other matters </w:t>
      </w:r>
    </w:p>
    <w:p w14:paraId="61CBDB3F" w14:textId="77777777" w:rsidR="00231558" w:rsidRPr="00C61917" w:rsidRDefault="00231558" w:rsidP="0023155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61917">
        <w:rPr>
          <w:rFonts w:ascii="Arial Narrow" w:hAnsi="Arial Narrow" w:cs="Arial"/>
          <w:szCs w:val="26"/>
          <w:lang w:val="en-GB"/>
        </w:rPr>
        <w:t xml:space="preserve">The eighth </w:t>
      </w:r>
      <w:r w:rsidR="007260C9">
        <w:rPr>
          <w:rFonts w:ascii="Arial Narrow" w:hAnsi="Arial Narrow" w:cs="Arial"/>
          <w:szCs w:val="26"/>
          <w:lang w:val="en-GB"/>
        </w:rPr>
        <w:t>issue</w:t>
      </w:r>
      <w:r w:rsidRPr="00C61917">
        <w:rPr>
          <w:rFonts w:ascii="Arial Narrow" w:hAnsi="Arial Narrow" w:cs="Arial"/>
          <w:szCs w:val="26"/>
          <w:lang w:val="en-GB"/>
        </w:rPr>
        <w:t xml:space="preserve"> on which specific comment is invited is:</w:t>
      </w:r>
    </w:p>
    <w:p w14:paraId="64A6DA06" w14:textId="77777777" w:rsidR="0098238D" w:rsidRPr="00C61917" w:rsidRDefault="00253E53" w:rsidP="00253E53">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i/>
          <w:szCs w:val="26"/>
          <w:lang w:val="en-GB"/>
        </w:rPr>
      </w:pPr>
      <w:r w:rsidRPr="00C61917">
        <w:rPr>
          <w:rFonts w:ascii="Arial Narrow" w:hAnsi="Arial Narrow" w:cs="Arial"/>
          <w:i/>
          <w:szCs w:val="26"/>
          <w:lang w:val="en-GB"/>
        </w:rPr>
        <w:t xml:space="preserve">Any other matter relating to the negotiation of, and the approval process for </w:t>
      </w:r>
      <w:r w:rsidR="00BC202B">
        <w:rPr>
          <w:rFonts w:ascii="Arial Narrow" w:hAnsi="Arial Narrow" w:cs="Arial"/>
          <w:i/>
          <w:szCs w:val="26"/>
          <w:lang w:val="en-GB"/>
        </w:rPr>
        <w:t>Greenfields</w:t>
      </w:r>
      <w:r w:rsidRPr="00C61917">
        <w:rPr>
          <w:rFonts w:ascii="Arial Narrow" w:hAnsi="Arial Narrow" w:cs="Arial"/>
          <w:i/>
          <w:szCs w:val="26"/>
          <w:lang w:val="en-GB"/>
        </w:rPr>
        <w:t xml:space="preserve"> agreements.</w:t>
      </w:r>
      <w:r w:rsidR="006B6A3C" w:rsidRPr="006B6A3C">
        <w:rPr>
          <w:rStyle w:val="FootnoteReference"/>
          <w:rFonts w:ascii="Arial Narrow" w:hAnsi="Arial Narrow" w:cs="Arial"/>
          <w:szCs w:val="26"/>
          <w:lang w:val="en-GB"/>
        </w:rPr>
        <w:footnoteReference w:id="18"/>
      </w:r>
      <w:r w:rsidR="0098238D" w:rsidRPr="00C61917">
        <w:rPr>
          <w:rFonts w:ascii="Arial Narrow" w:hAnsi="Arial Narrow" w:cs="Arial"/>
          <w:i/>
          <w:szCs w:val="26"/>
          <w:lang w:val="en-GB"/>
        </w:rPr>
        <w:t xml:space="preserve"> </w:t>
      </w:r>
    </w:p>
    <w:p w14:paraId="700705B9" w14:textId="77777777" w:rsidR="006B6A3C" w:rsidRDefault="006B6A3C" w:rsidP="00A01A1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bookmarkStart w:id="10" w:name="_Toc479512747"/>
      <w:bookmarkStart w:id="11" w:name="_Toc472526494"/>
      <w:r>
        <w:rPr>
          <w:rFonts w:ascii="Arial Narrow" w:hAnsi="Arial Narrow" w:cs="Arial"/>
          <w:szCs w:val="26"/>
          <w:lang w:val="en-GB"/>
        </w:rPr>
        <w:t xml:space="preserve">Australian Chamber member organisations work directly with their employer members in negotiating, applying for, and having approved GF agreements. </w:t>
      </w:r>
      <w:r w:rsidR="0066654D">
        <w:rPr>
          <w:rFonts w:ascii="Arial Narrow" w:hAnsi="Arial Narrow" w:cs="Arial"/>
          <w:szCs w:val="26"/>
          <w:lang w:val="en-GB"/>
        </w:rPr>
        <w:t xml:space="preserve"> It is their more direct experiences that are going to yield </w:t>
      </w:r>
      <w:r w:rsidR="007A115D">
        <w:rPr>
          <w:rFonts w:ascii="Arial Narrow" w:hAnsi="Arial Narrow" w:cs="Arial"/>
          <w:szCs w:val="26"/>
          <w:lang w:val="en-GB"/>
        </w:rPr>
        <w:t>usefu</w:t>
      </w:r>
      <w:r w:rsidR="00072917">
        <w:rPr>
          <w:rFonts w:ascii="Arial Narrow" w:hAnsi="Arial Narrow" w:cs="Arial"/>
          <w:szCs w:val="26"/>
          <w:lang w:val="en-GB"/>
        </w:rPr>
        <w:t>l</w:t>
      </w:r>
      <w:r w:rsidR="007A115D">
        <w:rPr>
          <w:rFonts w:ascii="Arial Narrow" w:hAnsi="Arial Narrow" w:cs="Arial"/>
          <w:szCs w:val="26"/>
          <w:lang w:val="en-GB"/>
        </w:rPr>
        <w:t xml:space="preserve"> </w:t>
      </w:r>
      <w:r w:rsidR="0066654D">
        <w:rPr>
          <w:rFonts w:ascii="Arial Narrow" w:hAnsi="Arial Narrow" w:cs="Arial"/>
          <w:szCs w:val="26"/>
          <w:lang w:val="en-GB"/>
        </w:rPr>
        <w:t xml:space="preserve">additional considerations. </w:t>
      </w:r>
    </w:p>
    <w:p w14:paraId="58737979" w14:textId="77777777" w:rsidR="00A01A1A" w:rsidRDefault="00A01A1A" w:rsidP="00A01A1A">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w:t>
      </w:r>
      <w:r w:rsidR="00A63B41">
        <w:rPr>
          <w:rFonts w:ascii="Arial Narrow" w:hAnsi="Arial Narrow" w:cs="Arial"/>
          <w:szCs w:val="26"/>
          <w:lang w:val="en-GB"/>
        </w:rPr>
        <w:t xml:space="preserve">also </w:t>
      </w:r>
      <w:r>
        <w:rPr>
          <w:rFonts w:ascii="Arial Narrow" w:hAnsi="Arial Narrow" w:cs="Arial"/>
          <w:szCs w:val="26"/>
          <w:lang w:val="en-GB"/>
        </w:rPr>
        <w:t xml:space="preserve">commend the following </w:t>
      </w:r>
      <w:r w:rsidR="0066654D">
        <w:rPr>
          <w:rFonts w:ascii="Arial Narrow" w:hAnsi="Arial Narrow" w:cs="Arial"/>
          <w:szCs w:val="26"/>
          <w:lang w:val="en-GB"/>
        </w:rPr>
        <w:t>detailed analys</w:t>
      </w:r>
      <w:r w:rsidR="00A63B41">
        <w:rPr>
          <w:rFonts w:ascii="Arial Narrow" w:hAnsi="Arial Narrow" w:cs="Arial"/>
          <w:szCs w:val="26"/>
          <w:lang w:val="en-GB"/>
        </w:rPr>
        <w:t>es</w:t>
      </w:r>
      <w:r w:rsidR="0066654D">
        <w:rPr>
          <w:rFonts w:ascii="Arial Narrow" w:hAnsi="Arial Narrow" w:cs="Arial"/>
          <w:szCs w:val="26"/>
          <w:lang w:val="en-GB"/>
        </w:rPr>
        <w:t xml:space="preserve"> and input </w:t>
      </w:r>
      <w:r>
        <w:rPr>
          <w:rFonts w:ascii="Arial Narrow" w:hAnsi="Arial Narrow" w:cs="Arial"/>
          <w:szCs w:val="26"/>
          <w:lang w:val="en-GB"/>
        </w:rPr>
        <w:t xml:space="preserve">to </w:t>
      </w:r>
      <w:r w:rsidR="00A63B41">
        <w:rPr>
          <w:rFonts w:ascii="Arial Narrow" w:hAnsi="Arial Narrow" w:cs="Arial"/>
          <w:szCs w:val="26"/>
          <w:lang w:val="en-GB"/>
        </w:rPr>
        <w:t>this</w:t>
      </w:r>
      <w:r>
        <w:rPr>
          <w:rFonts w:ascii="Arial Narrow" w:hAnsi="Arial Narrow" w:cs="Arial"/>
          <w:szCs w:val="26"/>
          <w:lang w:val="en-GB"/>
        </w:rPr>
        <w:t xml:space="preserve"> review</w:t>
      </w:r>
      <w:r w:rsidR="00CD678C">
        <w:rPr>
          <w:rFonts w:ascii="Arial Narrow" w:hAnsi="Arial Narrow" w:cs="Arial"/>
          <w:szCs w:val="26"/>
          <w:lang w:val="en-GB"/>
        </w:rPr>
        <w:t>, along with additional considerations raised by our members</w:t>
      </w:r>
      <w:r w:rsidR="00634419">
        <w:rPr>
          <w:rFonts w:ascii="Arial Narrow" w:hAnsi="Arial Narrow" w:cs="Arial"/>
          <w:szCs w:val="26"/>
          <w:lang w:val="en-GB"/>
        </w:rPr>
        <w:t xml:space="preserve"> for this 2017 review</w:t>
      </w:r>
      <w:r>
        <w:rPr>
          <w:rFonts w:ascii="Arial Narrow" w:hAnsi="Arial Narrow" w:cs="Arial"/>
          <w:szCs w:val="26"/>
          <w:lang w:val="en-GB"/>
        </w:rPr>
        <w:t xml:space="preserve">: </w:t>
      </w:r>
    </w:p>
    <w:p w14:paraId="61080D1E" w14:textId="77777777" w:rsidR="00373DE0" w:rsidRDefault="00373DE0" w:rsidP="00A01A1A">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Submissions from ACCI and its member organisations to the 2015 PC Review, including:  </w:t>
      </w:r>
    </w:p>
    <w:p w14:paraId="0CEC22E6" w14:textId="77777777" w:rsidR="00D03E26" w:rsidRDefault="00D03E26">
      <w:pPr>
        <w:spacing w:before="0" w:after="160" w:line="259" w:lineRule="auto"/>
      </w:pPr>
      <w:r>
        <w:br w:type="page"/>
      </w:r>
    </w:p>
    <w:p w14:paraId="5A0393B7" w14:textId="77777777" w:rsidR="00373DE0" w:rsidRDefault="00135195" w:rsidP="00373DE0">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19" w:history="1">
        <w:r w:rsidR="00373DE0" w:rsidRPr="00832BDD">
          <w:rPr>
            <w:rStyle w:val="Hyperlink"/>
            <w:rFonts w:ascii="Arial Narrow" w:hAnsi="Arial Narrow" w:cs="Arial"/>
            <w:szCs w:val="26"/>
            <w:lang w:val="en-GB"/>
          </w:rPr>
          <w:t>Australian Chamber</w:t>
        </w:r>
      </w:hyperlink>
      <w:r w:rsidR="00832BDD">
        <w:rPr>
          <w:rFonts w:ascii="Arial Narrow" w:hAnsi="Arial Narrow" w:cs="Arial"/>
          <w:szCs w:val="26"/>
          <w:lang w:val="en-GB"/>
        </w:rPr>
        <w:t xml:space="preserve">, pp.102, </w:t>
      </w:r>
    </w:p>
    <w:p w14:paraId="5646BC3B" w14:textId="77777777" w:rsidR="00373DE0" w:rsidRDefault="00135195" w:rsidP="00373DE0">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0" w:history="1">
        <w:r w:rsidR="00373DE0" w:rsidRPr="007C76A1">
          <w:rPr>
            <w:rStyle w:val="Hyperlink"/>
            <w:rFonts w:ascii="Arial Narrow" w:hAnsi="Arial Narrow" w:cs="Arial"/>
            <w:szCs w:val="26"/>
            <w:lang w:val="en-GB"/>
          </w:rPr>
          <w:t>AMMA</w:t>
        </w:r>
      </w:hyperlink>
      <w:r w:rsidR="007C76A1">
        <w:rPr>
          <w:rFonts w:ascii="Arial Narrow" w:hAnsi="Arial Narrow" w:cs="Arial"/>
          <w:szCs w:val="26"/>
          <w:lang w:val="en-GB"/>
        </w:rPr>
        <w:t xml:space="preserve">, pp.93-128 </w:t>
      </w:r>
    </w:p>
    <w:p w14:paraId="72AFFAB9" w14:textId="77777777" w:rsidR="00A01A1A" w:rsidRDefault="00135195" w:rsidP="00373DE0">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1" w:history="1">
        <w:r w:rsidR="007C76A1" w:rsidRPr="007C76A1">
          <w:rPr>
            <w:rStyle w:val="Hyperlink"/>
            <w:rFonts w:ascii="Arial Narrow" w:hAnsi="Arial Narrow" w:cs="Arial"/>
            <w:szCs w:val="26"/>
            <w:lang w:val="en-GB"/>
          </w:rPr>
          <w:t>MBA</w:t>
        </w:r>
      </w:hyperlink>
      <w:r w:rsidR="007C76A1">
        <w:rPr>
          <w:rFonts w:ascii="Arial Narrow" w:hAnsi="Arial Narrow" w:cs="Arial"/>
          <w:szCs w:val="26"/>
          <w:lang w:val="en-GB"/>
        </w:rPr>
        <w:t xml:space="preserve">,  pp.29-33 </w:t>
      </w:r>
    </w:p>
    <w:p w14:paraId="64327C7F" w14:textId="77777777" w:rsidR="00373DE0" w:rsidRDefault="00135195" w:rsidP="00373DE0">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2" w:history="1">
        <w:r w:rsidR="00373DE0" w:rsidRPr="0083110D">
          <w:rPr>
            <w:rStyle w:val="Hyperlink"/>
            <w:rFonts w:ascii="Arial Narrow" w:hAnsi="Arial Narrow" w:cs="Arial"/>
            <w:szCs w:val="26"/>
            <w:lang w:val="en-GB"/>
          </w:rPr>
          <w:t>Chamber and Commerce of Industry of WA</w:t>
        </w:r>
      </w:hyperlink>
      <w:r w:rsidR="0083110D">
        <w:rPr>
          <w:rFonts w:ascii="Arial Narrow" w:hAnsi="Arial Narrow" w:cs="Arial"/>
          <w:szCs w:val="26"/>
          <w:lang w:val="en-GB"/>
        </w:rPr>
        <w:t xml:space="preserve">, </w:t>
      </w:r>
      <w:r w:rsidR="007C76A1">
        <w:rPr>
          <w:rFonts w:ascii="Arial Narrow" w:hAnsi="Arial Narrow" w:cs="Arial"/>
          <w:szCs w:val="26"/>
          <w:lang w:val="en-GB"/>
        </w:rPr>
        <w:t>pp.45-48</w:t>
      </w:r>
    </w:p>
    <w:p w14:paraId="7FDF068C" w14:textId="77777777" w:rsidR="0066654D" w:rsidRDefault="0066654D" w:rsidP="0066654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Submissions from ACCI and its member</w:t>
      </w:r>
      <w:r w:rsidR="00373DE0">
        <w:rPr>
          <w:rFonts w:ascii="Arial Narrow" w:hAnsi="Arial Narrow" w:cs="Arial"/>
          <w:szCs w:val="26"/>
          <w:lang w:val="en-GB"/>
        </w:rPr>
        <w:t xml:space="preserve"> organisations </w:t>
      </w:r>
      <w:r>
        <w:rPr>
          <w:rFonts w:ascii="Arial Narrow" w:hAnsi="Arial Narrow" w:cs="Arial"/>
          <w:szCs w:val="26"/>
          <w:lang w:val="en-GB"/>
        </w:rPr>
        <w:t xml:space="preserve">to the 2012 Fair Work Act </w:t>
      </w:r>
      <w:r w:rsidR="00373DE0">
        <w:rPr>
          <w:rFonts w:ascii="Arial Narrow" w:hAnsi="Arial Narrow" w:cs="Arial"/>
          <w:szCs w:val="26"/>
          <w:lang w:val="en-GB"/>
        </w:rPr>
        <w:t xml:space="preserve">Review, including: </w:t>
      </w:r>
      <w:r>
        <w:rPr>
          <w:rFonts w:ascii="Arial Narrow" w:hAnsi="Arial Narrow" w:cs="Arial"/>
          <w:szCs w:val="26"/>
          <w:lang w:val="en-GB"/>
        </w:rPr>
        <w:t xml:space="preserve"> </w:t>
      </w:r>
    </w:p>
    <w:p w14:paraId="2A0B3713" w14:textId="77777777" w:rsidR="00CD678C" w:rsidRPr="00BC202B"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3" w:history="1">
        <w:r w:rsidR="00E6377E" w:rsidRPr="00BC202B">
          <w:rPr>
            <w:rStyle w:val="Hyperlink"/>
            <w:rFonts w:ascii="Arial Narrow" w:hAnsi="Arial Narrow" w:cs="Arial"/>
            <w:szCs w:val="26"/>
            <w:lang w:val="en-GB"/>
          </w:rPr>
          <w:t>Australian Chamber</w:t>
        </w:r>
      </w:hyperlink>
      <w:r w:rsidR="00BC202B" w:rsidRPr="00BC202B">
        <w:rPr>
          <w:rFonts w:ascii="Arial Narrow" w:hAnsi="Arial Narrow" w:cs="Arial"/>
          <w:szCs w:val="26"/>
          <w:lang w:val="en-GB"/>
        </w:rPr>
        <w:t>, p</w:t>
      </w:r>
      <w:r w:rsidR="00E6377E" w:rsidRPr="00BC202B">
        <w:rPr>
          <w:rFonts w:ascii="Arial Narrow" w:hAnsi="Arial Narrow" w:cs="Arial"/>
          <w:szCs w:val="26"/>
          <w:lang w:val="en-GB"/>
        </w:rPr>
        <w:t>.</w:t>
      </w:r>
      <w:r w:rsidR="00BC202B" w:rsidRPr="00BC202B">
        <w:rPr>
          <w:rFonts w:ascii="Arial Narrow" w:hAnsi="Arial Narrow" w:cs="Arial"/>
          <w:szCs w:val="26"/>
          <w:lang w:val="en-GB"/>
        </w:rPr>
        <w:t>12</w:t>
      </w:r>
    </w:p>
    <w:p w14:paraId="0B4CA474" w14:textId="77777777" w:rsid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4" w:history="1">
        <w:r w:rsidR="00CD678C" w:rsidRPr="00047D7B">
          <w:rPr>
            <w:rStyle w:val="Hyperlink"/>
            <w:rFonts w:ascii="Arial Narrow" w:hAnsi="Arial Narrow" w:cs="Arial"/>
            <w:szCs w:val="26"/>
            <w:lang w:val="en-GB"/>
          </w:rPr>
          <w:t>AMMA</w:t>
        </w:r>
      </w:hyperlink>
      <w:r w:rsidR="00047D7B">
        <w:rPr>
          <w:rFonts w:ascii="Arial Narrow" w:hAnsi="Arial Narrow" w:cs="Arial"/>
          <w:szCs w:val="26"/>
          <w:lang w:val="en-GB"/>
        </w:rPr>
        <w:t>, pp.98-103</w:t>
      </w:r>
      <w:r w:rsidR="00CD678C">
        <w:rPr>
          <w:rFonts w:ascii="Arial Narrow" w:hAnsi="Arial Narrow" w:cs="Arial"/>
          <w:szCs w:val="26"/>
          <w:lang w:val="en-GB"/>
        </w:rPr>
        <w:t xml:space="preserve">    </w:t>
      </w:r>
    </w:p>
    <w:p w14:paraId="164DB3BC" w14:textId="77777777" w:rsid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5" w:history="1">
        <w:r w:rsidR="00CD678C" w:rsidRPr="00047D7B">
          <w:rPr>
            <w:rStyle w:val="Hyperlink"/>
            <w:rFonts w:ascii="Arial Narrow" w:hAnsi="Arial Narrow" w:cs="Arial"/>
            <w:szCs w:val="26"/>
            <w:lang w:val="en-GB"/>
          </w:rPr>
          <w:t>MBA</w:t>
        </w:r>
      </w:hyperlink>
      <w:r w:rsidR="00047D7B">
        <w:rPr>
          <w:rFonts w:ascii="Arial Narrow" w:hAnsi="Arial Narrow" w:cs="Arial"/>
          <w:szCs w:val="26"/>
          <w:lang w:val="en-GB"/>
        </w:rPr>
        <w:t>,</w:t>
      </w:r>
      <w:r w:rsidR="00CD678C">
        <w:rPr>
          <w:rFonts w:ascii="Arial Narrow" w:hAnsi="Arial Narrow" w:cs="Arial"/>
          <w:szCs w:val="26"/>
          <w:lang w:val="en-GB"/>
        </w:rPr>
        <w:t xml:space="preserve"> </w:t>
      </w:r>
      <w:r w:rsidR="00047D7B">
        <w:rPr>
          <w:rFonts w:ascii="Arial Narrow" w:hAnsi="Arial Narrow" w:cs="Arial"/>
          <w:szCs w:val="26"/>
          <w:lang w:val="en-GB"/>
        </w:rPr>
        <w:t xml:space="preserve">paragraphs </w:t>
      </w:r>
      <w:r w:rsidR="0083110D">
        <w:rPr>
          <w:rFonts w:ascii="Arial Narrow" w:hAnsi="Arial Narrow" w:cs="Arial"/>
          <w:szCs w:val="26"/>
          <w:lang w:val="en-GB"/>
        </w:rPr>
        <w:t xml:space="preserve">3.6, </w:t>
      </w:r>
      <w:r w:rsidR="00047D7B">
        <w:rPr>
          <w:rFonts w:ascii="Arial Narrow" w:hAnsi="Arial Narrow" w:cs="Arial"/>
          <w:szCs w:val="26"/>
          <w:lang w:val="en-GB"/>
        </w:rPr>
        <w:t xml:space="preserve">4.1-4.3, </w:t>
      </w:r>
    </w:p>
    <w:p w14:paraId="3DF4F29D" w14:textId="77777777" w:rsidR="00CD678C" w:rsidRP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6" w:history="1">
        <w:r w:rsidR="00CD678C" w:rsidRPr="0083110D">
          <w:rPr>
            <w:rStyle w:val="Hyperlink"/>
            <w:rFonts w:ascii="Arial Narrow" w:hAnsi="Arial Narrow" w:cs="Arial"/>
            <w:szCs w:val="26"/>
            <w:lang w:val="en-GB"/>
          </w:rPr>
          <w:t>Chamber and Commerce of Industry of WA</w:t>
        </w:r>
      </w:hyperlink>
      <w:r w:rsidR="0083110D">
        <w:rPr>
          <w:rFonts w:ascii="Arial Narrow" w:hAnsi="Arial Narrow" w:cs="Arial"/>
          <w:szCs w:val="26"/>
          <w:lang w:val="en-GB"/>
        </w:rPr>
        <w:t xml:space="preserve">, </w:t>
      </w:r>
    </w:p>
    <w:p w14:paraId="790C372A" w14:textId="77777777" w:rsidR="00A01A1A" w:rsidRPr="00CD678C" w:rsidRDefault="00373DE0" w:rsidP="00373DE0">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CD678C">
        <w:rPr>
          <w:rFonts w:ascii="Arial Narrow" w:hAnsi="Arial Narrow" w:cs="Arial"/>
          <w:szCs w:val="26"/>
          <w:lang w:val="en-GB"/>
        </w:rPr>
        <w:t>Submissions from ACCI and its member organisations to the Senate Education and Employment Legislation Committee</w:t>
      </w:r>
      <w:r w:rsidR="00CD678C" w:rsidRPr="00CD678C">
        <w:rPr>
          <w:rFonts w:ascii="Arial Narrow" w:hAnsi="Arial Narrow" w:cs="Arial"/>
          <w:szCs w:val="26"/>
          <w:lang w:val="en-GB"/>
        </w:rPr>
        <w:t xml:space="preserve"> inquiry into the </w:t>
      </w:r>
      <w:r w:rsidR="00CD678C">
        <w:rPr>
          <w:rFonts w:ascii="Arial Narrow" w:hAnsi="Arial Narrow" w:cs="Arial"/>
          <w:szCs w:val="26"/>
          <w:lang w:val="en-GB"/>
        </w:rPr>
        <w:t xml:space="preserve"> </w:t>
      </w:r>
      <w:r w:rsidRPr="00CD678C">
        <w:rPr>
          <w:rFonts w:ascii="Arial Narrow" w:hAnsi="Arial Narrow" w:cs="Arial"/>
          <w:szCs w:val="26"/>
          <w:lang w:val="en-GB"/>
        </w:rPr>
        <w:t>Fair Work Amendment Bill 2014 [Provisions]</w:t>
      </w:r>
      <w:r w:rsidR="00634419">
        <w:rPr>
          <w:rStyle w:val="FootnoteReference"/>
          <w:rFonts w:ascii="Arial Narrow" w:hAnsi="Arial Narrow" w:cs="Arial"/>
          <w:szCs w:val="26"/>
          <w:lang w:val="en-GB"/>
        </w:rPr>
        <w:footnoteReference w:id="19"/>
      </w:r>
      <w:r w:rsidRPr="00CD678C">
        <w:rPr>
          <w:rFonts w:ascii="Arial Narrow" w:hAnsi="Arial Narrow" w:cs="Arial"/>
          <w:szCs w:val="26"/>
          <w:lang w:val="en-GB"/>
        </w:rPr>
        <w:t>, including:</w:t>
      </w:r>
    </w:p>
    <w:p w14:paraId="64AD470F" w14:textId="77777777" w:rsid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7" w:history="1">
        <w:r w:rsidR="00CD678C" w:rsidRPr="006A4360">
          <w:rPr>
            <w:rStyle w:val="Hyperlink"/>
            <w:rFonts w:ascii="Arial Narrow" w:hAnsi="Arial Narrow" w:cs="Arial"/>
            <w:szCs w:val="26"/>
            <w:lang w:val="en-GB"/>
          </w:rPr>
          <w:t>Australian Chamber</w:t>
        </w:r>
      </w:hyperlink>
      <w:r w:rsidR="006A4360">
        <w:rPr>
          <w:rFonts w:ascii="Arial Narrow" w:hAnsi="Arial Narrow" w:cs="Arial"/>
          <w:szCs w:val="26"/>
          <w:lang w:val="en-GB"/>
        </w:rPr>
        <w:t xml:space="preserve">, pp.22-26 </w:t>
      </w:r>
      <w:r w:rsidR="00CD678C">
        <w:rPr>
          <w:rFonts w:ascii="Arial Narrow" w:hAnsi="Arial Narrow" w:cs="Arial"/>
          <w:szCs w:val="26"/>
          <w:lang w:val="en-GB"/>
        </w:rPr>
        <w:t xml:space="preserve"> </w:t>
      </w:r>
    </w:p>
    <w:p w14:paraId="668BED94" w14:textId="77777777" w:rsid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8" w:history="1">
        <w:r w:rsidR="00CD678C" w:rsidRPr="00CD678C">
          <w:rPr>
            <w:rStyle w:val="Hyperlink"/>
            <w:rFonts w:ascii="Arial Narrow" w:hAnsi="Arial Narrow" w:cs="Arial"/>
            <w:szCs w:val="26"/>
            <w:lang w:val="en-GB"/>
          </w:rPr>
          <w:t>AMMA</w:t>
        </w:r>
      </w:hyperlink>
      <w:r w:rsidR="00CD678C">
        <w:rPr>
          <w:rFonts w:ascii="Arial Narrow" w:hAnsi="Arial Narrow" w:cs="Arial"/>
          <w:szCs w:val="26"/>
          <w:lang w:val="en-GB"/>
        </w:rPr>
        <w:t xml:space="preserve">, pp.3-23 </w:t>
      </w:r>
    </w:p>
    <w:p w14:paraId="21262C85" w14:textId="77777777" w:rsid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29" w:history="1">
        <w:r w:rsidR="00CD678C" w:rsidRPr="006A4360">
          <w:rPr>
            <w:rStyle w:val="Hyperlink"/>
            <w:rFonts w:ascii="Arial Narrow" w:hAnsi="Arial Narrow" w:cs="Arial"/>
            <w:szCs w:val="26"/>
            <w:lang w:val="en-GB"/>
          </w:rPr>
          <w:t>MBA</w:t>
        </w:r>
      </w:hyperlink>
      <w:r w:rsidR="006A4360">
        <w:rPr>
          <w:rFonts w:ascii="Arial Narrow" w:hAnsi="Arial Narrow" w:cs="Arial"/>
          <w:szCs w:val="26"/>
          <w:lang w:val="en-GB"/>
        </w:rPr>
        <w:t>, pp.</w:t>
      </w:r>
      <w:r w:rsidR="00E6377E">
        <w:rPr>
          <w:rFonts w:ascii="Arial Narrow" w:hAnsi="Arial Narrow" w:cs="Arial"/>
          <w:szCs w:val="26"/>
          <w:lang w:val="en-GB"/>
        </w:rPr>
        <w:t>7-13</w:t>
      </w:r>
    </w:p>
    <w:p w14:paraId="5086B76B" w14:textId="77777777" w:rsidR="00CD678C"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30" w:history="1">
        <w:r w:rsidR="00CD678C" w:rsidRPr="006A4360">
          <w:rPr>
            <w:rStyle w:val="Hyperlink"/>
            <w:rFonts w:ascii="Arial Narrow" w:hAnsi="Arial Narrow" w:cs="Arial"/>
            <w:szCs w:val="26"/>
            <w:lang w:val="en-GB"/>
          </w:rPr>
          <w:t>Chamber and Commerce of Industry of WA</w:t>
        </w:r>
      </w:hyperlink>
      <w:r w:rsidR="006A4360">
        <w:rPr>
          <w:rFonts w:ascii="Arial Narrow" w:hAnsi="Arial Narrow" w:cs="Arial"/>
          <w:szCs w:val="26"/>
          <w:lang w:val="en-GB"/>
        </w:rPr>
        <w:t xml:space="preserve">, pp.4-5 (which raises additional considerations regarding union entry powers).  </w:t>
      </w:r>
    </w:p>
    <w:p w14:paraId="5B375A30" w14:textId="77777777" w:rsidR="00E6377E" w:rsidRDefault="00135195" w:rsidP="00CD678C">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hyperlink r:id="rId31" w:history="1">
        <w:r w:rsidR="00E6377E" w:rsidRPr="00E6377E">
          <w:rPr>
            <w:rStyle w:val="Hyperlink"/>
            <w:rFonts w:ascii="Arial Narrow" w:hAnsi="Arial Narrow" w:cs="Arial"/>
            <w:szCs w:val="26"/>
            <w:lang w:val="en-GB"/>
          </w:rPr>
          <w:t>AFEI</w:t>
        </w:r>
      </w:hyperlink>
      <w:r w:rsidR="00E6377E">
        <w:rPr>
          <w:rFonts w:ascii="Arial Narrow" w:hAnsi="Arial Narrow" w:cs="Arial"/>
          <w:szCs w:val="26"/>
          <w:lang w:val="en-GB"/>
        </w:rPr>
        <w:t>, paragraphs 24-25</w:t>
      </w:r>
    </w:p>
    <w:p w14:paraId="758BC6DD" w14:textId="77777777" w:rsidR="00072917" w:rsidRDefault="00072917" w:rsidP="00072917">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also recall that </w:t>
      </w:r>
      <w:r w:rsidR="00EF7B81">
        <w:rPr>
          <w:rFonts w:ascii="Arial Narrow" w:hAnsi="Arial Narrow" w:cs="Arial"/>
          <w:szCs w:val="26"/>
          <w:lang w:val="en-GB"/>
        </w:rPr>
        <w:t xml:space="preserve">Australia’s workplace relations </w:t>
      </w:r>
      <w:r>
        <w:rPr>
          <w:rFonts w:ascii="Arial Narrow" w:hAnsi="Arial Narrow" w:cs="Arial"/>
          <w:szCs w:val="26"/>
          <w:lang w:val="en-GB"/>
        </w:rPr>
        <w:t xml:space="preserve">system </w:t>
      </w:r>
      <w:r w:rsidR="00EF7B81">
        <w:rPr>
          <w:rFonts w:ascii="Arial Narrow" w:hAnsi="Arial Narrow" w:cs="Arial"/>
          <w:szCs w:val="26"/>
          <w:lang w:val="en-GB"/>
        </w:rPr>
        <w:t xml:space="preserve">has previously </w:t>
      </w:r>
      <w:r>
        <w:rPr>
          <w:rFonts w:ascii="Arial Narrow" w:hAnsi="Arial Narrow" w:cs="Arial"/>
          <w:szCs w:val="26"/>
          <w:lang w:val="en-GB"/>
        </w:rPr>
        <w:t xml:space="preserve">provided </w:t>
      </w:r>
      <w:r w:rsidR="00DC139B">
        <w:rPr>
          <w:rFonts w:ascii="Arial Narrow" w:hAnsi="Arial Narrow" w:cs="Arial"/>
          <w:szCs w:val="26"/>
          <w:lang w:val="en-GB"/>
        </w:rPr>
        <w:t xml:space="preserve">very simple </w:t>
      </w:r>
      <w:r w:rsidR="00EF7B81">
        <w:rPr>
          <w:rFonts w:ascii="Arial Narrow" w:hAnsi="Arial Narrow" w:cs="Arial"/>
          <w:szCs w:val="26"/>
          <w:lang w:val="en-GB"/>
        </w:rPr>
        <w:t xml:space="preserve">mechanisms for </w:t>
      </w:r>
      <w:r>
        <w:rPr>
          <w:rFonts w:ascii="Arial Narrow" w:hAnsi="Arial Narrow" w:cs="Arial"/>
          <w:szCs w:val="26"/>
          <w:lang w:val="en-GB"/>
        </w:rPr>
        <w:t xml:space="preserve">GF agreements, </w:t>
      </w:r>
      <w:r w:rsidR="00EF7B81">
        <w:rPr>
          <w:rFonts w:ascii="Arial Narrow" w:hAnsi="Arial Narrow" w:cs="Arial"/>
          <w:szCs w:val="26"/>
          <w:lang w:val="en-GB"/>
        </w:rPr>
        <w:t xml:space="preserve">including </w:t>
      </w:r>
      <w:r>
        <w:rPr>
          <w:rFonts w:ascii="Arial Narrow" w:hAnsi="Arial Narrow" w:cs="Arial"/>
          <w:szCs w:val="26"/>
          <w:lang w:val="en-GB"/>
        </w:rPr>
        <w:t>s.</w:t>
      </w:r>
      <w:r w:rsidR="00DC139B">
        <w:rPr>
          <w:rFonts w:ascii="Arial Narrow" w:hAnsi="Arial Narrow" w:cs="Arial"/>
          <w:szCs w:val="26"/>
          <w:lang w:val="en-GB"/>
        </w:rPr>
        <w:t>330</w:t>
      </w:r>
      <w:r>
        <w:rPr>
          <w:rFonts w:ascii="Arial Narrow" w:hAnsi="Arial Narrow" w:cs="Arial"/>
          <w:szCs w:val="26"/>
          <w:lang w:val="en-GB"/>
        </w:rPr>
        <w:t xml:space="preserve"> of the former Workplace Relations Act 1996: </w:t>
      </w:r>
    </w:p>
    <w:p w14:paraId="0E590DEA" w14:textId="77777777" w:rsidR="00D03E26" w:rsidRDefault="00D03E26">
      <w:pPr>
        <w:spacing w:before="0" w:after="160" w:line="259" w:lineRule="auto"/>
        <w:rPr>
          <w:rFonts w:ascii="Times New Roman" w:eastAsia="Times New Roman" w:hAnsi="Times New Roman" w:cs="Times New Roman"/>
          <w:b/>
          <w:sz w:val="24"/>
          <w:szCs w:val="24"/>
          <w:lang w:eastAsia="en-AU"/>
        </w:rPr>
      </w:pPr>
      <w:bookmarkStart w:id="12" w:name="_Toc131569305"/>
      <w:r>
        <w:rPr>
          <w:rFonts w:ascii="Times New Roman" w:eastAsia="Times New Roman" w:hAnsi="Times New Roman" w:cs="Times New Roman"/>
          <w:b/>
          <w:sz w:val="24"/>
          <w:szCs w:val="24"/>
          <w:lang w:eastAsia="en-AU"/>
        </w:rPr>
        <w:br w:type="page"/>
      </w:r>
    </w:p>
    <w:p w14:paraId="097786C7" w14:textId="77777777" w:rsidR="00DC139B" w:rsidRPr="00DC139B" w:rsidRDefault="00DC139B" w:rsidP="00DC139B">
      <w:pPr>
        <w:spacing w:before="100" w:beforeAutospacing="1" w:after="100" w:afterAutospacing="1"/>
        <w:ind w:left="1440"/>
        <w:rPr>
          <w:rFonts w:ascii="Times New Roman" w:eastAsia="Times New Roman" w:hAnsi="Times New Roman" w:cs="Times New Roman"/>
          <w:b/>
          <w:sz w:val="24"/>
          <w:szCs w:val="24"/>
          <w:lang w:eastAsia="en-AU"/>
        </w:rPr>
      </w:pPr>
      <w:r w:rsidRPr="00DC139B">
        <w:rPr>
          <w:rFonts w:ascii="Times New Roman" w:eastAsia="Times New Roman" w:hAnsi="Times New Roman" w:cs="Times New Roman"/>
          <w:b/>
          <w:sz w:val="24"/>
          <w:szCs w:val="24"/>
          <w:lang w:eastAsia="en-AU"/>
        </w:rPr>
        <w:lastRenderedPageBreak/>
        <w:t xml:space="preserve">330  Employer </w:t>
      </w:r>
      <w:r w:rsidR="00BC202B">
        <w:rPr>
          <w:rFonts w:ascii="Times New Roman" w:eastAsia="Times New Roman" w:hAnsi="Times New Roman" w:cs="Times New Roman"/>
          <w:b/>
          <w:sz w:val="24"/>
          <w:szCs w:val="24"/>
          <w:lang w:eastAsia="en-AU"/>
        </w:rPr>
        <w:t>Greenfields</w:t>
      </w:r>
      <w:r w:rsidRPr="00DC139B">
        <w:rPr>
          <w:rFonts w:ascii="Times New Roman" w:eastAsia="Times New Roman" w:hAnsi="Times New Roman" w:cs="Times New Roman"/>
          <w:b/>
          <w:sz w:val="24"/>
          <w:szCs w:val="24"/>
          <w:lang w:eastAsia="en-AU"/>
        </w:rPr>
        <w:t xml:space="preserve"> agreements</w:t>
      </w:r>
      <w:bookmarkEnd w:id="12"/>
    </w:p>
    <w:p w14:paraId="497A3FAF" w14:textId="77777777" w:rsidR="00DC139B" w:rsidRPr="00DC139B" w:rsidRDefault="00DC139B" w:rsidP="00DC139B">
      <w:pPr>
        <w:spacing w:before="100" w:beforeAutospacing="1" w:after="100" w:afterAutospacing="1"/>
        <w:ind w:left="1440"/>
        <w:rPr>
          <w:rFonts w:ascii="Times New Roman" w:eastAsia="Times New Roman" w:hAnsi="Times New Roman" w:cs="Times New Roman"/>
          <w:sz w:val="24"/>
          <w:szCs w:val="24"/>
          <w:lang w:eastAsia="en-AU"/>
        </w:rPr>
      </w:pPr>
      <w:r w:rsidRPr="00DC139B">
        <w:rPr>
          <w:rFonts w:ascii="Times New Roman" w:eastAsia="Times New Roman" w:hAnsi="Times New Roman" w:cs="Times New Roman"/>
          <w:sz w:val="24"/>
          <w:szCs w:val="24"/>
          <w:lang w:eastAsia="en-AU"/>
        </w:rPr>
        <w:t xml:space="preserve">An employer may make an agreement (an </w:t>
      </w:r>
      <w:r w:rsidRPr="00DC139B">
        <w:rPr>
          <w:rFonts w:ascii="Times New Roman" w:eastAsia="Times New Roman" w:hAnsi="Times New Roman" w:cs="Times New Roman"/>
          <w:b/>
          <w:bCs/>
          <w:i/>
          <w:iCs/>
          <w:sz w:val="24"/>
          <w:szCs w:val="24"/>
          <w:lang w:eastAsia="en-AU"/>
        </w:rPr>
        <w:t xml:space="preserve">employer </w:t>
      </w:r>
      <w:r w:rsidR="00BC202B">
        <w:rPr>
          <w:rFonts w:ascii="Times New Roman" w:eastAsia="Times New Roman" w:hAnsi="Times New Roman" w:cs="Times New Roman"/>
          <w:b/>
          <w:bCs/>
          <w:i/>
          <w:iCs/>
          <w:sz w:val="24"/>
          <w:szCs w:val="24"/>
          <w:lang w:eastAsia="en-AU"/>
        </w:rPr>
        <w:t>Greenfields</w:t>
      </w:r>
      <w:r w:rsidRPr="00DC139B">
        <w:rPr>
          <w:rFonts w:ascii="Times New Roman" w:eastAsia="Times New Roman" w:hAnsi="Times New Roman" w:cs="Times New Roman"/>
          <w:b/>
          <w:bCs/>
          <w:i/>
          <w:iCs/>
          <w:sz w:val="24"/>
          <w:szCs w:val="24"/>
          <w:lang w:eastAsia="en-AU"/>
        </w:rPr>
        <w:t xml:space="preserve"> agreement</w:t>
      </w:r>
      <w:r w:rsidRPr="00DC139B">
        <w:rPr>
          <w:rFonts w:ascii="Times New Roman" w:eastAsia="Times New Roman" w:hAnsi="Times New Roman" w:cs="Times New Roman"/>
          <w:sz w:val="24"/>
          <w:szCs w:val="24"/>
          <w:lang w:eastAsia="en-AU"/>
        </w:rPr>
        <w:t>) in writing if:</w:t>
      </w:r>
    </w:p>
    <w:p w14:paraId="71E9E9AC" w14:textId="77777777" w:rsidR="00DC139B" w:rsidRPr="00DC139B" w:rsidRDefault="00DC139B" w:rsidP="00DC139B">
      <w:pPr>
        <w:spacing w:before="100" w:beforeAutospacing="1" w:after="100" w:afterAutospacing="1"/>
        <w:ind w:left="2160" w:hanging="720"/>
        <w:rPr>
          <w:rFonts w:ascii="Times New Roman" w:eastAsia="Times New Roman" w:hAnsi="Times New Roman" w:cs="Times New Roman"/>
          <w:sz w:val="24"/>
          <w:szCs w:val="24"/>
          <w:lang w:eastAsia="en-AU"/>
        </w:rPr>
      </w:pPr>
      <w:r w:rsidRPr="00DC139B">
        <w:rPr>
          <w:rFonts w:ascii="Times New Roman" w:eastAsia="Times New Roman" w:hAnsi="Times New Roman" w:cs="Times New Roman"/>
          <w:sz w:val="24"/>
          <w:szCs w:val="24"/>
          <w:lang w:eastAsia="en-AU"/>
        </w:rPr>
        <w:t xml:space="preserve">(a)  </w:t>
      </w:r>
      <w:r>
        <w:rPr>
          <w:rFonts w:ascii="Times New Roman" w:eastAsia="Times New Roman" w:hAnsi="Times New Roman" w:cs="Times New Roman"/>
          <w:sz w:val="24"/>
          <w:szCs w:val="24"/>
          <w:lang w:eastAsia="en-AU"/>
        </w:rPr>
        <w:tab/>
      </w:r>
      <w:r w:rsidRPr="00DC139B">
        <w:rPr>
          <w:rFonts w:ascii="Times New Roman" w:eastAsia="Times New Roman" w:hAnsi="Times New Roman" w:cs="Times New Roman"/>
          <w:sz w:val="24"/>
          <w:szCs w:val="24"/>
          <w:lang w:eastAsia="en-AU"/>
        </w:rPr>
        <w:t>the agreement relates to a new business that the employer proposes to establish, or is establishing, when the agreement is made; and</w:t>
      </w:r>
    </w:p>
    <w:p w14:paraId="35B6682A" w14:textId="77777777" w:rsidR="00DC139B" w:rsidRPr="00DC139B" w:rsidRDefault="00DC139B" w:rsidP="00DC139B">
      <w:pPr>
        <w:spacing w:before="100" w:beforeAutospacing="1" w:after="100" w:afterAutospacing="1"/>
        <w:ind w:left="1440"/>
        <w:rPr>
          <w:rFonts w:ascii="Times New Roman" w:eastAsia="Times New Roman" w:hAnsi="Times New Roman" w:cs="Times New Roman"/>
          <w:sz w:val="24"/>
          <w:szCs w:val="24"/>
          <w:lang w:eastAsia="en-AU"/>
        </w:rPr>
      </w:pPr>
      <w:r w:rsidRPr="00DC139B">
        <w:rPr>
          <w:rFonts w:ascii="Times New Roman" w:eastAsia="Times New Roman" w:hAnsi="Times New Roman" w:cs="Times New Roman"/>
          <w:sz w:val="24"/>
          <w:szCs w:val="24"/>
          <w:lang w:eastAsia="en-AU"/>
        </w:rPr>
        <w:t xml:space="preserve">(b)  </w:t>
      </w:r>
      <w:r>
        <w:rPr>
          <w:rFonts w:ascii="Times New Roman" w:eastAsia="Times New Roman" w:hAnsi="Times New Roman" w:cs="Times New Roman"/>
          <w:sz w:val="24"/>
          <w:szCs w:val="24"/>
          <w:lang w:eastAsia="en-AU"/>
        </w:rPr>
        <w:tab/>
      </w:r>
      <w:r w:rsidRPr="00DC139B">
        <w:rPr>
          <w:rFonts w:ascii="Times New Roman" w:eastAsia="Times New Roman" w:hAnsi="Times New Roman" w:cs="Times New Roman"/>
          <w:sz w:val="24"/>
          <w:szCs w:val="24"/>
          <w:lang w:eastAsia="en-AU"/>
        </w:rPr>
        <w:t>the agreement is made before the employment of any of the persons:</w:t>
      </w:r>
    </w:p>
    <w:p w14:paraId="31C6F6B0" w14:textId="77777777" w:rsidR="00DC139B" w:rsidRPr="00DC139B" w:rsidRDefault="00DC139B" w:rsidP="00DC139B">
      <w:pPr>
        <w:spacing w:before="100" w:beforeAutospacing="1" w:after="100" w:afterAutospacing="1"/>
        <w:ind w:left="2880" w:hanging="720"/>
        <w:rPr>
          <w:rFonts w:ascii="Times New Roman" w:eastAsia="Times New Roman" w:hAnsi="Times New Roman" w:cs="Times New Roman"/>
          <w:sz w:val="24"/>
          <w:szCs w:val="24"/>
          <w:lang w:eastAsia="en-AU"/>
        </w:rPr>
      </w:pPr>
      <w:r w:rsidRPr="00DC139B">
        <w:rPr>
          <w:rFonts w:ascii="Times New Roman" w:eastAsia="Times New Roman" w:hAnsi="Times New Roman" w:cs="Times New Roman"/>
          <w:sz w:val="24"/>
          <w:szCs w:val="24"/>
          <w:lang w:eastAsia="en-AU"/>
        </w:rPr>
        <w:t xml:space="preserve">(i)  </w:t>
      </w:r>
      <w:r>
        <w:rPr>
          <w:rFonts w:ascii="Times New Roman" w:eastAsia="Times New Roman" w:hAnsi="Times New Roman" w:cs="Times New Roman"/>
          <w:sz w:val="24"/>
          <w:szCs w:val="24"/>
          <w:lang w:eastAsia="en-AU"/>
        </w:rPr>
        <w:tab/>
      </w:r>
      <w:r w:rsidRPr="00DC139B">
        <w:rPr>
          <w:rFonts w:ascii="Times New Roman" w:eastAsia="Times New Roman" w:hAnsi="Times New Roman" w:cs="Times New Roman"/>
          <w:sz w:val="24"/>
          <w:szCs w:val="24"/>
          <w:lang w:eastAsia="en-AU"/>
        </w:rPr>
        <w:t>who will be necessary for the normal operation of the business; and</w:t>
      </w:r>
    </w:p>
    <w:p w14:paraId="38F29933" w14:textId="77777777" w:rsidR="00DC139B" w:rsidRPr="00DC139B" w:rsidRDefault="00DC139B" w:rsidP="00DC139B">
      <w:pPr>
        <w:spacing w:before="100" w:beforeAutospacing="1" w:after="100" w:afterAutospacing="1"/>
        <w:ind w:left="2160"/>
        <w:rPr>
          <w:rFonts w:ascii="Times New Roman" w:eastAsia="Times New Roman" w:hAnsi="Times New Roman" w:cs="Times New Roman"/>
          <w:sz w:val="24"/>
          <w:szCs w:val="24"/>
          <w:lang w:eastAsia="en-AU"/>
        </w:rPr>
      </w:pPr>
      <w:r w:rsidRPr="00DC139B">
        <w:rPr>
          <w:rFonts w:ascii="Times New Roman" w:eastAsia="Times New Roman" w:hAnsi="Times New Roman" w:cs="Times New Roman"/>
          <w:sz w:val="24"/>
          <w:szCs w:val="24"/>
          <w:lang w:eastAsia="en-AU"/>
        </w:rPr>
        <w:t xml:space="preserve">(ii)  </w:t>
      </w:r>
      <w:r>
        <w:rPr>
          <w:rFonts w:ascii="Times New Roman" w:eastAsia="Times New Roman" w:hAnsi="Times New Roman" w:cs="Times New Roman"/>
          <w:sz w:val="24"/>
          <w:szCs w:val="24"/>
          <w:lang w:eastAsia="en-AU"/>
        </w:rPr>
        <w:tab/>
      </w:r>
      <w:r w:rsidRPr="00DC139B">
        <w:rPr>
          <w:rFonts w:ascii="Times New Roman" w:eastAsia="Times New Roman" w:hAnsi="Times New Roman" w:cs="Times New Roman"/>
          <w:sz w:val="24"/>
          <w:szCs w:val="24"/>
          <w:lang w:eastAsia="en-AU"/>
        </w:rPr>
        <w:t>whose employment will be subject to the agreement.</w:t>
      </w:r>
    </w:p>
    <w:p w14:paraId="4DEC1C82" w14:textId="77777777" w:rsidR="00072917" w:rsidRDefault="00EF7B81" w:rsidP="00072917">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Without restarting the debate on the merits of Employer Greenfields Agreements</w:t>
      </w:r>
      <w:r w:rsidR="00621C33">
        <w:rPr>
          <w:rFonts w:ascii="Arial Narrow" w:hAnsi="Arial Narrow" w:cs="Arial"/>
          <w:szCs w:val="26"/>
          <w:lang w:val="en-GB"/>
        </w:rPr>
        <w:t>, the simplicity and clarity of this previous generation of GF legislation should inform how we proceed in the future</w:t>
      </w:r>
      <w:r w:rsidR="00DC139B">
        <w:rPr>
          <w:rFonts w:ascii="Arial Narrow" w:hAnsi="Arial Narrow" w:cs="Arial"/>
          <w:szCs w:val="26"/>
          <w:lang w:val="en-GB"/>
        </w:rPr>
        <w:t xml:space="preserve">. </w:t>
      </w:r>
    </w:p>
    <w:p w14:paraId="760E7F0A" w14:textId="77777777" w:rsidR="007260C9" w:rsidRDefault="007260C9">
      <w:pPr>
        <w:spacing w:before="0" w:after="160" w:line="259" w:lineRule="auto"/>
        <w:rPr>
          <w:sz w:val="44"/>
          <w:szCs w:val="40"/>
          <w:lang w:val="en-GB"/>
        </w:rPr>
      </w:pPr>
      <w:r>
        <w:rPr>
          <w:lang w:val="en-GB"/>
        </w:rPr>
        <w:br w:type="page"/>
      </w:r>
    </w:p>
    <w:p w14:paraId="252C9E57" w14:textId="77777777" w:rsidR="00D03E26" w:rsidRDefault="00D03E26">
      <w:pPr>
        <w:spacing w:before="0" w:after="160" w:line="259" w:lineRule="auto"/>
        <w:rPr>
          <w:sz w:val="44"/>
          <w:szCs w:val="40"/>
          <w:lang w:val="en-GB"/>
        </w:rPr>
      </w:pPr>
      <w:r>
        <w:rPr>
          <w:lang w:val="en-GB"/>
        </w:rPr>
        <w:lastRenderedPageBreak/>
        <w:br w:type="page"/>
      </w:r>
    </w:p>
    <w:p w14:paraId="3BC34540" w14:textId="77777777" w:rsidR="008172DD" w:rsidRPr="00C61917" w:rsidRDefault="008172DD" w:rsidP="008172DD">
      <w:pPr>
        <w:pStyle w:val="Heading1NoNumbers"/>
        <w:rPr>
          <w:lang w:val="en-GB"/>
        </w:rPr>
      </w:pPr>
      <w:bookmarkStart w:id="13" w:name="_Toc495937451"/>
      <w:r>
        <w:rPr>
          <w:lang w:val="en-GB"/>
        </w:rPr>
        <w:lastRenderedPageBreak/>
        <w:t xml:space="preserve">3. </w:t>
      </w:r>
      <w:r w:rsidR="00001398">
        <w:rPr>
          <w:lang w:val="en-GB"/>
        </w:rPr>
        <w:t xml:space="preserve">Additional </w:t>
      </w:r>
      <w:r>
        <w:rPr>
          <w:lang w:val="en-GB"/>
        </w:rPr>
        <w:t>considerations</w:t>
      </w:r>
      <w:bookmarkEnd w:id="13"/>
      <w:r>
        <w:rPr>
          <w:lang w:val="en-GB"/>
        </w:rPr>
        <w:t xml:space="preserve"> </w:t>
      </w:r>
    </w:p>
    <w:p w14:paraId="4D447354"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Under “Scope of this review” the introduction to the Background Paper</w:t>
      </w:r>
      <w:r>
        <w:rPr>
          <w:rStyle w:val="FootnoteReference"/>
          <w:rFonts w:ascii="Arial Narrow" w:hAnsi="Arial Narrow" w:cs="Arial"/>
          <w:szCs w:val="26"/>
          <w:lang w:val="en-GB"/>
        </w:rPr>
        <w:footnoteReference w:id="20"/>
      </w:r>
      <w:r>
        <w:rPr>
          <w:rFonts w:ascii="Arial Narrow" w:hAnsi="Arial Narrow" w:cs="Arial"/>
          <w:szCs w:val="26"/>
          <w:lang w:val="en-GB"/>
        </w:rPr>
        <w:t xml:space="preserve"> identifies four (4) “other matters”. </w:t>
      </w:r>
      <w:r w:rsidR="00D65D6C">
        <w:rPr>
          <w:rFonts w:ascii="Arial Narrow" w:hAnsi="Arial Narrow" w:cs="Arial"/>
          <w:szCs w:val="26"/>
          <w:lang w:val="en-GB"/>
        </w:rPr>
        <w:t>W</w:t>
      </w:r>
      <w:r>
        <w:rPr>
          <w:rFonts w:ascii="Arial Narrow" w:hAnsi="Arial Narrow" w:cs="Arial"/>
          <w:szCs w:val="26"/>
          <w:lang w:val="en-GB"/>
        </w:rPr>
        <w:t xml:space="preserve">e presume </w:t>
      </w:r>
      <w:r w:rsidR="00D65D6C">
        <w:rPr>
          <w:rFonts w:ascii="Arial Narrow" w:hAnsi="Arial Narrow" w:cs="Arial"/>
          <w:szCs w:val="26"/>
          <w:lang w:val="en-GB"/>
        </w:rPr>
        <w:t xml:space="preserve">these are </w:t>
      </w:r>
      <w:r w:rsidR="00AA728F">
        <w:rPr>
          <w:rFonts w:ascii="Arial Narrow" w:hAnsi="Arial Narrow" w:cs="Arial"/>
          <w:szCs w:val="26"/>
          <w:lang w:val="en-GB"/>
        </w:rPr>
        <w:t>“</w:t>
      </w:r>
      <w:r>
        <w:rPr>
          <w:rFonts w:ascii="Arial Narrow" w:hAnsi="Arial Narrow" w:cs="Arial"/>
          <w:szCs w:val="26"/>
          <w:lang w:val="en-GB"/>
        </w:rPr>
        <w:t>additional matter</w:t>
      </w:r>
      <w:r w:rsidR="00D65D6C">
        <w:rPr>
          <w:rFonts w:ascii="Arial Narrow" w:hAnsi="Arial Narrow" w:cs="Arial"/>
          <w:szCs w:val="26"/>
          <w:lang w:val="en-GB"/>
        </w:rPr>
        <w:t>s</w:t>
      </w:r>
      <w:r w:rsidR="00AA728F">
        <w:rPr>
          <w:rFonts w:ascii="Arial Narrow" w:hAnsi="Arial Narrow" w:cs="Arial"/>
          <w:szCs w:val="26"/>
          <w:lang w:val="en-GB"/>
        </w:rPr>
        <w:t>”</w:t>
      </w:r>
      <w:r>
        <w:rPr>
          <w:rFonts w:ascii="Arial Narrow" w:hAnsi="Arial Narrow" w:cs="Arial"/>
          <w:szCs w:val="26"/>
          <w:lang w:val="en-GB"/>
        </w:rPr>
        <w:t xml:space="preserve"> identified by the Minister under s 4(2)(b) of the </w:t>
      </w:r>
      <w:r w:rsidRPr="00AA7AA9">
        <w:rPr>
          <w:rFonts w:ascii="Arial Narrow" w:hAnsi="Arial Narrow" w:cs="Arial"/>
          <w:i/>
          <w:szCs w:val="26"/>
          <w:lang w:val="en-GB"/>
        </w:rPr>
        <w:t>Fair Work Amendment Act 2015</w:t>
      </w:r>
      <w:r>
        <w:rPr>
          <w:rFonts w:ascii="Arial Narrow" w:hAnsi="Arial Narrow" w:cs="Arial"/>
          <w:szCs w:val="26"/>
          <w:lang w:val="en-GB"/>
        </w:rPr>
        <w:t xml:space="preserve">. </w:t>
      </w:r>
    </w:p>
    <w:p w14:paraId="56093781" w14:textId="77777777" w:rsidR="008172DD" w:rsidRPr="003565B4" w:rsidRDefault="008172DD" w:rsidP="003565B4">
      <w:pPr>
        <w:pStyle w:val="Heading2"/>
        <w:rPr>
          <w:lang w:val="en-GB"/>
        </w:rPr>
      </w:pPr>
      <w:r w:rsidRPr="003565B4">
        <w:rPr>
          <w:lang w:val="en-GB"/>
        </w:rPr>
        <w:t>The length of GF agreements</w:t>
      </w:r>
      <w:r w:rsidRPr="003565B4">
        <w:rPr>
          <w:vertAlign w:val="superscript"/>
        </w:rPr>
        <w:footnoteReference w:id="21"/>
      </w:r>
      <w:r w:rsidRPr="003565B4">
        <w:rPr>
          <w:lang w:val="en-GB"/>
        </w:rPr>
        <w:t xml:space="preserve"> </w:t>
      </w:r>
    </w:p>
    <w:p w14:paraId="3AA32F79"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table of GF agreements approved since 2013</w:t>
      </w:r>
      <w:r>
        <w:rPr>
          <w:rStyle w:val="FootnoteReference"/>
          <w:rFonts w:ascii="Arial Narrow" w:hAnsi="Arial Narrow" w:cs="Arial"/>
          <w:szCs w:val="26"/>
          <w:lang w:val="en-GB"/>
        </w:rPr>
        <w:footnoteReference w:id="22"/>
      </w:r>
      <w:r>
        <w:rPr>
          <w:rFonts w:ascii="Arial Narrow" w:hAnsi="Arial Narrow" w:cs="Arial"/>
          <w:szCs w:val="26"/>
          <w:lang w:val="en-GB"/>
        </w:rPr>
        <w:t xml:space="preserve"> did not include anything on their duration.  This may have been useful in helping to address this question. </w:t>
      </w:r>
    </w:p>
    <w:p w14:paraId="2161061B" w14:textId="24285EBE"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w:t>
      </w:r>
      <w:r w:rsidR="001D5133">
        <w:rPr>
          <w:rFonts w:ascii="Arial Narrow" w:hAnsi="Arial Narrow" w:cs="Arial"/>
          <w:szCs w:val="26"/>
          <w:lang w:val="en-GB"/>
        </w:rPr>
        <w:t xml:space="preserve">however </w:t>
      </w:r>
      <w:r>
        <w:rPr>
          <w:rFonts w:ascii="Arial Narrow" w:hAnsi="Arial Narrow" w:cs="Arial"/>
          <w:szCs w:val="26"/>
          <w:lang w:val="en-GB"/>
        </w:rPr>
        <w:t>caution that the nominal duration set out in the text of a GF agreement</w:t>
      </w:r>
      <w:r w:rsidR="00AA728F">
        <w:rPr>
          <w:rFonts w:ascii="Arial Narrow" w:hAnsi="Arial Narrow" w:cs="Arial"/>
          <w:szCs w:val="26"/>
          <w:lang w:val="en-GB"/>
        </w:rPr>
        <w:t>s</w:t>
      </w:r>
      <w:r>
        <w:rPr>
          <w:rFonts w:ascii="Arial Narrow" w:hAnsi="Arial Narrow" w:cs="Arial"/>
          <w:szCs w:val="26"/>
          <w:lang w:val="en-GB"/>
        </w:rPr>
        <w:t xml:space="preserve"> and </w:t>
      </w:r>
      <w:r w:rsidR="00AA728F">
        <w:rPr>
          <w:rFonts w:ascii="Arial Narrow" w:hAnsi="Arial Narrow" w:cs="Arial"/>
          <w:szCs w:val="26"/>
          <w:lang w:val="en-GB"/>
        </w:rPr>
        <w:t xml:space="preserve">their </w:t>
      </w:r>
      <w:r>
        <w:rPr>
          <w:rFonts w:ascii="Arial Narrow" w:hAnsi="Arial Narrow" w:cs="Arial"/>
          <w:szCs w:val="26"/>
          <w:lang w:val="en-GB"/>
        </w:rPr>
        <w:t xml:space="preserve">operative or actual duration may differ markedly. Three examples: </w:t>
      </w:r>
    </w:p>
    <w:p w14:paraId="223408C9"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A resource construction contractor may make a GF agreement for an extended period (perhaps for four years) in full cognisance that: </w:t>
      </w:r>
    </w:p>
    <w:p w14:paraId="4141CBBB" w14:textId="77777777" w:rsidR="008172DD" w:rsidRDefault="008172DD" w:rsidP="008172DD">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They don’t actually know when they will get on site to commence work, which may often depend on other preceding works.</w:t>
      </w:r>
    </w:p>
    <w:p w14:paraId="14318E11" w14:textId="77777777" w:rsidR="008172DD" w:rsidRDefault="008172DD" w:rsidP="008172DD">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Their anticipated period of actual work onsite may be far briefer than the total duration of the GF agreement, but they need to account for contingencies and delays.   </w:t>
      </w:r>
    </w:p>
    <w:p w14:paraId="4C23E071" w14:textId="77777777" w:rsidR="008172DD" w:rsidRPr="00C61917" w:rsidRDefault="008172DD" w:rsidP="008172DD">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They are often likely to mobilise a workforce, do the work, and demobilise again all within the nominal or stated duration of the GF agreement, which in many cases will expire without any actual application to extant work (and is in fact designed to do so).  </w:t>
      </w:r>
    </w:p>
    <w:p w14:paraId="176626B8"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Equally, we saw in relation to the mega projects of recent years that programs of works</w:t>
      </w:r>
      <w:r w:rsidR="00AA728F">
        <w:rPr>
          <w:rFonts w:ascii="Arial Narrow" w:hAnsi="Arial Narrow" w:cs="Arial"/>
          <w:szCs w:val="26"/>
          <w:lang w:val="en-GB"/>
        </w:rPr>
        <w:t xml:space="preserve"> can</w:t>
      </w:r>
      <w:r>
        <w:rPr>
          <w:rFonts w:ascii="Arial Narrow" w:hAnsi="Arial Narrow" w:cs="Arial"/>
          <w:szCs w:val="26"/>
          <w:lang w:val="en-GB"/>
        </w:rPr>
        <w:t xml:space="preserve"> extend beyond the four year maximum period for GF agreements, and the unacceptable situation of renegotiation and threats of industrial action occurring as project finalisation was becoming urgent and as costs of days lost or disruption would be greatest. </w:t>
      </w:r>
    </w:p>
    <w:p w14:paraId="44E82840" w14:textId="77777777" w:rsidR="008172DD" w:rsidRDefault="008172DD" w:rsidP="008172DD">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This has led the Chamber and its members to support PC Recommendation 20.4 on life of project GF agreements, and Recommendation 21.2 for project proponent agreements.</w:t>
      </w:r>
    </w:p>
    <w:p w14:paraId="195CFD10" w14:textId="77777777" w:rsidR="008172DD" w:rsidRDefault="008172DD" w:rsidP="008172DD">
      <w:pPr>
        <w:pStyle w:val="ListParagraph"/>
        <w:overflowPunct w:val="0"/>
        <w:autoSpaceDE w:val="0"/>
        <w:autoSpaceDN w:val="0"/>
        <w:adjustRightInd w:val="0"/>
        <w:spacing w:before="0" w:after="280" w:line="270" w:lineRule="auto"/>
        <w:ind w:left="2160"/>
        <w:contextualSpacing w:val="0"/>
        <w:jc w:val="both"/>
        <w:textAlignment w:val="baseline"/>
        <w:rPr>
          <w:rFonts w:ascii="Arial Narrow" w:hAnsi="Arial Narrow" w:cs="Arial"/>
          <w:szCs w:val="26"/>
          <w:lang w:val="en-GB"/>
        </w:rPr>
      </w:pPr>
      <w:r>
        <w:rPr>
          <w:rFonts w:ascii="Arial Narrow" w:hAnsi="Arial Narrow" w:cs="Arial"/>
          <w:noProof/>
          <w:szCs w:val="26"/>
          <w:lang w:eastAsia="en-AU"/>
        </w:rPr>
        <w:lastRenderedPageBreak/>
        <w:drawing>
          <wp:inline distT="0" distB="0" distL="0" distR="0" wp14:anchorId="1665DF99" wp14:editId="399E5018">
            <wp:extent cx="4451350" cy="1561465"/>
            <wp:effectExtent l="0" t="0" r="6350" b="635"/>
            <wp:docPr id="1" name="Picture 1" descr="PC Recommendatio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1350" cy="1561465"/>
                    </a:xfrm>
                    <a:prstGeom prst="rect">
                      <a:avLst/>
                    </a:prstGeom>
                    <a:noFill/>
                    <a:ln>
                      <a:noFill/>
                    </a:ln>
                  </pic:spPr>
                </pic:pic>
              </a:graphicData>
            </a:graphic>
          </wp:inline>
        </w:drawing>
      </w:r>
      <w:r>
        <w:rPr>
          <w:rFonts w:ascii="Arial Narrow" w:hAnsi="Arial Narrow" w:cs="Arial"/>
          <w:szCs w:val="26"/>
          <w:lang w:val="en-GB"/>
        </w:rPr>
        <w:t xml:space="preserve"> </w:t>
      </w:r>
    </w:p>
    <w:p w14:paraId="1F65122D"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From a completely different direction, the nominal date or duration of a GF agreement for a theatrical production is less important than its “run” in determining how long the agreed terms will actually apply for.  The nominal duration</w:t>
      </w:r>
      <w:r w:rsidR="00694911">
        <w:rPr>
          <w:rFonts w:ascii="Arial Narrow" w:hAnsi="Arial Narrow" w:cs="Arial"/>
          <w:szCs w:val="26"/>
          <w:lang w:val="en-GB"/>
        </w:rPr>
        <w:t xml:space="preserve"> of the GF agreement</w:t>
      </w:r>
      <w:r>
        <w:rPr>
          <w:rFonts w:ascii="Arial Narrow" w:hAnsi="Arial Narrow" w:cs="Arial"/>
          <w:szCs w:val="26"/>
          <w:lang w:val="en-GB"/>
        </w:rPr>
        <w:t xml:space="preserve"> could be extended or truncated, but the period for which it will actually apply is ultimately a function of the success of the production.  </w:t>
      </w:r>
    </w:p>
    <w:p w14:paraId="03770724" w14:textId="77777777" w:rsidR="00265925" w:rsidRDefault="00265925" w:rsidP="00265925">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It should also be recalled that agreements, including GF agreements, continue until terminated, replaced or varied.</w:t>
      </w:r>
    </w:p>
    <w:p w14:paraId="0859ABCD" w14:textId="2B0C0F7C"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It is not clear what can be made of the duration of GF agreements or how this may be changing, or what any changes may show. We suspect that both the operative life and nominal life of GF agreements may have become shorter, essentially as a function of the mega resource projects completing or nearing completion.  If correct, this would not provide </w:t>
      </w:r>
      <w:r w:rsidR="001D5133">
        <w:rPr>
          <w:rFonts w:ascii="Arial Narrow" w:hAnsi="Arial Narrow" w:cs="Arial"/>
          <w:szCs w:val="26"/>
          <w:lang w:val="en-GB"/>
        </w:rPr>
        <w:t xml:space="preserve">any </w:t>
      </w:r>
      <w:r>
        <w:rPr>
          <w:rFonts w:ascii="Arial Narrow" w:hAnsi="Arial Narrow" w:cs="Arial"/>
          <w:szCs w:val="26"/>
          <w:lang w:val="en-GB"/>
        </w:rPr>
        <w:t xml:space="preserve">basis to </w:t>
      </w:r>
      <w:r w:rsidR="00694911">
        <w:rPr>
          <w:rFonts w:ascii="Arial Narrow" w:hAnsi="Arial Narrow" w:cs="Arial"/>
          <w:szCs w:val="26"/>
          <w:lang w:val="en-GB"/>
        </w:rPr>
        <w:t>re-</w:t>
      </w:r>
      <w:r>
        <w:rPr>
          <w:rFonts w:ascii="Arial Narrow" w:hAnsi="Arial Narrow" w:cs="Arial"/>
          <w:szCs w:val="26"/>
          <w:lang w:val="en-GB"/>
        </w:rPr>
        <w:t xml:space="preserve">evaluate the </w:t>
      </w:r>
      <w:r w:rsidR="001D5133">
        <w:rPr>
          <w:rFonts w:ascii="Arial Narrow" w:hAnsi="Arial Narrow" w:cs="Arial"/>
          <w:szCs w:val="26"/>
          <w:lang w:val="en-GB"/>
        </w:rPr>
        <w:t xml:space="preserve">current </w:t>
      </w:r>
      <w:r>
        <w:rPr>
          <w:rFonts w:ascii="Arial Narrow" w:hAnsi="Arial Narrow" w:cs="Arial"/>
          <w:szCs w:val="26"/>
          <w:lang w:val="en-GB"/>
        </w:rPr>
        <w:t xml:space="preserve">GF provisions of the FW Act. </w:t>
      </w:r>
    </w:p>
    <w:p w14:paraId="73208207" w14:textId="77777777" w:rsidR="008172DD" w:rsidRPr="003565B4" w:rsidRDefault="008172DD" w:rsidP="003565B4">
      <w:pPr>
        <w:pStyle w:val="Heading2"/>
        <w:rPr>
          <w:lang w:val="en-GB"/>
        </w:rPr>
      </w:pPr>
      <w:r w:rsidRPr="003565B4">
        <w:rPr>
          <w:lang w:val="en-GB"/>
        </w:rPr>
        <w:t>The length of GF negotiations</w:t>
      </w:r>
      <w:r w:rsidRPr="003565B4">
        <w:rPr>
          <w:vertAlign w:val="superscript"/>
        </w:rPr>
        <w:footnoteReference w:id="23"/>
      </w:r>
      <w:r w:rsidRPr="003565B4">
        <w:rPr>
          <w:lang w:val="en-GB"/>
        </w:rPr>
        <w:t xml:space="preserve"> </w:t>
      </w:r>
    </w:p>
    <w:p w14:paraId="41294D57"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second “other matter“ the review is to consider is: </w:t>
      </w:r>
    </w:p>
    <w:p w14:paraId="6888D3C0" w14:textId="77777777" w:rsidR="008172DD" w:rsidRPr="00181422" w:rsidRDefault="008172DD" w:rsidP="008172DD">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i/>
          <w:szCs w:val="26"/>
          <w:lang w:val="en-GB"/>
        </w:rPr>
      </w:pPr>
      <w:r w:rsidRPr="00181422">
        <w:rPr>
          <w:rFonts w:ascii="Arial Narrow" w:hAnsi="Arial Narrow" w:cs="Arial"/>
          <w:i/>
          <w:szCs w:val="26"/>
          <w:lang w:val="en-GB"/>
        </w:rPr>
        <w:t xml:space="preserve">the average timeframe for concluding a </w:t>
      </w:r>
      <w:r>
        <w:rPr>
          <w:rFonts w:ascii="Arial Narrow" w:hAnsi="Arial Narrow" w:cs="Arial"/>
          <w:i/>
          <w:szCs w:val="26"/>
          <w:lang w:val="en-GB"/>
        </w:rPr>
        <w:t>Greenfields</w:t>
      </w:r>
      <w:r w:rsidRPr="00181422">
        <w:rPr>
          <w:rFonts w:ascii="Arial Narrow" w:hAnsi="Arial Narrow" w:cs="Arial"/>
          <w:i/>
          <w:szCs w:val="26"/>
          <w:lang w:val="en-GB"/>
        </w:rPr>
        <w:t xml:space="preserve"> enterprise agreement prior to the commencement of the Amendment Act and what impact the provisions of the Amendment Act may have had since; </w:t>
      </w:r>
    </w:p>
    <w:p w14:paraId="04D1BAA2" w14:textId="77777777" w:rsidR="001D5133" w:rsidRDefault="001D5133">
      <w:pPr>
        <w:spacing w:before="0" w:after="160" w:line="259" w:lineRule="auto"/>
        <w:rPr>
          <w:rFonts w:ascii="Arial Narrow" w:hAnsi="Arial Narrow" w:cs="Arial"/>
          <w:szCs w:val="26"/>
          <w:lang w:val="en-GB"/>
        </w:rPr>
      </w:pPr>
      <w:r>
        <w:rPr>
          <w:rFonts w:ascii="Arial Narrow" w:hAnsi="Arial Narrow" w:cs="Arial"/>
          <w:szCs w:val="26"/>
          <w:lang w:val="en-GB"/>
        </w:rPr>
        <w:br w:type="page"/>
      </w:r>
    </w:p>
    <w:p w14:paraId="64306216" w14:textId="176190E5"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This is a very difficult matter to get to empirically, particularly as prior to the 2015 amendments, there was no “</w:t>
      </w:r>
      <w:r w:rsidRPr="00181422">
        <w:rPr>
          <w:rFonts w:ascii="Arial Narrow" w:hAnsi="Arial Narrow" w:cs="Arial"/>
          <w:szCs w:val="26"/>
          <w:lang w:val="en-GB"/>
        </w:rPr>
        <w:t>Notified negotiation period</w:t>
      </w:r>
      <w:r>
        <w:rPr>
          <w:rFonts w:ascii="Arial Narrow" w:hAnsi="Arial Narrow" w:cs="Arial"/>
          <w:szCs w:val="26"/>
          <w:lang w:val="en-GB"/>
        </w:rPr>
        <w:t xml:space="preserve">” under s </w:t>
      </w:r>
      <w:r w:rsidR="00265925">
        <w:rPr>
          <w:rFonts w:ascii="Arial Narrow" w:hAnsi="Arial Narrow" w:cs="Arial"/>
          <w:szCs w:val="26"/>
          <w:lang w:val="en-GB"/>
        </w:rPr>
        <w:t xml:space="preserve">178B </w:t>
      </w:r>
      <w:r>
        <w:rPr>
          <w:rFonts w:ascii="Arial Narrow" w:hAnsi="Arial Narrow" w:cs="Arial"/>
          <w:szCs w:val="26"/>
          <w:lang w:val="en-GB"/>
        </w:rPr>
        <w:t>of the FW Act, and even following the amendments such notifications appear to not be being made regularly (e.g. prospective employer</w:t>
      </w:r>
      <w:r w:rsidR="001D5133">
        <w:rPr>
          <w:rFonts w:ascii="Arial Narrow" w:hAnsi="Arial Narrow" w:cs="Arial"/>
          <w:szCs w:val="26"/>
          <w:lang w:val="en-GB"/>
        </w:rPr>
        <w:t>s assess</w:t>
      </w:r>
      <w:r>
        <w:rPr>
          <w:rFonts w:ascii="Arial Narrow" w:hAnsi="Arial Narrow" w:cs="Arial"/>
          <w:szCs w:val="26"/>
          <w:lang w:val="en-GB"/>
        </w:rPr>
        <w:t xml:space="preserve"> they are likely to reach agreement with a union </w:t>
      </w:r>
      <w:r w:rsidR="001D5133">
        <w:rPr>
          <w:rFonts w:ascii="Arial Narrow" w:hAnsi="Arial Narrow" w:cs="Arial"/>
          <w:szCs w:val="26"/>
          <w:lang w:val="en-GB"/>
        </w:rPr>
        <w:t>and embark</w:t>
      </w:r>
      <w:r>
        <w:rPr>
          <w:rFonts w:ascii="Arial Narrow" w:hAnsi="Arial Narrow" w:cs="Arial"/>
          <w:szCs w:val="26"/>
          <w:lang w:val="en-GB"/>
        </w:rPr>
        <w:t xml:space="preserve"> on that course).  </w:t>
      </w:r>
    </w:p>
    <w:p w14:paraId="2F2FD111" w14:textId="77777777" w:rsidR="00694911" w:rsidRPr="00265925" w:rsidRDefault="008172DD" w:rsidP="00694911">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only evidence which could assist the review on this consideration is experiential reflection from those experienced in negotiating GF agreements, and we commend to you the experience</w:t>
      </w:r>
      <w:r w:rsidR="00694911">
        <w:rPr>
          <w:rFonts w:ascii="Arial Narrow" w:hAnsi="Arial Narrow" w:cs="Arial"/>
          <w:szCs w:val="26"/>
          <w:lang w:val="en-GB"/>
        </w:rPr>
        <w:t>s</w:t>
      </w:r>
      <w:r>
        <w:rPr>
          <w:rFonts w:ascii="Arial Narrow" w:hAnsi="Arial Narrow" w:cs="Arial"/>
          <w:szCs w:val="26"/>
          <w:lang w:val="en-GB"/>
        </w:rPr>
        <w:t xml:space="preserve"> of our members in this regard.  </w:t>
      </w:r>
    </w:p>
    <w:p w14:paraId="5874424E" w14:textId="77777777" w:rsidR="008172DD" w:rsidRPr="003565B4" w:rsidRDefault="008172DD" w:rsidP="003565B4">
      <w:pPr>
        <w:pStyle w:val="Heading2"/>
        <w:rPr>
          <w:lang w:val="en-GB"/>
        </w:rPr>
      </w:pPr>
      <w:r w:rsidRPr="003565B4">
        <w:rPr>
          <w:lang w:val="en-GB"/>
        </w:rPr>
        <w:t>Behavioural and practical effects of the 2015 GF amendments</w:t>
      </w:r>
      <w:r w:rsidRPr="003565B4">
        <w:rPr>
          <w:vertAlign w:val="superscript"/>
        </w:rPr>
        <w:footnoteReference w:id="24"/>
      </w:r>
      <w:r w:rsidRPr="003565B4">
        <w:rPr>
          <w:lang w:val="en-GB"/>
        </w:rPr>
        <w:t xml:space="preserve"> </w:t>
      </w:r>
    </w:p>
    <w:p w14:paraId="7F208EF6"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third “other matter“ the review is to consider is: </w:t>
      </w:r>
    </w:p>
    <w:p w14:paraId="1F197166" w14:textId="77777777" w:rsidR="008172DD" w:rsidRDefault="008172DD" w:rsidP="008172DD">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i/>
          <w:szCs w:val="26"/>
          <w:lang w:val="en-GB"/>
        </w:rPr>
      </w:pPr>
      <w:r w:rsidRPr="003C1E07">
        <w:rPr>
          <w:rFonts w:ascii="Arial Narrow" w:hAnsi="Arial Narrow" w:cs="Arial"/>
          <w:i/>
          <w:szCs w:val="26"/>
          <w:lang w:val="en-GB"/>
        </w:rPr>
        <w:t xml:space="preserve">the views of stakeholders regarding behaviours and practical effects of the </w:t>
      </w:r>
      <w:r>
        <w:rPr>
          <w:rFonts w:ascii="Arial Narrow" w:hAnsi="Arial Narrow" w:cs="Arial"/>
          <w:i/>
          <w:szCs w:val="26"/>
          <w:lang w:val="en-GB"/>
        </w:rPr>
        <w:t>Greenfields</w:t>
      </w:r>
      <w:r w:rsidRPr="003C1E07">
        <w:rPr>
          <w:rFonts w:ascii="Arial Narrow" w:hAnsi="Arial Narrow" w:cs="Arial"/>
          <w:i/>
          <w:szCs w:val="26"/>
          <w:lang w:val="en-GB"/>
        </w:rPr>
        <w:t xml:space="preserve"> provisions of the Amendment Act;</w:t>
      </w:r>
    </w:p>
    <w:p w14:paraId="2E201D9D"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We commend to you the views of our member organisations that have direct experience in negotiating GF agreements, prior to and following the 2015 amendments. </w:t>
      </w:r>
    </w:p>
    <w:p w14:paraId="211CD56C"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In doing so, we recall: </w:t>
      </w:r>
    </w:p>
    <w:p w14:paraId="6A344B5A"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importance of the 2015 amendments introducing a circuit breaker/safety valve to ensure negotiations towards GF agreements deliver useable, economically competitive agreements in a timely manner. </w:t>
      </w:r>
    </w:p>
    <w:p w14:paraId="733BA198"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success of the current GF provisions of the FW Act (including the 2015 amendments) being demonstrated not only in the direct usage of the new 2015 provisions, but also in the use of existing avenues such as GF agreements successfully negotiated with unions.  </w:t>
      </w:r>
    </w:p>
    <w:p w14:paraId="51B3459F" w14:textId="77777777" w:rsidR="008172DD" w:rsidRPr="003565B4" w:rsidRDefault="008172DD" w:rsidP="003565B4">
      <w:pPr>
        <w:pStyle w:val="Heading2"/>
        <w:rPr>
          <w:lang w:val="en-GB"/>
        </w:rPr>
      </w:pPr>
      <w:r w:rsidRPr="003565B4">
        <w:rPr>
          <w:lang w:val="en-GB"/>
        </w:rPr>
        <w:t>Appropriateness to Australia’s current investment cycle</w:t>
      </w:r>
      <w:r w:rsidRPr="003565B4">
        <w:rPr>
          <w:vertAlign w:val="superscript"/>
        </w:rPr>
        <w:footnoteReference w:id="25"/>
      </w:r>
      <w:r w:rsidRPr="003565B4">
        <w:rPr>
          <w:lang w:val="en-GB"/>
        </w:rPr>
        <w:t xml:space="preserve"> </w:t>
      </w:r>
    </w:p>
    <w:p w14:paraId="6582B2E9"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fourth</w:t>
      </w:r>
      <w:r w:rsidR="00265925">
        <w:rPr>
          <w:rFonts w:ascii="Arial Narrow" w:hAnsi="Arial Narrow" w:cs="Arial"/>
          <w:szCs w:val="26"/>
          <w:lang w:val="en-GB"/>
        </w:rPr>
        <w:t xml:space="preserve"> and final</w:t>
      </w:r>
      <w:r>
        <w:rPr>
          <w:rFonts w:ascii="Arial Narrow" w:hAnsi="Arial Narrow" w:cs="Arial"/>
          <w:szCs w:val="26"/>
          <w:lang w:val="en-GB"/>
        </w:rPr>
        <w:t xml:space="preserve"> “other matter“ the review is to consider is: </w:t>
      </w:r>
    </w:p>
    <w:p w14:paraId="62167FCA" w14:textId="77777777" w:rsidR="008172DD" w:rsidRDefault="008172DD" w:rsidP="008172DD">
      <w:pPr>
        <w:pStyle w:val="ListParagraph"/>
        <w:overflowPunct w:val="0"/>
        <w:autoSpaceDE w:val="0"/>
        <w:autoSpaceDN w:val="0"/>
        <w:adjustRightInd w:val="0"/>
        <w:spacing w:before="0" w:after="280" w:line="270" w:lineRule="auto"/>
        <w:ind w:left="1440"/>
        <w:contextualSpacing w:val="0"/>
        <w:jc w:val="both"/>
        <w:textAlignment w:val="baseline"/>
        <w:rPr>
          <w:rFonts w:ascii="Arial Narrow" w:hAnsi="Arial Narrow" w:cs="Arial"/>
          <w:i/>
          <w:szCs w:val="26"/>
          <w:lang w:val="en-GB"/>
        </w:rPr>
      </w:pPr>
      <w:r>
        <w:rPr>
          <w:rFonts w:ascii="Arial Narrow" w:hAnsi="Arial Narrow" w:cs="Arial"/>
          <w:i/>
          <w:szCs w:val="26"/>
          <w:lang w:val="en-GB"/>
        </w:rPr>
        <w:t>W</w:t>
      </w:r>
      <w:r w:rsidRPr="00C34F22">
        <w:rPr>
          <w:rFonts w:ascii="Arial Narrow" w:hAnsi="Arial Narrow" w:cs="Arial"/>
          <w:i/>
          <w:szCs w:val="26"/>
          <w:lang w:val="en-GB"/>
        </w:rPr>
        <w:t>hether the provisions are appropriate to Australia’s current investment climate.</w:t>
      </w:r>
    </w:p>
    <w:p w14:paraId="14315ED9"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It is important that the GF provisions be appropriate to the prevailing or current investment climate at all points of the global economic cycle, and both peaks and troughs in appetite to invest in Australia.   </w:t>
      </w:r>
    </w:p>
    <w:p w14:paraId="451064FA" w14:textId="77777777" w:rsidR="008172DD"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 xml:space="preserve">Our understanding is that: </w:t>
      </w:r>
    </w:p>
    <w:p w14:paraId="20FEA2DD"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The 2015 amendments improved the appropriateness and utility of GF agreement making to the investment climate facing Australia at that time, and today.</w:t>
      </w:r>
    </w:p>
    <w:p w14:paraId="63BABC2B"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The 2015 amendments created disincentives to protract and deliberately game GF agreement negotiations, and have seen more employers and unions successfully ‘getting the job done’ to finalise GF agreements that go forward with employer and union support. </w:t>
      </w:r>
    </w:p>
    <w:p w14:paraId="0DD1AD31" w14:textId="77777777" w:rsidR="008172DD" w:rsidRDefault="008172DD"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Giving effect to the remaining PC recommendations on GF agreement making, and proposals being advocated by Australian Chamber members would further improve the appropriateness and utility of GF agreement making to the investment climate facing Australia. </w:t>
      </w:r>
    </w:p>
    <w:p w14:paraId="3FEDF609" w14:textId="1AF17812" w:rsidR="008172DD" w:rsidRDefault="001D5133" w:rsidP="008172DD">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Any </w:t>
      </w:r>
      <w:r w:rsidR="008172DD">
        <w:rPr>
          <w:rFonts w:ascii="Arial Narrow" w:hAnsi="Arial Narrow" w:cs="Arial"/>
          <w:szCs w:val="26"/>
          <w:lang w:val="en-GB"/>
        </w:rPr>
        <w:t xml:space="preserve">reversal of the 2015 amendments would diminish the appropriateness and utility of GF agreement making to the investment climate facing Australia, and specifically make investment in this country less practical and desirable.  </w:t>
      </w:r>
    </w:p>
    <w:p w14:paraId="27048AD1" w14:textId="2DBF33B7" w:rsidR="008172DD" w:rsidRDefault="00A247AB"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T</w:t>
      </w:r>
      <w:r w:rsidR="008172DD">
        <w:rPr>
          <w:rFonts w:ascii="Arial Narrow" w:hAnsi="Arial Narrow" w:cs="Arial"/>
          <w:szCs w:val="26"/>
          <w:lang w:val="en-GB"/>
        </w:rPr>
        <w:t>his is only half the consideration. It is not only the current investment climate that is relevant to how we shape our GF agreement making system. It is also the changed investment scenarios we may face in the future, including a scenario in which there are renewed major resource project opportunities</w:t>
      </w:r>
      <w:r>
        <w:rPr>
          <w:rFonts w:ascii="Arial Narrow" w:hAnsi="Arial Narrow" w:cs="Arial"/>
          <w:szCs w:val="26"/>
          <w:lang w:val="en-GB"/>
        </w:rPr>
        <w:t xml:space="preserve"> globally which Australia could</w:t>
      </w:r>
      <w:r w:rsidR="008172DD">
        <w:rPr>
          <w:rFonts w:ascii="Arial Narrow" w:hAnsi="Arial Narrow" w:cs="Arial"/>
          <w:szCs w:val="26"/>
          <w:lang w:val="en-GB"/>
        </w:rPr>
        <w:t xml:space="preserve"> secure </w:t>
      </w:r>
      <w:r>
        <w:rPr>
          <w:rFonts w:ascii="Arial Narrow" w:hAnsi="Arial Narrow" w:cs="Arial"/>
          <w:szCs w:val="26"/>
          <w:lang w:val="en-GB"/>
        </w:rPr>
        <w:t>(</w:t>
      </w:r>
      <w:r w:rsidR="008172DD">
        <w:rPr>
          <w:rFonts w:ascii="Arial Narrow" w:hAnsi="Arial Narrow" w:cs="Arial"/>
          <w:szCs w:val="26"/>
          <w:lang w:val="en-GB"/>
        </w:rPr>
        <w:t>with the right policy mix, including the right mix of WR policies for new project</w:t>
      </w:r>
      <w:r w:rsidR="001D5133">
        <w:rPr>
          <w:rFonts w:ascii="Arial Narrow" w:hAnsi="Arial Narrow" w:cs="Arial"/>
          <w:szCs w:val="26"/>
          <w:lang w:val="en-GB"/>
        </w:rPr>
        <w:t>s</w:t>
      </w:r>
      <w:r w:rsidR="004965B1">
        <w:rPr>
          <w:rFonts w:ascii="Arial Narrow" w:hAnsi="Arial Narrow" w:cs="Arial"/>
          <w:szCs w:val="26"/>
          <w:lang w:val="en-GB"/>
        </w:rPr>
        <w:t>)</w:t>
      </w:r>
      <w:r w:rsidR="008172DD">
        <w:rPr>
          <w:rFonts w:ascii="Arial Narrow" w:hAnsi="Arial Narrow" w:cs="Arial"/>
          <w:szCs w:val="26"/>
          <w:lang w:val="en-GB"/>
        </w:rPr>
        <w:t xml:space="preserve">. </w:t>
      </w:r>
    </w:p>
    <w:p w14:paraId="744E3BB4" w14:textId="0EEE0DA0" w:rsidR="008172DD" w:rsidRPr="006557B1" w:rsidRDefault="008172DD" w:rsidP="008172DD">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Ensuring GF negotiations occur in good faith, and providing a circuit breaker/safety valve for protracted negotiations (a rough precis of the 2015 changes) appears essential to equip Australia to take advantage of not just the current investment climate, but also whatever the </w:t>
      </w:r>
      <w:r w:rsidRPr="006557B1">
        <w:rPr>
          <w:rFonts w:ascii="Arial Narrow" w:hAnsi="Arial Narrow" w:cs="Arial"/>
          <w:szCs w:val="26"/>
          <w:lang w:val="en-GB"/>
        </w:rPr>
        <w:t>future holds for global investment opportunities. This will also be advanced by giving effect to the PC recommendation</w:t>
      </w:r>
      <w:r w:rsidR="001D5133">
        <w:rPr>
          <w:rFonts w:ascii="Arial Narrow" w:hAnsi="Arial Narrow" w:cs="Arial"/>
          <w:szCs w:val="26"/>
          <w:lang w:val="en-GB"/>
        </w:rPr>
        <w:t>s</w:t>
      </w:r>
      <w:r w:rsidRPr="006557B1">
        <w:rPr>
          <w:rFonts w:ascii="Arial Narrow" w:hAnsi="Arial Narrow" w:cs="Arial"/>
          <w:szCs w:val="26"/>
          <w:lang w:val="en-GB"/>
        </w:rPr>
        <w:t xml:space="preserve"> on GF agreement making. </w:t>
      </w:r>
    </w:p>
    <w:p w14:paraId="7855690A" w14:textId="77777777" w:rsidR="00001398" w:rsidRPr="00C61917" w:rsidRDefault="00001398" w:rsidP="00001398">
      <w:pPr>
        <w:pStyle w:val="Heading2"/>
        <w:rPr>
          <w:lang w:val="en-GB"/>
        </w:rPr>
      </w:pPr>
      <w:r>
        <w:rPr>
          <w:lang w:val="en-GB"/>
        </w:rPr>
        <w:t>Employers didn’t get everything they wanted in 2015</w:t>
      </w:r>
    </w:p>
    <w:p w14:paraId="2C16F0FC" w14:textId="77777777" w:rsidR="001D5133"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In assessing the 2015 amendments, </w:t>
      </w:r>
      <w:r w:rsidR="001D5133">
        <w:rPr>
          <w:rFonts w:ascii="Arial Narrow" w:hAnsi="Arial Narrow" w:cs="Arial"/>
          <w:szCs w:val="26"/>
          <w:lang w:val="en-GB"/>
        </w:rPr>
        <w:t xml:space="preserve">it </w:t>
      </w:r>
      <w:r>
        <w:rPr>
          <w:rFonts w:ascii="Arial Narrow" w:hAnsi="Arial Narrow" w:cs="Arial"/>
          <w:szCs w:val="26"/>
          <w:lang w:val="en-GB"/>
        </w:rPr>
        <w:t xml:space="preserve">should also be recalled that they were welcomed and </w:t>
      </w:r>
      <w:r w:rsidR="004965B1">
        <w:rPr>
          <w:rFonts w:ascii="Arial Narrow" w:hAnsi="Arial Narrow" w:cs="Arial"/>
          <w:szCs w:val="26"/>
          <w:lang w:val="en-GB"/>
        </w:rPr>
        <w:t xml:space="preserve">strongly </w:t>
      </w:r>
      <w:r>
        <w:rPr>
          <w:rFonts w:ascii="Arial Narrow" w:hAnsi="Arial Narrow" w:cs="Arial"/>
          <w:szCs w:val="26"/>
          <w:lang w:val="en-GB"/>
        </w:rPr>
        <w:t xml:space="preserve">supported by employers, but did not deliver </w:t>
      </w:r>
      <w:r w:rsidR="004965B1">
        <w:rPr>
          <w:rFonts w:ascii="Arial Narrow" w:hAnsi="Arial Narrow" w:cs="Arial"/>
          <w:szCs w:val="26"/>
          <w:lang w:val="en-GB"/>
        </w:rPr>
        <w:t>fully</w:t>
      </w:r>
      <w:r>
        <w:rPr>
          <w:rFonts w:ascii="Arial Narrow" w:hAnsi="Arial Narrow" w:cs="Arial"/>
          <w:szCs w:val="26"/>
          <w:lang w:val="en-GB"/>
        </w:rPr>
        <w:t xml:space="preserve"> on what employers knew to be necessary to ensure GF agreements are useable, relevant and supportive of investment. </w:t>
      </w:r>
    </w:p>
    <w:p w14:paraId="7FABA030" w14:textId="1B75695C" w:rsidR="00001398"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Key policy settings in the final amendments fell short of what employers advocated at the time</w:t>
      </w:r>
      <w:r w:rsidR="001D5133">
        <w:rPr>
          <w:rFonts w:ascii="Arial Narrow" w:hAnsi="Arial Narrow" w:cs="Arial"/>
          <w:szCs w:val="26"/>
          <w:lang w:val="en-GB"/>
        </w:rPr>
        <w:t>,</w:t>
      </w:r>
      <w:r>
        <w:rPr>
          <w:rFonts w:ascii="Arial Narrow" w:hAnsi="Arial Narrow" w:cs="Arial"/>
          <w:szCs w:val="26"/>
          <w:lang w:val="en-GB"/>
        </w:rPr>
        <w:t xml:space="preserve"> and what we maintain is necessary</w:t>
      </w:r>
      <w:r w:rsidR="001D5133">
        <w:rPr>
          <w:rFonts w:ascii="Arial Narrow" w:hAnsi="Arial Narrow" w:cs="Arial"/>
          <w:szCs w:val="26"/>
          <w:lang w:val="en-GB"/>
        </w:rPr>
        <w:t>,</w:t>
      </w:r>
      <w:r>
        <w:rPr>
          <w:rFonts w:ascii="Arial Narrow" w:hAnsi="Arial Narrow" w:cs="Arial"/>
          <w:szCs w:val="26"/>
          <w:lang w:val="en-GB"/>
        </w:rPr>
        <w:t xml:space="preserve"> to properly address concerns with GF agreement making and maximise incentives and capacities for new investments. </w:t>
      </w:r>
    </w:p>
    <w:p w14:paraId="762D3F81" w14:textId="77777777" w:rsidR="00001398"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lastRenderedPageBreak/>
        <w:t xml:space="preserve">Two specific settings in the 2015 amendments were contrary to employer priorities and experiences: </w:t>
      </w:r>
    </w:p>
    <w:p w14:paraId="737E810B" w14:textId="77777777" w:rsidR="00001398" w:rsidRDefault="00001398" w:rsidP="0000139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Employers supported scope to “circuit break” stalled bargaining after three months, rather than the six months ultimately included in s 178B(1)(b) of the FW Act. </w:t>
      </w:r>
    </w:p>
    <w:p w14:paraId="57296C7E" w14:textId="77777777" w:rsidR="00001398" w:rsidRDefault="00001398" w:rsidP="0000139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Employers did not however support GF agreements made after the prescribed negotiation period being subject to the test set out in s.187(6):</w:t>
      </w:r>
    </w:p>
    <w:p w14:paraId="6B341462" w14:textId="77777777" w:rsidR="00001398" w:rsidRDefault="00001398" w:rsidP="00001398">
      <w:pPr>
        <w:pStyle w:val="subsection"/>
        <w:ind w:left="2880" w:hanging="720"/>
        <w:jc w:val="both"/>
      </w:pPr>
      <w:r>
        <w:t>(6)</w:t>
      </w:r>
      <w:r>
        <w:tab/>
        <w:t>If an agreement is made under subsection 182(4) (which deals with a single</w:t>
      </w:r>
      <w:r>
        <w:noBreakHyphen/>
        <w:t>enterprise agreement that is a Greenfields agreement), the FWC must be satisfied that the agreement, considered on an overall basis, provides for pay and conditions that are consistent with the prevailing pay and conditions within the relevant industry for equivalent work.</w:t>
      </w:r>
    </w:p>
    <w:p w14:paraId="47FEE20C" w14:textId="77777777" w:rsidR="00001398" w:rsidRDefault="00001398" w:rsidP="00001398">
      <w:pPr>
        <w:pStyle w:val="notetext"/>
        <w:ind w:left="3600" w:hanging="720"/>
        <w:jc w:val="both"/>
      </w:pPr>
      <w:r>
        <w:t>Note:</w:t>
      </w:r>
      <w:r>
        <w:tab/>
        <w:t>In considering the prevailing pay and conditions within the relevant industry for equivalent work, the FWC may have regard to the prevailing pay and conditions in the relevant geographical area.</w:t>
      </w:r>
    </w:p>
    <w:p w14:paraId="1832B650" w14:textId="77777777" w:rsidR="00001398" w:rsidRPr="00F54758" w:rsidRDefault="00001398" w:rsidP="00001398">
      <w:pPr>
        <w:pStyle w:val="ListParagraph"/>
        <w:overflowPunct w:val="0"/>
        <w:autoSpaceDE w:val="0"/>
        <w:autoSpaceDN w:val="0"/>
        <w:adjustRightInd w:val="0"/>
        <w:spacing w:before="0" w:after="280" w:line="270" w:lineRule="auto"/>
        <w:ind w:left="2160"/>
        <w:contextualSpacing w:val="0"/>
        <w:jc w:val="both"/>
        <w:textAlignment w:val="baseline"/>
        <w:rPr>
          <w:rFonts w:ascii="Arial Narrow" w:hAnsi="Arial Narrow" w:cs="Arial"/>
          <w:sz w:val="6"/>
          <w:szCs w:val="26"/>
          <w:lang w:val="en-GB"/>
        </w:rPr>
      </w:pPr>
    </w:p>
    <w:p w14:paraId="6C88C745" w14:textId="2A5D1380" w:rsidR="00001398" w:rsidRDefault="00001398" w:rsidP="00001398">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Employers have never supported the “prevailing pay and conditions” test. We were concerned in 2014 and 2015, and remain concerned, that this threatens to entrench pre</w:t>
      </w:r>
      <w:r w:rsidR="001D5133">
        <w:rPr>
          <w:rFonts w:ascii="Arial Narrow" w:hAnsi="Arial Narrow" w:cs="Arial"/>
          <w:szCs w:val="26"/>
          <w:lang w:val="en-GB"/>
        </w:rPr>
        <w:t xml:space="preserve">ceding </w:t>
      </w:r>
      <w:r>
        <w:rPr>
          <w:rFonts w:ascii="Arial Narrow" w:hAnsi="Arial Narrow" w:cs="Arial"/>
          <w:szCs w:val="26"/>
          <w:lang w:val="en-GB"/>
        </w:rPr>
        <w:t xml:space="preserve">generations of wages and conditions outcomes and to reduce Australia’s capacity to compete for work on a contemporary commercial basis. </w:t>
      </w:r>
    </w:p>
    <w:p w14:paraId="56518259" w14:textId="77777777" w:rsidR="00001398" w:rsidRDefault="00001398" w:rsidP="00001398">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This concern was sharpened by the end of the mining investment boom and rapid </w:t>
      </w:r>
      <w:r w:rsidR="00A97E6B">
        <w:rPr>
          <w:rFonts w:ascii="Arial Narrow" w:hAnsi="Arial Narrow" w:cs="Arial"/>
          <w:szCs w:val="26"/>
          <w:lang w:val="en-GB"/>
        </w:rPr>
        <w:t>alleviation</w:t>
      </w:r>
      <w:r>
        <w:rPr>
          <w:rFonts w:ascii="Arial Narrow" w:hAnsi="Arial Narrow" w:cs="Arial"/>
          <w:szCs w:val="26"/>
          <w:lang w:val="en-GB"/>
        </w:rPr>
        <w:t xml:space="preserve"> of labour scarcity in key resource states. Entrenching artificially inflated outcomes into changed labour market circumstances some period later seems set to have an impact on costs and competitiveness. </w:t>
      </w:r>
    </w:p>
    <w:p w14:paraId="100279E9" w14:textId="77777777" w:rsidR="00001398" w:rsidRDefault="00001398" w:rsidP="00001398">
      <w:pPr>
        <w:pStyle w:val="ListParagraph"/>
        <w:numPr>
          <w:ilvl w:val="2"/>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Properly understood, the “prevailing industry” standards test creates an incentive for employers to negotiate an agreed outcome with unions and not rely on the process in s 182(4).    </w:t>
      </w:r>
    </w:p>
    <w:p w14:paraId="4A0B907F" w14:textId="77777777" w:rsidR="00001398" w:rsidRPr="002919FF"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Pr>
          <w:rFonts w:ascii="Arial Narrow" w:hAnsi="Arial Narrow" w:cs="Arial"/>
          <w:szCs w:val="26"/>
          <w:lang w:val="en-GB"/>
        </w:rPr>
        <w:t xml:space="preserve">This points to a very important </w:t>
      </w:r>
      <w:r w:rsidR="00A97E6B">
        <w:rPr>
          <w:rFonts w:ascii="Arial Narrow" w:hAnsi="Arial Narrow" w:cs="Arial"/>
          <w:szCs w:val="26"/>
          <w:lang w:val="en-GB"/>
        </w:rPr>
        <w:t>consideration</w:t>
      </w:r>
      <w:r>
        <w:rPr>
          <w:rFonts w:ascii="Arial Narrow" w:hAnsi="Arial Narrow" w:cs="Arial"/>
          <w:szCs w:val="26"/>
          <w:lang w:val="en-GB"/>
        </w:rPr>
        <w:t xml:space="preserve">. The impact of various parts of the GF provisions of the FW Act needs to be understood not only by looking at how the operative mechanics are designed, but also how they actually impact on behaviours, which may not </w:t>
      </w:r>
      <w:r w:rsidRPr="002919FF">
        <w:rPr>
          <w:rFonts w:ascii="Arial Narrow" w:hAnsi="Arial Narrow" w:cs="Arial"/>
          <w:szCs w:val="26"/>
          <w:lang w:val="en-GB"/>
        </w:rPr>
        <w:t xml:space="preserve">be apparent from their direct usage levels. </w:t>
      </w:r>
      <w:r w:rsidR="00A97E6B">
        <w:rPr>
          <w:rFonts w:ascii="Arial Narrow" w:hAnsi="Arial Narrow" w:cs="Arial"/>
          <w:szCs w:val="26"/>
          <w:lang w:val="en-GB"/>
        </w:rPr>
        <w:t>In this case, the circuit breaker in S182(4) actually leads to more successful negotiations with unions.</w:t>
      </w:r>
    </w:p>
    <w:p w14:paraId="5009790A" w14:textId="77777777" w:rsidR="00001398" w:rsidRPr="002919FF" w:rsidRDefault="00001398" w:rsidP="00001398">
      <w:pPr>
        <w:pStyle w:val="Heading2"/>
        <w:rPr>
          <w:lang w:val="en-GB"/>
        </w:rPr>
      </w:pPr>
      <w:r w:rsidRPr="002919FF">
        <w:rPr>
          <w:lang w:val="en-GB"/>
        </w:rPr>
        <w:t xml:space="preserve">Relevance of the 2012 Review </w:t>
      </w:r>
    </w:p>
    <w:p w14:paraId="16755C1D" w14:textId="77777777" w:rsidR="00001398" w:rsidRPr="002919FF"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lastRenderedPageBreak/>
        <w:t>The Background Paper devotes some space to the analysis and recommendations of the 2012 Fair Work Review Panel</w:t>
      </w:r>
      <w:r w:rsidRPr="002919FF">
        <w:rPr>
          <w:rStyle w:val="FootnoteReference"/>
          <w:rFonts w:ascii="Arial Narrow" w:hAnsi="Arial Narrow" w:cs="Arial"/>
          <w:szCs w:val="26"/>
          <w:lang w:val="en-GB"/>
        </w:rPr>
        <w:footnoteReference w:id="26"/>
      </w:r>
      <w:r w:rsidRPr="002919FF">
        <w:rPr>
          <w:rFonts w:ascii="Arial Narrow" w:hAnsi="Arial Narrow" w:cs="Arial"/>
          <w:szCs w:val="26"/>
          <w:lang w:val="en-GB"/>
        </w:rPr>
        <w:t xml:space="preserve">. </w:t>
      </w:r>
    </w:p>
    <w:p w14:paraId="2F5B7218" w14:textId="77777777" w:rsidR="00001398" w:rsidRPr="002919FF"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We caution that: </w:t>
      </w:r>
    </w:p>
    <w:p w14:paraId="6234C6FA" w14:textId="77777777" w:rsidR="00001398" w:rsidRPr="002919FF" w:rsidRDefault="00001398" w:rsidP="0000139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The 2012 review was undertaken during the midst or even prior to the peak of the resources investment boom, and prior to peak labour shortages in relation to the resources sector. </w:t>
      </w:r>
    </w:p>
    <w:p w14:paraId="1DC250DF" w14:textId="77777777" w:rsidR="00001398" w:rsidRPr="002919FF" w:rsidRDefault="00001398" w:rsidP="0000139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By contrast the 2015 amendments and the PC review were undertaken as it was becoming clear that demand and driving considerations for the majority of GF agreements was changing markedly.  They are the more up to date developments</w:t>
      </w:r>
      <w:r w:rsidR="00877256">
        <w:rPr>
          <w:rFonts w:ascii="Arial Narrow" w:hAnsi="Arial Narrow" w:cs="Arial"/>
          <w:szCs w:val="26"/>
          <w:lang w:val="en-GB"/>
        </w:rPr>
        <w:t>, reflecting the past mining investment boom scenario we face today.</w:t>
      </w:r>
    </w:p>
    <w:p w14:paraId="42A52BA4" w14:textId="77777777" w:rsidR="00001398" w:rsidRPr="002919FF"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However, looking at the </w:t>
      </w:r>
      <w:r w:rsidR="00877256">
        <w:rPr>
          <w:rFonts w:ascii="Arial Narrow" w:hAnsi="Arial Narrow" w:cs="Arial"/>
          <w:szCs w:val="26"/>
          <w:lang w:val="en-GB"/>
        </w:rPr>
        <w:t xml:space="preserve">final </w:t>
      </w:r>
      <w:r w:rsidRPr="002919FF">
        <w:rPr>
          <w:rFonts w:ascii="Arial Narrow" w:hAnsi="Arial Narrow" w:cs="Arial"/>
          <w:szCs w:val="26"/>
          <w:lang w:val="en-GB"/>
        </w:rPr>
        <w:t xml:space="preserve">FW Review Panel recommendations, we also note that: </w:t>
      </w:r>
    </w:p>
    <w:p w14:paraId="558807FF" w14:textId="77777777" w:rsidR="00001398" w:rsidRPr="002919FF" w:rsidRDefault="00001398" w:rsidP="00001398">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The FW Review Panel recommended that: </w:t>
      </w:r>
    </w:p>
    <w:p w14:paraId="5EA79E2C" w14:textId="77777777" w:rsidR="00001398" w:rsidRPr="002919FF" w:rsidRDefault="00001398" w:rsidP="00001398">
      <w:pPr>
        <w:pStyle w:val="ListParagraph"/>
        <w:overflowPunct w:val="0"/>
        <w:autoSpaceDE w:val="0"/>
        <w:autoSpaceDN w:val="0"/>
        <w:adjustRightInd w:val="0"/>
        <w:spacing w:before="0" w:after="280" w:line="271" w:lineRule="auto"/>
        <w:ind w:left="2160"/>
        <w:contextualSpacing w:val="0"/>
        <w:jc w:val="both"/>
        <w:textAlignment w:val="baseline"/>
        <w:rPr>
          <w:rFonts w:ascii="Arial Narrow" w:hAnsi="Arial Narrow" w:cs="Arial"/>
          <w:szCs w:val="26"/>
          <w:lang w:val="en-GB"/>
        </w:rPr>
      </w:pPr>
      <w:r w:rsidRPr="002919FF">
        <w:rPr>
          <w:rFonts w:ascii="Arial Narrow" w:hAnsi="Arial Narrow" w:cs="Arial"/>
          <w:i/>
          <w:szCs w:val="26"/>
          <w:lang w:val="en-GB"/>
        </w:rPr>
        <w:t>…the FW Act be amended to apply the good faith bargaining obligations in s. 228 to the negotiation of an s. 172(2)(b) greenfields agreement, with any necessary modifications.</w:t>
      </w:r>
      <w:r w:rsidRPr="002919FF">
        <w:rPr>
          <w:rStyle w:val="FootnoteReference"/>
          <w:rFonts w:ascii="Arial Narrow" w:hAnsi="Arial Narrow" w:cs="Arial"/>
          <w:i/>
          <w:szCs w:val="26"/>
          <w:lang w:val="en-GB"/>
        </w:rPr>
        <w:footnoteReference w:id="27"/>
      </w:r>
    </w:p>
    <w:p w14:paraId="5F6BE456" w14:textId="77777777" w:rsidR="00001398" w:rsidRPr="002919FF" w:rsidRDefault="00001398" w:rsidP="00001398">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This is essentially what the </w:t>
      </w:r>
      <w:r w:rsidR="00877256">
        <w:rPr>
          <w:rFonts w:ascii="Arial Narrow" w:hAnsi="Arial Narrow" w:cs="Arial"/>
          <w:szCs w:val="26"/>
          <w:lang w:val="en-GB"/>
        </w:rPr>
        <w:t>2015 amendments</w:t>
      </w:r>
      <w:r w:rsidRPr="002919FF">
        <w:rPr>
          <w:rFonts w:ascii="Arial Narrow" w:hAnsi="Arial Narrow" w:cs="Arial"/>
          <w:szCs w:val="26"/>
          <w:lang w:val="en-GB"/>
        </w:rPr>
        <w:t xml:space="preserve"> did. </w:t>
      </w:r>
    </w:p>
    <w:p w14:paraId="492395BA" w14:textId="77777777" w:rsidR="00001398" w:rsidRPr="002919FF" w:rsidRDefault="00001398" w:rsidP="00001398">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The FW Review Panel </w:t>
      </w:r>
      <w:r w:rsidR="00877256">
        <w:rPr>
          <w:rFonts w:ascii="Arial Narrow" w:hAnsi="Arial Narrow" w:cs="Arial"/>
          <w:szCs w:val="26"/>
          <w:lang w:val="en-GB"/>
        </w:rPr>
        <w:t>also</w:t>
      </w:r>
      <w:r w:rsidRPr="002919FF">
        <w:rPr>
          <w:rFonts w:ascii="Arial Narrow" w:hAnsi="Arial Narrow" w:cs="Arial"/>
          <w:szCs w:val="26"/>
          <w:lang w:val="en-GB"/>
        </w:rPr>
        <w:t xml:space="preserve"> acknowledged the problems that stalled or protracted GF negotiations were creating and recommended amendments to deal with bargaining that is at an impasse. </w:t>
      </w:r>
    </w:p>
    <w:p w14:paraId="7533DC48" w14:textId="77777777" w:rsidR="00001398" w:rsidRPr="002919FF" w:rsidRDefault="00001398" w:rsidP="00001398">
      <w:pPr>
        <w:pStyle w:val="ListParagraph"/>
        <w:numPr>
          <w:ilvl w:val="1"/>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The 2015 amendments may not have been in the exact form recommended by </w:t>
      </w:r>
      <w:r w:rsidR="00877256">
        <w:rPr>
          <w:rFonts w:ascii="Arial Narrow" w:hAnsi="Arial Narrow" w:cs="Arial"/>
          <w:szCs w:val="26"/>
          <w:lang w:val="en-GB"/>
        </w:rPr>
        <w:t>the</w:t>
      </w:r>
      <w:r w:rsidRPr="002919FF">
        <w:rPr>
          <w:rFonts w:ascii="Arial Narrow" w:hAnsi="Arial Narrow" w:cs="Arial"/>
          <w:szCs w:val="26"/>
          <w:lang w:val="en-GB"/>
        </w:rPr>
        <w:t xml:space="preserve"> Fair Work Review Panel, but they ultimately: </w:t>
      </w:r>
    </w:p>
    <w:p w14:paraId="61969C95" w14:textId="77777777" w:rsidR="00001398" w:rsidRPr="002919FF" w:rsidRDefault="00001398" w:rsidP="00001398">
      <w:pPr>
        <w:pStyle w:val="ListParagraph"/>
        <w:numPr>
          <w:ilvl w:val="2"/>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Address the same concerns; impasses in negotiation and gaming that discourages agreed outcomes between employers and unions.    </w:t>
      </w:r>
    </w:p>
    <w:p w14:paraId="6A01E5A8" w14:textId="4A4C5EA3" w:rsidR="00001398" w:rsidRPr="002919FF" w:rsidRDefault="00001398" w:rsidP="00001398">
      <w:pPr>
        <w:pStyle w:val="ListParagraph"/>
        <w:numPr>
          <w:ilvl w:val="2"/>
          <w:numId w:val="3"/>
        </w:numPr>
        <w:overflowPunct w:val="0"/>
        <w:autoSpaceDE w:val="0"/>
        <w:autoSpaceDN w:val="0"/>
        <w:adjustRightInd w:val="0"/>
        <w:spacing w:before="0" w:after="280" w:line="271"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Seek to deliver the same out</w:t>
      </w:r>
      <w:r w:rsidR="001D5133">
        <w:rPr>
          <w:rFonts w:ascii="Arial Narrow" w:hAnsi="Arial Narrow" w:cs="Arial"/>
          <w:szCs w:val="26"/>
          <w:lang w:val="en-GB"/>
        </w:rPr>
        <w:t xml:space="preserve">come, </w:t>
      </w:r>
      <w:r w:rsidRPr="002919FF">
        <w:rPr>
          <w:rFonts w:ascii="Arial Narrow" w:hAnsi="Arial Narrow" w:cs="Arial"/>
          <w:szCs w:val="26"/>
          <w:lang w:val="en-GB"/>
        </w:rPr>
        <w:t xml:space="preserve">adding </w:t>
      </w:r>
      <w:r w:rsidR="001D5133">
        <w:rPr>
          <w:rFonts w:ascii="Arial Narrow" w:hAnsi="Arial Narrow" w:cs="Arial"/>
          <w:szCs w:val="26"/>
          <w:lang w:val="en-GB"/>
        </w:rPr>
        <w:t>a circuit breaker or safety valv</w:t>
      </w:r>
      <w:r w:rsidRPr="002919FF">
        <w:rPr>
          <w:rFonts w:ascii="Arial Narrow" w:hAnsi="Arial Narrow" w:cs="Arial"/>
          <w:szCs w:val="26"/>
          <w:lang w:val="en-GB"/>
        </w:rPr>
        <w:t xml:space="preserve">e to alleviate and ultimately discourage bargaining impasses and </w:t>
      </w:r>
      <w:r w:rsidR="001D5133">
        <w:rPr>
          <w:rFonts w:ascii="Arial Narrow" w:hAnsi="Arial Narrow" w:cs="Arial"/>
          <w:szCs w:val="26"/>
          <w:lang w:val="en-GB"/>
        </w:rPr>
        <w:t>deliberate gaming of the system</w:t>
      </w:r>
      <w:r w:rsidRPr="002919FF">
        <w:rPr>
          <w:rFonts w:ascii="Arial Narrow" w:hAnsi="Arial Narrow" w:cs="Arial"/>
          <w:szCs w:val="26"/>
          <w:lang w:val="en-GB"/>
        </w:rPr>
        <w:t xml:space="preserve">.    </w:t>
      </w:r>
    </w:p>
    <w:p w14:paraId="65D43C97" w14:textId="77777777" w:rsidR="00001398" w:rsidRDefault="00001398" w:rsidP="00001398">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2919FF">
        <w:rPr>
          <w:rFonts w:ascii="Arial Narrow" w:hAnsi="Arial Narrow" w:cs="Arial"/>
          <w:szCs w:val="26"/>
          <w:lang w:val="en-GB"/>
        </w:rPr>
        <w:t xml:space="preserve">A straight line can be drawn through the 2012 Fair Work Review Panel report and recommendations, the 2015 amendments, and the late 2015 recommendations from the </w:t>
      </w:r>
      <w:r w:rsidRPr="002919FF">
        <w:rPr>
          <w:rFonts w:ascii="Arial Narrow" w:hAnsi="Arial Narrow" w:cs="Arial"/>
          <w:szCs w:val="26"/>
          <w:lang w:val="en-GB"/>
        </w:rPr>
        <w:lastRenderedPageBreak/>
        <w:t>PC. At each point the concern has been to ensure Australia has useable, practical, accessible capacity to enter into GF agreements that support investment, development and job creation in this country</w:t>
      </w:r>
    </w:p>
    <w:p w14:paraId="1A254F8A" w14:textId="77777777" w:rsidR="00877256" w:rsidRDefault="00877256" w:rsidP="00877256">
      <w:pPr>
        <w:pStyle w:val="ListParagraph"/>
        <w:numPr>
          <w:ilvl w:val="0"/>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877256">
        <w:rPr>
          <w:rFonts w:ascii="Arial Narrow" w:hAnsi="Arial Narrow" w:cs="Arial"/>
          <w:szCs w:val="26"/>
          <w:lang w:val="en-GB"/>
        </w:rPr>
        <w:t xml:space="preserve">These considerations should continue to inform the outcomes of this review, and as with the preceding reviews any new recommendations should also seek to ensure Australia has a useable, practical and accessible capacity to enter into GF agreements.  This means: </w:t>
      </w:r>
    </w:p>
    <w:p w14:paraId="24691D14" w14:textId="77777777" w:rsidR="00877256" w:rsidRDefault="00877256" w:rsidP="00877256">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877256">
        <w:rPr>
          <w:rFonts w:ascii="Arial Narrow" w:hAnsi="Arial Narrow" w:cs="Arial"/>
          <w:szCs w:val="26"/>
          <w:lang w:val="en-GB"/>
        </w:rPr>
        <w:t>Retaining the 2015 amendments without change</w:t>
      </w:r>
      <w:r>
        <w:rPr>
          <w:rFonts w:ascii="Arial Narrow" w:hAnsi="Arial Narrow" w:cs="Arial"/>
          <w:szCs w:val="26"/>
          <w:lang w:val="en-GB"/>
        </w:rPr>
        <w:t>.</w:t>
      </w:r>
    </w:p>
    <w:p w14:paraId="6F8D47BA" w14:textId="02B014D9" w:rsidR="00877256" w:rsidRPr="00877256" w:rsidRDefault="00877256" w:rsidP="00877256">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877256">
        <w:rPr>
          <w:rFonts w:ascii="Arial Narrow" w:hAnsi="Arial Narrow" w:cs="Arial"/>
          <w:szCs w:val="26"/>
          <w:lang w:val="en-GB"/>
        </w:rPr>
        <w:t xml:space="preserve">Recommending </w:t>
      </w:r>
      <w:r w:rsidR="001D5133">
        <w:rPr>
          <w:rFonts w:ascii="Arial Narrow" w:hAnsi="Arial Narrow" w:cs="Arial"/>
          <w:szCs w:val="26"/>
          <w:lang w:val="en-GB"/>
        </w:rPr>
        <w:t xml:space="preserve">implementation of </w:t>
      </w:r>
      <w:r w:rsidRPr="00877256">
        <w:rPr>
          <w:rFonts w:ascii="Arial Narrow" w:hAnsi="Arial Narrow" w:cs="Arial"/>
          <w:szCs w:val="26"/>
          <w:lang w:val="en-GB"/>
        </w:rPr>
        <w:t xml:space="preserve">the additional PC recommendations on GF agreements. </w:t>
      </w:r>
    </w:p>
    <w:p w14:paraId="1A05A501" w14:textId="4959DD29" w:rsidR="00877256" w:rsidRPr="00877256" w:rsidRDefault="00877256" w:rsidP="00877256">
      <w:pPr>
        <w:pStyle w:val="ListParagraph"/>
        <w:numPr>
          <w:ilvl w:val="1"/>
          <w:numId w:val="3"/>
        </w:numPr>
        <w:overflowPunct w:val="0"/>
        <w:autoSpaceDE w:val="0"/>
        <w:autoSpaceDN w:val="0"/>
        <w:adjustRightInd w:val="0"/>
        <w:spacing w:before="0" w:after="280" w:line="270" w:lineRule="auto"/>
        <w:ind w:hanging="720"/>
        <w:contextualSpacing w:val="0"/>
        <w:jc w:val="both"/>
        <w:textAlignment w:val="baseline"/>
        <w:rPr>
          <w:rFonts w:ascii="Arial Narrow" w:hAnsi="Arial Narrow" w:cs="Arial"/>
          <w:szCs w:val="26"/>
          <w:lang w:val="en-GB"/>
        </w:rPr>
      </w:pPr>
      <w:r w:rsidRPr="00877256">
        <w:rPr>
          <w:rFonts w:ascii="Arial Narrow" w:hAnsi="Arial Narrow" w:cs="Arial"/>
          <w:szCs w:val="26"/>
          <w:lang w:val="en-GB"/>
        </w:rPr>
        <w:t xml:space="preserve">Engaging </w:t>
      </w:r>
      <w:r w:rsidR="001D5133">
        <w:rPr>
          <w:rFonts w:ascii="Arial Narrow" w:hAnsi="Arial Narrow" w:cs="Arial"/>
          <w:szCs w:val="26"/>
          <w:lang w:val="en-GB"/>
        </w:rPr>
        <w:t xml:space="preserve">with </w:t>
      </w:r>
      <w:r w:rsidRPr="00877256">
        <w:rPr>
          <w:rFonts w:ascii="Arial Narrow" w:hAnsi="Arial Narrow" w:cs="Arial"/>
          <w:szCs w:val="26"/>
          <w:lang w:val="en-GB"/>
        </w:rPr>
        <w:t>the further ideas and input provided by members of the Australia Chamber network.   </w:t>
      </w:r>
    </w:p>
    <w:p w14:paraId="6597E9B5" w14:textId="77777777" w:rsidR="00877256" w:rsidRDefault="00877256">
      <w:pPr>
        <w:spacing w:before="0" w:after="160" w:line="259" w:lineRule="auto"/>
        <w:rPr>
          <w:rFonts w:ascii="Arial Narrow" w:hAnsi="Arial Narrow" w:cs="Arial"/>
          <w:szCs w:val="26"/>
          <w:lang w:val="en-GB"/>
        </w:rPr>
      </w:pPr>
      <w:r>
        <w:rPr>
          <w:rFonts w:ascii="Arial Narrow" w:hAnsi="Arial Narrow" w:cs="Arial"/>
          <w:szCs w:val="26"/>
          <w:lang w:val="en-GB"/>
        </w:rPr>
        <w:br w:type="page"/>
      </w:r>
    </w:p>
    <w:p w14:paraId="0FEDB680" w14:textId="77777777" w:rsidR="00D03E26" w:rsidRDefault="00D03E26">
      <w:pPr>
        <w:spacing w:before="0" w:after="160" w:line="259" w:lineRule="auto"/>
        <w:rPr>
          <w:sz w:val="44"/>
          <w:szCs w:val="40"/>
          <w:u w:val="double"/>
          <w:lang w:val="en-GB"/>
        </w:rPr>
      </w:pPr>
      <w:bookmarkStart w:id="14" w:name="_Toc479512748"/>
      <w:bookmarkEnd w:id="10"/>
      <w:r>
        <w:rPr>
          <w:u w:val="double"/>
          <w:lang w:val="en-GB"/>
        </w:rPr>
        <w:lastRenderedPageBreak/>
        <w:br w:type="page"/>
      </w:r>
    </w:p>
    <w:p w14:paraId="2D7EF5A3" w14:textId="77777777" w:rsidR="00572973" w:rsidRPr="00572973" w:rsidRDefault="00DC139B" w:rsidP="00572973">
      <w:pPr>
        <w:pStyle w:val="Heading1"/>
        <w:rPr>
          <w:lang w:val="en-GB"/>
        </w:rPr>
      </w:pPr>
      <w:bookmarkStart w:id="15" w:name="_Toc495937452"/>
      <w:r w:rsidRPr="00572973">
        <w:rPr>
          <w:u w:val="double"/>
          <w:lang w:val="en-GB"/>
        </w:rPr>
        <w:lastRenderedPageBreak/>
        <w:t xml:space="preserve">Attachment </w:t>
      </w:r>
      <w:r w:rsidR="00572973">
        <w:rPr>
          <w:u w:val="double"/>
          <w:lang w:val="en-GB"/>
        </w:rPr>
        <w:t>A</w:t>
      </w:r>
      <w:r>
        <w:rPr>
          <w:lang w:val="en-GB"/>
        </w:rPr>
        <w:t>: Productivity Commission Recommendations</w:t>
      </w:r>
      <w:bookmarkEnd w:id="15"/>
      <w:r>
        <w:rPr>
          <w:lang w:val="en-GB"/>
        </w:rPr>
        <w:t xml:space="preserve"> </w:t>
      </w:r>
    </w:p>
    <w:tbl>
      <w:tblPr>
        <w:tblW w:w="0" w:type="auto"/>
        <w:tblInd w:w="170"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Pr>
      <w:tblGrid>
        <w:gridCol w:w="8770"/>
      </w:tblGrid>
      <w:tr w:rsidR="00572973" w14:paraId="5D86F2E5" w14:textId="77777777" w:rsidTr="00C77310">
        <w:tc>
          <w:tcPr>
            <w:tcW w:w="8770" w:type="dxa"/>
            <w:tcBorders>
              <w:top w:val="single" w:sz="6" w:space="0" w:color="78A22F"/>
              <w:left w:val="nil"/>
              <w:bottom w:val="nil"/>
              <w:right w:val="nil"/>
            </w:tcBorders>
            <w:shd w:val="clear" w:color="auto" w:fill="E5F1D0"/>
            <w:tcMar>
              <w:left w:w="170" w:type="dxa"/>
              <w:right w:w="170" w:type="dxa"/>
            </w:tcMar>
          </w:tcPr>
          <w:p w14:paraId="7AA23D56" w14:textId="77777777" w:rsidR="00572973" w:rsidRDefault="00572973" w:rsidP="00C77310">
            <w:pPr>
              <w:pStyle w:val="RecTitle"/>
              <w:rPr>
                <w:noProof/>
              </w:rPr>
            </w:pPr>
            <w:r>
              <w:t>Recommendation 21.</w:t>
            </w:r>
            <w:r>
              <w:rPr>
                <w:noProof/>
              </w:rPr>
              <w:t>1</w:t>
            </w:r>
          </w:p>
          <w:p w14:paraId="3D180540" w14:textId="77777777" w:rsidR="00572973" w:rsidRDefault="00572973" w:rsidP="00C77310">
            <w:pPr>
              <w:pStyle w:val="Rec"/>
            </w:pPr>
            <w:r w:rsidRPr="00E43EBA">
              <w:t xml:space="preserve">The Australian Government should amend the </w:t>
            </w:r>
            <w:r w:rsidRPr="00F03B02">
              <w:rPr>
                <w:i/>
              </w:rPr>
              <w:t>Fair Work Act 2009</w:t>
            </w:r>
            <w:r w:rsidRPr="00E43EBA">
              <w:t xml:space="preserve"> (Cth) so that if an employer and union have not reached a negotiated outcome for a </w:t>
            </w:r>
            <w:r w:rsidR="00BC202B">
              <w:t>Greenfields</w:t>
            </w:r>
            <w:r w:rsidRPr="00E43EBA">
              <w:t xml:space="preserve"> agreement after three months, the employer may:</w:t>
            </w:r>
          </w:p>
          <w:p w14:paraId="5D8E4F93" w14:textId="77777777" w:rsidR="00572973" w:rsidRDefault="00572973" w:rsidP="00572973">
            <w:pPr>
              <w:pStyle w:val="RecBullet"/>
              <w:ind w:left="340" w:hanging="340"/>
            </w:pPr>
            <w:r>
              <w:t>continue negotiating with the union</w:t>
            </w:r>
          </w:p>
          <w:p w14:paraId="378FA6C0" w14:textId="77777777" w:rsidR="00572973" w:rsidRDefault="00572973" w:rsidP="00572973">
            <w:pPr>
              <w:pStyle w:val="RecBullet"/>
              <w:ind w:left="340" w:hanging="340"/>
            </w:pPr>
            <w:r>
              <w:t>request that the Fair Work Commission undertake ‘last offer’ arbitration by choosing between the last offers made by the employer and the union</w:t>
            </w:r>
          </w:p>
          <w:p w14:paraId="1CFCE041" w14:textId="77777777" w:rsidR="00572973" w:rsidRDefault="00572973" w:rsidP="00572973">
            <w:pPr>
              <w:pStyle w:val="RecBullet"/>
              <w:ind w:left="340" w:hanging="340"/>
            </w:pPr>
            <w:r>
              <w:t xml:space="preserve">submit the employer’s proposed </w:t>
            </w:r>
            <w:r w:rsidR="00BC202B">
              <w:t>Greenfields</w:t>
            </w:r>
            <w:r>
              <w:t xml:space="preserve"> arrangement for approval with a 12 month nominal expiry date.</w:t>
            </w:r>
          </w:p>
          <w:p w14:paraId="2C33E28D" w14:textId="77777777" w:rsidR="00572973" w:rsidRPr="00CE4C64" w:rsidRDefault="00572973" w:rsidP="00C77310">
            <w:pPr>
              <w:pStyle w:val="Rec"/>
            </w:pPr>
            <w:r>
              <w:t>Regardless of the agreement</w:t>
            </w:r>
            <w:r>
              <w:noBreakHyphen/>
              <w:t xml:space="preserve">making process chosen by the employer, the ensuing </w:t>
            </w:r>
            <w:r w:rsidR="00BC202B">
              <w:t>Greenfields</w:t>
            </w:r>
            <w:r>
              <w:t xml:space="preserve"> arrangement must pass the no</w:t>
            </w:r>
            <w:r>
              <w:noBreakHyphen/>
              <w:t>disadvantage test specified in recommendation </w:t>
            </w:r>
            <w:r w:rsidRPr="00E43EBA">
              <w:t>20.5.</w:t>
            </w:r>
          </w:p>
        </w:tc>
      </w:tr>
      <w:tr w:rsidR="00572973" w14:paraId="18F4484C" w14:textId="77777777" w:rsidTr="00C77310">
        <w:tc>
          <w:tcPr>
            <w:tcW w:w="8770" w:type="dxa"/>
            <w:tcBorders>
              <w:top w:val="nil"/>
              <w:left w:val="nil"/>
              <w:bottom w:val="single" w:sz="6" w:space="0" w:color="78A22F"/>
              <w:right w:val="nil"/>
            </w:tcBorders>
            <w:shd w:val="clear" w:color="auto" w:fill="E5F1D0"/>
            <w:tcMar>
              <w:left w:w="170" w:type="dxa"/>
              <w:right w:w="170" w:type="dxa"/>
            </w:tcMar>
          </w:tcPr>
          <w:p w14:paraId="1D211376" w14:textId="77777777" w:rsidR="00572973" w:rsidRDefault="00572973" w:rsidP="00C77310">
            <w:pPr>
              <w:pStyle w:val="Space"/>
              <w:keepNext w:val="0"/>
              <w:keepLines/>
            </w:pPr>
          </w:p>
        </w:tc>
      </w:tr>
    </w:tbl>
    <w:p w14:paraId="6E864873" w14:textId="77777777" w:rsidR="00DC139B" w:rsidRDefault="00DC139B" w:rsidP="00DC139B">
      <w:pPr>
        <w:rPr>
          <w:lang w:val="en-GB"/>
        </w:rPr>
      </w:pPr>
    </w:p>
    <w:tbl>
      <w:tblPr>
        <w:tblW w:w="0" w:type="auto"/>
        <w:tblInd w:w="170"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Pr>
      <w:tblGrid>
        <w:gridCol w:w="8770"/>
      </w:tblGrid>
      <w:tr w:rsidR="00572973" w14:paraId="14FA7683" w14:textId="77777777" w:rsidTr="00C77310">
        <w:tc>
          <w:tcPr>
            <w:tcW w:w="8770" w:type="dxa"/>
            <w:tcBorders>
              <w:top w:val="single" w:sz="6" w:space="0" w:color="78A22F"/>
              <w:left w:val="nil"/>
              <w:bottom w:val="nil"/>
              <w:right w:val="nil"/>
            </w:tcBorders>
            <w:shd w:val="clear" w:color="auto" w:fill="E5F1D0"/>
            <w:tcMar>
              <w:left w:w="170" w:type="dxa"/>
              <w:right w:w="170" w:type="dxa"/>
            </w:tcMar>
          </w:tcPr>
          <w:p w14:paraId="30965080" w14:textId="77777777" w:rsidR="00572973" w:rsidRDefault="00572973" w:rsidP="00C77310">
            <w:pPr>
              <w:pStyle w:val="RecTitle"/>
              <w:rPr>
                <w:noProof/>
              </w:rPr>
            </w:pPr>
            <w:r>
              <w:t>Recommendation 21.</w:t>
            </w:r>
            <w:r>
              <w:rPr>
                <w:noProof/>
              </w:rPr>
              <w:t>2</w:t>
            </w:r>
          </w:p>
          <w:p w14:paraId="119B078F" w14:textId="77777777" w:rsidR="00572973" w:rsidRDefault="00572973" w:rsidP="00C77310">
            <w:pPr>
              <w:pStyle w:val="Rec"/>
            </w:pPr>
            <w:r>
              <w:t>T</w:t>
            </w:r>
            <w:r w:rsidRPr="00CE0EBE">
              <w:t xml:space="preserve">he Australian Government should </w:t>
            </w:r>
            <w:r>
              <w:t>amend</w:t>
            </w:r>
            <w:r w:rsidRPr="00CE0EBE">
              <w:t xml:space="preserve"> the </w:t>
            </w:r>
            <w:r w:rsidRPr="00CE0EBE">
              <w:rPr>
                <w:i/>
              </w:rPr>
              <w:t>Fair Work Act 2009</w:t>
            </w:r>
            <w:r w:rsidRPr="00CE0EBE">
              <w:t xml:space="preserve"> (Cth)</w:t>
            </w:r>
            <w:r>
              <w:t xml:space="preserve"> to allow for the establishment of project proponent </w:t>
            </w:r>
            <w:r w:rsidR="00BC202B">
              <w:t>Greenfields</w:t>
            </w:r>
            <w:r>
              <w:t xml:space="preserve"> agreements.</w:t>
            </w:r>
          </w:p>
          <w:p w14:paraId="037DB040" w14:textId="77777777" w:rsidR="00572973" w:rsidRDefault="00572973" w:rsidP="00C77310">
            <w:pPr>
              <w:pStyle w:val="Rec"/>
            </w:pPr>
            <w:r>
              <w:t xml:space="preserve">When seeking approval of a </w:t>
            </w:r>
            <w:r w:rsidR="00BC202B">
              <w:t>Greenfields</w:t>
            </w:r>
            <w:r>
              <w:t xml:space="preserve"> agreement, a project proponent (such as a head contractor) could seek to have its agreement recognised as a project proponent </w:t>
            </w:r>
            <w:r w:rsidR="00BC202B">
              <w:t>Greenfields</w:t>
            </w:r>
            <w:r>
              <w:t xml:space="preserve"> agreement.</w:t>
            </w:r>
          </w:p>
          <w:p w14:paraId="07DF3CAD" w14:textId="77777777" w:rsidR="00572973" w:rsidRDefault="00572973" w:rsidP="00C77310">
            <w:pPr>
              <w:pStyle w:val="Rec"/>
              <w:rPr>
                <w:szCs w:val="24"/>
              </w:rPr>
            </w:pPr>
            <w:r w:rsidRPr="00CC0A4D">
              <w:t xml:space="preserve">Once a </w:t>
            </w:r>
            <w:r w:rsidRPr="00765AF6">
              <w:t xml:space="preserve">project proponent </w:t>
            </w:r>
            <w:r w:rsidR="00BC202B">
              <w:t>Greenfields</w:t>
            </w:r>
            <w:r w:rsidRPr="00CC0A4D">
              <w:t xml:space="preserve"> agreement is in place for a project, subcontractors that </w:t>
            </w:r>
            <w:r>
              <w:t xml:space="preserve">subsequently </w:t>
            </w:r>
            <w:r w:rsidRPr="00CC0A4D">
              <w:t>join the project, and that do not have a current enterprise agreement covering their employees on the project, should have the option of applying to the Fair Work Commission to a</w:t>
            </w:r>
            <w:r>
              <w:t xml:space="preserve">lso be covered by the project proponent </w:t>
            </w:r>
            <w:r w:rsidR="00BC202B">
              <w:t>Greenfields</w:t>
            </w:r>
            <w:r>
              <w:t xml:space="preserve"> agreement. To approve the application, the </w:t>
            </w:r>
            <w:r w:rsidRPr="00F03B02">
              <w:t xml:space="preserve">Fair Work Commission </w:t>
            </w:r>
            <w:r>
              <w:t>must be satisfied that:</w:t>
            </w:r>
          </w:p>
          <w:p w14:paraId="1A277FE2" w14:textId="77777777" w:rsidR="00572973" w:rsidRDefault="00572973" w:rsidP="00572973">
            <w:pPr>
              <w:pStyle w:val="RecBullet"/>
              <w:ind w:left="340" w:hanging="340"/>
              <w:rPr>
                <w:szCs w:val="24"/>
              </w:rPr>
            </w:pPr>
            <w:r>
              <w:t xml:space="preserve">the subcontractor does not have an existing enterprise agreement that </w:t>
            </w:r>
            <w:r w:rsidRPr="001331BA">
              <w:t>cover</w:t>
            </w:r>
            <w:r>
              <w:t>s</w:t>
            </w:r>
            <w:r w:rsidRPr="001331BA">
              <w:t xml:space="preserve"> </w:t>
            </w:r>
            <w:r>
              <w:t>its</w:t>
            </w:r>
            <w:r w:rsidRPr="001331BA">
              <w:t xml:space="preserve"> employees on the project</w:t>
            </w:r>
          </w:p>
          <w:p w14:paraId="7861BC11" w14:textId="77777777" w:rsidR="00572973" w:rsidRDefault="00572973" w:rsidP="00572973">
            <w:pPr>
              <w:pStyle w:val="RecBullet"/>
              <w:ind w:left="340" w:hanging="340"/>
              <w:rPr>
                <w:szCs w:val="24"/>
              </w:rPr>
            </w:pPr>
            <w:r>
              <w:t xml:space="preserve">the subcontractor was not </w:t>
            </w:r>
            <w:r w:rsidRPr="00E70EF6">
              <w:t xml:space="preserve">coerced </w:t>
            </w:r>
            <w:r>
              <w:t>by any party</w:t>
            </w:r>
            <w:r w:rsidRPr="00E70EF6">
              <w:t xml:space="preserve"> into joining the project proponent</w:t>
            </w:r>
            <w:r>
              <w:t xml:space="preserve"> </w:t>
            </w:r>
            <w:r w:rsidR="00BC202B">
              <w:t>Greenfields</w:t>
            </w:r>
            <w:r w:rsidRPr="00E70EF6">
              <w:t xml:space="preserve"> agreement</w:t>
            </w:r>
          </w:p>
          <w:p w14:paraId="5878D681" w14:textId="77777777" w:rsidR="00572973" w:rsidRPr="00BE321C" w:rsidRDefault="00572973" w:rsidP="00572973">
            <w:pPr>
              <w:pStyle w:val="RecBullet"/>
              <w:ind w:left="340" w:hanging="340"/>
              <w:rPr>
                <w:szCs w:val="24"/>
              </w:rPr>
            </w:pPr>
            <w:r>
              <w:t xml:space="preserve">the project proponent </w:t>
            </w:r>
            <w:r w:rsidR="00BC202B">
              <w:t>Greenfields</w:t>
            </w:r>
            <w:r>
              <w:t xml:space="preserve"> agreement would pass </w:t>
            </w:r>
            <w:r w:rsidRPr="00CC0A4D">
              <w:t>a no</w:t>
            </w:r>
            <w:r>
              <w:noBreakHyphen/>
            </w:r>
            <w:r w:rsidRPr="00CC0A4D">
              <w:t xml:space="preserve">disadvantage test </w:t>
            </w:r>
            <w:r>
              <w:t>for the employees of the subcontractor</w:t>
            </w:r>
            <w:r w:rsidRPr="00CC0A4D">
              <w:t xml:space="preserve"> against the relevant award.</w:t>
            </w:r>
          </w:p>
          <w:p w14:paraId="2EC9F64B" w14:textId="77777777" w:rsidR="00572973" w:rsidRPr="00CE4C64" w:rsidRDefault="00572973" w:rsidP="00C77310">
            <w:pPr>
              <w:pStyle w:val="Rec"/>
              <w:rPr>
                <w:szCs w:val="24"/>
              </w:rPr>
            </w:pPr>
            <w:r>
              <w:t>The Fair Work Ombudsman and Fair Work Building and Construction should periodically carry out investigations to audit compliance and ensure that parties are not being coerced into signing on to project proponent agreements. Sanctions should be put in place for parties found to be engaging in coercion, including financial penalties and exclusion from having future access to project proponent arrangements for a specified period of time.</w:t>
            </w:r>
          </w:p>
        </w:tc>
      </w:tr>
      <w:tr w:rsidR="00572973" w14:paraId="2F8F9512" w14:textId="77777777" w:rsidTr="00C77310">
        <w:tc>
          <w:tcPr>
            <w:tcW w:w="8770" w:type="dxa"/>
            <w:tcBorders>
              <w:top w:val="nil"/>
              <w:left w:val="nil"/>
              <w:bottom w:val="single" w:sz="6" w:space="0" w:color="78A22F"/>
              <w:right w:val="nil"/>
            </w:tcBorders>
            <w:shd w:val="clear" w:color="auto" w:fill="E5F1D0"/>
            <w:tcMar>
              <w:left w:w="170" w:type="dxa"/>
              <w:right w:w="170" w:type="dxa"/>
            </w:tcMar>
          </w:tcPr>
          <w:p w14:paraId="67A13C34" w14:textId="77777777" w:rsidR="00572973" w:rsidRDefault="00572973" w:rsidP="00C77310">
            <w:pPr>
              <w:pStyle w:val="Space"/>
              <w:keepNext w:val="0"/>
              <w:keepLines/>
            </w:pPr>
          </w:p>
        </w:tc>
      </w:tr>
    </w:tbl>
    <w:p w14:paraId="3256A8E2" w14:textId="77777777" w:rsidR="00D03E26" w:rsidRPr="00135195" w:rsidRDefault="00D03E26" w:rsidP="00135195"/>
    <w:p w14:paraId="4199BBAB" w14:textId="77777777" w:rsidR="00D03E26" w:rsidRDefault="00D03E26">
      <w:pPr>
        <w:spacing w:before="0" w:after="160" w:line="259" w:lineRule="auto"/>
        <w:rPr>
          <w:sz w:val="44"/>
          <w:szCs w:val="40"/>
          <w:lang w:val="en-GB"/>
        </w:rPr>
      </w:pPr>
      <w:r>
        <w:rPr>
          <w:lang w:val="en-GB"/>
        </w:rPr>
        <w:br w:type="page"/>
      </w:r>
    </w:p>
    <w:p w14:paraId="41C17998" w14:textId="77777777" w:rsidR="004B68B7" w:rsidRPr="00C61917" w:rsidRDefault="0097738A" w:rsidP="0075593F">
      <w:pPr>
        <w:pStyle w:val="Heading1"/>
        <w:rPr>
          <w:lang w:val="en-GB"/>
        </w:rPr>
      </w:pPr>
      <w:bookmarkStart w:id="16" w:name="_Toc495937453"/>
      <w:r w:rsidRPr="00C61917">
        <w:rPr>
          <w:lang w:val="en-GB"/>
        </w:rPr>
        <w:lastRenderedPageBreak/>
        <w:t>About the Australian Chamber</w:t>
      </w:r>
      <w:bookmarkEnd w:id="11"/>
      <w:bookmarkEnd w:id="14"/>
      <w:bookmarkEnd w:id="16"/>
      <w:r w:rsidRPr="00C61917">
        <w:rPr>
          <w:lang w:val="en-GB"/>
        </w:rPr>
        <w:t xml:space="preserve"> </w:t>
      </w:r>
    </w:p>
    <w:p w14:paraId="36629A54" w14:textId="77777777" w:rsidR="00DD51A9" w:rsidRPr="00C61917" w:rsidRDefault="00DD51A9" w:rsidP="00EE7ADC">
      <w:pPr>
        <w:jc w:val="both"/>
        <w:rPr>
          <w:lang w:val="en-GB"/>
        </w:rPr>
      </w:pPr>
      <w:r w:rsidRPr="00C61917">
        <w:rPr>
          <w:lang w:val="en-GB"/>
        </w:rPr>
        <w:t xml:space="preserve">The Australian Chamber of Commerce and Industry is the largest and most representative business advocacy network in Australia. We speak on behalf of Australian business at home and abroad. </w:t>
      </w:r>
    </w:p>
    <w:p w14:paraId="7FC767BF" w14:textId="77777777" w:rsidR="00DD51A9" w:rsidRPr="00C61917" w:rsidRDefault="00DD51A9" w:rsidP="00EE7ADC">
      <w:pPr>
        <w:jc w:val="both"/>
        <w:rPr>
          <w:lang w:val="en-GB"/>
        </w:rPr>
      </w:pPr>
      <w:r w:rsidRPr="00C61917">
        <w:rPr>
          <w:lang w:val="en-GB"/>
        </w:rPr>
        <w:t>Our membership comprises all state and territory chambers of commerce and dozens of national industry associations. Individual businesses are also able to be members of our Business Leaders Council.</w:t>
      </w:r>
    </w:p>
    <w:p w14:paraId="1FE4056C" w14:textId="77777777" w:rsidR="00DD51A9" w:rsidRPr="00C61917" w:rsidRDefault="00DD51A9" w:rsidP="00EE7ADC">
      <w:pPr>
        <w:jc w:val="both"/>
        <w:rPr>
          <w:lang w:val="en-GB"/>
        </w:rPr>
      </w:pPr>
      <w:r w:rsidRPr="00C61917">
        <w:rPr>
          <w:lang w:val="en-GB"/>
        </w:rPr>
        <w:t>We represent more than 300,000 businesses of all sizes, across all industries and all parts of the country, employing over 4 million Australian workers.</w:t>
      </w:r>
    </w:p>
    <w:p w14:paraId="09B0BD9B" w14:textId="77777777" w:rsidR="00DD51A9" w:rsidRPr="00C61917" w:rsidRDefault="00DD51A9" w:rsidP="00EE7ADC">
      <w:pPr>
        <w:jc w:val="both"/>
        <w:rPr>
          <w:lang w:val="en-GB"/>
        </w:rPr>
      </w:pPr>
      <w:r w:rsidRPr="00C61917">
        <w:rPr>
          <w:lang w:val="en-GB"/>
        </w:rPr>
        <w:t xml:space="preserve">The Australian Chamber strives to make Australia a great place to do business in order to improve everyone's standard of living. </w:t>
      </w:r>
    </w:p>
    <w:p w14:paraId="5C668DB7" w14:textId="77777777" w:rsidR="00DD51A9" w:rsidRPr="00C61917" w:rsidRDefault="00DD51A9" w:rsidP="00EE7ADC">
      <w:pPr>
        <w:jc w:val="both"/>
        <w:rPr>
          <w:lang w:val="en-GB"/>
        </w:rPr>
      </w:pPr>
      <w:r w:rsidRPr="00C61917">
        <w:rPr>
          <w:lang w:val="en-GB"/>
        </w:rPr>
        <w:t>We seek to create an environment in which businesspeople, employees and independent contractors can achieve their potential as part of a dynamic private sector. We encourage entrepreneurship and innovation to achieve prosperity, economic growth and jobs.</w:t>
      </w:r>
    </w:p>
    <w:p w14:paraId="65579E56" w14:textId="77777777" w:rsidR="00DD51A9" w:rsidRPr="00C61917" w:rsidRDefault="00DD51A9" w:rsidP="00EE7ADC">
      <w:pPr>
        <w:jc w:val="both"/>
        <w:rPr>
          <w:lang w:val="en-GB"/>
        </w:rPr>
      </w:pPr>
      <w:r w:rsidRPr="00C61917">
        <w:rPr>
          <w:lang w:val="en-GB"/>
        </w:rPr>
        <w:t>We focus on issues that impact on business, including economics, trade, workplace relations, work health and safety, and employment, education and training.</w:t>
      </w:r>
    </w:p>
    <w:p w14:paraId="6D6248EB" w14:textId="77777777" w:rsidR="00DD51A9" w:rsidRPr="00C61917" w:rsidRDefault="00DD51A9" w:rsidP="00EE7ADC">
      <w:pPr>
        <w:jc w:val="both"/>
        <w:rPr>
          <w:lang w:val="en-GB"/>
        </w:rPr>
      </w:pPr>
      <w:r w:rsidRPr="00C61917">
        <w:rPr>
          <w:lang w:val="en-GB"/>
        </w:rPr>
        <w:t xml:space="preserve">We advocate for Australian business in public debate and to policy decision-makers, including ministers, shadow ministers, other members of parliament, ministerial policy advisors, public servants, regulators and other national agencies. </w:t>
      </w:r>
      <w:r w:rsidR="0091453A" w:rsidRPr="00C61917">
        <w:rPr>
          <w:lang w:val="en-GB"/>
        </w:rPr>
        <w:t>We represent</w:t>
      </w:r>
      <w:r w:rsidRPr="00C61917">
        <w:rPr>
          <w:lang w:val="en-GB"/>
        </w:rPr>
        <w:t xml:space="preserve"> Australian business in international forums. </w:t>
      </w:r>
    </w:p>
    <w:p w14:paraId="6E944CFD" w14:textId="77777777" w:rsidR="00DD51A9" w:rsidRPr="00C61917" w:rsidRDefault="00DD51A9" w:rsidP="00EE7ADC">
      <w:pPr>
        <w:jc w:val="both"/>
        <w:rPr>
          <w:lang w:val="en-GB"/>
        </w:rPr>
      </w:pPr>
      <w:r w:rsidRPr="00C61917">
        <w:rPr>
          <w:lang w:val="en-GB"/>
        </w:rPr>
        <w:t xml:space="preserve">We represent the broad interests of the private sector rather than individual clients or a narrow sectional interest. </w:t>
      </w:r>
    </w:p>
    <w:p w14:paraId="4A5A7C39" w14:textId="77777777" w:rsidR="00076635" w:rsidRPr="00C61917" w:rsidRDefault="00076635" w:rsidP="00EE7ADC">
      <w:pPr>
        <w:jc w:val="both"/>
        <w:rPr>
          <w:lang w:val="en-GB"/>
        </w:rPr>
      </w:pPr>
    </w:p>
    <w:p w14:paraId="0C5C695B" w14:textId="77777777" w:rsidR="0041252E" w:rsidRPr="00C61917" w:rsidRDefault="0041252E">
      <w:pPr>
        <w:spacing w:before="0" w:after="160" w:line="259" w:lineRule="auto"/>
        <w:rPr>
          <w:sz w:val="40"/>
          <w:szCs w:val="40"/>
          <w:lang w:val="en-GB"/>
        </w:rPr>
      </w:pPr>
      <w:r w:rsidRPr="00C61917">
        <w:rPr>
          <w:lang w:val="en-GB"/>
        </w:rPr>
        <w:br w:type="page"/>
      </w:r>
    </w:p>
    <w:p w14:paraId="504288F2" w14:textId="77777777" w:rsidR="0041252E" w:rsidRPr="00C61917" w:rsidRDefault="000A1423" w:rsidP="0075593F">
      <w:pPr>
        <w:pStyle w:val="Heading1NoNumbers"/>
        <w:rPr>
          <w:rStyle w:val="IntenseReference"/>
          <w:b w:val="0"/>
          <w:bCs w:val="0"/>
          <w:smallCaps w:val="0"/>
          <w:color w:val="auto"/>
          <w:spacing w:val="0"/>
          <w:lang w:val="en-GB"/>
        </w:rPr>
      </w:pPr>
      <w:bookmarkStart w:id="17" w:name="_Toc479512749"/>
      <w:bookmarkStart w:id="18" w:name="_Toc495937454"/>
      <w:r w:rsidRPr="00C61917">
        <w:rPr>
          <w:rStyle w:val="IntenseReference"/>
          <w:b w:val="0"/>
          <w:bCs w:val="0"/>
          <w:smallCaps w:val="0"/>
          <w:color w:val="auto"/>
          <w:spacing w:val="0"/>
          <w:lang w:val="en-GB"/>
        </w:rPr>
        <w:lastRenderedPageBreak/>
        <w:t>Australian Chamber</w:t>
      </w:r>
      <w:r w:rsidR="0041252E" w:rsidRPr="00C61917">
        <w:rPr>
          <w:rStyle w:val="IntenseReference"/>
          <w:b w:val="0"/>
          <w:bCs w:val="0"/>
          <w:smallCaps w:val="0"/>
          <w:color w:val="auto"/>
          <w:spacing w:val="0"/>
          <w:lang w:val="en-GB"/>
        </w:rPr>
        <w:t xml:space="preserve"> Members</w:t>
      </w:r>
      <w:bookmarkEnd w:id="17"/>
      <w:bookmarkEnd w:id="18"/>
    </w:p>
    <w:p w14:paraId="3C906CF7" w14:textId="77777777" w:rsidR="00CF4507" w:rsidRPr="00CF4507" w:rsidRDefault="00CF4507" w:rsidP="00CF4507">
      <w:pPr>
        <w:spacing w:before="0" w:after="240" w:line="480" w:lineRule="auto"/>
        <w:jc w:val="both"/>
        <w:rPr>
          <w:sz w:val="16"/>
          <w:szCs w:val="16"/>
        </w:rPr>
      </w:pPr>
      <w:r w:rsidRPr="00CF4507">
        <w:rPr>
          <w:rFonts w:ascii="Arial Narrow" w:eastAsia="Arial Narrow" w:hAnsi="Arial Narrow" w:cs="Times New Roman"/>
          <w:bCs/>
          <w:caps/>
          <w:smallCaps/>
          <w:color w:val="C6AA76"/>
          <w:spacing w:val="5"/>
          <w:sz w:val="16"/>
          <w:szCs w:val="16"/>
          <w:u w:val="single"/>
        </w:rPr>
        <w:t>AUSTRALIAN CHAMBER MEMBERS</w:t>
      </w:r>
      <w:r w:rsidRPr="00CF4507">
        <w:rPr>
          <w:rFonts w:ascii="Arial Narrow" w:eastAsia="Arial Narrow" w:hAnsi="Arial Narrow" w:cs="Times New Roman"/>
          <w:b/>
          <w:caps/>
          <w:spacing w:val="14"/>
          <w:sz w:val="16"/>
          <w:szCs w:val="16"/>
        </w:rPr>
        <w:t xml:space="preserve"> </w:t>
      </w:r>
      <w:r w:rsidRPr="00CF4507">
        <w:rPr>
          <w:rFonts w:ascii="Arial Narrow" w:eastAsia="Arial Narrow" w:hAnsi="Arial Narrow" w:cs="Times New Roman"/>
          <w:bCs/>
          <w:caps/>
          <w:spacing w:val="14"/>
          <w:sz w:val="16"/>
          <w:szCs w:val="16"/>
        </w:rPr>
        <w:t>BUSINESS SA |</w:t>
      </w:r>
      <w:r w:rsidRPr="00CF4507">
        <w:rPr>
          <w:rFonts w:ascii="Arial Narrow" w:eastAsia="Arial Narrow" w:hAnsi="Arial Narrow" w:cs="Times New Roman"/>
          <w:caps/>
          <w:spacing w:val="14"/>
          <w:sz w:val="16"/>
          <w:szCs w:val="16"/>
        </w:rPr>
        <w:t xml:space="preserve"> CAnberra business chamber | </w:t>
      </w:r>
      <w:r w:rsidRPr="00CF4507">
        <w:rPr>
          <w:rFonts w:ascii="Arial Narrow" w:eastAsia="Arial Narrow" w:hAnsi="Arial Narrow" w:cs="Times New Roman"/>
          <w:bCs/>
          <w:caps/>
          <w:spacing w:val="14"/>
          <w:sz w:val="16"/>
          <w:szCs w:val="16"/>
        </w:rPr>
        <w:t xml:space="preserve">CHAMBER OF COMMERCE &amp; INDUSTRY QUEENSLAND | </w:t>
      </w:r>
      <w:r w:rsidRPr="00CF4507">
        <w:rPr>
          <w:rFonts w:ascii="Arial Narrow" w:eastAsia="Arial Narrow" w:hAnsi="Arial Narrow" w:cs="Times New Roman"/>
          <w:caps/>
          <w:spacing w:val="14"/>
          <w:sz w:val="16"/>
          <w:szCs w:val="16"/>
        </w:rPr>
        <w:t xml:space="preserve">CHAMBER OF COMMERCE AND INDUSTRY WESTERN AUSTRALIA | CHAMBER OF COMMERCE NORTHERN TERRITORY | </w:t>
      </w:r>
      <w:r w:rsidRPr="00CF4507">
        <w:rPr>
          <w:rFonts w:ascii="Arial Narrow" w:eastAsia="Arial Narrow" w:hAnsi="Arial Narrow" w:cs="Times New Roman"/>
          <w:bCs/>
          <w:caps/>
          <w:spacing w:val="14"/>
          <w:sz w:val="16"/>
          <w:szCs w:val="16"/>
        </w:rPr>
        <w:t>NSW BUSINESS CHAMBER |</w:t>
      </w:r>
      <w:r w:rsidRPr="00CF4507">
        <w:rPr>
          <w:rFonts w:ascii="Arial Narrow" w:eastAsia="Arial Narrow" w:hAnsi="Arial Narrow" w:cs="Times New Roman"/>
          <w:caps/>
          <w:spacing w:val="14"/>
          <w:sz w:val="16"/>
          <w:szCs w:val="16"/>
        </w:rPr>
        <w:t xml:space="preserve"> TASMANIAN CHAMBER OF COMMERCE AND INDUSTRY | </w:t>
      </w:r>
      <w:r w:rsidRPr="00CF4507">
        <w:rPr>
          <w:rFonts w:ascii="Arial Narrow" w:eastAsia="Arial Narrow" w:hAnsi="Arial Narrow" w:cs="Times New Roman"/>
          <w:bCs/>
          <w:caps/>
          <w:spacing w:val="14"/>
          <w:sz w:val="16"/>
          <w:szCs w:val="16"/>
        </w:rPr>
        <w:t>VICTORIAN CHAMBER OF COMMERCE AND INDUSTRY</w:t>
      </w:r>
      <w:r w:rsidRPr="00CF4507">
        <w:rPr>
          <w:rFonts w:ascii="Arial Narrow" w:eastAsia="Arial Narrow" w:hAnsi="Arial Narrow" w:cs="Times New Roman"/>
          <w:b/>
          <w:caps/>
          <w:spacing w:val="14"/>
          <w:sz w:val="16"/>
          <w:szCs w:val="16"/>
        </w:rPr>
        <w:t xml:space="preserve"> </w:t>
      </w:r>
      <w:r w:rsidRPr="00CF4507">
        <w:rPr>
          <w:rFonts w:ascii="Arial Narrow" w:eastAsia="Arial Narrow" w:hAnsi="Arial Narrow" w:cs="Times New Roman"/>
          <w:bCs/>
          <w:caps/>
          <w:smallCaps/>
          <w:color w:val="C6AA76"/>
          <w:spacing w:val="5"/>
          <w:sz w:val="16"/>
          <w:szCs w:val="16"/>
          <w:u w:val="single"/>
        </w:rPr>
        <w:t>MEMBER NATIONAL INDUSTRY ASSOCIATIONS:</w:t>
      </w:r>
      <w:r w:rsidRPr="00CF4507">
        <w:rPr>
          <w:rFonts w:ascii="Arial Narrow" w:eastAsia="Arial Narrow" w:hAnsi="Arial Narrow" w:cs="Times New Roman"/>
          <w:b/>
          <w:caps/>
          <w:spacing w:val="14"/>
          <w:sz w:val="16"/>
          <w:szCs w:val="16"/>
        </w:rPr>
        <w:t xml:space="preserve"> </w:t>
      </w:r>
      <w:r w:rsidRPr="00CF4507">
        <w:rPr>
          <w:rFonts w:ascii="Arial Narrow" w:eastAsia="Arial Narrow" w:hAnsi="Arial Narrow" w:cs="Times New Roman"/>
          <w:caps/>
          <w:spacing w:val="14"/>
          <w:sz w:val="16"/>
          <w:szCs w:val="16"/>
        </w:rPr>
        <w:t xml:space="preserve">ACCORD – HYGIENE, COSMETIC AND SPECIALTY PRODUCTS INDUSTRY | AIR CONDITIONING &amp; MECHANICAL CONTRACTORS' ASSOCIATION | ANIMAL MEDICINES AUSTRALIA | association of financial advisers | ASSOCIATION OF INDEPENDENT SCHOOLS OF NSW | australia arab chamber of commerce &amp; industry | AUSTRALIAN AUTOMOTIVE DEALER ASSOCIATION | AUSTRALIAN BEVERAGES COUNCIL | AUSTRALIAN DENTAL ASSOCIATION | AUSTRALIAN DENTAL INDUSTRY ASSOCIATION | AUSTRALIAN FEDERATION OF EMPLOYERS &amp; INDUSTRIES | AUSTRALIAN GIFT &amp; HOMEWARES ASSOCIATION | AUSTRALIAN HOTELS ASSOCIATION | AUSTRALIAN INSTITUTE OF CREDIT MANAGEMENT | AUSTRALIAN MADE CAMPAIGN | AUSTRALIAN MEAT PROCESSOR CORPORATION | AUSTRALIAN MINES AND METALS ASSOCIATION | australian mobile telecommunications association | AUSTRALIAN PAINT MANUFACTURERS' FEDERATION | AUSTRALIAN RECORDING INDUSTRY ASSOCIATION | AUSTRALIAN RESTRUCTURING INSOLVENCY &amp; TURNAROUND ASSOCIATION | AUSTRALIAN RETAILERS ASSOCIATION | AUSTRALIAN SELF MEDICATION INDUSTRY | AUSTRALIAN STEEL INSTITUTE | AUSTRALIAN TOURISM INDUSTRY COUNCIL | AUSTRALIAN VETERINARY ASSOCIATION | boating industry association | bus industry confederation | business council of co-operatives and mutuals | caravan industry association of australia | cement concrete &amp; aggregates association | chemistry australia | chiropractors’ association of australiA | Concrete Masonry Association of Australia | consult australia | council of private higher education | cruise lines international association AUSTRALASIA | customer owned bankING association | direct selling australia | exhbition &amp; event association of australasia | financial planning association of australia | fitness australia | franchisee federation australia | housing industry association | large format retail association | live performance australia | master builders australia | master plumbers’ and mechanical services association OF australia | medical technology ASSOCIATION of australia | medicines australia | NATIONAL AUTOMOTIVE LEASING AND SALARY PACKAGING ASSOCIATION | national disability services | national electrical and communications ASSOCIATION | NATIONAL EMPLOYMENT SERVICES ASSOCIATION | NATIONAL FIRE INDUSTRY ASSOCIATION | NORA | NATIONAL RETAIL ASSOCIATION | NATIONAL ROADS AND MOTORISTS ASSOCIATION | NSW HIRE CAR ASSOCIATION | NSW TAXI COUNCIL |  OUTDOOR MEDIA ASSOCIATION | PHARMACY GUILD OF AUSTRALIA | Phonographic Performance Company of Australia | PRINTING INDUSTRiES ASSOCIATION OF AUSTRALIA | RECRUITMENT &amp; CONSULTING SERVICES ASSOCIATION | RESTAURANT &amp; CATERING AUSTRALIA | SCREEN PRODUCERS AUSTRALIA | THE TAX INSTITUTE | THINK BRICK AUSTRALIA | VICTORIAN AUTOMOBILE CHAMBER OF COMMERCE </w:t>
      </w:r>
    </w:p>
    <w:p w14:paraId="238C914B" w14:textId="42FE9B16" w:rsidR="0041252E" w:rsidRPr="00C61917" w:rsidRDefault="0041252E" w:rsidP="00CF4507">
      <w:pPr>
        <w:pStyle w:val="Member"/>
        <w:rPr>
          <w:lang w:val="en-GB"/>
        </w:rPr>
      </w:pPr>
    </w:p>
    <w:sectPr w:rsidR="0041252E" w:rsidRPr="00C61917" w:rsidSect="005414B0">
      <w:footerReference w:type="default" r:id="rId33"/>
      <w:pgSz w:w="11906" w:h="16838"/>
      <w:pgMar w:top="2211" w:right="851" w:bottom="1134" w:left="1701" w:header="709" w:footer="4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43525" w14:textId="77777777" w:rsidR="00D63D3B" w:rsidRDefault="00D63D3B" w:rsidP="00486B73">
      <w:pPr>
        <w:spacing w:before="0"/>
      </w:pPr>
      <w:r>
        <w:separator/>
      </w:r>
    </w:p>
  </w:endnote>
  <w:endnote w:type="continuationSeparator" w:id="0">
    <w:p w14:paraId="1446F46B" w14:textId="77777777" w:rsidR="00D63D3B" w:rsidRDefault="00D63D3B" w:rsidP="00486B7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92E77" w14:textId="77777777" w:rsidR="00D63D3B" w:rsidRDefault="00D63D3B" w:rsidP="00502570">
    <w:pPr>
      <w:pStyle w:val="Footer"/>
    </w:pPr>
    <w:r w:rsidRPr="00254421">
      <w:rPr>
        <w:noProof/>
        <w:lang w:eastAsia="en-AU"/>
      </w:rPr>
      <w:drawing>
        <wp:anchor distT="0" distB="0" distL="114300" distR="114300" simplePos="0" relativeHeight="251655680" behindDoc="1" locked="1" layoutInCell="1" allowOverlap="1" wp14:anchorId="749D6A0F" wp14:editId="55FAC6BF">
          <wp:simplePos x="0" y="0"/>
          <wp:positionH relativeFrom="margin">
            <wp:posOffset>2336165</wp:posOffset>
          </wp:positionH>
          <wp:positionV relativeFrom="page">
            <wp:posOffset>8604885</wp:posOffset>
          </wp:positionV>
          <wp:extent cx="1209600" cy="1742400"/>
          <wp:effectExtent l="0" t="0" r="0" b="0"/>
          <wp:wrapTight wrapText="bothSides">
            <wp:wrapPolygon edited="0">
              <wp:start x="9529" y="0"/>
              <wp:lineTo x="3063" y="2126"/>
              <wp:lineTo x="1361" y="3071"/>
              <wp:lineTo x="2382" y="7560"/>
              <wp:lineTo x="0" y="8741"/>
              <wp:lineTo x="0" y="9213"/>
              <wp:lineTo x="5445" y="11339"/>
              <wp:lineTo x="0" y="15119"/>
              <wp:lineTo x="0" y="21025"/>
              <wp:lineTo x="10550" y="21261"/>
              <wp:lineTo x="11912" y="21261"/>
              <wp:lineTo x="12592" y="21261"/>
              <wp:lineTo x="21101" y="19135"/>
              <wp:lineTo x="21101" y="17718"/>
              <wp:lineTo x="19739" y="17245"/>
              <wp:lineTo x="7828" y="15119"/>
              <wp:lineTo x="13613" y="15119"/>
              <wp:lineTo x="15996" y="13938"/>
              <wp:lineTo x="14975" y="11339"/>
              <wp:lineTo x="20420" y="9213"/>
              <wp:lineTo x="20761" y="8741"/>
              <wp:lineTo x="18038" y="7560"/>
              <wp:lineTo x="18378" y="3780"/>
              <wp:lineTo x="19739" y="3071"/>
              <wp:lineTo x="10891" y="0"/>
              <wp:lineTo x="952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00" cy="174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522DB" w14:textId="77777777" w:rsidR="00D63D3B" w:rsidRPr="005414B0" w:rsidRDefault="00D63D3B" w:rsidP="00541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D8B2B" w14:textId="69E0FEEE" w:rsidR="00D63D3B" w:rsidRPr="0097738A" w:rsidRDefault="00D63D3B" w:rsidP="00502570">
    <w:pPr>
      <w:pStyle w:val="Footer"/>
    </w:pPr>
    <w:r w:rsidRPr="0097738A">
      <w:rPr>
        <w:noProof/>
        <w:lang w:eastAsia="en-AU"/>
      </w:rPr>
      <mc:AlternateContent>
        <mc:Choice Requires="wps">
          <w:drawing>
            <wp:anchor distT="0" distB="0" distL="114300" distR="114300" simplePos="0" relativeHeight="251658240" behindDoc="0" locked="0" layoutInCell="1" allowOverlap="1" wp14:anchorId="6504949E" wp14:editId="7BC66742">
              <wp:simplePos x="0" y="0"/>
              <wp:positionH relativeFrom="leftMargin">
                <wp:align>right</wp:align>
              </wp:positionH>
              <wp:positionV relativeFrom="paragraph">
                <wp:posOffset>-60960</wp:posOffset>
              </wp:positionV>
              <wp:extent cx="0" cy="252000"/>
              <wp:effectExtent l="0" t="0" r="19050" b="34290"/>
              <wp:wrapNone/>
              <wp:docPr id="2" name="Straight Connector 2"/>
              <wp:cNvGraphicFramePr/>
              <a:graphic xmlns:a="http://schemas.openxmlformats.org/drawingml/2006/main">
                <a:graphicData uri="http://schemas.microsoft.com/office/word/2010/wordprocessingShape">
                  <wps:wsp>
                    <wps:cNvCnPr/>
                    <wps:spPr>
                      <a:xfrm>
                        <a:off x="0" y="0"/>
                        <a:ext cx="0" cy="25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069EE3" id="Straight Connector 2" o:spid="_x0000_s1026" style="position:absolute;z-index:25165824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4.8pt" to="-51.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" strokecolor="#14377d [3204]" strokeweight=".5pt">
              <v:stroke joinstyle="miter"/>
              <w10:wrap anchorx="margin"/>
            </v:line>
          </w:pict>
        </mc:Fallback>
      </mc:AlternateContent>
    </w:r>
    <w:sdt>
      <w:sdtPr>
        <w:id w:val="1866479404"/>
        <w:docPartObj>
          <w:docPartGallery w:val="Page Numbers (Bottom of Page)"/>
          <w:docPartUnique/>
        </w:docPartObj>
      </w:sdtPr>
      <w:sdtEndPr/>
      <w:sdtContent>
        <w:r w:rsidRPr="0097738A">
          <w:fldChar w:fldCharType="begin"/>
        </w:r>
        <w:r w:rsidRPr="0097738A">
          <w:instrText xml:space="preserve"> PAGE   \* MERGEFORMAT </w:instrText>
        </w:r>
        <w:r w:rsidRPr="0097738A">
          <w:fldChar w:fldCharType="separate"/>
        </w:r>
        <w:r w:rsidR="00135195">
          <w:rPr>
            <w:noProof/>
          </w:rPr>
          <w:t>ii</w:t>
        </w:r>
        <w:r w:rsidRPr="0097738A">
          <w:fldChar w:fldCharType="end"/>
        </w:r>
        <w:r w:rsidRPr="0097738A">
          <w:t xml:space="preserve"> </w:t>
        </w:r>
      </w:sdtContent>
    </w:sdt>
    <w:r w:rsidRPr="0097738A">
      <w:t xml:space="preserve">     </w:t>
    </w:r>
    <w:sdt>
      <w:sdtPr>
        <w:alias w:val="Title"/>
        <w:tag w:val=""/>
        <w:id w:val="-378469403"/>
        <w:dataBinding w:prefixMappings="xmlns:ns0='http://purl.org/dc/elements/1.1/' xmlns:ns1='http://schemas.openxmlformats.org/package/2006/metadata/core-properties' " w:xpath="/ns1:coreProperties[1]/ns0:title[1]" w:storeItemID="{6C3C8BC8-F283-45AE-878A-BAB7291924A1}"/>
        <w:text/>
      </w:sdtPr>
      <w:sdtEndPr/>
      <w:sdtContent>
        <w:r>
          <w:t>Greenfields Agreement Review: Response to Consultation Paper</w:t>
        </w:r>
      </w:sdtContent>
    </w:sdt>
    <w:r>
      <w:t xml:space="preserve"> </w:t>
    </w:r>
    <w:r w:rsidRPr="0097738A">
      <w:t xml:space="preserve">– </w:t>
    </w:r>
    <w:sdt>
      <w:sdtPr>
        <w:alias w:val="Dates"/>
        <w:tag w:val=""/>
        <w:id w:val="-1344088065"/>
        <w:dataBinding w:prefixMappings="xmlns:ns0='http://purl.org/dc/elements/1.1/' xmlns:ns1='http://schemas.openxmlformats.org/package/2006/metadata/core-properties' " w:xpath="/ns1:coreProperties[1]/ns0:description[1]" w:storeItemID="{6C3C8BC8-F283-45AE-878A-BAB7291924A1}"/>
        <w:text w:multiLine="1"/>
      </w:sdtPr>
      <w:sdtEndPr/>
      <w:sdtContent>
        <w:r>
          <w:t>25 October 2017</w:t>
        </w:r>
      </w:sdtContent>
    </w:sdt>
  </w:p>
  <w:p w14:paraId="0FD0D4A7" w14:textId="77777777" w:rsidR="00D63D3B" w:rsidRPr="006E3966" w:rsidRDefault="00D63D3B" w:rsidP="005025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1C286" w14:textId="64F96ADB" w:rsidR="00D63D3B" w:rsidRPr="0097738A" w:rsidRDefault="00D63D3B" w:rsidP="00502570">
    <w:pPr>
      <w:pStyle w:val="Footer"/>
    </w:pPr>
    <w:r w:rsidRPr="0097738A">
      <w:rPr>
        <w:noProof/>
        <w:lang w:eastAsia="en-AU"/>
      </w:rPr>
      <mc:AlternateContent>
        <mc:Choice Requires="wps">
          <w:drawing>
            <wp:anchor distT="0" distB="0" distL="114300" distR="114300" simplePos="0" relativeHeight="251659776" behindDoc="0" locked="0" layoutInCell="1" allowOverlap="1" wp14:anchorId="05744478" wp14:editId="58735BE0">
              <wp:simplePos x="0" y="0"/>
              <wp:positionH relativeFrom="leftMargin">
                <wp:align>right</wp:align>
              </wp:positionH>
              <wp:positionV relativeFrom="paragraph">
                <wp:posOffset>-60960</wp:posOffset>
              </wp:positionV>
              <wp:extent cx="0" cy="252000"/>
              <wp:effectExtent l="0" t="0" r="19050" b="34290"/>
              <wp:wrapNone/>
              <wp:docPr id="6" name="Straight Connector 6"/>
              <wp:cNvGraphicFramePr/>
              <a:graphic xmlns:a="http://schemas.openxmlformats.org/drawingml/2006/main">
                <a:graphicData uri="http://schemas.microsoft.com/office/word/2010/wordprocessingShape">
                  <wps:wsp>
                    <wps:cNvCnPr/>
                    <wps:spPr>
                      <a:xfrm>
                        <a:off x="0" y="0"/>
                        <a:ext cx="0" cy="25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DA4D54" id="Straight Connector 6" o:spid="_x0000_s1026" style="position:absolute;z-index:25165977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4.8pt" to="-51.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" strokecolor="#14377d [3204]" strokeweight=".5pt">
              <v:stroke joinstyle="miter"/>
              <w10:wrap anchorx="margin"/>
            </v:line>
          </w:pict>
        </mc:Fallback>
      </mc:AlternateContent>
    </w:r>
    <w:sdt>
      <w:sdtPr>
        <w:id w:val="919057519"/>
        <w:docPartObj>
          <w:docPartGallery w:val="Page Numbers (Bottom of Page)"/>
          <w:docPartUnique/>
        </w:docPartObj>
      </w:sdtPr>
      <w:sdtEndPr/>
      <w:sdtContent>
        <w:r w:rsidRPr="0097738A">
          <w:fldChar w:fldCharType="begin"/>
        </w:r>
        <w:r w:rsidRPr="0097738A">
          <w:instrText xml:space="preserve"> PAGE   \* MERGEFORMAT </w:instrText>
        </w:r>
        <w:r w:rsidRPr="0097738A">
          <w:fldChar w:fldCharType="separate"/>
        </w:r>
        <w:r w:rsidR="00135195">
          <w:rPr>
            <w:noProof/>
          </w:rPr>
          <w:t>18</w:t>
        </w:r>
        <w:r w:rsidRPr="0097738A">
          <w:fldChar w:fldCharType="end"/>
        </w:r>
        <w:r w:rsidRPr="0097738A">
          <w:t xml:space="preserve"> </w:t>
        </w:r>
      </w:sdtContent>
    </w:sdt>
    <w:r w:rsidRPr="0097738A">
      <w:t xml:space="preserve">     </w:t>
    </w:r>
    <w:sdt>
      <w:sdtPr>
        <w:alias w:val="Title"/>
        <w:tag w:val=""/>
        <w:id w:val="2008325521"/>
        <w:dataBinding w:prefixMappings="xmlns:ns0='http://purl.org/dc/elements/1.1/' xmlns:ns1='http://schemas.openxmlformats.org/package/2006/metadata/core-properties' " w:xpath="/ns1:coreProperties[1]/ns0:title[1]" w:storeItemID="{6C3C8BC8-F283-45AE-878A-BAB7291924A1}"/>
        <w:text/>
      </w:sdtPr>
      <w:sdtEndPr/>
      <w:sdtContent>
        <w:r>
          <w:t>Greenfields Agreement Review: Response to Consultation Paper</w:t>
        </w:r>
      </w:sdtContent>
    </w:sdt>
    <w:r>
      <w:t xml:space="preserve"> </w:t>
    </w:r>
    <w:r w:rsidRPr="0097738A">
      <w:t xml:space="preserve">– </w:t>
    </w:r>
    <w:sdt>
      <w:sdtPr>
        <w:alias w:val="Dates"/>
        <w:tag w:val=""/>
        <w:id w:val="667208340"/>
        <w:dataBinding w:prefixMappings="xmlns:ns0='http://purl.org/dc/elements/1.1/' xmlns:ns1='http://schemas.openxmlformats.org/package/2006/metadata/core-properties' " w:xpath="/ns1:coreProperties[1]/ns0:description[1]" w:storeItemID="{6C3C8BC8-F283-45AE-878A-BAB7291924A1}"/>
        <w:text w:multiLine="1"/>
      </w:sdtPr>
      <w:sdtEndPr/>
      <w:sdtContent>
        <w:r>
          <w:t>25 October 2017</w:t>
        </w:r>
      </w:sdtContent>
    </w:sdt>
  </w:p>
  <w:p w14:paraId="5980655F" w14:textId="77777777" w:rsidR="00D63D3B" w:rsidRPr="006E3966" w:rsidRDefault="00D63D3B" w:rsidP="0050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97FE2" w14:textId="77777777" w:rsidR="00D63D3B" w:rsidRDefault="00D63D3B" w:rsidP="00486B73">
      <w:pPr>
        <w:spacing w:before="0"/>
      </w:pPr>
    </w:p>
  </w:footnote>
  <w:footnote w:type="continuationSeparator" w:id="0">
    <w:p w14:paraId="6143D78A" w14:textId="77777777" w:rsidR="00D63D3B" w:rsidRDefault="00D63D3B" w:rsidP="00486B73">
      <w:pPr>
        <w:spacing w:before="0"/>
      </w:pPr>
      <w:r>
        <w:continuationSeparator/>
      </w:r>
    </w:p>
  </w:footnote>
  <w:footnote w:id="1">
    <w:p w14:paraId="5C9887A0"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Productivity Commission (2015) </w:t>
      </w:r>
      <w:hyperlink r:id="rId1" w:history="1">
        <w:r w:rsidRPr="00B85A4A">
          <w:rPr>
            <w:rStyle w:val="Hyperlink"/>
            <w:sz w:val="16"/>
            <w:szCs w:val="16"/>
          </w:rPr>
          <w:t>Final Inquiry Report – Workplace Relations Framework</w:t>
        </w:r>
      </w:hyperlink>
      <w:r w:rsidRPr="00B85A4A">
        <w:rPr>
          <w:sz w:val="16"/>
          <w:szCs w:val="16"/>
        </w:rPr>
        <w:t xml:space="preserve">, Recommendations 20.2 and 25.2. </w:t>
      </w:r>
    </w:p>
  </w:footnote>
  <w:footnote w:id="2">
    <w:p w14:paraId="6297EA80"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Australian Government (2017) </w:t>
      </w:r>
      <w:hyperlink r:id="rId2" w:history="1">
        <w:r w:rsidRPr="00B85A4A">
          <w:rPr>
            <w:rStyle w:val="Hyperlink"/>
            <w:sz w:val="16"/>
            <w:szCs w:val="16"/>
          </w:rPr>
          <w:t>Greenfields Agreement Review, Consultation Paper</w:t>
        </w:r>
      </w:hyperlink>
      <w:r w:rsidRPr="00B85A4A">
        <w:rPr>
          <w:sz w:val="16"/>
          <w:szCs w:val="16"/>
        </w:rPr>
        <w:t>, p.17</w:t>
      </w:r>
    </w:p>
  </w:footnote>
  <w:footnote w:id="3">
    <w:p w14:paraId="790C277C"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w:t>
      </w:r>
      <w:hyperlink r:id="rId3" w:history="1">
        <w:r w:rsidRPr="00B85A4A">
          <w:rPr>
            <w:rStyle w:val="Hyperlink"/>
            <w:sz w:val="16"/>
            <w:szCs w:val="16"/>
          </w:rPr>
          <w:t>https://docs.employment.gov.au/documents/list-greenfield-agreements-made</w:t>
        </w:r>
      </w:hyperlink>
      <w:r w:rsidRPr="00B85A4A">
        <w:rPr>
          <w:sz w:val="16"/>
          <w:szCs w:val="16"/>
        </w:rPr>
        <w:t xml:space="preserve"> </w:t>
      </w:r>
    </w:p>
  </w:footnote>
  <w:footnote w:id="4">
    <w:p w14:paraId="6253AAF8" w14:textId="77777777" w:rsidR="00D63D3B" w:rsidRPr="00B85A4A" w:rsidRDefault="00D63D3B" w:rsidP="00F97AE3">
      <w:pPr>
        <w:pStyle w:val="FootnoteText"/>
        <w:rPr>
          <w:sz w:val="16"/>
          <w:szCs w:val="16"/>
        </w:rPr>
      </w:pPr>
      <w:r w:rsidRPr="00B85A4A">
        <w:rPr>
          <w:rStyle w:val="FootnoteReference"/>
          <w:sz w:val="16"/>
          <w:szCs w:val="16"/>
        </w:rPr>
        <w:footnoteRef/>
      </w:r>
      <w:r w:rsidRPr="00B85A4A">
        <w:rPr>
          <w:sz w:val="16"/>
          <w:szCs w:val="16"/>
        </w:rPr>
        <w:t xml:space="preserve"> To June (i.e. half year data)</w:t>
      </w:r>
    </w:p>
  </w:footnote>
  <w:footnote w:id="5">
    <w:p w14:paraId="3ED2CDBA" w14:textId="77777777" w:rsidR="00D63D3B" w:rsidRPr="00B85A4A" w:rsidRDefault="00D63D3B" w:rsidP="00F97AE3">
      <w:pPr>
        <w:pStyle w:val="FootnoteText"/>
        <w:rPr>
          <w:sz w:val="16"/>
          <w:szCs w:val="16"/>
        </w:rPr>
      </w:pPr>
      <w:r w:rsidRPr="00B85A4A">
        <w:rPr>
          <w:rStyle w:val="FootnoteReference"/>
          <w:sz w:val="16"/>
          <w:szCs w:val="16"/>
        </w:rPr>
        <w:footnoteRef/>
      </w:r>
      <w:r w:rsidRPr="00B85A4A">
        <w:rPr>
          <w:sz w:val="16"/>
          <w:szCs w:val="16"/>
        </w:rPr>
        <w:t xml:space="preserve"> Extrapolation </w:t>
      </w:r>
    </w:p>
  </w:footnote>
  <w:footnote w:id="6">
    <w:p w14:paraId="382B260C" w14:textId="77777777" w:rsidR="00D63D3B" w:rsidRPr="00B85A4A" w:rsidRDefault="00D63D3B" w:rsidP="00322A08">
      <w:pPr>
        <w:pStyle w:val="FootnoteText"/>
        <w:rPr>
          <w:sz w:val="16"/>
          <w:szCs w:val="16"/>
        </w:rPr>
      </w:pPr>
      <w:r w:rsidRPr="00B85A4A">
        <w:rPr>
          <w:rStyle w:val="FootnoteReference"/>
          <w:sz w:val="16"/>
          <w:szCs w:val="16"/>
        </w:rPr>
        <w:footnoteRef/>
      </w:r>
      <w:r w:rsidRPr="00B85A4A">
        <w:rPr>
          <w:sz w:val="16"/>
          <w:szCs w:val="16"/>
        </w:rPr>
        <w:t xml:space="preserve"> Senate Education and Employment Committee (2014) </w:t>
      </w:r>
      <w:hyperlink r:id="rId4" w:history="1">
        <w:r w:rsidRPr="00B85A4A">
          <w:rPr>
            <w:rStyle w:val="Hyperlink"/>
            <w:sz w:val="16"/>
            <w:szCs w:val="16"/>
          </w:rPr>
          <w:t>Report on the Fair Work Amendment Bill 2014 [Provisions]</w:t>
        </w:r>
      </w:hyperlink>
      <w:r w:rsidRPr="00B85A4A">
        <w:rPr>
          <w:sz w:val="16"/>
          <w:szCs w:val="16"/>
        </w:rPr>
        <w:t>, 5 June 2014, p.5</w:t>
      </w:r>
    </w:p>
  </w:footnote>
  <w:footnote w:id="7">
    <w:p w14:paraId="6A5F6D27" w14:textId="77777777" w:rsidR="00D63D3B" w:rsidRPr="00B85A4A"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 See </w:t>
      </w:r>
      <w:r w:rsidRPr="00B85A4A">
        <w:rPr>
          <w:sz w:val="16"/>
          <w:szCs w:val="16"/>
          <w:u w:val="double"/>
        </w:rPr>
        <w:t>Attachment B</w:t>
      </w:r>
    </w:p>
  </w:footnote>
  <w:footnote w:id="8">
    <w:p w14:paraId="69EB665B" w14:textId="77777777" w:rsidR="00D63D3B" w:rsidRPr="00B85A4A"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 Department of Employment (2017) </w:t>
      </w:r>
      <w:hyperlink r:id="rId5" w:history="1">
        <w:r w:rsidRPr="00B85A4A">
          <w:rPr>
            <w:rStyle w:val="Hyperlink"/>
            <w:sz w:val="16"/>
            <w:szCs w:val="16"/>
          </w:rPr>
          <w:t>Greenfields Agreements Review: Background Paper</w:t>
        </w:r>
      </w:hyperlink>
      <w:r w:rsidRPr="00B85A4A">
        <w:rPr>
          <w:sz w:val="16"/>
          <w:szCs w:val="16"/>
        </w:rPr>
        <w:t>, p.19</w:t>
      </w:r>
    </w:p>
  </w:footnote>
  <w:footnote w:id="9">
    <w:p w14:paraId="06C28E33" w14:textId="77777777" w:rsidR="00D63D3B" w:rsidRPr="00B85A4A" w:rsidRDefault="00D63D3B" w:rsidP="00D65D6C">
      <w:pPr>
        <w:pStyle w:val="FootnoteText"/>
        <w:rPr>
          <w:i/>
          <w:sz w:val="16"/>
          <w:szCs w:val="16"/>
        </w:rPr>
      </w:pPr>
      <w:r w:rsidRPr="00B85A4A">
        <w:rPr>
          <w:rStyle w:val="FootnoteReference"/>
          <w:sz w:val="16"/>
          <w:szCs w:val="16"/>
        </w:rPr>
        <w:footnoteRef/>
      </w:r>
      <w:r w:rsidRPr="00B85A4A">
        <w:rPr>
          <w:sz w:val="16"/>
          <w:szCs w:val="16"/>
        </w:rPr>
        <w:t xml:space="preserve"> Productivity Commission (2015) </w:t>
      </w:r>
      <w:hyperlink r:id="rId6" w:history="1">
        <w:r w:rsidRPr="00B85A4A">
          <w:rPr>
            <w:rStyle w:val="Hyperlink"/>
            <w:sz w:val="16"/>
            <w:szCs w:val="16"/>
          </w:rPr>
          <w:t>Final Inquiry Report – Workplace Relations Framework</w:t>
        </w:r>
      </w:hyperlink>
      <w:r w:rsidRPr="00B85A4A">
        <w:rPr>
          <w:sz w:val="16"/>
          <w:szCs w:val="16"/>
        </w:rPr>
        <w:t xml:space="preserve">, Vol 2, p.713, </w:t>
      </w:r>
      <w:r w:rsidRPr="00B85A4A">
        <w:rPr>
          <w:i/>
          <w:sz w:val="16"/>
          <w:szCs w:val="16"/>
        </w:rPr>
        <w:t>emphasis added</w:t>
      </w:r>
    </w:p>
  </w:footnote>
  <w:footnote w:id="10">
    <w:p w14:paraId="70D5E589" w14:textId="77777777" w:rsidR="00D63D3B" w:rsidRPr="00B85A4A"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 Productivity Commission (2015) </w:t>
      </w:r>
      <w:hyperlink r:id="rId7" w:history="1">
        <w:r w:rsidRPr="00B85A4A">
          <w:rPr>
            <w:rStyle w:val="Hyperlink"/>
            <w:sz w:val="16"/>
            <w:szCs w:val="16"/>
          </w:rPr>
          <w:t>Final Inquiry Report – Workplace Relations Framework</w:t>
        </w:r>
      </w:hyperlink>
      <w:r w:rsidRPr="00B85A4A">
        <w:rPr>
          <w:sz w:val="16"/>
          <w:szCs w:val="16"/>
        </w:rPr>
        <w:t>, Vol 2, p.719</w:t>
      </w:r>
    </w:p>
  </w:footnote>
  <w:footnote w:id="11">
    <w:p w14:paraId="58D39CA6" w14:textId="77777777" w:rsidR="00D63D3B" w:rsidRPr="00B85A4A"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 Productivity Commission (2015) </w:t>
      </w:r>
      <w:hyperlink r:id="rId8" w:history="1">
        <w:r w:rsidRPr="00B85A4A">
          <w:rPr>
            <w:rStyle w:val="Hyperlink"/>
            <w:sz w:val="16"/>
            <w:szCs w:val="16"/>
          </w:rPr>
          <w:t>Final Inquiry Report – Workplace Relations Framework</w:t>
        </w:r>
      </w:hyperlink>
      <w:r w:rsidRPr="00B85A4A">
        <w:rPr>
          <w:sz w:val="16"/>
          <w:szCs w:val="16"/>
        </w:rPr>
        <w:t>, Vol 2, p.721</w:t>
      </w:r>
    </w:p>
  </w:footnote>
  <w:footnote w:id="12">
    <w:p w14:paraId="492D6B17" w14:textId="77777777" w:rsidR="00D63D3B" w:rsidRPr="00B85A4A"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Department of Employment (2017) </w:t>
      </w:r>
      <w:hyperlink r:id="rId9" w:history="1">
        <w:r w:rsidRPr="00B85A4A">
          <w:rPr>
            <w:rStyle w:val="Hyperlink"/>
            <w:sz w:val="16"/>
            <w:szCs w:val="16"/>
          </w:rPr>
          <w:t>Greenfields Agreements Review: Background Paper</w:t>
        </w:r>
      </w:hyperlink>
      <w:r w:rsidRPr="00B85A4A">
        <w:rPr>
          <w:sz w:val="16"/>
          <w:szCs w:val="16"/>
        </w:rPr>
        <w:t xml:space="preserve">, pp.13-16 </w:t>
      </w:r>
    </w:p>
  </w:footnote>
  <w:footnote w:id="13">
    <w:p w14:paraId="6E722293" w14:textId="77777777" w:rsidR="00D63D3B" w:rsidRPr="00B85A4A"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Department of Employment (2017) </w:t>
      </w:r>
      <w:hyperlink r:id="rId10" w:history="1">
        <w:r w:rsidRPr="00B85A4A">
          <w:rPr>
            <w:rStyle w:val="Hyperlink"/>
            <w:sz w:val="16"/>
            <w:szCs w:val="16"/>
          </w:rPr>
          <w:t>Greenfields Agreements Review: Background Paper</w:t>
        </w:r>
      </w:hyperlink>
      <w:r w:rsidRPr="00B85A4A">
        <w:rPr>
          <w:sz w:val="16"/>
          <w:szCs w:val="16"/>
        </w:rPr>
        <w:t>, pp.15</w:t>
      </w:r>
    </w:p>
  </w:footnote>
  <w:footnote w:id="14">
    <w:p w14:paraId="2BA55DB6" w14:textId="77777777" w:rsidR="00D63D3B" w:rsidRDefault="00D63D3B" w:rsidP="00D65D6C">
      <w:pPr>
        <w:pStyle w:val="FootnoteText"/>
        <w:rPr>
          <w:sz w:val="16"/>
          <w:szCs w:val="16"/>
        </w:rPr>
      </w:pPr>
      <w:r w:rsidRPr="00B85A4A">
        <w:rPr>
          <w:rStyle w:val="FootnoteReference"/>
          <w:sz w:val="16"/>
          <w:szCs w:val="16"/>
        </w:rPr>
        <w:footnoteRef/>
      </w:r>
      <w:r w:rsidRPr="00B85A4A">
        <w:rPr>
          <w:sz w:val="16"/>
          <w:szCs w:val="16"/>
        </w:rPr>
        <w:t xml:space="preserve"> Productivity Commission (2</w:t>
      </w:r>
    </w:p>
    <w:p w14:paraId="0208CFC9" w14:textId="77777777" w:rsidR="00D63D3B" w:rsidRPr="00B85A4A" w:rsidRDefault="00D63D3B" w:rsidP="00D65D6C">
      <w:pPr>
        <w:pStyle w:val="FootnoteText"/>
        <w:rPr>
          <w:sz w:val="16"/>
          <w:szCs w:val="16"/>
        </w:rPr>
      </w:pPr>
      <w:r w:rsidRPr="00B85A4A">
        <w:rPr>
          <w:sz w:val="16"/>
          <w:szCs w:val="16"/>
        </w:rPr>
        <w:t xml:space="preserve">015) </w:t>
      </w:r>
      <w:hyperlink r:id="rId11" w:history="1">
        <w:r w:rsidRPr="00B85A4A">
          <w:rPr>
            <w:rStyle w:val="Hyperlink"/>
            <w:sz w:val="16"/>
            <w:szCs w:val="16"/>
          </w:rPr>
          <w:t>Final Inquiry Report – Workplace Relations Framework</w:t>
        </w:r>
      </w:hyperlink>
      <w:r w:rsidRPr="00B85A4A">
        <w:rPr>
          <w:sz w:val="16"/>
          <w:szCs w:val="16"/>
        </w:rPr>
        <w:t>, Vol 2, p.713</w:t>
      </w:r>
    </w:p>
  </w:footnote>
  <w:footnote w:id="15">
    <w:p w14:paraId="2717FC22"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Department of Employment (2017) </w:t>
      </w:r>
      <w:hyperlink r:id="rId12" w:history="1">
        <w:r w:rsidRPr="00B85A4A">
          <w:rPr>
            <w:rStyle w:val="Hyperlink"/>
            <w:sz w:val="16"/>
            <w:szCs w:val="16"/>
          </w:rPr>
          <w:t>Greenfields Agreements Review: Background Paper</w:t>
        </w:r>
      </w:hyperlink>
      <w:r w:rsidRPr="00B85A4A">
        <w:rPr>
          <w:sz w:val="16"/>
          <w:szCs w:val="16"/>
        </w:rPr>
        <w:t>, p.19</w:t>
      </w:r>
    </w:p>
  </w:footnote>
  <w:footnote w:id="16">
    <w:p w14:paraId="5E305AFA"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To June (i.e. half year data)</w:t>
      </w:r>
    </w:p>
  </w:footnote>
  <w:footnote w:id="17">
    <w:p w14:paraId="001F0343"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Extrapolation </w:t>
      </w:r>
    </w:p>
  </w:footnote>
  <w:footnote w:id="18">
    <w:p w14:paraId="40CCDE08"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Department of Employment (2017) </w:t>
      </w:r>
      <w:hyperlink r:id="rId13" w:history="1">
        <w:r w:rsidRPr="00B85A4A">
          <w:rPr>
            <w:rStyle w:val="Hyperlink"/>
            <w:sz w:val="16"/>
            <w:szCs w:val="16"/>
          </w:rPr>
          <w:t>Greenfields Agreements Review: Background Paper</w:t>
        </w:r>
      </w:hyperlink>
      <w:r w:rsidRPr="00B85A4A">
        <w:rPr>
          <w:sz w:val="16"/>
          <w:szCs w:val="16"/>
        </w:rPr>
        <w:t>, p.19</w:t>
      </w:r>
    </w:p>
  </w:footnote>
  <w:footnote w:id="19">
    <w:p w14:paraId="0E6EB7B2" w14:textId="77777777" w:rsidR="00D63D3B" w:rsidRPr="00B85A4A" w:rsidRDefault="00D63D3B">
      <w:pPr>
        <w:pStyle w:val="FootnoteText"/>
        <w:rPr>
          <w:sz w:val="16"/>
          <w:szCs w:val="16"/>
        </w:rPr>
      </w:pPr>
      <w:r w:rsidRPr="00B85A4A">
        <w:rPr>
          <w:rStyle w:val="FootnoteReference"/>
          <w:sz w:val="16"/>
          <w:szCs w:val="16"/>
        </w:rPr>
        <w:footnoteRef/>
      </w:r>
      <w:r w:rsidRPr="00B85A4A">
        <w:rPr>
          <w:sz w:val="16"/>
          <w:szCs w:val="16"/>
        </w:rPr>
        <w:t xml:space="preserve"> Passed as the </w:t>
      </w:r>
      <w:r w:rsidRPr="00B85A4A">
        <w:rPr>
          <w:i/>
          <w:sz w:val="16"/>
          <w:szCs w:val="16"/>
        </w:rPr>
        <w:t>Fair Work Amendment Act 2015</w:t>
      </w:r>
      <w:r w:rsidRPr="00B85A4A">
        <w:rPr>
          <w:sz w:val="16"/>
          <w:szCs w:val="16"/>
        </w:rPr>
        <w:t xml:space="preserve">. </w:t>
      </w:r>
    </w:p>
  </w:footnote>
  <w:footnote w:id="20">
    <w:p w14:paraId="4889E0E9" w14:textId="77777777" w:rsidR="00D63D3B" w:rsidRPr="00B85A4A" w:rsidRDefault="00D63D3B" w:rsidP="008172DD">
      <w:pPr>
        <w:pStyle w:val="FootnoteText"/>
        <w:rPr>
          <w:sz w:val="16"/>
          <w:szCs w:val="16"/>
        </w:rPr>
      </w:pPr>
      <w:r w:rsidRPr="00B85A4A">
        <w:rPr>
          <w:rStyle w:val="FootnoteReference"/>
          <w:sz w:val="16"/>
          <w:szCs w:val="16"/>
        </w:rPr>
        <w:footnoteRef/>
      </w:r>
      <w:r w:rsidRPr="00B85A4A">
        <w:rPr>
          <w:sz w:val="16"/>
          <w:szCs w:val="16"/>
        </w:rPr>
        <w:t xml:space="preserve">Australian Government (2017) </w:t>
      </w:r>
      <w:hyperlink r:id="rId14" w:history="1">
        <w:r w:rsidRPr="00B85A4A">
          <w:rPr>
            <w:rStyle w:val="Hyperlink"/>
            <w:sz w:val="16"/>
            <w:szCs w:val="16"/>
          </w:rPr>
          <w:t>Greenfields Agreement Review, Consultation Paper</w:t>
        </w:r>
      </w:hyperlink>
      <w:r w:rsidRPr="00B85A4A">
        <w:rPr>
          <w:sz w:val="16"/>
          <w:szCs w:val="16"/>
        </w:rPr>
        <w:t xml:space="preserve">, p.4 </w:t>
      </w:r>
    </w:p>
  </w:footnote>
  <w:footnote w:id="21">
    <w:p w14:paraId="6C861BCA" w14:textId="77777777" w:rsidR="00D63D3B" w:rsidRPr="00B85A4A" w:rsidRDefault="00D63D3B" w:rsidP="008172DD">
      <w:pPr>
        <w:pStyle w:val="FootnoteText"/>
        <w:rPr>
          <w:sz w:val="16"/>
          <w:szCs w:val="16"/>
        </w:rPr>
      </w:pPr>
      <w:r w:rsidRPr="00B85A4A">
        <w:rPr>
          <w:rStyle w:val="FootnoteReference"/>
          <w:sz w:val="16"/>
          <w:szCs w:val="16"/>
        </w:rPr>
        <w:footnoteRef/>
      </w:r>
      <w:r w:rsidRPr="00B85A4A">
        <w:rPr>
          <w:sz w:val="16"/>
          <w:szCs w:val="16"/>
        </w:rPr>
        <w:t xml:space="preserve"> Australian Government (2017) </w:t>
      </w:r>
      <w:hyperlink r:id="rId15" w:history="1">
        <w:r w:rsidRPr="00B85A4A">
          <w:rPr>
            <w:rStyle w:val="Hyperlink"/>
            <w:sz w:val="16"/>
            <w:szCs w:val="16"/>
          </w:rPr>
          <w:t>Greenfields Agreement Review, Consultation Paper</w:t>
        </w:r>
      </w:hyperlink>
      <w:r w:rsidRPr="00B85A4A">
        <w:rPr>
          <w:sz w:val="16"/>
          <w:szCs w:val="16"/>
        </w:rPr>
        <w:t>, p.4</w:t>
      </w:r>
    </w:p>
  </w:footnote>
  <w:footnote w:id="22">
    <w:p w14:paraId="6FE509B8" w14:textId="77777777" w:rsidR="00D63D3B" w:rsidRPr="00B85A4A" w:rsidRDefault="00D63D3B" w:rsidP="008172DD">
      <w:pPr>
        <w:pStyle w:val="FootnoteText"/>
        <w:rPr>
          <w:sz w:val="16"/>
          <w:szCs w:val="16"/>
        </w:rPr>
      </w:pPr>
      <w:r w:rsidRPr="00B85A4A">
        <w:rPr>
          <w:rStyle w:val="FootnoteReference"/>
          <w:sz w:val="16"/>
          <w:szCs w:val="16"/>
        </w:rPr>
        <w:footnoteRef/>
      </w:r>
      <w:r w:rsidRPr="00B85A4A">
        <w:rPr>
          <w:sz w:val="16"/>
          <w:szCs w:val="16"/>
        </w:rPr>
        <w:t xml:space="preserve"> Provided for the review on its website as an Excel file. </w:t>
      </w:r>
    </w:p>
  </w:footnote>
  <w:footnote w:id="23">
    <w:p w14:paraId="40B2C311" w14:textId="77777777" w:rsidR="00D63D3B" w:rsidRPr="00B85A4A" w:rsidRDefault="00D63D3B" w:rsidP="008172DD">
      <w:pPr>
        <w:pStyle w:val="FootnoteText"/>
        <w:rPr>
          <w:sz w:val="16"/>
          <w:szCs w:val="16"/>
        </w:rPr>
      </w:pPr>
      <w:r w:rsidRPr="00B85A4A">
        <w:rPr>
          <w:rStyle w:val="FootnoteReference"/>
          <w:sz w:val="16"/>
          <w:szCs w:val="16"/>
        </w:rPr>
        <w:footnoteRef/>
      </w:r>
      <w:r w:rsidRPr="00B85A4A">
        <w:rPr>
          <w:sz w:val="16"/>
          <w:szCs w:val="16"/>
        </w:rPr>
        <w:t xml:space="preserve"> Australian Government (2017) </w:t>
      </w:r>
      <w:hyperlink r:id="rId16" w:history="1">
        <w:r w:rsidRPr="00B85A4A">
          <w:rPr>
            <w:rStyle w:val="Hyperlink"/>
            <w:sz w:val="16"/>
            <w:szCs w:val="16"/>
          </w:rPr>
          <w:t>Greenfields Agreement Review, Consultation Paper</w:t>
        </w:r>
      </w:hyperlink>
      <w:r w:rsidRPr="00B85A4A">
        <w:rPr>
          <w:sz w:val="16"/>
          <w:szCs w:val="16"/>
        </w:rPr>
        <w:t>, p.4</w:t>
      </w:r>
    </w:p>
  </w:footnote>
  <w:footnote w:id="24">
    <w:p w14:paraId="24F23A52" w14:textId="77777777" w:rsidR="00D63D3B" w:rsidRPr="00B85A4A" w:rsidRDefault="00D63D3B" w:rsidP="008172DD">
      <w:pPr>
        <w:pStyle w:val="FootnoteText"/>
        <w:rPr>
          <w:sz w:val="16"/>
          <w:szCs w:val="16"/>
        </w:rPr>
      </w:pPr>
      <w:r w:rsidRPr="00B85A4A">
        <w:rPr>
          <w:rStyle w:val="FootnoteReference"/>
          <w:sz w:val="16"/>
          <w:szCs w:val="16"/>
        </w:rPr>
        <w:footnoteRef/>
      </w:r>
      <w:r w:rsidRPr="00B85A4A">
        <w:rPr>
          <w:sz w:val="16"/>
          <w:szCs w:val="16"/>
        </w:rPr>
        <w:t xml:space="preserve"> Australian Government (2017) </w:t>
      </w:r>
      <w:hyperlink r:id="rId17" w:history="1">
        <w:r w:rsidRPr="00B85A4A">
          <w:rPr>
            <w:rStyle w:val="Hyperlink"/>
            <w:sz w:val="16"/>
            <w:szCs w:val="16"/>
          </w:rPr>
          <w:t>Greenfields Agreement Review, Consultation Paper</w:t>
        </w:r>
      </w:hyperlink>
      <w:r w:rsidRPr="00B85A4A">
        <w:rPr>
          <w:sz w:val="16"/>
          <w:szCs w:val="16"/>
        </w:rPr>
        <w:t>, p.4</w:t>
      </w:r>
    </w:p>
  </w:footnote>
  <w:footnote w:id="25">
    <w:p w14:paraId="7BB418C7" w14:textId="77777777" w:rsidR="00D63D3B" w:rsidRPr="00B85A4A" w:rsidRDefault="00D63D3B" w:rsidP="008172DD">
      <w:pPr>
        <w:pStyle w:val="FootnoteText"/>
        <w:rPr>
          <w:sz w:val="16"/>
          <w:szCs w:val="16"/>
        </w:rPr>
      </w:pPr>
      <w:r w:rsidRPr="00B85A4A">
        <w:rPr>
          <w:rStyle w:val="FootnoteReference"/>
          <w:sz w:val="16"/>
          <w:szCs w:val="16"/>
        </w:rPr>
        <w:footnoteRef/>
      </w:r>
      <w:r w:rsidRPr="00B85A4A">
        <w:rPr>
          <w:sz w:val="16"/>
          <w:szCs w:val="16"/>
        </w:rPr>
        <w:t xml:space="preserve"> Australian Government (2017) </w:t>
      </w:r>
      <w:hyperlink r:id="rId18" w:history="1">
        <w:r w:rsidRPr="00B85A4A">
          <w:rPr>
            <w:rStyle w:val="Hyperlink"/>
            <w:sz w:val="16"/>
            <w:szCs w:val="16"/>
          </w:rPr>
          <w:t>Greenfields Agreement Review, Consultation Paper</w:t>
        </w:r>
      </w:hyperlink>
      <w:r w:rsidRPr="00B85A4A">
        <w:rPr>
          <w:sz w:val="16"/>
          <w:szCs w:val="16"/>
        </w:rPr>
        <w:t>, p.4</w:t>
      </w:r>
    </w:p>
  </w:footnote>
  <w:footnote w:id="26">
    <w:p w14:paraId="472784F3" w14:textId="77777777" w:rsidR="00D63D3B" w:rsidRPr="00B85A4A" w:rsidRDefault="00D63D3B" w:rsidP="00001398">
      <w:pPr>
        <w:pStyle w:val="FootnoteText"/>
        <w:rPr>
          <w:sz w:val="16"/>
          <w:szCs w:val="16"/>
        </w:rPr>
      </w:pPr>
      <w:r w:rsidRPr="00B85A4A">
        <w:rPr>
          <w:rStyle w:val="FootnoteReference"/>
          <w:sz w:val="16"/>
          <w:szCs w:val="16"/>
        </w:rPr>
        <w:footnoteRef/>
      </w:r>
      <w:r w:rsidRPr="00B85A4A">
        <w:rPr>
          <w:sz w:val="16"/>
          <w:szCs w:val="16"/>
        </w:rPr>
        <w:t xml:space="preserve">Australian Government (2017) </w:t>
      </w:r>
      <w:hyperlink r:id="rId19" w:history="1">
        <w:r w:rsidRPr="00B85A4A">
          <w:rPr>
            <w:rStyle w:val="Hyperlink"/>
            <w:sz w:val="16"/>
            <w:szCs w:val="16"/>
          </w:rPr>
          <w:t>Greenfields Agreement Review, Consultation Paper</w:t>
        </w:r>
      </w:hyperlink>
      <w:r w:rsidRPr="00B85A4A">
        <w:rPr>
          <w:sz w:val="16"/>
          <w:szCs w:val="16"/>
        </w:rPr>
        <w:t>, pp.9, 10-13</w:t>
      </w:r>
    </w:p>
  </w:footnote>
  <w:footnote w:id="27">
    <w:p w14:paraId="52244574" w14:textId="77777777" w:rsidR="00D63D3B" w:rsidRPr="00B85A4A" w:rsidRDefault="00D63D3B" w:rsidP="00001398">
      <w:pPr>
        <w:pStyle w:val="FootnoteText"/>
        <w:rPr>
          <w:sz w:val="16"/>
          <w:szCs w:val="16"/>
        </w:rPr>
      </w:pPr>
      <w:r w:rsidRPr="00B85A4A">
        <w:rPr>
          <w:rStyle w:val="FootnoteReference"/>
          <w:sz w:val="16"/>
          <w:szCs w:val="16"/>
        </w:rPr>
        <w:footnoteRef/>
      </w:r>
      <w:r w:rsidRPr="00B85A4A">
        <w:rPr>
          <w:sz w:val="16"/>
          <w:szCs w:val="16"/>
        </w:rPr>
        <w:t xml:space="preserve"> Fair Work Review Panel (2012) </w:t>
      </w:r>
      <w:hyperlink r:id="rId20" w:history="1">
        <w:r w:rsidRPr="00B85A4A">
          <w:rPr>
            <w:rStyle w:val="Hyperlink"/>
            <w:sz w:val="16"/>
            <w:szCs w:val="16"/>
          </w:rPr>
          <w:t>Towards more productive and equitable workplaces - An evaluation of the Fair Work legislation</w:t>
        </w:r>
      </w:hyperlink>
      <w:r w:rsidRPr="00B85A4A">
        <w:rPr>
          <w:sz w:val="16"/>
          <w:szCs w:val="16"/>
        </w:rPr>
        <w:t>, Recommendation 27, p.172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CAE9" w14:textId="77777777" w:rsidR="00D63D3B" w:rsidRDefault="00D63D3B">
    <w:pPr>
      <w:pStyle w:val="Header"/>
    </w:pPr>
    <w:r>
      <w:rPr>
        <w:noProof/>
        <w:lang w:eastAsia="en-AU"/>
      </w:rPr>
      <mc:AlternateContent>
        <mc:Choice Requires="wpg">
          <w:drawing>
            <wp:anchor distT="0" distB="0" distL="114300" distR="114300" simplePos="0" relativeHeight="251657728" behindDoc="0" locked="1" layoutInCell="1" allowOverlap="1" wp14:anchorId="3E7105AF" wp14:editId="10F3D0C9">
              <wp:simplePos x="0" y="0"/>
              <wp:positionH relativeFrom="page">
                <wp:posOffset>370840</wp:posOffset>
              </wp:positionH>
              <wp:positionV relativeFrom="page">
                <wp:posOffset>352425</wp:posOffset>
              </wp:positionV>
              <wp:extent cx="6833880" cy="6000840"/>
              <wp:effectExtent l="0" t="0" r="24130" b="19050"/>
              <wp:wrapNone/>
              <wp:docPr id="9" name="Group 9"/>
              <wp:cNvGraphicFramePr/>
              <a:graphic xmlns:a="http://schemas.openxmlformats.org/drawingml/2006/main">
                <a:graphicData uri="http://schemas.microsoft.com/office/word/2010/wordprocessingGroup">
                  <wpg:wgp>
                    <wpg:cNvGrpSpPr/>
                    <wpg:grpSpPr>
                      <a:xfrm>
                        <a:off x="0" y="0"/>
                        <a:ext cx="6833880" cy="6000840"/>
                        <a:chOff x="0" y="0"/>
                        <a:chExt cx="6833870" cy="6000750"/>
                      </a:xfrm>
                    </wpg:grpSpPr>
                    <wps:wsp>
                      <wps:cNvPr id="7" name="Rectangle 7"/>
                      <wps:cNvSpPr/>
                      <wps:spPr>
                        <a:xfrm>
                          <a:off x="952500" y="0"/>
                          <a:ext cx="5881370" cy="6000750"/>
                        </a:xfrm>
                        <a:custGeom>
                          <a:avLst/>
                          <a:gdLst>
                            <a:gd name="connsiteX0" fmla="*/ 0 w 5881370"/>
                            <a:gd name="connsiteY0" fmla="*/ 0 h 6000750"/>
                            <a:gd name="connsiteX1" fmla="*/ 5881370 w 5881370"/>
                            <a:gd name="connsiteY1" fmla="*/ 0 h 6000750"/>
                            <a:gd name="connsiteX2" fmla="*/ 5881370 w 5881370"/>
                            <a:gd name="connsiteY2" fmla="*/ 6000750 h 6000750"/>
                            <a:gd name="connsiteX3" fmla="*/ 0 w 5881370"/>
                            <a:gd name="connsiteY3" fmla="*/ 6000750 h 6000750"/>
                            <a:gd name="connsiteX4" fmla="*/ 0 w 5881370"/>
                            <a:gd name="connsiteY4" fmla="*/ 0 h 6000750"/>
                            <a:gd name="connsiteX0" fmla="*/ 0 w 5881370"/>
                            <a:gd name="connsiteY0" fmla="*/ 0 h 6000750"/>
                            <a:gd name="connsiteX1" fmla="*/ 5881370 w 5881370"/>
                            <a:gd name="connsiteY1" fmla="*/ 0 h 6000750"/>
                            <a:gd name="connsiteX2" fmla="*/ 5881370 w 5881370"/>
                            <a:gd name="connsiteY2" fmla="*/ 6000750 h 6000750"/>
                            <a:gd name="connsiteX3" fmla="*/ 1885950 w 5881370"/>
                            <a:gd name="connsiteY3" fmla="*/ 6000750 h 6000750"/>
                            <a:gd name="connsiteX4" fmla="*/ 0 w 5881370"/>
                            <a:gd name="connsiteY4" fmla="*/ 0 h 6000750"/>
                            <a:gd name="connsiteX0" fmla="*/ 0 w 5881370"/>
                            <a:gd name="connsiteY0" fmla="*/ 0 h 6000750"/>
                            <a:gd name="connsiteX1" fmla="*/ 5881370 w 5881370"/>
                            <a:gd name="connsiteY1" fmla="*/ 0 h 6000750"/>
                            <a:gd name="connsiteX2" fmla="*/ 5881370 w 5881370"/>
                            <a:gd name="connsiteY2" fmla="*/ 6000750 h 6000750"/>
                            <a:gd name="connsiteX3" fmla="*/ 2790825 w 5881370"/>
                            <a:gd name="connsiteY3" fmla="*/ 6000750 h 6000750"/>
                            <a:gd name="connsiteX4" fmla="*/ 0 w 5881370"/>
                            <a:gd name="connsiteY4" fmla="*/ 0 h 6000750"/>
                            <a:gd name="connsiteX0" fmla="*/ 0 w 5881370"/>
                            <a:gd name="connsiteY0" fmla="*/ 0 h 6000750"/>
                            <a:gd name="connsiteX1" fmla="*/ 5881370 w 5881370"/>
                            <a:gd name="connsiteY1" fmla="*/ 0 h 6000750"/>
                            <a:gd name="connsiteX2" fmla="*/ 5881370 w 5881370"/>
                            <a:gd name="connsiteY2" fmla="*/ 6000750 h 6000750"/>
                            <a:gd name="connsiteX3" fmla="*/ 2095500 w 5881370"/>
                            <a:gd name="connsiteY3" fmla="*/ 6000750 h 6000750"/>
                            <a:gd name="connsiteX4" fmla="*/ 0 w 5881370"/>
                            <a:gd name="connsiteY4" fmla="*/ 0 h 6000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81370" h="6000750">
                              <a:moveTo>
                                <a:pt x="0" y="0"/>
                              </a:moveTo>
                              <a:lnTo>
                                <a:pt x="5881370" y="0"/>
                              </a:lnTo>
                              <a:lnTo>
                                <a:pt x="5881370" y="6000750"/>
                              </a:lnTo>
                              <a:lnTo>
                                <a:pt x="2095500" y="6000750"/>
                              </a:lnTo>
                              <a:lnTo>
                                <a:pt x="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057525" y="161925"/>
                          <a:ext cx="1057910" cy="334645"/>
                        </a:xfrm>
                        <a:prstGeom prst="rect">
                          <a:avLst/>
                        </a:prstGeom>
                        <a:noFill/>
                        <a:ln>
                          <a:noFill/>
                        </a:ln>
                      </pic:spPr>
                    </pic:pic>
                    <pic:pic xmlns:pic="http://schemas.openxmlformats.org/drawingml/2006/picture">
                      <pic:nvPicPr>
                        <pic:cNvPr id="8" name="Pictur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914525"/>
                          <a:ext cx="2920365" cy="27051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5E7788E" id="Group 9" o:spid="_x0000_s1026" style="position:absolute;margin-left:29.2pt;margin-top:27.75pt;width:538.1pt;height:472.5pt;z-index:251657728;mso-position-horizontal-relative:page;mso-position-vertical-relative:page;mso-width-relative:margin;mso-height-relative:margin" coordsize="68338,600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">
              <v:shape id="Rectangle 7" o:spid="_x0000_s1027" style="position:absolute;left:9525;width:58813;height:60007;visibility:visible;mso-wrap-style:square;v-text-anchor:middle" coordsize="5881370,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" path="m,l5881370,r,6000750l2095500,6000750,,xe" fillcolor="#14377d [3204]" strokecolor="#0a1b3e [1604]" strokeweight="1pt">
                <v:stroke joinstyle="miter"/>
                <v:path arrowok="t" o:connecttype="custom" o:connectlocs="0,0;5881370,0;5881370,6000750;2095500,6000750;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30575;top:1619;width:10579;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">
                <v:imagedata r:id="rId3" o:title=""/>
                <v:path arrowok="t"/>
              </v:shape>
              <v:shape id="Picture 8" o:spid="_x0000_s1029" type="#_x0000_t75" style="position:absolute;top:19145;width:29203;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">
                <v:imagedata r:id="rId4" o:title=""/>
                <v:path arrowok="t"/>
              </v:shape>
              <w10:wrap anchorx="page" anchory="page"/>
              <w10:anchorlock/>
            </v:group>
          </w:pict>
        </mc:Fallback>
      </mc:AlternateContent>
    </w:r>
    <w:r w:rsidRPr="00C06A4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1F5F" w14:textId="661BF873" w:rsidR="00D63D3B" w:rsidRDefault="00D63D3B">
    <w:pPr>
      <w:pStyle w:val="Header"/>
    </w:pPr>
    <w:r w:rsidRPr="00254421">
      <w:t xml:space="preserve"> </w:t>
    </w:r>
    <w:r w:rsidRPr="00486B73">
      <w:rPr>
        <w:noProof/>
        <w:lang w:eastAsia="en-AU"/>
      </w:rPr>
      <w:drawing>
        <wp:anchor distT="0" distB="0" distL="114300" distR="114300" simplePos="0" relativeHeight="251656704" behindDoc="0" locked="1" layoutInCell="1" allowOverlap="1" wp14:anchorId="2A8E338B" wp14:editId="2C5C1E56">
          <wp:simplePos x="0" y="0"/>
          <wp:positionH relativeFrom="page">
            <wp:posOffset>242570</wp:posOffset>
          </wp:positionH>
          <wp:positionV relativeFrom="page">
            <wp:posOffset>237490</wp:posOffset>
          </wp:positionV>
          <wp:extent cx="2077200" cy="903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7200" cy="90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2A65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44742"/>
    <w:multiLevelType w:val="hybridMultilevel"/>
    <w:tmpl w:val="ED682F0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A422B87"/>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F003C9"/>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2C5B04"/>
    <w:multiLevelType w:val="hybridMultilevel"/>
    <w:tmpl w:val="32C2CE00"/>
    <w:lvl w:ilvl="0" w:tplc="7F8EC89E">
      <w:start w:val="1"/>
      <w:numFmt w:val="decimal"/>
      <w:lvlText w:val="%1."/>
      <w:lvlJc w:val="left"/>
      <w:pPr>
        <w:ind w:left="720" w:hanging="360"/>
      </w:pPr>
      <w:rPr>
        <w:rFonts w:ascii="Arial Narrow" w:hAnsi="Arial Narrow" w:hint="default"/>
        <w:i w:val="0"/>
      </w:rPr>
    </w:lvl>
    <w:lvl w:ilvl="1" w:tplc="5B506746">
      <w:start w:val="1"/>
      <w:numFmt w:val="lowerLetter"/>
      <w:lvlText w:val="%2."/>
      <w:lvlJc w:val="left"/>
      <w:pPr>
        <w:ind w:left="1440" w:hanging="360"/>
      </w:pPr>
      <w:rPr>
        <w:rFonts w:hint="default"/>
        <w:b w:val="0"/>
        <w:i w:val="0"/>
      </w:rPr>
    </w:lvl>
    <w:lvl w:ilvl="2" w:tplc="A06CFC30">
      <w:start w:val="1"/>
      <w:numFmt w:val="lowerRoman"/>
      <w:lvlText w:val="%3."/>
      <w:lvlJc w:val="left"/>
      <w:pPr>
        <w:ind w:left="2160" w:hanging="180"/>
      </w:pPr>
      <w:rPr>
        <w:rFonts w:hint="default"/>
        <w:i w:val="0"/>
      </w:rPr>
    </w:lvl>
    <w:lvl w:ilvl="3" w:tplc="A5F0808E">
      <w:start w:val="1"/>
      <w:numFmt w:val="decimal"/>
      <w:lvlText w:val="%4."/>
      <w:lvlJc w:val="left"/>
      <w:pPr>
        <w:ind w:left="2880" w:hanging="360"/>
      </w:pPr>
      <w:rPr>
        <w:i w:val="0"/>
      </w:r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6E35AD"/>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82010E"/>
    <w:multiLevelType w:val="hybridMultilevel"/>
    <w:tmpl w:val="167C0324"/>
    <w:lvl w:ilvl="0" w:tplc="EC843F54">
      <w:start w:val="1"/>
      <w:numFmt w:val="bullet"/>
      <w:pStyle w:val="7Dotpoint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0518DC"/>
    <w:multiLevelType w:val="multilevel"/>
    <w:tmpl w:val="A816D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4391082"/>
    <w:multiLevelType w:val="multilevel"/>
    <w:tmpl w:val="A816D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6520525"/>
    <w:multiLevelType w:val="multilevel"/>
    <w:tmpl w:val="8B9C6070"/>
    <w:styleLink w:val="Headings"/>
    <w:lvl w:ilvl="0">
      <w:start w:val="1"/>
      <w:numFmt w:val="decimal"/>
      <w:lvlText w:val="%1"/>
      <w:lvlJc w:val="left"/>
      <w:pPr>
        <w:tabs>
          <w:tab w:val="num" w:pos="360"/>
        </w:tabs>
        <w:ind w:left="360" w:hanging="360"/>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F80FE0"/>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685653"/>
    <w:multiLevelType w:val="hybridMultilevel"/>
    <w:tmpl w:val="FEB05C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1016B9"/>
    <w:multiLevelType w:val="hybridMultilevel"/>
    <w:tmpl w:val="08C0FBA4"/>
    <w:lvl w:ilvl="0" w:tplc="7F8EC89E">
      <w:start w:val="1"/>
      <w:numFmt w:val="decimal"/>
      <w:lvlText w:val="%1."/>
      <w:lvlJc w:val="left"/>
      <w:pPr>
        <w:ind w:left="720" w:hanging="360"/>
      </w:pPr>
      <w:rPr>
        <w:rFonts w:ascii="Arial Narrow" w:hAnsi="Arial Narrow" w:hint="default"/>
        <w:i w:val="0"/>
      </w:rPr>
    </w:lvl>
    <w:lvl w:ilvl="1" w:tplc="5B506746">
      <w:start w:val="1"/>
      <w:numFmt w:val="lowerLetter"/>
      <w:lvlText w:val="%2."/>
      <w:lvlJc w:val="left"/>
      <w:pPr>
        <w:ind w:left="1440" w:hanging="360"/>
      </w:pPr>
      <w:rPr>
        <w:rFonts w:hint="default"/>
        <w:b w:val="0"/>
        <w:i w:val="0"/>
      </w:rPr>
    </w:lvl>
    <w:lvl w:ilvl="2" w:tplc="A06CFC30">
      <w:start w:val="1"/>
      <w:numFmt w:val="lowerRoman"/>
      <w:lvlText w:val="%3."/>
      <w:lvlJc w:val="left"/>
      <w:pPr>
        <w:ind w:left="2160" w:hanging="180"/>
      </w:pPr>
      <w:rPr>
        <w:rFonts w:hint="default"/>
        <w:i w:val="0"/>
      </w:rPr>
    </w:lvl>
    <w:lvl w:ilvl="3" w:tplc="A5F0808E">
      <w:start w:val="1"/>
      <w:numFmt w:val="decimal"/>
      <w:lvlText w:val="%4."/>
      <w:lvlJc w:val="left"/>
      <w:pPr>
        <w:ind w:left="2880" w:hanging="360"/>
      </w:pPr>
      <w:rPr>
        <w:i w:val="0"/>
      </w:r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E558AC"/>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14F5617"/>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FB46CE"/>
    <w:multiLevelType w:val="hybridMultilevel"/>
    <w:tmpl w:val="6CA45166"/>
    <w:lvl w:ilvl="0" w:tplc="8830292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39D72468"/>
    <w:multiLevelType w:val="hybridMultilevel"/>
    <w:tmpl w:val="A95804C4"/>
    <w:lvl w:ilvl="0" w:tplc="DBAE330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D22C73"/>
    <w:multiLevelType w:val="hybridMultilevel"/>
    <w:tmpl w:val="5F7C7A9A"/>
    <w:lvl w:ilvl="0" w:tplc="7F8EC89E">
      <w:start w:val="1"/>
      <w:numFmt w:val="decimal"/>
      <w:lvlText w:val="%1."/>
      <w:lvlJc w:val="left"/>
      <w:pPr>
        <w:ind w:left="720" w:hanging="360"/>
      </w:pPr>
      <w:rPr>
        <w:rFonts w:ascii="Arial Narrow" w:hAnsi="Arial Narrow" w:hint="default"/>
        <w:i w:val="0"/>
      </w:rPr>
    </w:lvl>
    <w:lvl w:ilvl="1" w:tplc="5B506746">
      <w:start w:val="1"/>
      <w:numFmt w:val="lowerLetter"/>
      <w:lvlText w:val="%2."/>
      <w:lvlJc w:val="left"/>
      <w:pPr>
        <w:ind w:left="1440" w:hanging="360"/>
      </w:pPr>
      <w:rPr>
        <w:rFonts w:hint="default"/>
        <w:b w:val="0"/>
        <w:i w:val="0"/>
      </w:rPr>
    </w:lvl>
    <w:lvl w:ilvl="2" w:tplc="A06CFC30">
      <w:start w:val="1"/>
      <w:numFmt w:val="lowerRoman"/>
      <w:lvlText w:val="%3."/>
      <w:lvlJc w:val="left"/>
      <w:pPr>
        <w:ind w:left="2160" w:hanging="180"/>
      </w:pPr>
      <w:rPr>
        <w:rFonts w:hint="default"/>
        <w:i w:val="0"/>
      </w:rPr>
    </w:lvl>
    <w:lvl w:ilvl="3" w:tplc="A5F0808E">
      <w:start w:val="1"/>
      <w:numFmt w:val="decimal"/>
      <w:lvlText w:val="%4."/>
      <w:lvlJc w:val="left"/>
      <w:pPr>
        <w:ind w:left="2880" w:hanging="360"/>
      </w:pPr>
      <w:rPr>
        <w:i w:val="0"/>
      </w:r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CDD0305"/>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D464EB3"/>
    <w:multiLevelType w:val="hybridMultilevel"/>
    <w:tmpl w:val="E8BC0B92"/>
    <w:lvl w:ilvl="0" w:tplc="DBAE330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B67783"/>
    <w:multiLevelType w:val="hybridMultilevel"/>
    <w:tmpl w:val="E87EBB2A"/>
    <w:lvl w:ilvl="0" w:tplc="5B506746">
      <w:start w:val="1"/>
      <w:numFmt w:val="lowerLetter"/>
      <w:lvlText w:val="%1."/>
      <w:lvlJc w:val="left"/>
      <w:pPr>
        <w:ind w:left="144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8F15D9D"/>
    <w:multiLevelType w:val="hybridMultilevel"/>
    <w:tmpl w:val="55BC6604"/>
    <w:lvl w:ilvl="0" w:tplc="D82EF6A8">
      <w:start w:val="1"/>
      <w:numFmt w:val="decimal"/>
      <w:lvlText w:val="%1."/>
      <w:lvlJc w:val="left"/>
      <w:pPr>
        <w:ind w:left="720" w:hanging="360"/>
      </w:pPr>
      <w:rPr>
        <w:rFonts w:asciiTheme="minorHAnsi" w:hAnsiTheme="minorHAnsi" w:hint="default"/>
        <w:sz w:val="26"/>
        <w:szCs w:val="26"/>
      </w:rPr>
    </w:lvl>
    <w:lvl w:ilvl="1" w:tplc="DBAE3302">
      <w:start w:val="1"/>
      <w:numFmt w:val="lowerLetter"/>
      <w:lvlText w:val="%2."/>
      <w:lvlJc w:val="left"/>
      <w:pPr>
        <w:ind w:left="1440" w:hanging="360"/>
      </w:pPr>
      <w:rPr>
        <w:rFonts w:hint="default"/>
      </w:rPr>
    </w:lvl>
    <w:lvl w:ilvl="2" w:tplc="202EC4CA">
      <w:start w:val="1"/>
      <w:numFmt w:val="lowerRoman"/>
      <w:lvlText w:val="%3."/>
      <w:lvlJc w:val="left"/>
      <w:pPr>
        <w:ind w:left="2160" w:hanging="18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41222B"/>
    <w:multiLevelType w:val="hybridMultilevel"/>
    <w:tmpl w:val="633668E6"/>
    <w:lvl w:ilvl="0" w:tplc="A5A659CA">
      <w:start w:val="1"/>
      <w:numFmt w:val="decimal"/>
      <w:lvlText w:val="%1."/>
      <w:lvlJc w:val="left"/>
      <w:pPr>
        <w:ind w:left="720" w:hanging="360"/>
      </w:pPr>
      <w:rPr>
        <w:rFonts w:ascii="Arial Narrow" w:hAnsi="Arial Narrow" w:hint="default"/>
        <w:b w:val="0"/>
        <w:i w:val="0"/>
        <w:sz w:val="26"/>
        <w:szCs w:val="26"/>
      </w:rPr>
    </w:lvl>
    <w:lvl w:ilvl="1" w:tplc="5B506746">
      <w:start w:val="1"/>
      <w:numFmt w:val="lowerLetter"/>
      <w:lvlText w:val="%2."/>
      <w:lvlJc w:val="left"/>
      <w:pPr>
        <w:ind w:left="1440" w:hanging="360"/>
      </w:pPr>
      <w:rPr>
        <w:rFonts w:hint="default"/>
        <w:b w:val="0"/>
        <w:i w:val="0"/>
      </w:rPr>
    </w:lvl>
    <w:lvl w:ilvl="2" w:tplc="A06CFC30">
      <w:start w:val="1"/>
      <w:numFmt w:val="lowerRoman"/>
      <w:lvlText w:val="%3."/>
      <w:lvlJc w:val="left"/>
      <w:pPr>
        <w:ind w:left="2160" w:hanging="180"/>
      </w:pPr>
      <w:rPr>
        <w:rFonts w:hint="default"/>
        <w:i w:val="0"/>
      </w:rPr>
    </w:lvl>
    <w:lvl w:ilvl="3" w:tplc="A5F0808E">
      <w:start w:val="1"/>
      <w:numFmt w:val="decimal"/>
      <w:lvlText w:val="%4."/>
      <w:lvlJc w:val="left"/>
      <w:pPr>
        <w:ind w:left="2880" w:hanging="360"/>
      </w:pPr>
      <w:rPr>
        <w:i w:val="0"/>
      </w:r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4E03FC"/>
    <w:multiLevelType w:val="hybridMultilevel"/>
    <w:tmpl w:val="164E1454"/>
    <w:lvl w:ilvl="0" w:tplc="DC8472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BFA7D75"/>
    <w:multiLevelType w:val="singleLevel"/>
    <w:tmpl w:val="B4C476FC"/>
    <w:lvl w:ilvl="0">
      <w:start w:val="1"/>
      <w:numFmt w:val="bullet"/>
      <w:pStyle w:val="RecBullet"/>
      <w:lvlText w:val=""/>
      <w:lvlJc w:val="left"/>
      <w:pPr>
        <w:tabs>
          <w:tab w:val="num" w:pos="340"/>
        </w:tabs>
        <w:ind w:left="340" w:hanging="340"/>
      </w:pPr>
      <w:rPr>
        <w:rFonts w:ascii="Symbol" w:hAnsi="Symbol" w:hint="default"/>
        <w:b w:val="0"/>
        <w:i w:val="0"/>
        <w:sz w:val="18"/>
      </w:rPr>
    </w:lvl>
  </w:abstractNum>
  <w:num w:numId="1">
    <w:abstractNumId w:val="0"/>
  </w:num>
  <w:num w:numId="2">
    <w:abstractNumId w:val="9"/>
  </w:num>
  <w:num w:numId="3">
    <w:abstractNumId w:val="22"/>
  </w:num>
  <w:num w:numId="4">
    <w:abstractNumId w:val="21"/>
  </w:num>
  <w:num w:numId="5">
    <w:abstractNumId w:val="24"/>
  </w:num>
  <w:num w:numId="6">
    <w:abstractNumId w:val="17"/>
  </w:num>
  <w:num w:numId="7">
    <w:abstractNumId w:val="6"/>
  </w:num>
  <w:num w:numId="8">
    <w:abstractNumId w:val="16"/>
  </w:num>
  <w:num w:numId="9">
    <w:abstractNumId w:val="4"/>
  </w:num>
  <w:num w:numId="10">
    <w:abstractNumId w:val="12"/>
  </w:num>
  <w:num w:numId="11">
    <w:abstractNumId w:val="19"/>
  </w:num>
  <w:num w:numId="12">
    <w:abstractNumId w:val="3"/>
  </w:num>
  <w:num w:numId="13">
    <w:abstractNumId w:val="14"/>
  </w:num>
  <w:num w:numId="14">
    <w:abstractNumId w:val="10"/>
  </w:num>
  <w:num w:numId="15">
    <w:abstractNumId w:val="13"/>
  </w:num>
  <w:num w:numId="16">
    <w:abstractNumId w:val="5"/>
  </w:num>
  <w:num w:numId="17">
    <w:abstractNumId w:val="18"/>
  </w:num>
  <w:num w:numId="18">
    <w:abstractNumId w:val="20"/>
  </w:num>
  <w:num w:numId="19">
    <w:abstractNumId w:val="2"/>
  </w:num>
  <w:num w:numId="20">
    <w:abstractNumId w:val="7"/>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1"/>
  </w:num>
  <w:num w:numId="23">
    <w:abstractNumId w:val="23"/>
  </w:num>
  <w:num w:numId="24">
    <w:abstractNumId w:val="15"/>
  </w:num>
  <w:num w:numId="25">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IyNjM2MDAzMDMyNTBU0lEKTi0uzszPAykwrwUAW1l1+ywAAAA="/>
  </w:docVars>
  <w:rsids>
    <w:rsidRoot w:val="006332C6"/>
    <w:rsid w:val="00000E41"/>
    <w:rsid w:val="00001323"/>
    <w:rsid w:val="00001396"/>
    <w:rsid w:val="00001398"/>
    <w:rsid w:val="00006A7F"/>
    <w:rsid w:val="00006F93"/>
    <w:rsid w:val="00010272"/>
    <w:rsid w:val="000127D5"/>
    <w:rsid w:val="00016112"/>
    <w:rsid w:val="0002377F"/>
    <w:rsid w:val="00024095"/>
    <w:rsid w:val="000303CD"/>
    <w:rsid w:val="0003120F"/>
    <w:rsid w:val="00032CD3"/>
    <w:rsid w:val="00033B9F"/>
    <w:rsid w:val="000341F3"/>
    <w:rsid w:val="000342EF"/>
    <w:rsid w:val="00040F08"/>
    <w:rsid w:val="00042053"/>
    <w:rsid w:val="0004333F"/>
    <w:rsid w:val="00044211"/>
    <w:rsid w:val="00044B1A"/>
    <w:rsid w:val="00046C9F"/>
    <w:rsid w:val="00046DDC"/>
    <w:rsid w:val="00046E92"/>
    <w:rsid w:val="00047D7B"/>
    <w:rsid w:val="00052A6E"/>
    <w:rsid w:val="000545D1"/>
    <w:rsid w:val="000552FD"/>
    <w:rsid w:val="00057FEB"/>
    <w:rsid w:val="0006068E"/>
    <w:rsid w:val="00060691"/>
    <w:rsid w:val="00060F66"/>
    <w:rsid w:val="00063ECA"/>
    <w:rsid w:val="00066213"/>
    <w:rsid w:val="000706C3"/>
    <w:rsid w:val="00071F5C"/>
    <w:rsid w:val="00072917"/>
    <w:rsid w:val="00072E72"/>
    <w:rsid w:val="000736B5"/>
    <w:rsid w:val="000743F2"/>
    <w:rsid w:val="00074807"/>
    <w:rsid w:val="0007585C"/>
    <w:rsid w:val="00076635"/>
    <w:rsid w:val="0008057D"/>
    <w:rsid w:val="00081EA5"/>
    <w:rsid w:val="00087D53"/>
    <w:rsid w:val="000938D5"/>
    <w:rsid w:val="00094F9E"/>
    <w:rsid w:val="00095687"/>
    <w:rsid w:val="000A1423"/>
    <w:rsid w:val="000A2BD9"/>
    <w:rsid w:val="000A48F7"/>
    <w:rsid w:val="000B10EF"/>
    <w:rsid w:val="000B5075"/>
    <w:rsid w:val="000B5A84"/>
    <w:rsid w:val="000B5C75"/>
    <w:rsid w:val="000B5F0F"/>
    <w:rsid w:val="000B6169"/>
    <w:rsid w:val="000B666C"/>
    <w:rsid w:val="000C062F"/>
    <w:rsid w:val="000C4D4F"/>
    <w:rsid w:val="000C54B8"/>
    <w:rsid w:val="000C5DB4"/>
    <w:rsid w:val="000D2E89"/>
    <w:rsid w:val="000D432A"/>
    <w:rsid w:val="000E1C57"/>
    <w:rsid w:val="000E1D58"/>
    <w:rsid w:val="000E22B3"/>
    <w:rsid w:val="000E448F"/>
    <w:rsid w:val="000E5A2E"/>
    <w:rsid w:val="000F380C"/>
    <w:rsid w:val="000F3FB3"/>
    <w:rsid w:val="000F58D7"/>
    <w:rsid w:val="000F7136"/>
    <w:rsid w:val="00103049"/>
    <w:rsid w:val="001039F7"/>
    <w:rsid w:val="001077EF"/>
    <w:rsid w:val="001133B4"/>
    <w:rsid w:val="0011417C"/>
    <w:rsid w:val="0012016E"/>
    <w:rsid w:val="00120504"/>
    <w:rsid w:val="0012075E"/>
    <w:rsid w:val="00120F86"/>
    <w:rsid w:val="001223C4"/>
    <w:rsid w:val="001228B9"/>
    <w:rsid w:val="0012413B"/>
    <w:rsid w:val="00125039"/>
    <w:rsid w:val="00125227"/>
    <w:rsid w:val="00127A6D"/>
    <w:rsid w:val="00127B14"/>
    <w:rsid w:val="00127C2B"/>
    <w:rsid w:val="0013127E"/>
    <w:rsid w:val="001314B2"/>
    <w:rsid w:val="001321A7"/>
    <w:rsid w:val="00135195"/>
    <w:rsid w:val="001409E0"/>
    <w:rsid w:val="00141FED"/>
    <w:rsid w:val="001423EB"/>
    <w:rsid w:val="0014341C"/>
    <w:rsid w:val="00146694"/>
    <w:rsid w:val="00156B13"/>
    <w:rsid w:val="00160CAF"/>
    <w:rsid w:val="00161482"/>
    <w:rsid w:val="00162DA9"/>
    <w:rsid w:val="001637C8"/>
    <w:rsid w:val="00163E9D"/>
    <w:rsid w:val="00165E11"/>
    <w:rsid w:val="00167F90"/>
    <w:rsid w:val="00170538"/>
    <w:rsid w:val="001708EB"/>
    <w:rsid w:val="00170EDE"/>
    <w:rsid w:val="001740C8"/>
    <w:rsid w:val="00181422"/>
    <w:rsid w:val="00183510"/>
    <w:rsid w:val="0018436B"/>
    <w:rsid w:val="00185715"/>
    <w:rsid w:val="001867F8"/>
    <w:rsid w:val="00186898"/>
    <w:rsid w:val="00186F10"/>
    <w:rsid w:val="00187554"/>
    <w:rsid w:val="00187837"/>
    <w:rsid w:val="001957CC"/>
    <w:rsid w:val="001A1787"/>
    <w:rsid w:val="001A1C80"/>
    <w:rsid w:val="001B09AA"/>
    <w:rsid w:val="001B36F9"/>
    <w:rsid w:val="001B3976"/>
    <w:rsid w:val="001B39AD"/>
    <w:rsid w:val="001B5CAE"/>
    <w:rsid w:val="001B6EA4"/>
    <w:rsid w:val="001B73BA"/>
    <w:rsid w:val="001C35D7"/>
    <w:rsid w:val="001C3C50"/>
    <w:rsid w:val="001C6A59"/>
    <w:rsid w:val="001D1157"/>
    <w:rsid w:val="001D1988"/>
    <w:rsid w:val="001D1C25"/>
    <w:rsid w:val="001D204C"/>
    <w:rsid w:val="001D5133"/>
    <w:rsid w:val="001E4136"/>
    <w:rsid w:val="001E47A5"/>
    <w:rsid w:val="001F03E3"/>
    <w:rsid w:val="001F077D"/>
    <w:rsid w:val="001F0FBA"/>
    <w:rsid w:val="001F2EEA"/>
    <w:rsid w:val="001F3303"/>
    <w:rsid w:val="001F3BB1"/>
    <w:rsid w:val="001F474E"/>
    <w:rsid w:val="001F6F5B"/>
    <w:rsid w:val="001F753E"/>
    <w:rsid w:val="00200292"/>
    <w:rsid w:val="002007A4"/>
    <w:rsid w:val="00203705"/>
    <w:rsid w:val="00206590"/>
    <w:rsid w:val="00207868"/>
    <w:rsid w:val="002113C1"/>
    <w:rsid w:val="0021145A"/>
    <w:rsid w:val="00212A92"/>
    <w:rsid w:val="00216AFC"/>
    <w:rsid w:val="00216BB8"/>
    <w:rsid w:val="00224437"/>
    <w:rsid w:val="00224D61"/>
    <w:rsid w:val="002254B9"/>
    <w:rsid w:val="00225534"/>
    <w:rsid w:val="002257B7"/>
    <w:rsid w:val="00231558"/>
    <w:rsid w:val="00231924"/>
    <w:rsid w:val="0023276F"/>
    <w:rsid w:val="002352F4"/>
    <w:rsid w:val="00235C31"/>
    <w:rsid w:val="002363BB"/>
    <w:rsid w:val="00241BDE"/>
    <w:rsid w:val="00245299"/>
    <w:rsid w:val="00245923"/>
    <w:rsid w:val="00246077"/>
    <w:rsid w:val="00246CB2"/>
    <w:rsid w:val="002473A4"/>
    <w:rsid w:val="00251100"/>
    <w:rsid w:val="00253E53"/>
    <w:rsid w:val="00253F05"/>
    <w:rsid w:val="00254421"/>
    <w:rsid w:val="0025518D"/>
    <w:rsid w:val="002568B8"/>
    <w:rsid w:val="0026020C"/>
    <w:rsid w:val="00260537"/>
    <w:rsid w:val="0026171C"/>
    <w:rsid w:val="00261A3A"/>
    <w:rsid w:val="002636CF"/>
    <w:rsid w:val="00263930"/>
    <w:rsid w:val="002642DE"/>
    <w:rsid w:val="002653ED"/>
    <w:rsid w:val="00265925"/>
    <w:rsid w:val="0026607C"/>
    <w:rsid w:val="00266127"/>
    <w:rsid w:val="00266A87"/>
    <w:rsid w:val="00270DD8"/>
    <w:rsid w:val="00271EBB"/>
    <w:rsid w:val="00272D9F"/>
    <w:rsid w:val="0027534C"/>
    <w:rsid w:val="00281507"/>
    <w:rsid w:val="0028446C"/>
    <w:rsid w:val="00285878"/>
    <w:rsid w:val="00285D90"/>
    <w:rsid w:val="00287DC3"/>
    <w:rsid w:val="00290A45"/>
    <w:rsid w:val="002919FF"/>
    <w:rsid w:val="002933BE"/>
    <w:rsid w:val="00294658"/>
    <w:rsid w:val="00296F1C"/>
    <w:rsid w:val="002A154A"/>
    <w:rsid w:val="002A3035"/>
    <w:rsid w:val="002A30A1"/>
    <w:rsid w:val="002A3F38"/>
    <w:rsid w:val="002A581A"/>
    <w:rsid w:val="002A7FB3"/>
    <w:rsid w:val="002B0B34"/>
    <w:rsid w:val="002B0C2B"/>
    <w:rsid w:val="002B1DF2"/>
    <w:rsid w:val="002B2B36"/>
    <w:rsid w:val="002B2F88"/>
    <w:rsid w:val="002B4502"/>
    <w:rsid w:val="002B73C4"/>
    <w:rsid w:val="002C0281"/>
    <w:rsid w:val="002C1246"/>
    <w:rsid w:val="002C2541"/>
    <w:rsid w:val="002C2D2B"/>
    <w:rsid w:val="002C38C2"/>
    <w:rsid w:val="002D1DCB"/>
    <w:rsid w:val="002D7218"/>
    <w:rsid w:val="002D772B"/>
    <w:rsid w:val="002E1958"/>
    <w:rsid w:val="002E2A58"/>
    <w:rsid w:val="002E3817"/>
    <w:rsid w:val="002E4D8A"/>
    <w:rsid w:val="002E4E7A"/>
    <w:rsid w:val="002E66B4"/>
    <w:rsid w:val="002F2987"/>
    <w:rsid w:val="002F37BF"/>
    <w:rsid w:val="002F4034"/>
    <w:rsid w:val="002F5CB2"/>
    <w:rsid w:val="002F7968"/>
    <w:rsid w:val="00303E2B"/>
    <w:rsid w:val="003063FE"/>
    <w:rsid w:val="00306FE2"/>
    <w:rsid w:val="0030794B"/>
    <w:rsid w:val="00310A67"/>
    <w:rsid w:val="00311DB0"/>
    <w:rsid w:val="00313D28"/>
    <w:rsid w:val="00314B26"/>
    <w:rsid w:val="00317BDB"/>
    <w:rsid w:val="00320E9B"/>
    <w:rsid w:val="003212C5"/>
    <w:rsid w:val="003212CC"/>
    <w:rsid w:val="00321A05"/>
    <w:rsid w:val="00322A08"/>
    <w:rsid w:val="00322AAC"/>
    <w:rsid w:val="0032565C"/>
    <w:rsid w:val="00330782"/>
    <w:rsid w:val="00331EC1"/>
    <w:rsid w:val="0033316B"/>
    <w:rsid w:val="00346E43"/>
    <w:rsid w:val="00346E9C"/>
    <w:rsid w:val="00354E96"/>
    <w:rsid w:val="003565B4"/>
    <w:rsid w:val="00357E1A"/>
    <w:rsid w:val="00361942"/>
    <w:rsid w:val="00365CAE"/>
    <w:rsid w:val="00366741"/>
    <w:rsid w:val="00366C65"/>
    <w:rsid w:val="00373DE0"/>
    <w:rsid w:val="003742A9"/>
    <w:rsid w:val="003755D6"/>
    <w:rsid w:val="00385CC2"/>
    <w:rsid w:val="003916C6"/>
    <w:rsid w:val="0039178B"/>
    <w:rsid w:val="003926B7"/>
    <w:rsid w:val="00395201"/>
    <w:rsid w:val="00395BC6"/>
    <w:rsid w:val="00396ECA"/>
    <w:rsid w:val="00396F42"/>
    <w:rsid w:val="003A1B10"/>
    <w:rsid w:val="003A2561"/>
    <w:rsid w:val="003A2F0B"/>
    <w:rsid w:val="003A318E"/>
    <w:rsid w:val="003A3859"/>
    <w:rsid w:val="003A7FB6"/>
    <w:rsid w:val="003B0046"/>
    <w:rsid w:val="003B3663"/>
    <w:rsid w:val="003B4AD8"/>
    <w:rsid w:val="003B4DE4"/>
    <w:rsid w:val="003B7420"/>
    <w:rsid w:val="003C0DA9"/>
    <w:rsid w:val="003C1722"/>
    <w:rsid w:val="003C1E07"/>
    <w:rsid w:val="003C276F"/>
    <w:rsid w:val="003C35C8"/>
    <w:rsid w:val="003C4EB1"/>
    <w:rsid w:val="003C4FC5"/>
    <w:rsid w:val="003C670E"/>
    <w:rsid w:val="003D24A3"/>
    <w:rsid w:val="003E4019"/>
    <w:rsid w:val="003E5FBD"/>
    <w:rsid w:val="003F0F1A"/>
    <w:rsid w:val="003F0F43"/>
    <w:rsid w:val="003F2DD3"/>
    <w:rsid w:val="003F3B2C"/>
    <w:rsid w:val="003F60B2"/>
    <w:rsid w:val="003F66FF"/>
    <w:rsid w:val="003F6F33"/>
    <w:rsid w:val="003F7C1A"/>
    <w:rsid w:val="004007EF"/>
    <w:rsid w:val="00403D90"/>
    <w:rsid w:val="00404072"/>
    <w:rsid w:val="0040415C"/>
    <w:rsid w:val="004051D2"/>
    <w:rsid w:val="00406ADA"/>
    <w:rsid w:val="00410AF0"/>
    <w:rsid w:val="0041252E"/>
    <w:rsid w:val="00412DFE"/>
    <w:rsid w:val="00412E18"/>
    <w:rsid w:val="00413281"/>
    <w:rsid w:val="004133ED"/>
    <w:rsid w:val="00414BD0"/>
    <w:rsid w:val="00420896"/>
    <w:rsid w:val="004225DD"/>
    <w:rsid w:val="00425969"/>
    <w:rsid w:val="00431147"/>
    <w:rsid w:val="00431455"/>
    <w:rsid w:val="00431908"/>
    <w:rsid w:val="004373E9"/>
    <w:rsid w:val="0044493D"/>
    <w:rsid w:val="00445089"/>
    <w:rsid w:val="00446DF1"/>
    <w:rsid w:val="00447E54"/>
    <w:rsid w:val="00450425"/>
    <w:rsid w:val="00452E1E"/>
    <w:rsid w:val="00454C31"/>
    <w:rsid w:val="00461962"/>
    <w:rsid w:val="00462BDA"/>
    <w:rsid w:val="00464344"/>
    <w:rsid w:val="004643FF"/>
    <w:rsid w:val="004660F1"/>
    <w:rsid w:val="00466B49"/>
    <w:rsid w:val="00474CA1"/>
    <w:rsid w:val="00476A3C"/>
    <w:rsid w:val="00481606"/>
    <w:rsid w:val="00483A6D"/>
    <w:rsid w:val="00486B73"/>
    <w:rsid w:val="00487C71"/>
    <w:rsid w:val="0049111F"/>
    <w:rsid w:val="004928E9"/>
    <w:rsid w:val="004936B0"/>
    <w:rsid w:val="004936B9"/>
    <w:rsid w:val="004956BD"/>
    <w:rsid w:val="004965B1"/>
    <w:rsid w:val="004A3E64"/>
    <w:rsid w:val="004A5705"/>
    <w:rsid w:val="004A60A6"/>
    <w:rsid w:val="004B0AFF"/>
    <w:rsid w:val="004B68B7"/>
    <w:rsid w:val="004B6E4A"/>
    <w:rsid w:val="004C3519"/>
    <w:rsid w:val="004C5776"/>
    <w:rsid w:val="004C74DE"/>
    <w:rsid w:val="004D2507"/>
    <w:rsid w:val="004D5908"/>
    <w:rsid w:val="004D615D"/>
    <w:rsid w:val="004D65AD"/>
    <w:rsid w:val="004E214F"/>
    <w:rsid w:val="004E2E54"/>
    <w:rsid w:val="004E2E92"/>
    <w:rsid w:val="004E7F0A"/>
    <w:rsid w:val="004F22BB"/>
    <w:rsid w:val="004F2EAD"/>
    <w:rsid w:val="004F688D"/>
    <w:rsid w:val="004F75CD"/>
    <w:rsid w:val="00500DE7"/>
    <w:rsid w:val="00502494"/>
    <w:rsid w:val="00502570"/>
    <w:rsid w:val="00502901"/>
    <w:rsid w:val="0050329C"/>
    <w:rsid w:val="00503630"/>
    <w:rsid w:val="00505052"/>
    <w:rsid w:val="00511BEB"/>
    <w:rsid w:val="005124A3"/>
    <w:rsid w:val="005126DB"/>
    <w:rsid w:val="00512A19"/>
    <w:rsid w:val="00515DF1"/>
    <w:rsid w:val="00517D37"/>
    <w:rsid w:val="00520EE0"/>
    <w:rsid w:val="00522A53"/>
    <w:rsid w:val="00523FD3"/>
    <w:rsid w:val="0052448B"/>
    <w:rsid w:val="005250E2"/>
    <w:rsid w:val="0053254E"/>
    <w:rsid w:val="00533EA2"/>
    <w:rsid w:val="00534850"/>
    <w:rsid w:val="00534D3F"/>
    <w:rsid w:val="00535644"/>
    <w:rsid w:val="00537708"/>
    <w:rsid w:val="00540F3E"/>
    <w:rsid w:val="0054141F"/>
    <w:rsid w:val="005414B0"/>
    <w:rsid w:val="00541B81"/>
    <w:rsid w:val="00541ED8"/>
    <w:rsid w:val="005428B1"/>
    <w:rsid w:val="0054345C"/>
    <w:rsid w:val="0055028B"/>
    <w:rsid w:val="0055780D"/>
    <w:rsid w:val="0055783C"/>
    <w:rsid w:val="00560B10"/>
    <w:rsid w:val="00560D6E"/>
    <w:rsid w:val="00565D0F"/>
    <w:rsid w:val="005676E2"/>
    <w:rsid w:val="00571A7B"/>
    <w:rsid w:val="00572973"/>
    <w:rsid w:val="00573010"/>
    <w:rsid w:val="005738F1"/>
    <w:rsid w:val="005777CE"/>
    <w:rsid w:val="0058199C"/>
    <w:rsid w:val="00585128"/>
    <w:rsid w:val="00586C51"/>
    <w:rsid w:val="00587EC1"/>
    <w:rsid w:val="00593B89"/>
    <w:rsid w:val="005943A1"/>
    <w:rsid w:val="005951E9"/>
    <w:rsid w:val="005979D3"/>
    <w:rsid w:val="005A22D8"/>
    <w:rsid w:val="005A2868"/>
    <w:rsid w:val="005A319A"/>
    <w:rsid w:val="005A32E8"/>
    <w:rsid w:val="005A3541"/>
    <w:rsid w:val="005A360E"/>
    <w:rsid w:val="005A640E"/>
    <w:rsid w:val="005A7368"/>
    <w:rsid w:val="005B0673"/>
    <w:rsid w:val="005B1899"/>
    <w:rsid w:val="005B5DEA"/>
    <w:rsid w:val="005B5EF9"/>
    <w:rsid w:val="005B6A0D"/>
    <w:rsid w:val="005B73CB"/>
    <w:rsid w:val="005B78AF"/>
    <w:rsid w:val="005B79C1"/>
    <w:rsid w:val="005C105D"/>
    <w:rsid w:val="005C3BE5"/>
    <w:rsid w:val="005C7681"/>
    <w:rsid w:val="005D13DB"/>
    <w:rsid w:val="005D285F"/>
    <w:rsid w:val="005D3BD1"/>
    <w:rsid w:val="005D3C1D"/>
    <w:rsid w:val="005D49EB"/>
    <w:rsid w:val="005D4BB5"/>
    <w:rsid w:val="005D68D8"/>
    <w:rsid w:val="005E0F58"/>
    <w:rsid w:val="005E2EAD"/>
    <w:rsid w:val="005E484B"/>
    <w:rsid w:val="005E5404"/>
    <w:rsid w:val="005F151E"/>
    <w:rsid w:val="005F32F0"/>
    <w:rsid w:val="005F35A6"/>
    <w:rsid w:val="005F3C06"/>
    <w:rsid w:val="005F43C3"/>
    <w:rsid w:val="005F6838"/>
    <w:rsid w:val="00600862"/>
    <w:rsid w:val="006009C6"/>
    <w:rsid w:val="00613E20"/>
    <w:rsid w:val="00614FA7"/>
    <w:rsid w:val="0061637A"/>
    <w:rsid w:val="00616B7D"/>
    <w:rsid w:val="00616FBB"/>
    <w:rsid w:val="00621C33"/>
    <w:rsid w:val="00621F6B"/>
    <w:rsid w:val="0062281D"/>
    <w:rsid w:val="00622880"/>
    <w:rsid w:val="0062351E"/>
    <w:rsid w:val="00625131"/>
    <w:rsid w:val="00626201"/>
    <w:rsid w:val="00631D8A"/>
    <w:rsid w:val="006323A1"/>
    <w:rsid w:val="00632A24"/>
    <w:rsid w:val="00632E14"/>
    <w:rsid w:val="006332C6"/>
    <w:rsid w:val="00633673"/>
    <w:rsid w:val="00634419"/>
    <w:rsid w:val="00634524"/>
    <w:rsid w:val="006346B7"/>
    <w:rsid w:val="0064012C"/>
    <w:rsid w:val="00640B9D"/>
    <w:rsid w:val="006425E6"/>
    <w:rsid w:val="006446FB"/>
    <w:rsid w:val="006470CF"/>
    <w:rsid w:val="00651CD4"/>
    <w:rsid w:val="006532FE"/>
    <w:rsid w:val="006557B1"/>
    <w:rsid w:val="00655C31"/>
    <w:rsid w:val="00656DD8"/>
    <w:rsid w:val="006631ED"/>
    <w:rsid w:val="00663711"/>
    <w:rsid w:val="00663BE0"/>
    <w:rsid w:val="00664F28"/>
    <w:rsid w:val="00664FEA"/>
    <w:rsid w:val="00665F8B"/>
    <w:rsid w:val="0066654D"/>
    <w:rsid w:val="00667296"/>
    <w:rsid w:val="006704AB"/>
    <w:rsid w:val="0067264E"/>
    <w:rsid w:val="00675801"/>
    <w:rsid w:val="00680B2F"/>
    <w:rsid w:val="00683517"/>
    <w:rsid w:val="00684D20"/>
    <w:rsid w:val="0069020A"/>
    <w:rsid w:val="0069273D"/>
    <w:rsid w:val="00694911"/>
    <w:rsid w:val="006949E6"/>
    <w:rsid w:val="00696A90"/>
    <w:rsid w:val="00697D42"/>
    <w:rsid w:val="006A0CC5"/>
    <w:rsid w:val="006A155A"/>
    <w:rsid w:val="006A25E9"/>
    <w:rsid w:val="006A3E40"/>
    <w:rsid w:val="006A4360"/>
    <w:rsid w:val="006A4BE3"/>
    <w:rsid w:val="006A4EFF"/>
    <w:rsid w:val="006A5032"/>
    <w:rsid w:val="006A5212"/>
    <w:rsid w:val="006A52CF"/>
    <w:rsid w:val="006A5AA4"/>
    <w:rsid w:val="006A5C5C"/>
    <w:rsid w:val="006A6E9B"/>
    <w:rsid w:val="006B1C8A"/>
    <w:rsid w:val="006B4E94"/>
    <w:rsid w:val="006B50AB"/>
    <w:rsid w:val="006B6A3C"/>
    <w:rsid w:val="006B7426"/>
    <w:rsid w:val="006B75BB"/>
    <w:rsid w:val="006C0CAF"/>
    <w:rsid w:val="006C0D4E"/>
    <w:rsid w:val="006C27D0"/>
    <w:rsid w:val="006C305C"/>
    <w:rsid w:val="006C566A"/>
    <w:rsid w:val="006C66BD"/>
    <w:rsid w:val="006C7EA8"/>
    <w:rsid w:val="006D30EA"/>
    <w:rsid w:val="006D31B6"/>
    <w:rsid w:val="006D51F8"/>
    <w:rsid w:val="006D5D2F"/>
    <w:rsid w:val="006D5EAF"/>
    <w:rsid w:val="006E3966"/>
    <w:rsid w:val="006E523D"/>
    <w:rsid w:val="006F3751"/>
    <w:rsid w:val="006F4D8C"/>
    <w:rsid w:val="006F6DE4"/>
    <w:rsid w:val="00703FE6"/>
    <w:rsid w:val="00704CF2"/>
    <w:rsid w:val="00705E75"/>
    <w:rsid w:val="00707824"/>
    <w:rsid w:val="00712FD0"/>
    <w:rsid w:val="00713A73"/>
    <w:rsid w:val="00715897"/>
    <w:rsid w:val="00716AC0"/>
    <w:rsid w:val="00716E37"/>
    <w:rsid w:val="00720398"/>
    <w:rsid w:val="007213A4"/>
    <w:rsid w:val="007213C9"/>
    <w:rsid w:val="007217A1"/>
    <w:rsid w:val="00721F65"/>
    <w:rsid w:val="00722B81"/>
    <w:rsid w:val="00723944"/>
    <w:rsid w:val="00725ED7"/>
    <w:rsid w:val="007260C9"/>
    <w:rsid w:val="007273BA"/>
    <w:rsid w:val="007274D3"/>
    <w:rsid w:val="00731671"/>
    <w:rsid w:val="00737749"/>
    <w:rsid w:val="00741D07"/>
    <w:rsid w:val="00742F26"/>
    <w:rsid w:val="007436C0"/>
    <w:rsid w:val="00745474"/>
    <w:rsid w:val="00746665"/>
    <w:rsid w:val="00746DBF"/>
    <w:rsid w:val="00747784"/>
    <w:rsid w:val="00752787"/>
    <w:rsid w:val="00753263"/>
    <w:rsid w:val="0075475F"/>
    <w:rsid w:val="00755292"/>
    <w:rsid w:val="0075593F"/>
    <w:rsid w:val="00757538"/>
    <w:rsid w:val="00761D07"/>
    <w:rsid w:val="00762CFA"/>
    <w:rsid w:val="00763E39"/>
    <w:rsid w:val="00764A37"/>
    <w:rsid w:val="00765FCE"/>
    <w:rsid w:val="007665DD"/>
    <w:rsid w:val="00766B55"/>
    <w:rsid w:val="00770CD8"/>
    <w:rsid w:val="0077402C"/>
    <w:rsid w:val="00776086"/>
    <w:rsid w:val="0077681D"/>
    <w:rsid w:val="007770AF"/>
    <w:rsid w:val="007819B0"/>
    <w:rsid w:val="00781AAF"/>
    <w:rsid w:val="00782680"/>
    <w:rsid w:val="00782CE1"/>
    <w:rsid w:val="00783122"/>
    <w:rsid w:val="00784085"/>
    <w:rsid w:val="0078451A"/>
    <w:rsid w:val="00785FD0"/>
    <w:rsid w:val="00792E47"/>
    <w:rsid w:val="007934E3"/>
    <w:rsid w:val="00795507"/>
    <w:rsid w:val="00795612"/>
    <w:rsid w:val="00795CFE"/>
    <w:rsid w:val="00796597"/>
    <w:rsid w:val="00797A97"/>
    <w:rsid w:val="007A115D"/>
    <w:rsid w:val="007A1694"/>
    <w:rsid w:val="007A3DBD"/>
    <w:rsid w:val="007A3E99"/>
    <w:rsid w:val="007A44FA"/>
    <w:rsid w:val="007A4E4F"/>
    <w:rsid w:val="007A4FEA"/>
    <w:rsid w:val="007B04B7"/>
    <w:rsid w:val="007B571E"/>
    <w:rsid w:val="007B64A4"/>
    <w:rsid w:val="007C052B"/>
    <w:rsid w:val="007C09D9"/>
    <w:rsid w:val="007C29E8"/>
    <w:rsid w:val="007C2F31"/>
    <w:rsid w:val="007C3CAC"/>
    <w:rsid w:val="007C3E7F"/>
    <w:rsid w:val="007C76A1"/>
    <w:rsid w:val="007C7F45"/>
    <w:rsid w:val="007D13EB"/>
    <w:rsid w:val="007D15F7"/>
    <w:rsid w:val="007D40C1"/>
    <w:rsid w:val="007D6FFC"/>
    <w:rsid w:val="007E001E"/>
    <w:rsid w:val="007E198C"/>
    <w:rsid w:val="007E3480"/>
    <w:rsid w:val="007E4965"/>
    <w:rsid w:val="007F138C"/>
    <w:rsid w:val="007F2E25"/>
    <w:rsid w:val="007F2EC8"/>
    <w:rsid w:val="007F35F2"/>
    <w:rsid w:val="007F41F0"/>
    <w:rsid w:val="007F5367"/>
    <w:rsid w:val="007F57AC"/>
    <w:rsid w:val="008001FC"/>
    <w:rsid w:val="00801A7E"/>
    <w:rsid w:val="00801F6F"/>
    <w:rsid w:val="008033B9"/>
    <w:rsid w:val="008044F5"/>
    <w:rsid w:val="00806496"/>
    <w:rsid w:val="00806ACE"/>
    <w:rsid w:val="008106FD"/>
    <w:rsid w:val="00810EFF"/>
    <w:rsid w:val="00812D6A"/>
    <w:rsid w:val="00812D89"/>
    <w:rsid w:val="008145CC"/>
    <w:rsid w:val="008153DE"/>
    <w:rsid w:val="0081721C"/>
    <w:rsid w:val="008172DD"/>
    <w:rsid w:val="00817DDC"/>
    <w:rsid w:val="00821951"/>
    <w:rsid w:val="008219A6"/>
    <w:rsid w:val="0082565E"/>
    <w:rsid w:val="00826957"/>
    <w:rsid w:val="0083110D"/>
    <w:rsid w:val="00832BDD"/>
    <w:rsid w:val="0083314C"/>
    <w:rsid w:val="00834019"/>
    <w:rsid w:val="00835B7A"/>
    <w:rsid w:val="00836C23"/>
    <w:rsid w:val="00840B2C"/>
    <w:rsid w:val="00841427"/>
    <w:rsid w:val="008423BE"/>
    <w:rsid w:val="00843163"/>
    <w:rsid w:val="0085110E"/>
    <w:rsid w:val="008514F6"/>
    <w:rsid w:val="00852768"/>
    <w:rsid w:val="00852E53"/>
    <w:rsid w:val="00853ADD"/>
    <w:rsid w:val="00854337"/>
    <w:rsid w:val="00855341"/>
    <w:rsid w:val="00857283"/>
    <w:rsid w:val="008634EB"/>
    <w:rsid w:val="00863B73"/>
    <w:rsid w:val="0086407F"/>
    <w:rsid w:val="008709E5"/>
    <w:rsid w:val="008739E1"/>
    <w:rsid w:val="00873CCE"/>
    <w:rsid w:val="0087577E"/>
    <w:rsid w:val="00875AA5"/>
    <w:rsid w:val="00877256"/>
    <w:rsid w:val="0088185A"/>
    <w:rsid w:val="00884CA5"/>
    <w:rsid w:val="00885306"/>
    <w:rsid w:val="0088541E"/>
    <w:rsid w:val="00886149"/>
    <w:rsid w:val="0089076E"/>
    <w:rsid w:val="00890BB3"/>
    <w:rsid w:val="00893475"/>
    <w:rsid w:val="0089556E"/>
    <w:rsid w:val="00895B32"/>
    <w:rsid w:val="008A41E4"/>
    <w:rsid w:val="008A46AD"/>
    <w:rsid w:val="008A5185"/>
    <w:rsid w:val="008A6811"/>
    <w:rsid w:val="008A6974"/>
    <w:rsid w:val="008B0AA8"/>
    <w:rsid w:val="008B57CE"/>
    <w:rsid w:val="008B5C61"/>
    <w:rsid w:val="008B5D8E"/>
    <w:rsid w:val="008B7FEA"/>
    <w:rsid w:val="008C17A8"/>
    <w:rsid w:val="008C23C1"/>
    <w:rsid w:val="008C31C2"/>
    <w:rsid w:val="008C5355"/>
    <w:rsid w:val="008C65A7"/>
    <w:rsid w:val="008C6613"/>
    <w:rsid w:val="008D16A8"/>
    <w:rsid w:val="008D3758"/>
    <w:rsid w:val="008D5ED8"/>
    <w:rsid w:val="008D6337"/>
    <w:rsid w:val="008E7A3C"/>
    <w:rsid w:val="008F0F2B"/>
    <w:rsid w:val="008F3CFF"/>
    <w:rsid w:val="008F69C1"/>
    <w:rsid w:val="008F7E7E"/>
    <w:rsid w:val="009000E5"/>
    <w:rsid w:val="009015F8"/>
    <w:rsid w:val="009022EF"/>
    <w:rsid w:val="00903CBB"/>
    <w:rsid w:val="00903D71"/>
    <w:rsid w:val="00904A2B"/>
    <w:rsid w:val="00905AC2"/>
    <w:rsid w:val="00905F7E"/>
    <w:rsid w:val="0090618B"/>
    <w:rsid w:val="00907A01"/>
    <w:rsid w:val="00907D63"/>
    <w:rsid w:val="00912530"/>
    <w:rsid w:val="00912A4D"/>
    <w:rsid w:val="0091453A"/>
    <w:rsid w:val="00917E1E"/>
    <w:rsid w:val="0092352C"/>
    <w:rsid w:val="00925D88"/>
    <w:rsid w:val="00926959"/>
    <w:rsid w:val="00930435"/>
    <w:rsid w:val="009310D1"/>
    <w:rsid w:val="00931291"/>
    <w:rsid w:val="009321E7"/>
    <w:rsid w:val="009336E6"/>
    <w:rsid w:val="0093551C"/>
    <w:rsid w:val="009356BE"/>
    <w:rsid w:val="00935CDF"/>
    <w:rsid w:val="0093748A"/>
    <w:rsid w:val="009412FA"/>
    <w:rsid w:val="009417DA"/>
    <w:rsid w:val="009468BB"/>
    <w:rsid w:val="009474E9"/>
    <w:rsid w:val="009503E2"/>
    <w:rsid w:val="009541DA"/>
    <w:rsid w:val="00960C63"/>
    <w:rsid w:val="009614FE"/>
    <w:rsid w:val="009624F0"/>
    <w:rsid w:val="00964DBC"/>
    <w:rsid w:val="00965C80"/>
    <w:rsid w:val="00971BBE"/>
    <w:rsid w:val="0097616A"/>
    <w:rsid w:val="0097738A"/>
    <w:rsid w:val="00977B5E"/>
    <w:rsid w:val="0098238D"/>
    <w:rsid w:val="009832A1"/>
    <w:rsid w:val="0098587A"/>
    <w:rsid w:val="00990990"/>
    <w:rsid w:val="009909D7"/>
    <w:rsid w:val="009909EF"/>
    <w:rsid w:val="009917D1"/>
    <w:rsid w:val="00991BAD"/>
    <w:rsid w:val="009958C9"/>
    <w:rsid w:val="00996E63"/>
    <w:rsid w:val="009A2053"/>
    <w:rsid w:val="009A4342"/>
    <w:rsid w:val="009A4925"/>
    <w:rsid w:val="009A5198"/>
    <w:rsid w:val="009A5544"/>
    <w:rsid w:val="009A6DA5"/>
    <w:rsid w:val="009B09FA"/>
    <w:rsid w:val="009B15A6"/>
    <w:rsid w:val="009B1EC9"/>
    <w:rsid w:val="009B20B7"/>
    <w:rsid w:val="009B35D5"/>
    <w:rsid w:val="009B4F4E"/>
    <w:rsid w:val="009C2E7D"/>
    <w:rsid w:val="009C3E88"/>
    <w:rsid w:val="009D249A"/>
    <w:rsid w:val="009D3ED2"/>
    <w:rsid w:val="009D3FAC"/>
    <w:rsid w:val="009D5087"/>
    <w:rsid w:val="009D6761"/>
    <w:rsid w:val="009D7773"/>
    <w:rsid w:val="009E0AEF"/>
    <w:rsid w:val="009E11CB"/>
    <w:rsid w:val="009E1615"/>
    <w:rsid w:val="009E2B9B"/>
    <w:rsid w:val="009E39B9"/>
    <w:rsid w:val="009E4501"/>
    <w:rsid w:val="009E5C3B"/>
    <w:rsid w:val="009E636D"/>
    <w:rsid w:val="009E6F66"/>
    <w:rsid w:val="009E72F0"/>
    <w:rsid w:val="009F1F0F"/>
    <w:rsid w:val="009F27FE"/>
    <w:rsid w:val="009F29A6"/>
    <w:rsid w:val="009F4071"/>
    <w:rsid w:val="009F428A"/>
    <w:rsid w:val="009F43D9"/>
    <w:rsid w:val="009F4727"/>
    <w:rsid w:val="009F474F"/>
    <w:rsid w:val="009F700F"/>
    <w:rsid w:val="00A01A1A"/>
    <w:rsid w:val="00A01C75"/>
    <w:rsid w:val="00A03AA8"/>
    <w:rsid w:val="00A03F1D"/>
    <w:rsid w:val="00A05F39"/>
    <w:rsid w:val="00A067D1"/>
    <w:rsid w:val="00A13E36"/>
    <w:rsid w:val="00A15DD8"/>
    <w:rsid w:val="00A160EA"/>
    <w:rsid w:val="00A16663"/>
    <w:rsid w:val="00A200C1"/>
    <w:rsid w:val="00A202F8"/>
    <w:rsid w:val="00A20646"/>
    <w:rsid w:val="00A220E1"/>
    <w:rsid w:val="00A242D9"/>
    <w:rsid w:val="00A247AB"/>
    <w:rsid w:val="00A25E9D"/>
    <w:rsid w:val="00A31039"/>
    <w:rsid w:val="00A32DFC"/>
    <w:rsid w:val="00A369FB"/>
    <w:rsid w:val="00A40892"/>
    <w:rsid w:val="00A40DA7"/>
    <w:rsid w:val="00A44248"/>
    <w:rsid w:val="00A44487"/>
    <w:rsid w:val="00A44595"/>
    <w:rsid w:val="00A458D9"/>
    <w:rsid w:val="00A4628A"/>
    <w:rsid w:val="00A508F8"/>
    <w:rsid w:val="00A510B1"/>
    <w:rsid w:val="00A5389D"/>
    <w:rsid w:val="00A55774"/>
    <w:rsid w:val="00A568AB"/>
    <w:rsid w:val="00A62D8F"/>
    <w:rsid w:val="00A63B41"/>
    <w:rsid w:val="00A63C5D"/>
    <w:rsid w:val="00A66CA7"/>
    <w:rsid w:val="00A73F6D"/>
    <w:rsid w:val="00A75E16"/>
    <w:rsid w:val="00A7723B"/>
    <w:rsid w:val="00A774E8"/>
    <w:rsid w:val="00A806F8"/>
    <w:rsid w:val="00A8327D"/>
    <w:rsid w:val="00A832A9"/>
    <w:rsid w:val="00A838EB"/>
    <w:rsid w:val="00A86E95"/>
    <w:rsid w:val="00A90C1F"/>
    <w:rsid w:val="00A91B5C"/>
    <w:rsid w:val="00A93D56"/>
    <w:rsid w:val="00A97E6B"/>
    <w:rsid w:val="00AA341A"/>
    <w:rsid w:val="00AA728F"/>
    <w:rsid w:val="00AA7AA9"/>
    <w:rsid w:val="00AB092A"/>
    <w:rsid w:val="00AB1690"/>
    <w:rsid w:val="00AB1E39"/>
    <w:rsid w:val="00AB3F6F"/>
    <w:rsid w:val="00AB62F7"/>
    <w:rsid w:val="00AB67A2"/>
    <w:rsid w:val="00AC110C"/>
    <w:rsid w:val="00AC183A"/>
    <w:rsid w:val="00AC6CE4"/>
    <w:rsid w:val="00AC70A3"/>
    <w:rsid w:val="00AD069C"/>
    <w:rsid w:val="00AD0D0C"/>
    <w:rsid w:val="00AD11FD"/>
    <w:rsid w:val="00AD18D3"/>
    <w:rsid w:val="00AD25AF"/>
    <w:rsid w:val="00AD4683"/>
    <w:rsid w:val="00AD4954"/>
    <w:rsid w:val="00AD4C65"/>
    <w:rsid w:val="00AD57CE"/>
    <w:rsid w:val="00AD5DCA"/>
    <w:rsid w:val="00AD6ECB"/>
    <w:rsid w:val="00AD7043"/>
    <w:rsid w:val="00AD70B0"/>
    <w:rsid w:val="00AD7C80"/>
    <w:rsid w:val="00AE20CB"/>
    <w:rsid w:val="00AE570F"/>
    <w:rsid w:val="00AE5DC5"/>
    <w:rsid w:val="00AF07B0"/>
    <w:rsid w:val="00AF6842"/>
    <w:rsid w:val="00AF7732"/>
    <w:rsid w:val="00B01616"/>
    <w:rsid w:val="00B01814"/>
    <w:rsid w:val="00B01D6D"/>
    <w:rsid w:val="00B0571B"/>
    <w:rsid w:val="00B0575A"/>
    <w:rsid w:val="00B05ECC"/>
    <w:rsid w:val="00B05F19"/>
    <w:rsid w:val="00B07EE7"/>
    <w:rsid w:val="00B10633"/>
    <w:rsid w:val="00B131E9"/>
    <w:rsid w:val="00B14545"/>
    <w:rsid w:val="00B16007"/>
    <w:rsid w:val="00B1710F"/>
    <w:rsid w:val="00B21157"/>
    <w:rsid w:val="00B23A8B"/>
    <w:rsid w:val="00B23B49"/>
    <w:rsid w:val="00B2555E"/>
    <w:rsid w:val="00B2625A"/>
    <w:rsid w:val="00B355E7"/>
    <w:rsid w:val="00B36E70"/>
    <w:rsid w:val="00B40324"/>
    <w:rsid w:val="00B42D0F"/>
    <w:rsid w:val="00B431B7"/>
    <w:rsid w:val="00B43B6B"/>
    <w:rsid w:val="00B45E2B"/>
    <w:rsid w:val="00B47267"/>
    <w:rsid w:val="00B5281A"/>
    <w:rsid w:val="00B548AD"/>
    <w:rsid w:val="00B550FE"/>
    <w:rsid w:val="00B60BA3"/>
    <w:rsid w:val="00B60FAD"/>
    <w:rsid w:val="00B620E8"/>
    <w:rsid w:val="00B625AC"/>
    <w:rsid w:val="00B6388C"/>
    <w:rsid w:val="00B65109"/>
    <w:rsid w:val="00B66D00"/>
    <w:rsid w:val="00B730E1"/>
    <w:rsid w:val="00B74482"/>
    <w:rsid w:val="00B7661D"/>
    <w:rsid w:val="00B801F3"/>
    <w:rsid w:val="00B80DBA"/>
    <w:rsid w:val="00B825E1"/>
    <w:rsid w:val="00B83AB8"/>
    <w:rsid w:val="00B84853"/>
    <w:rsid w:val="00B85A4A"/>
    <w:rsid w:val="00B87E23"/>
    <w:rsid w:val="00B91493"/>
    <w:rsid w:val="00B940FE"/>
    <w:rsid w:val="00B94422"/>
    <w:rsid w:val="00B94FF0"/>
    <w:rsid w:val="00B959B9"/>
    <w:rsid w:val="00B95C12"/>
    <w:rsid w:val="00B962B1"/>
    <w:rsid w:val="00B97B0A"/>
    <w:rsid w:val="00BA20CA"/>
    <w:rsid w:val="00BA2F60"/>
    <w:rsid w:val="00BA4C15"/>
    <w:rsid w:val="00BB24C5"/>
    <w:rsid w:val="00BB3257"/>
    <w:rsid w:val="00BB3358"/>
    <w:rsid w:val="00BB4478"/>
    <w:rsid w:val="00BB4D17"/>
    <w:rsid w:val="00BB4F45"/>
    <w:rsid w:val="00BC031F"/>
    <w:rsid w:val="00BC1243"/>
    <w:rsid w:val="00BC202B"/>
    <w:rsid w:val="00BC2831"/>
    <w:rsid w:val="00BC3046"/>
    <w:rsid w:val="00BC386E"/>
    <w:rsid w:val="00BC3E67"/>
    <w:rsid w:val="00BC5CC9"/>
    <w:rsid w:val="00BD0369"/>
    <w:rsid w:val="00BD2971"/>
    <w:rsid w:val="00BD636B"/>
    <w:rsid w:val="00BD6C88"/>
    <w:rsid w:val="00BD7414"/>
    <w:rsid w:val="00BD7AF1"/>
    <w:rsid w:val="00BE1358"/>
    <w:rsid w:val="00BE1893"/>
    <w:rsid w:val="00BE6843"/>
    <w:rsid w:val="00BE68BE"/>
    <w:rsid w:val="00BE706A"/>
    <w:rsid w:val="00BF2597"/>
    <w:rsid w:val="00BF2709"/>
    <w:rsid w:val="00BF4A6F"/>
    <w:rsid w:val="00BF7166"/>
    <w:rsid w:val="00BF7B90"/>
    <w:rsid w:val="00BF7FA9"/>
    <w:rsid w:val="00C028C1"/>
    <w:rsid w:val="00C02B1F"/>
    <w:rsid w:val="00C06A43"/>
    <w:rsid w:val="00C06F5C"/>
    <w:rsid w:val="00C07F97"/>
    <w:rsid w:val="00C10104"/>
    <w:rsid w:val="00C127EB"/>
    <w:rsid w:val="00C12AED"/>
    <w:rsid w:val="00C1359E"/>
    <w:rsid w:val="00C143D7"/>
    <w:rsid w:val="00C14B65"/>
    <w:rsid w:val="00C177AC"/>
    <w:rsid w:val="00C2107B"/>
    <w:rsid w:val="00C21CBD"/>
    <w:rsid w:val="00C25899"/>
    <w:rsid w:val="00C3175F"/>
    <w:rsid w:val="00C31DE1"/>
    <w:rsid w:val="00C31EF0"/>
    <w:rsid w:val="00C34F22"/>
    <w:rsid w:val="00C35664"/>
    <w:rsid w:val="00C3694B"/>
    <w:rsid w:val="00C37621"/>
    <w:rsid w:val="00C377D8"/>
    <w:rsid w:val="00C37BCA"/>
    <w:rsid w:val="00C41139"/>
    <w:rsid w:val="00C41BB4"/>
    <w:rsid w:val="00C41D99"/>
    <w:rsid w:val="00C42B87"/>
    <w:rsid w:val="00C433A3"/>
    <w:rsid w:val="00C436F6"/>
    <w:rsid w:val="00C43BCA"/>
    <w:rsid w:val="00C43BEB"/>
    <w:rsid w:val="00C43FB1"/>
    <w:rsid w:val="00C4605E"/>
    <w:rsid w:val="00C515F3"/>
    <w:rsid w:val="00C51C47"/>
    <w:rsid w:val="00C52778"/>
    <w:rsid w:val="00C54690"/>
    <w:rsid w:val="00C56284"/>
    <w:rsid w:val="00C5675B"/>
    <w:rsid w:val="00C614D4"/>
    <w:rsid w:val="00C6150B"/>
    <w:rsid w:val="00C61917"/>
    <w:rsid w:val="00C63477"/>
    <w:rsid w:val="00C63C6A"/>
    <w:rsid w:val="00C70358"/>
    <w:rsid w:val="00C7043F"/>
    <w:rsid w:val="00C73E85"/>
    <w:rsid w:val="00C754EC"/>
    <w:rsid w:val="00C75543"/>
    <w:rsid w:val="00C76AC5"/>
    <w:rsid w:val="00C77310"/>
    <w:rsid w:val="00C80ECD"/>
    <w:rsid w:val="00C830D0"/>
    <w:rsid w:val="00C83CE1"/>
    <w:rsid w:val="00C84F19"/>
    <w:rsid w:val="00C87A86"/>
    <w:rsid w:val="00C916B7"/>
    <w:rsid w:val="00C946C9"/>
    <w:rsid w:val="00C97D26"/>
    <w:rsid w:val="00CA1B16"/>
    <w:rsid w:val="00CA2313"/>
    <w:rsid w:val="00CA2E33"/>
    <w:rsid w:val="00CA30A0"/>
    <w:rsid w:val="00CA3688"/>
    <w:rsid w:val="00CA7ED0"/>
    <w:rsid w:val="00CB05B3"/>
    <w:rsid w:val="00CB1013"/>
    <w:rsid w:val="00CB167B"/>
    <w:rsid w:val="00CB2C81"/>
    <w:rsid w:val="00CB4819"/>
    <w:rsid w:val="00CB5708"/>
    <w:rsid w:val="00CB5846"/>
    <w:rsid w:val="00CB6379"/>
    <w:rsid w:val="00CB6A92"/>
    <w:rsid w:val="00CB6E44"/>
    <w:rsid w:val="00CC009D"/>
    <w:rsid w:val="00CC0561"/>
    <w:rsid w:val="00CC1AA2"/>
    <w:rsid w:val="00CC2065"/>
    <w:rsid w:val="00CC2C62"/>
    <w:rsid w:val="00CC333B"/>
    <w:rsid w:val="00CC58D4"/>
    <w:rsid w:val="00CC5B7F"/>
    <w:rsid w:val="00CC7299"/>
    <w:rsid w:val="00CD0D63"/>
    <w:rsid w:val="00CD678C"/>
    <w:rsid w:val="00CE0345"/>
    <w:rsid w:val="00CE5348"/>
    <w:rsid w:val="00CF0D22"/>
    <w:rsid w:val="00CF2B05"/>
    <w:rsid w:val="00CF3C40"/>
    <w:rsid w:val="00CF4507"/>
    <w:rsid w:val="00CF6103"/>
    <w:rsid w:val="00CF6153"/>
    <w:rsid w:val="00CF71C3"/>
    <w:rsid w:val="00D00374"/>
    <w:rsid w:val="00D036B1"/>
    <w:rsid w:val="00D03E26"/>
    <w:rsid w:val="00D05694"/>
    <w:rsid w:val="00D05F04"/>
    <w:rsid w:val="00D06062"/>
    <w:rsid w:val="00D0651B"/>
    <w:rsid w:val="00D10E97"/>
    <w:rsid w:val="00D11FCC"/>
    <w:rsid w:val="00D12C04"/>
    <w:rsid w:val="00D13E77"/>
    <w:rsid w:val="00D16581"/>
    <w:rsid w:val="00D165A7"/>
    <w:rsid w:val="00D17C0F"/>
    <w:rsid w:val="00D209FB"/>
    <w:rsid w:val="00D20DA5"/>
    <w:rsid w:val="00D2180C"/>
    <w:rsid w:val="00D219C4"/>
    <w:rsid w:val="00D223D1"/>
    <w:rsid w:val="00D2448B"/>
    <w:rsid w:val="00D24944"/>
    <w:rsid w:val="00D27358"/>
    <w:rsid w:val="00D2772F"/>
    <w:rsid w:val="00D3310D"/>
    <w:rsid w:val="00D346D7"/>
    <w:rsid w:val="00D373E4"/>
    <w:rsid w:val="00D41618"/>
    <w:rsid w:val="00D4191B"/>
    <w:rsid w:val="00D42777"/>
    <w:rsid w:val="00D44EF4"/>
    <w:rsid w:val="00D50A22"/>
    <w:rsid w:val="00D56826"/>
    <w:rsid w:val="00D60FE8"/>
    <w:rsid w:val="00D61B2A"/>
    <w:rsid w:val="00D62F9C"/>
    <w:rsid w:val="00D630FC"/>
    <w:rsid w:val="00D63D3B"/>
    <w:rsid w:val="00D65D6C"/>
    <w:rsid w:val="00D65F26"/>
    <w:rsid w:val="00D66DEE"/>
    <w:rsid w:val="00D70194"/>
    <w:rsid w:val="00D71C2D"/>
    <w:rsid w:val="00D7231D"/>
    <w:rsid w:val="00D73D9A"/>
    <w:rsid w:val="00D74CF0"/>
    <w:rsid w:val="00D75B5A"/>
    <w:rsid w:val="00D76259"/>
    <w:rsid w:val="00D8032C"/>
    <w:rsid w:val="00D81668"/>
    <w:rsid w:val="00D83ACF"/>
    <w:rsid w:val="00D845CF"/>
    <w:rsid w:val="00D85441"/>
    <w:rsid w:val="00D867CA"/>
    <w:rsid w:val="00D90437"/>
    <w:rsid w:val="00D9074F"/>
    <w:rsid w:val="00D914DD"/>
    <w:rsid w:val="00D91523"/>
    <w:rsid w:val="00D92458"/>
    <w:rsid w:val="00D92968"/>
    <w:rsid w:val="00D92B42"/>
    <w:rsid w:val="00D94887"/>
    <w:rsid w:val="00D9577C"/>
    <w:rsid w:val="00DA1034"/>
    <w:rsid w:val="00DA12F4"/>
    <w:rsid w:val="00DA2952"/>
    <w:rsid w:val="00DA446D"/>
    <w:rsid w:val="00DA65D5"/>
    <w:rsid w:val="00DB0965"/>
    <w:rsid w:val="00DB3A4E"/>
    <w:rsid w:val="00DC01A7"/>
    <w:rsid w:val="00DC045E"/>
    <w:rsid w:val="00DC139B"/>
    <w:rsid w:val="00DC1BF2"/>
    <w:rsid w:val="00DC1C27"/>
    <w:rsid w:val="00DC2442"/>
    <w:rsid w:val="00DC67EE"/>
    <w:rsid w:val="00DC6EB3"/>
    <w:rsid w:val="00DC7DEB"/>
    <w:rsid w:val="00DD04A7"/>
    <w:rsid w:val="00DD0BEA"/>
    <w:rsid w:val="00DD446C"/>
    <w:rsid w:val="00DD4867"/>
    <w:rsid w:val="00DD51A9"/>
    <w:rsid w:val="00DD6D4E"/>
    <w:rsid w:val="00DD7430"/>
    <w:rsid w:val="00DE1A9A"/>
    <w:rsid w:val="00DE2024"/>
    <w:rsid w:val="00DE2424"/>
    <w:rsid w:val="00DE25F8"/>
    <w:rsid w:val="00DE37BE"/>
    <w:rsid w:val="00DE3DAA"/>
    <w:rsid w:val="00DE7024"/>
    <w:rsid w:val="00DE735E"/>
    <w:rsid w:val="00DF0962"/>
    <w:rsid w:val="00DF16E5"/>
    <w:rsid w:val="00DF2D1F"/>
    <w:rsid w:val="00DF2FD5"/>
    <w:rsid w:val="00DF445E"/>
    <w:rsid w:val="00DF5BFB"/>
    <w:rsid w:val="00DF5D0C"/>
    <w:rsid w:val="00E000B4"/>
    <w:rsid w:val="00E005DA"/>
    <w:rsid w:val="00E0279B"/>
    <w:rsid w:val="00E061BC"/>
    <w:rsid w:val="00E062E0"/>
    <w:rsid w:val="00E06D80"/>
    <w:rsid w:val="00E075EB"/>
    <w:rsid w:val="00E11598"/>
    <w:rsid w:val="00E11FCF"/>
    <w:rsid w:val="00E13499"/>
    <w:rsid w:val="00E135F5"/>
    <w:rsid w:val="00E15998"/>
    <w:rsid w:val="00E15F79"/>
    <w:rsid w:val="00E16315"/>
    <w:rsid w:val="00E1741E"/>
    <w:rsid w:val="00E20192"/>
    <w:rsid w:val="00E20615"/>
    <w:rsid w:val="00E212A3"/>
    <w:rsid w:val="00E2192E"/>
    <w:rsid w:val="00E23801"/>
    <w:rsid w:val="00E23CA4"/>
    <w:rsid w:val="00E25081"/>
    <w:rsid w:val="00E250DB"/>
    <w:rsid w:val="00E25114"/>
    <w:rsid w:val="00E357C7"/>
    <w:rsid w:val="00E37EA7"/>
    <w:rsid w:val="00E43287"/>
    <w:rsid w:val="00E46ECE"/>
    <w:rsid w:val="00E471EE"/>
    <w:rsid w:val="00E47737"/>
    <w:rsid w:val="00E509B6"/>
    <w:rsid w:val="00E50F0A"/>
    <w:rsid w:val="00E55002"/>
    <w:rsid w:val="00E55872"/>
    <w:rsid w:val="00E55A0F"/>
    <w:rsid w:val="00E55BAB"/>
    <w:rsid w:val="00E56FF7"/>
    <w:rsid w:val="00E57B22"/>
    <w:rsid w:val="00E60397"/>
    <w:rsid w:val="00E61141"/>
    <w:rsid w:val="00E63386"/>
    <w:rsid w:val="00E6377E"/>
    <w:rsid w:val="00E64F4E"/>
    <w:rsid w:val="00E66096"/>
    <w:rsid w:val="00E67BD5"/>
    <w:rsid w:val="00E67F7A"/>
    <w:rsid w:val="00E725BF"/>
    <w:rsid w:val="00E739B9"/>
    <w:rsid w:val="00E74B5B"/>
    <w:rsid w:val="00E754A7"/>
    <w:rsid w:val="00E826B6"/>
    <w:rsid w:val="00E9279E"/>
    <w:rsid w:val="00E943EF"/>
    <w:rsid w:val="00E947F8"/>
    <w:rsid w:val="00E94AA8"/>
    <w:rsid w:val="00EA1A46"/>
    <w:rsid w:val="00EA1B2D"/>
    <w:rsid w:val="00EA38F1"/>
    <w:rsid w:val="00EA5E25"/>
    <w:rsid w:val="00EA7896"/>
    <w:rsid w:val="00EB036A"/>
    <w:rsid w:val="00EB24FD"/>
    <w:rsid w:val="00EC31D2"/>
    <w:rsid w:val="00EC45CC"/>
    <w:rsid w:val="00EC4FBF"/>
    <w:rsid w:val="00EC52FB"/>
    <w:rsid w:val="00EC5BF0"/>
    <w:rsid w:val="00EC605F"/>
    <w:rsid w:val="00EC6692"/>
    <w:rsid w:val="00EC7178"/>
    <w:rsid w:val="00ED1570"/>
    <w:rsid w:val="00ED20BA"/>
    <w:rsid w:val="00ED4BE1"/>
    <w:rsid w:val="00ED6C12"/>
    <w:rsid w:val="00EE5177"/>
    <w:rsid w:val="00EE5F48"/>
    <w:rsid w:val="00EE7ADC"/>
    <w:rsid w:val="00EF0A28"/>
    <w:rsid w:val="00EF1886"/>
    <w:rsid w:val="00EF5EE4"/>
    <w:rsid w:val="00EF69B1"/>
    <w:rsid w:val="00EF7B81"/>
    <w:rsid w:val="00F00119"/>
    <w:rsid w:val="00F01819"/>
    <w:rsid w:val="00F02486"/>
    <w:rsid w:val="00F0259C"/>
    <w:rsid w:val="00F03517"/>
    <w:rsid w:val="00F04F76"/>
    <w:rsid w:val="00F06880"/>
    <w:rsid w:val="00F1132C"/>
    <w:rsid w:val="00F1153B"/>
    <w:rsid w:val="00F1324D"/>
    <w:rsid w:val="00F145B3"/>
    <w:rsid w:val="00F152B2"/>
    <w:rsid w:val="00F166BD"/>
    <w:rsid w:val="00F21A8A"/>
    <w:rsid w:val="00F21B37"/>
    <w:rsid w:val="00F2266B"/>
    <w:rsid w:val="00F265D3"/>
    <w:rsid w:val="00F27CCD"/>
    <w:rsid w:val="00F301EE"/>
    <w:rsid w:val="00F30611"/>
    <w:rsid w:val="00F31C96"/>
    <w:rsid w:val="00F334C1"/>
    <w:rsid w:val="00F336B7"/>
    <w:rsid w:val="00F33779"/>
    <w:rsid w:val="00F35BAC"/>
    <w:rsid w:val="00F3772F"/>
    <w:rsid w:val="00F40522"/>
    <w:rsid w:val="00F4277A"/>
    <w:rsid w:val="00F42DDF"/>
    <w:rsid w:val="00F4344F"/>
    <w:rsid w:val="00F45011"/>
    <w:rsid w:val="00F47F4B"/>
    <w:rsid w:val="00F50607"/>
    <w:rsid w:val="00F52C06"/>
    <w:rsid w:val="00F52CAC"/>
    <w:rsid w:val="00F54758"/>
    <w:rsid w:val="00F56487"/>
    <w:rsid w:val="00F61162"/>
    <w:rsid w:val="00F62D56"/>
    <w:rsid w:val="00F63E60"/>
    <w:rsid w:val="00F65EF1"/>
    <w:rsid w:val="00F70C28"/>
    <w:rsid w:val="00F715B0"/>
    <w:rsid w:val="00F72003"/>
    <w:rsid w:val="00F72FDB"/>
    <w:rsid w:val="00F74BD0"/>
    <w:rsid w:val="00F77222"/>
    <w:rsid w:val="00F81CB2"/>
    <w:rsid w:val="00F870D2"/>
    <w:rsid w:val="00F87FFB"/>
    <w:rsid w:val="00F911E6"/>
    <w:rsid w:val="00F91D01"/>
    <w:rsid w:val="00F92382"/>
    <w:rsid w:val="00F97AE3"/>
    <w:rsid w:val="00FA0A31"/>
    <w:rsid w:val="00FA0A4A"/>
    <w:rsid w:val="00FA667A"/>
    <w:rsid w:val="00FA7742"/>
    <w:rsid w:val="00FB04CE"/>
    <w:rsid w:val="00FB169A"/>
    <w:rsid w:val="00FB27CB"/>
    <w:rsid w:val="00FB33A8"/>
    <w:rsid w:val="00FB3DBC"/>
    <w:rsid w:val="00FB3DFF"/>
    <w:rsid w:val="00FC1E5E"/>
    <w:rsid w:val="00FC288E"/>
    <w:rsid w:val="00FD253A"/>
    <w:rsid w:val="00FD4AB7"/>
    <w:rsid w:val="00FD77C1"/>
    <w:rsid w:val="00FD7F75"/>
    <w:rsid w:val="00FE0C5C"/>
    <w:rsid w:val="00FE62FE"/>
    <w:rsid w:val="00FE7C4A"/>
    <w:rsid w:val="00FF0CB1"/>
    <w:rsid w:val="00FF1B0A"/>
    <w:rsid w:val="00FF1D3D"/>
    <w:rsid w:val="00FF323C"/>
    <w:rsid w:val="00FF5812"/>
    <w:rsid w:val="00FF5AA7"/>
    <w:rsid w:val="00FF6EDF"/>
    <w:rsid w:val="00FF73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2F8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91"/>
    <w:pPr>
      <w:spacing w:before="160" w:after="0" w:line="240" w:lineRule="auto"/>
    </w:pPr>
    <w:rPr>
      <w:sz w:val="26"/>
    </w:rPr>
  </w:style>
  <w:style w:type="paragraph" w:styleId="Heading1">
    <w:name w:val="heading 1"/>
    <w:basedOn w:val="Normal"/>
    <w:next w:val="Normal"/>
    <w:link w:val="Heading1Char"/>
    <w:autoRedefine/>
    <w:uiPriority w:val="9"/>
    <w:qFormat/>
    <w:rsid w:val="0075593F"/>
    <w:pPr>
      <w:spacing w:before="0" w:after="280" w:line="270" w:lineRule="auto"/>
      <w:ind w:left="2430" w:right="-186" w:hanging="2430"/>
      <w:outlineLvl w:val="0"/>
    </w:pPr>
    <w:rPr>
      <w:sz w:val="44"/>
      <w:szCs w:val="40"/>
    </w:rPr>
  </w:style>
  <w:style w:type="paragraph" w:styleId="Heading2">
    <w:name w:val="heading 2"/>
    <w:basedOn w:val="Normal"/>
    <w:next w:val="Normal"/>
    <w:link w:val="Heading2Char"/>
    <w:autoRedefine/>
    <w:uiPriority w:val="9"/>
    <w:unhideWhenUsed/>
    <w:qFormat/>
    <w:rsid w:val="00006F93"/>
    <w:pPr>
      <w:spacing w:before="240" w:after="280"/>
      <w:outlineLvl w:val="1"/>
    </w:pPr>
    <w:rPr>
      <w:b/>
      <w:sz w:val="32"/>
    </w:rPr>
  </w:style>
  <w:style w:type="paragraph" w:styleId="Heading3">
    <w:name w:val="heading 3"/>
    <w:basedOn w:val="Normal"/>
    <w:next w:val="Normal"/>
    <w:link w:val="Heading3Char"/>
    <w:autoRedefine/>
    <w:uiPriority w:val="9"/>
    <w:unhideWhenUsed/>
    <w:qFormat/>
    <w:rsid w:val="00D65F26"/>
    <w:pPr>
      <w:numPr>
        <w:ilvl w:val="2"/>
        <w:numId w:val="2"/>
      </w:numPr>
      <w:outlineLvl w:val="2"/>
    </w:pPr>
    <w:rPr>
      <w:sz w:val="28"/>
    </w:rPr>
  </w:style>
  <w:style w:type="paragraph" w:styleId="Heading4">
    <w:name w:val="heading 4"/>
    <w:aliases w:val="Bullets level 2"/>
    <w:basedOn w:val="ListParagraph"/>
    <w:next w:val="Normal"/>
    <w:link w:val="Heading4Char"/>
    <w:uiPriority w:val="9"/>
    <w:unhideWhenUsed/>
    <w:qFormat/>
    <w:rsid w:val="00187837"/>
    <w:pPr>
      <w:spacing w:before="0" w:line="276" w:lineRule="auto"/>
      <w:ind w:left="1440" w:hanging="360"/>
      <w:contextualSpacing w:val="0"/>
      <w:jc w:val="both"/>
      <w:outlineLvl w:val="3"/>
    </w:pPr>
    <w:rPr>
      <w:rFonts w:ascii="Verdana" w:eastAsia="Calibri" w:hAnsi="Verdana" w:cstheme="minorHAnsi"/>
      <w:color w:val="000000" w:themeColor="text1"/>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86B73"/>
    <w:pPr>
      <w:tabs>
        <w:tab w:val="center" w:pos="4513"/>
        <w:tab w:val="right" w:pos="9026"/>
      </w:tabs>
    </w:pPr>
  </w:style>
  <w:style w:type="character" w:customStyle="1" w:styleId="HeaderChar">
    <w:name w:val="Header Char"/>
    <w:basedOn w:val="DefaultParagraphFont"/>
    <w:link w:val="Header"/>
    <w:rsid w:val="00486B73"/>
  </w:style>
  <w:style w:type="paragraph" w:styleId="Footer">
    <w:name w:val="footer"/>
    <w:basedOn w:val="NoSpacing"/>
    <w:link w:val="FooterChar"/>
    <w:uiPriority w:val="99"/>
    <w:unhideWhenUsed/>
    <w:rsid w:val="005B73CB"/>
    <w:pPr>
      <w:ind w:left="-227"/>
    </w:pPr>
    <w:rPr>
      <w:sz w:val="16"/>
    </w:rPr>
  </w:style>
  <w:style w:type="character" w:customStyle="1" w:styleId="FooterChar">
    <w:name w:val="Footer Char"/>
    <w:basedOn w:val="DefaultParagraphFont"/>
    <w:link w:val="Footer"/>
    <w:uiPriority w:val="99"/>
    <w:rsid w:val="005B73CB"/>
    <w:rPr>
      <w:sz w:val="16"/>
    </w:rPr>
  </w:style>
  <w:style w:type="paragraph" w:styleId="ListBullet">
    <w:name w:val="List Bullet"/>
    <w:basedOn w:val="Normal"/>
    <w:uiPriority w:val="99"/>
    <w:unhideWhenUsed/>
    <w:qFormat/>
    <w:rsid w:val="003F7C1A"/>
    <w:pPr>
      <w:numPr>
        <w:numId w:val="1"/>
      </w:numPr>
      <w:spacing w:before="0"/>
      <w:ind w:left="357" w:hanging="357"/>
      <w:contextualSpacing/>
    </w:pPr>
  </w:style>
  <w:style w:type="character" w:customStyle="1" w:styleId="Heading1Char">
    <w:name w:val="Heading 1 Char"/>
    <w:basedOn w:val="DefaultParagraphFont"/>
    <w:link w:val="Heading1"/>
    <w:uiPriority w:val="9"/>
    <w:rsid w:val="0075593F"/>
    <w:rPr>
      <w:sz w:val="44"/>
      <w:szCs w:val="40"/>
    </w:rPr>
  </w:style>
  <w:style w:type="character" w:customStyle="1" w:styleId="Heading2Char">
    <w:name w:val="Heading 2 Char"/>
    <w:basedOn w:val="DefaultParagraphFont"/>
    <w:link w:val="Heading2"/>
    <w:uiPriority w:val="9"/>
    <w:rsid w:val="00006F93"/>
    <w:rPr>
      <w:b/>
      <w:sz w:val="32"/>
    </w:rPr>
  </w:style>
  <w:style w:type="character" w:customStyle="1" w:styleId="Heading3Char">
    <w:name w:val="Heading 3 Char"/>
    <w:basedOn w:val="DefaultParagraphFont"/>
    <w:link w:val="Heading3"/>
    <w:uiPriority w:val="9"/>
    <w:rsid w:val="00D65F26"/>
    <w:rPr>
      <w:sz w:val="28"/>
    </w:rPr>
  </w:style>
  <w:style w:type="numbering" w:customStyle="1" w:styleId="Headings">
    <w:name w:val="Headings"/>
    <w:uiPriority w:val="99"/>
    <w:rsid w:val="003F2DD3"/>
    <w:pPr>
      <w:numPr>
        <w:numId w:val="2"/>
      </w:numPr>
    </w:pPr>
  </w:style>
  <w:style w:type="table" w:styleId="TableGrid">
    <w:name w:val="Table Grid"/>
    <w:basedOn w:val="TableNormal"/>
    <w:rsid w:val="009A2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next w:val="Normal"/>
    <w:link w:val="NoSpacingChar"/>
    <w:autoRedefine/>
    <w:uiPriority w:val="1"/>
    <w:qFormat/>
    <w:rsid w:val="00502570"/>
    <w:pPr>
      <w:spacing w:after="0" w:line="240" w:lineRule="auto"/>
    </w:pPr>
    <w:rPr>
      <w:sz w:val="24"/>
    </w:rPr>
  </w:style>
  <w:style w:type="paragraph" w:styleId="Title">
    <w:name w:val="Title"/>
    <w:basedOn w:val="Normal"/>
    <w:next w:val="Normal"/>
    <w:link w:val="TitleChar"/>
    <w:autoRedefine/>
    <w:uiPriority w:val="10"/>
    <w:qFormat/>
    <w:rsid w:val="00BE1893"/>
    <w:pPr>
      <w:spacing w:before="960" w:after="240"/>
      <w:ind w:left="3686"/>
    </w:pPr>
    <w:rPr>
      <w:color w:val="C6AA76"/>
      <w:sz w:val="64"/>
    </w:rPr>
  </w:style>
  <w:style w:type="character" w:customStyle="1" w:styleId="TitleChar">
    <w:name w:val="Title Char"/>
    <w:basedOn w:val="DefaultParagraphFont"/>
    <w:link w:val="Title"/>
    <w:uiPriority w:val="10"/>
    <w:rsid w:val="00BE1893"/>
    <w:rPr>
      <w:color w:val="C6AA76"/>
      <w:sz w:val="64"/>
    </w:rPr>
  </w:style>
  <w:style w:type="paragraph" w:styleId="Subtitle">
    <w:name w:val="Subtitle"/>
    <w:basedOn w:val="Normal"/>
    <w:next w:val="Normal"/>
    <w:link w:val="SubtitleChar"/>
    <w:autoRedefine/>
    <w:uiPriority w:val="11"/>
    <w:qFormat/>
    <w:rsid w:val="00502570"/>
    <w:pPr>
      <w:spacing w:before="60"/>
      <w:ind w:left="3686"/>
    </w:pPr>
    <w:rPr>
      <w:color w:val="C6AA76"/>
      <w:sz w:val="28"/>
    </w:rPr>
  </w:style>
  <w:style w:type="character" w:customStyle="1" w:styleId="SubtitleChar">
    <w:name w:val="Subtitle Char"/>
    <w:basedOn w:val="DefaultParagraphFont"/>
    <w:link w:val="Subtitle"/>
    <w:uiPriority w:val="11"/>
    <w:rsid w:val="00502570"/>
    <w:rPr>
      <w:color w:val="C6AA76"/>
      <w:sz w:val="28"/>
    </w:rPr>
  </w:style>
  <w:style w:type="character" w:styleId="PlaceholderText">
    <w:name w:val="Placeholder Text"/>
    <w:basedOn w:val="DefaultParagraphFont"/>
    <w:uiPriority w:val="99"/>
    <w:semiHidden/>
    <w:rsid w:val="007F35F2"/>
    <w:rPr>
      <w:color w:val="808080"/>
    </w:rPr>
  </w:style>
  <w:style w:type="paragraph" w:customStyle="1" w:styleId="Heading1NoNumbers">
    <w:name w:val="Heading 1 No Numbers"/>
    <w:basedOn w:val="Heading1"/>
    <w:link w:val="Heading1NoNumbersChar"/>
    <w:autoRedefine/>
    <w:qFormat/>
    <w:rsid w:val="00A067D1"/>
    <w:pPr>
      <w:ind w:left="357" w:hanging="357"/>
    </w:pPr>
  </w:style>
  <w:style w:type="paragraph" w:customStyle="1" w:styleId="Heading2NoNumbers">
    <w:name w:val="Heading 2 No Numbers"/>
    <w:basedOn w:val="Heading2"/>
    <w:link w:val="Heading2NoNumbersChar"/>
    <w:autoRedefine/>
    <w:qFormat/>
    <w:rsid w:val="0075475F"/>
    <w:pPr>
      <w:outlineLvl w:val="9"/>
    </w:pPr>
    <w:rPr>
      <w:sz w:val="28"/>
    </w:rPr>
  </w:style>
  <w:style w:type="character" w:customStyle="1" w:styleId="Heading1NoNumbersChar">
    <w:name w:val="Heading 1 No Numbers Char"/>
    <w:basedOn w:val="Heading1Char"/>
    <w:link w:val="Heading1NoNumbers"/>
    <w:rsid w:val="00A067D1"/>
    <w:rPr>
      <w:sz w:val="44"/>
      <w:szCs w:val="40"/>
    </w:rPr>
  </w:style>
  <w:style w:type="character" w:customStyle="1" w:styleId="Heading2NoNumbersChar">
    <w:name w:val="Heading 2 No Numbers Char"/>
    <w:basedOn w:val="Heading2Char"/>
    <w:link w:val="Heading2NoNumbers"/>
    <w:rsid w:val="0075475F"/>
    <w:rPr>
      <w:b/>
      <w:sz w:val="28"/>
    </w:rPr>
  </w:style>
  <w:style w:type="paragraph" w:customStyle="1" w:styleId="Member">
    <w:name w:val="Member"/>
    <w:basedOn w:val="Normal"/>
    <w:link w:val="MemberChar"/>
    <w:autoRedefine/>
    <w:qFormat/>
    <w:rsid w:val="00C3175F"/>
    <w:pPr>
      <w:spacing w:before="0" w:line="480" w:lineRule="auto"/>
      <w:jc w:val="both"/>
    </w:pPr>
    <w:rPr>
      <w:caps/>
      <w:spacing w:val="14"/>
      <w:sz w:val="18"/>
      <w:szCs w:val="18"/>
    </w:rPr>
  </w:style>
  <w:style w:type="character" w:styleId="IntenseReference">
    <w:name w:val="Intense Reference"/>
    <w:basedOn w:val="DefaultParagraphFont"/>
    <w:uiPriority w:val="32"/>
    <w:rsid w:val="0041252E"/>
    <w:rPr>
      <w:b/>
      <w:bCs/>
      <w:smallCaps/>
      <w:color w:val="B9945F" w:themeColor="accent2"/>
      <w:spacing w:val="5"/>
    </w:rPr>
  </w:style>
  <w:style w:type="character" w:customStyle="1" w:styleId="MemberChar">
    <w:name w:val="Member Char"/>
    <w:basedOn w:val="DefaultParagraphFont"/>
    <w:link w:val="Member"/>
    <w:rsid w:val="00C3175F"/>
    <w:rPr>
      <w:caps/>
      <w:spacing w:val="14"/>
      <w:sz w:val="18"/>
      <w:szCs w:val="18"/>
    </w:rPr>
  </w:style>
  <w:style w:type="character" w:styleId="Strong">
    <w:name w:val="Strong"/>
    <w:basedOn w:val="DefaultParagraphFont"/>
    <w:uiPriority w:val="22"/>
    <w:qFormat/>
    <w:rsid w:val="0041252E"/>
    <w:rPr>
      <w:b/>
      <w:bCs/>
    </w:rPr>
  </w:style>
  <w:style w:type="character" w:styleId="Hyperlink">
    <w:name w:val="Hyperlink"/>
    <w:basedOn w:val="DefaultParagraphFont"/>
    <w:uiPriority w:val="99"/>
    <w:unhideWhenUsed/>
    <w:rsid w:val="00720398"/>
    <w:rPr>
      <w:color w:val="000000" w:themeColor="hyperlink"/>
      <w:u w:val="single"/>
    </w:rPr>
  </w:style>
  <w:style w:type="paragraph" w:customStyle="1" w:styleId="Disclaimer">
    <w:name w:val="Disclaimer"/>
    <w:basedOn w:val="Normal"/>
    <w:link w:val="DisclaimerChar"/>
    <w:qFormat/>
    <w:rsid w:val="00720398"/>
    <w:rPr>
      <w:sz w:val="16"/>
    </w:rPr>
  </w:style>
  <w:style w:type="paragraph" w:styleId="TOC2">
    <w:name w:val="toc 2"/>
    <w:basedOn w:val="Normal"/>
    <w:next w:val="Normal"/>
    <w:autoRedefine/>
    <w:uiPriority w:val="39"/>
    <w:unhideWhenUsed/>
    <w:rsid w:val="009A5198"/>
    <w:pPr>
      <w:spacing w:before="0"/>
    </w:pPr>
  </w:style>
  <w:style w:type="character" w:customStyle="1" w:styleId="NoSpacingChar">
    <w:name w:val="No Spacing Char"/>
    <w:basedOn w:val="DefaultParagraphFont"/>
    <w:link w:val="NoSpacing"/>
    <w:uiPriority w:val="1"/>
    <w:rsid w:val="00502570"/>
    <w:rPr>
      <w:sz w:val="24"/>
    </w:rPr>
  </w:style>
  <w:style w:type="character" w:customStyle="1" w:styleId="DisclaimerChar">
    <w:name w:val="Disclaimer Char"/>
    <w:basedOn w:val="NoSpacingChar"/>
    <w:link w:val="Disclaimer"/>
    <w:rsid w:val="00720398"/>
    <w:rPr>
      <w:sz w:val="16"/>
    </w:rPr>
  </w:style>
  <w:style w:type="paragraph" w:styleId="TOC1">
    <w:name w:val="toc 1"/>
    <w:basedOn w:val="Normal"/>
    <w:next w:val="Normal"/>
    <w:autoRedefine/>
    <w:uiPriority w:val="39"/>
    <w:unhideWhenUsed/>
    <w:rsid w:val="00B940FE"/>
    <w:pPr>
      <w:tabs>
        <w:tab w:val="left" w:pos="660"/>
        <w:tab w:val="right" w:pos="9344"/>
      </w:tabs>
      <w:spacing w:after="120"/>
    </w:pPr>
    <w:rPr>
      <w:b/>
    </w:rPr>
  </w:style>
  <w:style w:type="paragraph" w:styleId="TOC3">
    <w:name w:val="toc 3"/>
    <w:basedOn w:val="Normal"/>
    <w:next w:val="Normal"/>
    <w:autoRedefine/>
    <w:uiPriority w:val="39"/>
    <w:unhideWhenUsed/>
    <w:rsid w:val="00D65F26"/>
    <w:pPr>
      <w:tabs>
        <w:tab w:val="left" w:pos="851"/>
        <w:tab w:val="right" w:pos="9344"/>
      </w:tabs>
      <w:spacing w:before="0"/>
      <w:ind w:left="851" w:hanging="851"/>
    </w:pPr>
    <w:rPr>
      <w:noProof/>
    </w:rPr>
  </w:style>
  <w:style w:type="paragraph" w:styleId="TOCHeading">
    <w:name w:val="TOC Heading"/>
    <w:basedOn w:val="Heading1NoNumbers"/>
    <w:next w:val="Normal"/>
    <w:uiPriority w:val="39"/>
    <w:unhideWhenUsed/>
    <w:qFormat/>
    <w:rsid w:val="009A5198"/>
  </w:style>
  <w:style w:type="character" w:styleId="IntenseEmphasis">
    <w:name w:val="Intense Emphasis"/>
    <w:basedOn w:val="IntenseReference"/>
    <w:uiPriority w:val="21"/>
    <w:qFormat/>
    <w:rsid w:val="00502570"/>
    <w:rPr>
      <w:b/>
      <w:bCs/>
      <w:smallCaps/>
      <w:color w:val="C6AA76"/>
      <w:spacing w:val="5"/>
    </w:rPr>
  </w:style>
  <w:style w:type="paragraph" w:styleId="BalloonText">
    <w:name w:val="Balloon Text"/>
    <w:basedOn w:val="Normal"/>
    <w:link w:val="BalloonTextChar"/>
    <w:uiPriority w:val="99"/>
    <w:semiHidden/>
    <w:unhideWhenUsed/>
    <w:rsid w:val="001F474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4E"/>
    <w:rPr>
      <w:rFonts w:ascii="Tahoma" w:hAnsi="Tahoma" w:cs="Tahoma"/>
      <w:sz w:val="16"/>
      <w:szCs w:val="16"/>
    </w:rPr>
  </w:style>
  <w:style w:type="paragraph" w:styleId="Caption">
    <w:name w:val="caption"/>
    <w:basedOn w:val="Normal"/>
    <w:next w:val="Normal"/>
    <w:autoRedefine/>
    <w:uiPriority w:val="35"/>
    <w:unhideWhenUsed/>
    <w:qFormat/>
    <w:rsid w:val="00886149"/>
    <w:pPr>
      <w:spacing w:before="0" w:after="200"/>
      <w:ind w:left="720"/>
      <w:jc w:val="center"/>
    </w:pPr>
    <w:rPr>
      <w:bCs/>
      <w:i/>
      <w:sz w:val="20"/>
      <w:szCs w:val="20"/>
    </w:rPr>
  </w:style>
  <w:style w:type="paragraph" w:styleId="ListParagraph">
    <w:name w:val="List Paragraph"/>
    <w:aliases w:val="Bullets level 1"/>
    <w:basedOn w:val="Normal"/>
    <w:link w:val="ListParagraphChar"/>
    <w:uiPriority w:val="34"/>
    <w:qFormat/>
    <w:rsid w:val="00EE7ADC"/>
    <w:pPr>
      <w:ind w:left="720"/>
      <w:contextualSpacing/>
    </w:pPr>
  </w:style>
  <w:style w:type="paragraph" w:styleId="FootnoteText">
    <w:name w:val="footnote text"/>
    <w:aliases w:val="(NECG) Footnote Text,ALTS FOOTNOTE"/>
    <w:basedOn w:val="Normal"/>
    <w:link w:val="FootnoteTextChar"/>
    <w:uiPriority w:val="99"/>
    <w:unhideWhenUsed/>
    <w:rsid w:val="007213A4"/>
    <w:pPr>
      <w:spacing w:before="0"/>
    </w:pPr>
    <w:rPr>
      <w:sz w:val="20"/>
      <w:szCs w:val="20"/>
    </w:rPr>
  </w:style>
  <w:style w:type="character" w:customStyle="1" w:styleId="FootnoteTextChar">
    <w:name w:val="Footnote Text Char"/>
    <w:aliases w:val="(NECG) Footnote Text Char,ALTS FOOTNOTE Char"/>
    <w:basedOn w:val="DefaultParagraphFont"/>
    <w:link w:val="FootnoteText"/>
    <w:uiPriority w:val="99"/>
    <w:rsid w:val="007213A4"/>
    <w:rPr>
      <w:sz w:val="20"/>
      <w:szCs w:val="20"/>
    </w:rPr>
  </w:style>
  <w:style w:type="character" w:styleId="FootnoteReference">
    <w:name w:val="footnote reference"/>
    <w:aliases w:val="(NECG) Footnote Reference"/>
    <w:basedOn w:val="DefaultParagraphFont"/>
    <w:uiPriority w:val="99"/>
    <w:unhideWhenUsed/>
    <w:rsid w:val="007213A4"/>
    <w:rPr>
      <w:vertAlign w:val="superscript"/>
    </w:rPr>
  </w:style>
  <w:style w:type="paragraph" w:customStyle="1" w:styleId="Default">
    <w:name w:val="Default"/>
    <w:rsid w:val="00071F5C"/>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25039"/>
    <w:rPr>
      <w:color w:val="000000" w:themeColor="followedHyperlink"/>
      <w:u w:val="single"/>
    </w:rPr>
  </w:style>
  <w:style w:type="paragraph" w:styleId="NormalWeb">
    <w:name w:val="Normal (Web)"/>
    <w:basedOn w:val="Normal"/>
    <w:uiPriority w:val="99"/>
    <w:semiHidden/>
    <w:unhideWhenUsed/>
    <w:rsid w:val="00665F8B"/>
    <w:pPr>
      <w:spacing w:before="100" w:beforeAutospacing="1" w:after="100" w:afterAutospacing="1"/>
    </w:pPr>
    <w:rPr>
      <w:rFonts w:ascii="Times New Roman" w:hAnsi="Times New Roman" w:cs="Times New Roman"/>
      <w:sz w:val="24"/>
      <w:szCs w:val="24"/>
      <w:lang w:eastAsia="en-AU"/>
    </w:rPr>
  </w:style>
  <w:style w:type="character" w:customStyle="1" w:styleId="ListParagraphChar">
    <w:name w:val="List Paragraph Char"/>
    <w:aliases w:val="Bullets level 1 Char"/>
    <w:link w:val="ListParagraph"/>
    <w:uiPriority w:val="34"/>
    <w:locked/>
    <w:rsid w:val="00125227"/>
    <w:rPr>
      <w:sz w:val="26"/>
    </w:rPr>
  </w:style>
  <w:style w:type="character" w:styleId="CommentReference">
    <w:name w:val="annotation reference"/>
    <w:basedOn w:val="DefaultParagraphFont"/>
    <w:uiPriority w:val="99"/>
    <w:semiHidden/>
    <w:unhideWhenUsed/>
    <w:rsid w:val="00103049"/>
    <w:rPr>
      <w:sz w:val="16"/>
      <w:szCs w:val="16"/>
    </w:rPr>
  </w:style>
  <w:style w:type="paragraph" w:styleId="CommentText">
    <w:name w:val="annotation text"/>
    <w:basedOn w:val="Normal"/>
    <w:link w:val="CommentTextChar"/>
    <w:uiPriority w:val="99"/>
    <w:semiHidden/>
    <w:unhideWhenUsed/>
    <w:rsid w:val="00103049"/>
    <w:rPr>
      <w:sz w:val="20"/>
      <w:szCs w:val="20"/>
    </w:rPr>
  </w:style>
  <w:style w:type="character" w:customStyle="1" w:styleId="CommentTextChar">
    <w:name w:val="Comment Text Char"/>
    <w:basedOn w:val="DefaultParagraphFont"/>
    <w:link w:val="CommentText"/>
    <w:uiPriority w:val="99"/>
    <w:semiHidden/>
    <w:rsid w:val="00103049"/>
    <w:rPr>
      <w:sz w:val="20"/>
      <w:szCs w:val="20"/>
    </w:rPr>
  </w:style>
  <w:style w:type="paragraph" w:styleId="CommentSubject">
    <w:name w:val="annotation subject"/>
    <w:basedOn w:val="CommentText"/>
    <w:next w:val="CommentText"/>
    <w:link w:val="CommentSubjectChar"/>
    <w:uiPriority w:val="99"/>
    <w:semiHidden/>
    <w:unhideWhenUsed/>
    <w:rsid w:val="00103049"/>
    <w:rPr>
      <w:b/>
      <w:bCs/>
    </w:rPr>
  </w:style>
  <w:style w:type="character" w:customStyle="1" w:styleId="CommentSubjectChar">
    <w:name w:val="Comment Subject Char"/>
    <w:basedOn w:val="CommentTextChar"/>
    <w:link w:val="CommentSubject"/>
    <w:uiPriority w:val="99"/>
    <w:semiHidden/>
    <w:rsid w:val="00103049"/>
    <w:rPr>
      <w:b/>
      <w:bCs/>
      <w:sz w:val="20"/>
      <w:szCs w:val="20"/>
    </w:rPr>
  </w:style>
  <w:style w:type="table" w:customStyle="1" w:styleId="TableGrid1">
    <w:name w:val="Table Grid1"/>
    <w:basedOn w:val="TableNormal"/>
    <w:next w:val="TableGrid"/>
    <w:rsid w:val="00F6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Bullets level 2 Char"/>
    <w:basedOn w:val="DefaultParagraphFont"/>
    <w:link w:val="Heading4"/>
    <w:uiPriority w:val="9"/>
    <w:rsid w:val="00187837"/>
    <w:rPr>
      <w:rFonts w:ascii="Verdana" w:eastAsia="Calibri" w:hAnsi="Verdana" w:cstheme="minorHAnsi"/>
      <w:color w:val="000000" w:themeColor="text1"/>
      <w:sz w:val="20"/>
      <w:szCs w:val="20"/>
      <w:lang w:eastAsia="zh-TW"/>
    </w:rPr>
  </w:style>
  <w:style w:type="paragraph" w:styleId="ListNumber">
    <w:name w:val="List Number"/>
    <w:basedOn w:val="Normal"/>
    <w:rsid w:val="00CF6103"/>
    <w:pPr>
      <w:tabs>
        <w:tab w:val="num" w:pos="360"/>
      </w:tabs>
      <w:spacing w:before="0"/>
      <w:ind w:left="360" w:hanging="360"/>
    </w:pPr>
    <w:rPr>
      <w:rFonts w:ascii="Arial" w:eastAsia="Times New Roman" w:hAnsi="Arial" w:cs="Times New Roman"/>
      <w:sz w:val="24"/>
      <w:szCs w:val="20"/>
      <w:lang w:eastAsia="en-AU"/>
    </w:rPr>
  </w:style>
  <w:style w:type="table" w:customStyle="1" w:styleId="TableGrid6">
    <w:name w:val="Table Grid6"/>
    <w:basedOn w:val="TableNormal"/>
    <w:next w:val="TableGrid"/>
    <w:uiPriority w:val="59"/>
    <w:rsid w:val="00D92B42"/>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Title">
    <w:name w:val="Rec Title"/>
    <w:basedOn w:val="BodyText"/>
    <w:next w:val="Rec"/>
    <w:qFormat/>
    <w:rsid w:val="008153DE"/>
    <w:pPr>
      <w:keepNext/>
      <w:keepLines/>
      <w:spacing w:before="240" w:after="0" w:line="280" w:lineRule="atLeast"/>
      <w:jc w:val="both"/>
    </w:pPr>
    <w:rPr>
      <w:rFonts w:ascii="Arial" w:eastAsia="Times New Roman" w:hAnsi="Arial" w:cs="Times New Roman"/>
      <w:caps/>
      <w:sz w:val="18"/>
      <w:szCs w:val="20"/>
      <w:lang w:eastAsia="en-AU"/>
    </w:rPr>
  </w:style>
  <w:style w:type="paragraph" w:customStyle="1" w:styleId="Rec">
    <w:name w:val="Rec"/>
    <w:basedOn w:val="BodyText"/>
    <w:qFormat/>
    <w:rsid w:val="008153DE"/>
    <w:pPr>
      <w:keepLines/>
      <w:spacing w:before="120" w:after="0" w:line="280" w:lineRule="atLeast"/>
      <w:jc w:val="both"/>
    </w:pPr>
    <w:rPr>
      <w:rFonts w:ascii="Arial" w:eastAsia="Times New Roman" w:hAnsi="Arial" w:cs="Times New Roman"/>
      <w:sz w:val="22"/>
      <w:szCs w:val="20"/>
      <w:lang w:eastAsia="en-AU"/>
    </w:rPr>
  </w:style>
  <w:style w:type="paragraph" w:customStyle="1" w:styleId="RecBullet">
    <w:name w:val="Rec Bullet"/>
    <w:basedOn w:val="Rec"/>
    <w:rsid w:val="008153DE"/>
    <w:pPr>
      <w:numPr>
        <w:numId w:val="5"/>
      </w:numPr>
      <w:tabs>
        <w:tab w:val="clear" w:pos="340"/>
        <w:tab w:val="num" w:pos="360"/>
      </w:tabs>
      <w:spacing w:before="80"/>
      <w:ind w:left="360" w:hanging="360"/>
    </w:pPr>
  </w:style>
  <w:style w:type="paragraph" w:customStyle="1" w:styleId="BoxSpaceBelow">
    <w:name w:val="Box Space Below"/>
    <w:basedOn w:val="Normal"/>
    <w:rsid w:val="008153DE"/>
    <w:pPr>
      <w:spacing w:before="60" w:after="60" w:line="80" w:lineRule="exact"/>
      <w:jc w:val="both"/>
    </w:pPr>
    <w:rPr>
      <w:rFonts w:ascii="Arial" w:eastAsia="Times New Roman" w:hAnsi="Arial" w:cs="Times New Roman"/>
      <w:sz w:val="14"/>
      <w:szCs w:val="20"/>
      <w:lang w:eastAsia="en-AU"/>
    </w:rPr>
  </w:style>
  <w:style w:type="paragraph" w:customStyle="1" w:styleId="Space">
    <w:name w:val="Space"/>
    <w:basedOn w:val="Normal"/>
    <w:rsid w:val="008153DE"/>
    <w:pPr>
      <w:keepNext/>
      <w:spacing w:before="0" w:line="120" w:lineRule="exact"/>
      <w:jc w:val="both"/>
    </w:pPr>
    <w:rPr>
      <w:rFonts w:ascii="Arial" w:eastAsia="Times New Roman" w:hAnsi="Arial" w:cs="Times New Roman"/>
      <w:sz w:val="20"/>
      <w:szCs w:val="20"/>
      <w:lang w:eastAsia="en-AU"/>
    </w:rPr>
  </w:style>
  <w:style w:type="paragraph" w:customStyle="1" w:styleId="BoxSpaceAboveElement">
    <w:name w:val="Box Space Above Element"/>
    <w:basedOn w:val="Normal"/>
    <w:link w:val="BoxSpaceAboveElementChar"/>
    <w:qFormat/>
    <w:rsid w:val="008153DE"/>
    <w:pPr>
      <w:keepNext/>
      <w:spacing w:before="240" w:line="80" w:lineRule="exact"/>
    </w:pPr>
    <w:rPr>
      <w:rFonts w:ascii="Times New Roman" w:eastAsia="Times New Roman" w:hAnsi="Times New Roman" w:cs="Times New Roman"/>
      <w:b/>
      <w:vanish/>
      <w:color w:val="FF00FF"/>
      <w:sz w:val="14"/>
      <w:szCs w:val="20"/>
      <w:lang w:eastAsia="en-AU"/>
    </w:rPr>
  </w:style>
  <w:style w:type="character" w:customStyle="1" w:styleId="BoxSpaceAboveElementChar">
    <w:name w:val="Box Space Above Element Char"/>
    <w:basedOn w:val="DefaultParagraphFont"/>
    <w:link w:val="BoxSpaceAboveElement"/>
    <w:rsid w:val="008153DE"/>
    <w:rPr>
      <w:rFonts w:ascii="Times New Roman" w:eastAsia="Times New Roman" w:hAnsi="Times New Roman" w:cs="Times New Roman"/>
      <w:b/>
      <w:vanish/>
      <w:color w:val="FF00FF"/>
      <w:sz w:val="14"/>
      <w:szCs w:val="20"/>
      <w:lang w:eastAsia="en-AU"/>
    </w:rPr>
  </w:style>
  <w:style w:type="paragraph" w:styleId="BodyText">
    <w:name w:val="Body Text"/>
    <w:basedOn w:val="Normal"/>
    <w:link w:val="BodyTextChar"/>
    <w:uiPriority w:val="99"/>
    <w:semiHidden/>
    <w:unhideWhenUsed/>
    <w:rsid w:val="008153DE"/>
    <w:pPr>
      <w:spacing w:after="120"/>
    </w:pPr>
  </w:style>
  <w:style w:type="character" w:customStyle="1" w:styleId="BodyTextChar">
    <w:name w:val="Body Text Char"/>
    <w:basedOn w:val="DefaultParagraphFont"/>
    <w:link w:val="BodyText"/>
    <w:uiPriority w:val="99"/>
    <w:semiHidden/>
    <w:rsid w:val="008153DE"/>
    <w:rPr>
      <w:sz w:val="26"/>
    </w:rPr>
  </w:style>
  <w:style w:type="character" w:styleId="Emphasis">
    <w:name w:val="Emphasis"/>
    <w:basedOn w:val="DefaultParagraphFont"/>
    <w:uiPriority w:val="20"/>
    <w:qFormat/>
    <w:rsid w:val="0014341C"/>
    <w:rPr>
      <w:i/>
      <w:iCs/>
    </w:rPr>
  </w:style>
  <w:style w:type="character" w:customStyle="1" w:styleId="highlight">
    <w:name w:val="highlight"/>
    <w:basedOn w:val="DefaultParagraphFont"/>
    <w:rsid w:val="001D204C"/>
  </w:style>
  <w:style w:type="character" w:customStyle="1" w:styleId="span6">
    <w:name w:val="span6"/>
    <w:basedOn w:val="DefaultParagraphFont"/>
    <w:rsid w:val="001D204C"/>
  </w:style>
  <w:style w:type="character" w:customStyle="1" w:styleId="Mention1">
    <w:name w:val="Mention1"/>
    <w:basedOn w:val="DefaultParagraphFont"/>
    <w:uiPriority w:val="99"/>
    <w:semiHidden/>
    <w:unhideWhenUsed/>
    <w:rsid w:val="00D3310D"/>
    <w:rPr>
      <w:color w:val="2B579A"/>
      <w:shd w:val="clear" w:color="auto" w:fill="E6E6E6"/>
    </w:rPr>
  </w:style>
  <w:style w:type="paragraph" w:customStyle="1" w:styleId="7Dotpointlist">
    <w:name w:val="7. Dot point list"/>
    <w:basedOn w:val="ListParagraph"/>
    <w:qFormat/>
    <w:rsid w:val="000B666C"/>
    <w:pPr>
      <w:numPr>
        <w:numId w:val="7"/>
      </w:numPr>
      <w:spacing w:before="0" w:after="240"/>
      <w:ind w:right="284"/>
      <w:contextualSpacing w:val="0"/>
    </w:pPr>
    <w:rPr>
      <w:rFonts w:ascii="Times New Roman" w:eastAsia="Times New Roman" w:hAnsi="Times New Roman" w:cs="Times New Roman"/>
      <w:sz w:val="24"/>
      <w:szCs w:val="24"/>
    </w:rPr>
  </w:style>
  <w:style w:type="paragraph" w:customStyle="1" w:styleId="paragraph">
    <w:name w:val="paragraph"/>
    <w:basedOn w:val="Normal"/>
    <w:rsid w:val="00C2107B"/>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subsection">
    <w:name w:val="subsection"/>
    <w:aliases w:val="ss"/>
    <w:basedOn w:val="Normal"/>
    <w:rsid w:val="00B825E1"/>
    <w:pPr>
      <w:tabs>
        <w:tab w:val="right" w:pos="1021"/>
      </w:tabs>
      <w:spacing w:before="180"/>
      <w:ind w:left="1134" w:hanging="1134"/>
    </w:pPr>
    <w:rPr>
      <w:rFonts w:ascii="Times New Roman" w:eastAsiaTheme="minorEastAsia" w:hAnsi="Times New Roman" w:cs="Times New Roman"/>
      <w:sz w:val="22"/>
      <w:lang w:eastAsia="en-AU"/>
    </w:rPr>
  </w:style>
  <w:style w:type="paragraph" w:customStyle="1" w:styleId="notetext">
    <w:name w:val="note(text)"/>
    <w:aliases w:val="n"/>
    <w:basedOn w:val="Normal"/>
    <w:uiPriority w:val="99"/>
    <w:rsid w:val="00B825E1"/>
    <w:pPr>
      <w:spacing w:before="122"/>
      <w:ind w:left="1985" w:hanging="851"/>
    </w:pPr>
    <w:rPr>
      <w:rFonts w:ascii="Times New Roman" w:eastAsiaTheme="minorEastAsia" w:hAnsi="Times New Roman" w:cs="Times New Roman"/>
      <w:sz w:val="18"/>
      <w:szCs w:val="18"/>
      <w:lang w:eastAsia="en-AU"/>
    </w:rPr>
  </w:style>
  <w:style w:type="paragraph" w:customStyle="1" w:styleId="acthead5">
    <w:name w:val="acthead5"/>
    <w:basedOn w:val="Normal"/>
    <w:rsid w:val="00DC139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charsectno">
    <w:name w:val="charsectno"/>
    <w:basedOn w:val="DefaultParagraphFont"/>
    <w:rsid w:val="00DC139B"/>
  </w:style>
  <w:style w:type="paragraph" w:customStyle="1" w:styleId="paragraphsub">
    <w:name w:val="paragraphsub"/>
    <w:basedOn w:val="Normal"/>
    <w:rsid w:val="00DC139B"/>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741">
      <w:bodyDiv w:val="1"/>
      <w:marLeft w:val="0"/>
      <w:marRight w:val="0"/>
      <w:marTop w:val="0"/>
      <w:marBottom w:val="0"/>
      <w:divBdr>
        <w:top w:val="none" w:sz="0" w:space="0" w:color="auto"/>
        <w:left w:val="none" w:sz="0" w:space="0" w:color="auto"/>
        <w:bottom w:val="none" w:sz="0" w:space="0" w:color="auto"/>
        <w:right w:val="none" w:sz="0" w:space="0" w:color="auto"/>
      </w:divBdr>
    </w:div>
    <w:div w:id="84423821">
      <w:bodyDiv w:val="1"/>
      <w:marLeft w:val="0"/>
      <w:marRight w:val="0"/>
      <w:marTop w:val="0"/>
      <w:marBottom w:val="0"/>
      <w:divBdr>
        <w:top w:val="none" w:sz="0" w:space="0" w:color="auto"/>
        <w:left w:val="none" w:sz="0" w:space="0" w:color="auto"/>
        <w:bottom w:val="none" w:sz="0" w:space="0" w:color="auto"/>
        <w:right w:val="none" w:sz="0" w:space="0" w:color="auto"/>
      </w:divBdr>
    </w:div>
    <w:div w:id="142279373">
      <w:bodyDiv w:val="1"/>
      <w:marLeft w:val="0"/>
      <w:marRight w:val="0"/>
      <w:marTop w:val="0"/>
      <w:marBottom w:val="0"/>
      <w:divBdr>
        <w:top w:val="none" w:sz="0" w:space="0" w:color="auto"/>
        <w:left w:val="none" w:sz="0" w:space="0" w:color="auto"/>
        <w:bottom w:val="none" w:sz="0" w:space="0" w:color="auto"/>
        <w:right w:val="none" w:sz="0" w:space="0" w:color="auto"/>
      </w:divBdr>
    </w:div>
    <w:div w:id="163588978">
      <w:bodyDiv w:val="1"/>
      <w:marLeft w:val="0"/>
      <w:marRight w:val="0"/>
      <w:marTop w:val="0"/>
      <w:marBottom w:val="0"/>
      <w:divBdr>
        <w:top w:val="none" w:sz="0" w:space="0" w:color="auto"/>
        <w:left w:val="none" w:sz="0" w:space="0" w:color="auto"/>
        <w:bottom w:val="none" w:sz="0" w:space="0" w:color="auto"/>
        <w:right w:val="none" w:sz="0" w:space="0" w:color="auto"/>
      </w:divBdr>
      <w:divsChild>
        <w:div w:id="1490173139">
          <w:marLeft w:val="0"/>
          <w:marRight w:val="0"/>
          <w:marTop w:val="0"/>
          <w:marBottom w:val="0"/>
          <w:divBdr>
            <w:top w:val="single" w:sz="6" w:space="0" w:color="CCCCCC"/>
            <w:left w:val="none" w:sz="0" w:space="0" w:color="auto"/>
            <w:bottom w:val="single" w:sz="6" w:space="0" w:color="FFFFFF"/>
            <w:right w:val="none" w:sz="0" w:space="0" w:color="auto"/>
          </w:divBdr>
          <w:divsChild>
            <w:div w:id="357901500">
              <w:marLeft w:val="0"/>
              <w:marRight w:val="0"/>
              <w:marTop w:val="100"/>
              <w:marBottom w:val="100"/>
              <w:divBdr>
                <w:top w:val="none" w:sz="0" w:space="0" w:color="auto"/>
                <w:left w:val="none" w:sz="0" w:space="0" w:color="auto"/>
                <w:bottom w:val="none" w:sz="0" w:space="0" w:color="auto"/>
                <w:right w:val="none" w:sz="0" w:space="0" w:color="auto"/>
              </w:divBdr>
              <w:divsChild>
                <w:div w:id="208891340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11886378">
      <w:bodyDiv w:val="1"/>
      <w:marLeft w:val="0"/>
      <w:marRight w:val="0"/>
      <w:marTop w:val="0"/>
      <w:marBottom w:val="0"/>
      <w:divBdr>
        <w:top w:val="none" w:sz="0" w:space="0" w:color="auto"/>
        <w:left w:val="none" w:sz="0" w:space="0" w:color="auto"/>
        <w:bottom w:val="none" w:sz="0" w:space="0" w:color="auto"/>
        <w:right w:val="none" w:sz="0" w:space="0" w:color="auto"/>
      </w:divBdr>
    </w:div>
    <w:div w:id="272978987">
      <w:bodyDiv w:val="1"/>
      <w:marLeft w:val="0"/>
      <w:marRight w:val="0"/>
      <w:marTop w:val="0"/>
      <w:marBottom w:val="0"/>
      <w:divBdr>
        <w:top w:val="none" w:sz="0" w:space="0" w:color="auto"/>
        <w:left w:val="none" w:sz="0" w:space="0" w:color="auto"/>
        <w:bottom w:val="none" w:sz="0" w:space="0" w:color="auto"/>
        <w:right w:val="none" w:sz="0" w:space="0" w:color="auto"/>
      </w:divBdr>
    </w:div>
    <w:div w:id="332608863">
      <w:bodyDiv w:val="1"/>
      <w:marLeft w:val="0"/>
      <w:marRight w:val="0"/>
      <w:marTop w:val="0"/>
      <w:marBottom w:val="0"/>
      <w:divBdr>
        <w:top w:val="none" w:sz="0" w:space="0" w:color="auto"/>
        <w:left w:val="none" w:sz="0" w:space="0" w:color="auto"/>
        <w:bottom w:val="none" w:sz="0" w:space="0" w:color="auto"/>
        <w:right w:val="none" w:sz="0" w:space="0" w:color="auto"/>
      </w:divBdr>
    </w:div>
    <w:div w:id="533350381">
      <w:bodyDiv w:val="1"/>
      <w:marLeft w:val="0"/>
      <w:marRight w:val="0"/>
      <w:marTop w:val="0"/>
      <w:marBottom w:val="0"/>
      <w:divBdr>
        <w:top w:val="none" w:sz="0" w:space="0" w:color="auto"/>
        <w:left w:val="none" w:sz="0" w:space="0" w:color="auto"/>
        <w:bottom w:val="none" w:sz="0" w:space="0" w:color="auto"/>
        <w:right w:val="none" w:sz="0" w:space="0" w:color="auto"/>
      </w:divBdr>
    </w:div>
    <w:div w:id="604457575">
      <w:bodyDiv w:val="1"/>
      <w:marLeft w:val="0"/>
      <w:marRight w:val="0"/>
      <w:marTop w:val="0"/>
      <w:marBottom w:val="0"/>
      <w:divBdr>
        <w:top w:val="none" w:sz="0" w:space="0" w:color="auto"/>
        <w:left w:val="none" w:sz="0" w:space="0" w:color="auto"/>
        <w:bottom w:val="none" w:sz="0" w:space="0" w:color="auto"/>
        <w:right w:val="none" w:sz="0" w:space="0" w:color="auto"/>
      </w:divBdr>
    </w:div>
    <w:div w:id="740055453">
      <w:bodyDiv w:val="1"/>
      <w:marLeft w:val="0"/>
      <w:marRight w:val="0"/>
      <w:marTop w:val="0"/>
      <w:marBottom w:val="0"/>
      <w:divBdr>
        <w:top w:val="none" w:sz="0" w:space="0" w:color="auto"/>
        <w:left w:val="none" w:sz="0" w:space="0" w:color="auto"/>
        <w:bottom w:val="none" w:sz="0" w:space="0" w:color="auto"/>
        <w:right w:val="none" w:sz="0" w:space="0" w:color="auto"/>
      </w:divBdr>
    </w:div>
    <w:div w:id="923104513">
      <w:bodyDiv w:val="1"/>
      <w:marLeft w:val="0"/>
      <w:marRight w:val="0"/>
      <w:marTop w:val="0"/>
      <w:marBottom w:val="0"/>
      <w:divBdr>
        <w:top w:val="none" w:sz="0" w:space="0" w:color="auto"/>
        <w:left w:val="none" w:sz="0" w:space="0" w:color="auto"/>
        <w:bottom w:val="none" w:sz="0" w:space="0" w:color="auto"/>
        <w:right w:val="none" w:sz="0" w:space="0" w:color="auto"/>
      </w:divBdr>
    </w:div>
    <w:div w:id="1076132051">
      <w:bodyDiv w:val="1"/>
      <w:marLeft w:val="0"/>
      <w:marRight w:val="0"/>
      <w:marTop w:val="0"/>
      <w:marBottom w:val="0"/>
      <w:divBdr>
        <w:top w:val="none" w:sz="0" w:space="0" w:color="auto"/>
        <w:left w:val="none" w:sz="0" w:space="0" w:color="auto"/>
        <w:bottom w:val="none" w:sz="0" w:space="0" w:color="auto"/>
        <w:right w:val="none" w:sz="0" w:space="0" w:color="auto"/>
      </w:divBdr>
    </w:div>
    <w:div w:id="1132093959">
      <w:bodyDiv w:val="1"/>
      <w:marLeft w:val="0"/>
      <w:marRight w:val="0"/>
      <w:marTop w:val="0"/>
      <w:marBottom w:val="0"/>
      <w:divBdr>
        <w:top w:val="none" w:sz="0" w:space="0" w:color="auto"/>
        <w:left w:val="none" w:sz="0" w:space="0" w:color="auto"/>
        <w:bottom w:val="none" w:sz="0" w:space="0" w:color="auto"/>
        <w:right w:val="none" w:sz="0" w:space="0" w:color="auto"/>
      </w:divBdr>
    </w:div>
    <w:div w:id="1138765262">
      <w:bodyDiv w:val="1"/>
      <w:marLeft w:val="0"/>
      <w:marRight w:val="0"/>
      <w:marTop w:val="0"/>
      <w:marBottom w:val="0"/>
      <w:divBdr>
        <w:top w:val="none" w:sz="0" w:space="0" w:color="auto"/>
        <w:left w:val="none" w:sz="0" w:space="0" w:color="auto"/>
        <w:bottom w:val="none" w:sz="0" w:space="0" w:color="auto"/>
        <w:right w:val="none" w:sz="0" w:space="0" w:color="auto"/>
      </w:divBdr>
    </w:div>
    <w:div w:id="1154375400">
      <w:bodyDiv w:val="1"/>
      <w:marLeft w:val="0"/>
      <w:marRight w:val="0"/>
      <w:marTop w:val="0"/>
      <w:marBottom w:val="0"/>
      <w:divBdr>
        <w:top w:val="none" w:sz="0" w:space="0" w:color="auto"/>
        <w:left w:val="none" w:sz="0" w:space="0" w:color="auto"/>
        <w:bottom w:val="none" w:sz="0" w:space="0" w:color="auto"/>
        <w:right w:val="none" w:sz="0" w:space="0" w:color="auto"/>
      </w:divBdr>
    </w:div>
    <w:div w:id="1225214296">
      <w:bodyDiv w:val="1"/>
      <w:marLeft w:val="0"/>
      <w:marRight w:val="0"/>
      <w:marTop w:val="0"/>
      <w:marBottom w:val="0"/>
      <w:divBdr>
        <w:top w:val="none" w:sz="0" w:space="0" w:color="auto"/>
        <w:left w:val="none" w:sz="0" w:space="0" w:color="auto"/>
        <w:bottom w:val="none" w:sz="0" w:space="0" w:color="auto"/>
        <w:right w:val="none" w:sz="0" w:space="0" w:color="auto"/>
      </w:divBdr>
    </w:div>
    <w:div w:id="1316910034">
      <w:bodyDiv w:val="1"/>
      <w:marLeft w:val="0"/>
      <w:marRight w:val="0"/>
      <w:marTop w:val="0"/>
      <w:marBottom w:val="0"/>
      <w:divBdr>
        <w:top w:val="none" w:sz="0" w:space="0" w:color="auto"/>
        <w:left w:val="none" w:sz="0" w:space="0" w:color="auto"/>
        <w:bottom w:val="none" w:sz="0" w:space="0" w:color="auto"/>
        <w:right w:val="none" w:sz="0" w:space="0" w:color="auto"/>
      </w:divBdr>
    </w:div>
    <w:div w:id="1356271256">
      <w:bodyDiv w:val="1"/>
      <w:marLeft w:val="0"/>
      <w:marRight w:val="0"/>
      <w:marTop w:val="0"/>
      <w:marBottom w:val="0"/>
      <w:divBdr>
        <w:top w:val="none" w:sz="0" w:space="0" w:color="auto"/>
        <w:left w:val="none" w:sz="0" w:space="0" w:color="auto"/>
        <w:bottom w:val="none" w:sz="0" w:space="0" w:color="auto"/>
        <w:right w:val="none" w:sz="0" w:space="0" w:color="auto"/>
      </w:divBdr>
    </w:div>
    <w:div w:id="1362365648">
      <w:bodyDiv w:val="1"/>
      <w:marLeft w:val="0"/>
      <w:marRight w:val="0"/>
      <w:marTop w:val="0"/>
      <w:marBottom w:val="0"/>
      <w:divBdr>
        <w:top w:val="none" w:sz="0" w:space="0" w:color="auto"/>
        <w:left w:val="none" w:sz="0" w:space="0" w:color="auto"/>
        <w:bottom w:val="none" w:sz="0" w:space="0" w:color="auto"/>
        <w:right w:val="none" w:sz="0" w:space="0" w:color="auto"/>
      </w:divBdr>
    </w:div>
    <w:div w:id="1458987106">
      <w:bodyDiv w:val="1"/>
      <w:marLeft w:val="0"/>
      <w:marRight w:val="0"/>
      <w:marTop w:val="0"/>
      <w:marBottom w:val="0"/>
      <w:divBdr>
        <w:top w:val="none" w:sz="0" w:space="0" w:color="auto"/>
        <w:left w:val="none" w:sz="0" w:space="0" w:color="auto"/>
        <w:bottom w:val="none" w:sz="0" w:space="0" w:color="auto"/>
        <w:right w:val="none" w:sz="0" w:space="0" w:color="auto"/>
      </w:divBdr>
    </w:div>
    <w:div w:id="1714841435">
      <w:bodyDiv w:val="1"/>
      <w:marLeft w:val="0"/>
      <w:marRight w:val="0"/>
      <w:marTop w:val="0"/>
      <w:marBottom w:val="0"/>
      <w:divBdr>
        <w:top w:val="none" w:sz="0" w:space="0" w:color="auto"/>
        <w:left w:val="none" w:sz="0" w:space="0" w:color="auto"/>
        <w:bottom w:val="none" w:sz="0" w:space="0" w:color="auto"/>
        <w:right w:val="none" w:sz="0" w:space="0" w:color="auto"/>
      </w:divBdr>
    </w:div>
    <w:div w:id="1780418383">
      <w:bodyDiv w:val="1"/>
      <w:marLeft w:val="0"/>
      <w:marRight w:val="0"/>
      <w:marTop w:val="0"/>
      <w:marBottom w:val="0"/>
      <w:divBdr>
        <w:top w:val="none" w:sz="0" w:space="0" w:color="auto"/>
        <w:left w:val="none" w:sz="0" w:space="0" w:color="auto"/>
        <w:bottom w:val="none" w:sz="0" w:space="0" w:color="auto"/>
        <w:right w:val="none" w:sz="0" w:space="0" w:color="auto"/>
      </w:divBdr>
      <w:divsChild>
        <w:div w:id="1341009302">
          <w:marLeft w:val="0"/>
          <w:marRight w:val="0"/>
          <w:marTop w:val="0"/>
          <w:marBottom w:val="0"/>
          <w:divBdr>
            <w:top w:val="none" w:sz="0" w:space="0" w:color="auto"/>
            <w:left w:val="none" w:sz="0" w:space="0" w:color="auto"/>
            <w:bottom w:val="none" w:sz="0" w:space="0" w:color="auto"/>
            <w:right w:val="none" w:sz="0" w:space="0" w:color="auto"/>
          </w:divBdr>
        </w:div>
        <w:div w:id="1867064772">
          <w:marLeft w:val="0"/>
          <w:marRight w:val="0"/>
          <w:marTop w:val="0"/>
          <w:marBottom w:val="0"/>
          <w:divBdr>
            <w:top w:val="none" w:sz="0" w:space="0" w:color="auto"/>
            <w:left w:val="none" w:sz="0" w:space="0" w:color="auto"/>
            <w:bottom w:val="none" w:sz="0" w:space="0" w:color="auto"/>
            <w:right w:val="none" w:sz="0" w:space="0" w:color="auto"/>
          </w:divBdr>
        </w:div>
      </w:divsChild>
    </w:div>
    <w:div w:id="1801995174">
      <w:bodyDiv w:val="1"/>
      <w:marLeft w:val="0"/>
      <w:marRight w:val="0"/>
      <w:marTop w:val="0"/>
      <w:marBottom w:val="0"/>
      <w:divBdr>
        <w:top w:val="none" w:sz="0" w:space="0" w:color="auto"/>
        <w:left w:val="none" w:sz="0" w:space="0" w:color="auto"/>
        <w:bottom w:val="none" w:sz="0" w:space="0" w:color="auto"/>
        <w:right w:val="none" w:sz="0" w:space="0" w:color="auto"/>
      </w:divBdr>
    </w:div>
    <w:div w:id="1804078372">
      <w:bodyDiv w:val="1"/>
      <w:marLeft w:val="0"/>
      <w:marRight w:val="0"/>
      <w:marTop w:val="0"/>
      <w:marBottom w:val="0"/>
      <w:divBdr>
        <w:top w:val="none" w:sz="0" w:space="0" w:color="auto"/>
        <w:left w:val="none" w:sz="0" w:space="0" w:color="auto"/>
        <w:bottom w:val="none" w:sz="0" w:space="0" w:color="auto"/>
        <w:right w:val="none" w:sz="0" w:space="0" w:color="auto"/>
      </w:divBdr>
    </w:div>
    <w:div w:id="1948611311">
      <w:bodyDiv w:val="1"/>
      <w:marLeft w:val="0"/>
      <w:marRight w:val="0"/>
      <w:marTop w:val="0"/>
      <w:marBottom w:val="0"/>
      <w:divBdr>
        <w:top w:val="none" w:sz="0" w:space="0" w:color="auto"/>
        <w:left w:val="none" w:sz="0" w:space="0" w:color="auto"/>
        <w:bottom w:val="none" w:sz="0" w:space="0" w:color="auto"/>
        <w:right w:val="none" w:sz="0" w:space="0" w:color="auto"/>
      </w:divBdr>
    </w:div>
    <w:div w:id="2076662470">
      <w:bodyDiv w:val="1"/>
      <w:marLeft w:val="0"/>
      <w:marRight w:val="0"/>
      <w:marTop w:val="0"/>
      <w:marBottom w:val="0"/>
      <w:divBdr>
        <w:top w:val="none" w:sz="0" w:space="0" w:color="auto"/>
        <w:left w:val="none" w:sz="0" w:space="0" w:color="auto"/>
        <w:bottom w:val="none" w:sz="0" w:space="0" w:color="auto"/>
        <w:right w:val="none" w:sz="0" w:space="0" w:color="auto"/>
      </w:divBdr>
    </w:div>
    <w:div w:id="20981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hyperlink" Target="https://submissions.employment.gov.au/empforms/Archive/Fair-Work-Act-Review-2012/Documents/ChamberofCommerceandIndustryWA.pdf" TargetMode="External"/><Relationship Id="rId39" Type="http://schemas.openxmlformats.org/officeDocument/2006/relationships/customXml" Target="../customXml/item4.xml"/><Relationship Id="rId21" Type="http://schemas.openxmlformats.org/officeDocument/2006/relationships/hyperlink" Target="https://www.aph.gov.au/News_and_Events/LiveMediaPlayer?vID=%7b3D9FB3DF-020D-468F-8D0A-CEC701942E3D%7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5" Type="http://schemas.openxmlformats.org/officeDocument/2006/relationships/hyperlink" Target="https://submissions.employment.gov.au/empforms/Archive/Fair-Work-Act-Review-2012/Documents/MasterBuildersAustralia.pdf" TargetMode="External"/><Relationship Id="rId33" Type="http://schemas.openxmlformats.org/officeDocument/2006/relationships/footer" Target="footer4.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pc.gov.au/__data/assets/pdf_file/0006/187827/sub0096-workplace-relations.pdf" TargetMode="External"/><Relationship Id="rId29" Type="http://schemas.openxmlformats.org/officeDocument/2006/relationships/hyperlink" Target="https://www.aph.gov.au/DocumentStore.ashx?id=81dad6f2-ccc4-4fa5-9225-9f062ddefb9e&amp;subId=252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submissions.employment.gov.au/empforms/Archive/Fair-Work-Act-Review-2012/Documents/AustralianMinesandMetalsAssociation.pdf" TargetMode="External"/><Relationship Id="rId32" Type="http://schemas.openxmlformats.org/officeDocument/2006/relationships/image" Target="media/image7.emf"/><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acci.asn.au" TargetMode="External"/><Relationship Id="rId23" Type="http://schemas.openxmlformats.org/officeDocument/2006/relationships/hyperlink" Target="https://submissions.employment.gov.au/empforms/Archive/Fair-Work-Act-Review-2012/Documents/AustralianChamberofCommerceandIndustry.pdf" TargetMode="External"/><Relationship Id="rId28" Type="http://schemas.openxmlformats.org/officeDocument/2006/relationships/hyperlink" Target="https://www.aph.gov.au/DocumentStore.ashx?id=15c617aa-05e8-412f-8adc-b8c00f58efa5&amp;subId=252087" TargetMode="External"/><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www.pc.gov.au/__data/assets/pdf_file/0007/188197/sub0161-workplace-relations.pdf" TargetMode="External"/><Relationship Id="rId31" Type="http://schemas.openxmlformats.org/officeDocument/2006/relationships/hyperlink" Target="https://www.aph.gov.au/DocumentStore.ashx?id=742f1b6f-379b-4442-9682-5669730acb77&amp;subId=2520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acci.asn.au" TargetMode="External"/><Relationship Id="rId22" Type="http://schemas.openxmlformats.org/officeDocument/2006/relationships/hyperlink" Target="http://www.pc.gov.au/__data/assets/pdf_file/0008/187946/sub0134-workplace-relations.pdf" TargetMode="External"/><Relationship Id="rId27" Type="http://schemas.openxmlformats.org/officeDocument/2006/relationships/hyperlink" Target="https://www.aph.gov.au/DocumentStore.ashx?id=04e865c6-8624-4dc1-a46b-4d3747ba51cd&amp;subId=252092" TargetMode="External"/><Relationship Id="rId30" Type="http://schemas.openxmlformats.org/officeDocument/2006/relationships/hyperlink" Target="https://www.aph.gov.au/DocumentStore.ashx?id=701ce78e-388f-42a0-8e4a-cb2a17248730&amp;subId=251999" TargetMode="External"/><Relationship Id="rId35"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footnotes.xml.rels><?xml version="1.0" encoding="UTF-8" standalone="yes"?>
<Relationships xmlns="http://schemas.openxmlformats.org/package/2006/relationships"><Relationship Id="rId8" Type="http://schemas.openxmlformats.org/officeDocument/2006/relationships/hyperlink" Target="http://www.pc.gov.au/inquiries/completed/workplace-relations/report" TargetMode="External"/><Relationship Id="rId13" Type="http://schemas.openxmlformats.org/officeDocument/2006/relationships/hyperlink" Target="https://docs.employment.gov.au/system/files/doc/other/greenfields_agreements_review_background_paper.pdf" TargetMode="External"/><Relationship Id="rId18" Type="http://schemas.openxmlformats.org/officeDocument/2006/relationships/hyperlink" Target="https://docs.employment.gov.au/system/files/doc/other/greenfields_agreements_review_background_paper.pdf" TargetMode="External"/><Relationship Id="rId3" Type="http://schemas.openxmlformats.org/officeDocument/2006/relationships/hyperlink" Target="https://docs.employment.gov.au/documents/list-greenfield-agreements-made" TargetMode="External"/><Relationship Id="rId7" Type="http://schemas.openxmlformats.org/officeDocument/2006/relationships/hyperlink" Target="http://www.pc.gov.au/inquiries/completed/workplace-relations/report" TargetMode="External"/><Relationship Id="rId12" Type="http://schemas.openxmlformats.org/officeDocument/2006/relationships/hyperlink" Target="https://docs.employment.gov.au/system/files/doc/other/greenfields_agreements_review_background_paper.pdf" TargetMode="External"/><Relationship Id="rId17" Type="http://schemas.openxmlformats.org/officeDocument/2006/relationships/hyperlink" Target="https://docs.employment.gov.au/system/files/doc/other/greenfields_agreements_review_background_paper.pdf" TargetMode="External"/><Relationship Id="rId2" Type="http://schemas.openxmlformats.org/officeDocument/2006/relationships/hyperlink" Target="https://docs.employment.gov.au/system/files/doc/other/greenfields_agreements_review_background_paper.pdf" TargetMode="External"/><Relationship Id="rId16" Type="http://schemas.openxmlformats.org/officeDocument/2006/relationships/hyperlink" Target="https://docs.employment.gov.au/system/files/doc/other/greenfields_agreements_review_background_paper.pdf" TargetMode="External"/><Relationship Id="rId20" Type="http://schemas.openxmlformats.org/officeDocument/2006/relationships/hyperlink" Target="https://docs.employment.gov.au/system/files/doc/other/towards_more_productive_and_equitable_workplaces_an_evaluation_of_the_fair_work_legislation.pdf" TargetMode="External"/><Relationship Id="rId1" Type="http://schemas.openxmlformats.org/officeDocument/2006/relationships/hyperlink" Target="http://www.pc.gov.au/inquiries/completed/workplace-relations/report" TargetMode="External"/><Relationship Id="rId6" Type="http://schemas.openxmlformats.org/officeDocument/2006/relationships/hyperlink" Target="http://www.pc.gov.au/inquiries/completed/workplace-relations/report" TargetMode="External"/><Relationship Id="rId11" Type="http://schemas.openxmlformats.org/officeDocument/2006/relationships/hyperlink" Target="http://www.pc.gov.au/inquiries/completed/workplace-relations/report" TargetMode="External"/><Relationship Id="rId5" Type="http://schemas.openxmlformats.org/officeDocument/2006/relationships/hyperlink" Target="https://docs.employment.gov.au/system/files/doc/other/greenfields_agreements_review_background_paper.pdf" TargetMode="External"/><Relationship Id="rId15" Type="http://schemas.openxmlformats.org/officeDocument/2006/relationships/hyperlink" Target="https://docs.employment.gov.au/system/files/doc/other/greenfields_agreements_review_background_paper.pdf" TargetMode="External"/><Relationship Id="rId10" Type="http://schemas.openxmlformats.org/officeDocument/2006/relationships/hyperlink" Target="https://docs.employment.gov.au/system/files/doc/other/greenfields_agreements_review_background_paper.pdf" TargetMode="External"/><Relationship Id="rId19" Type="http://schemas.openxmlformats.org/officeDocument/2006/relationships/hyperlink" Target="https://docs.employment.gov.au/system/files/doc/other/greenfields_agreements_review_background_paper.pdf" TargetMode="External"/><Relationship Id="rId4" Type="http://schemas.openxmlformats.org/officeDocument/2006/relationships/hyperlink" Target="https://www.aph.gov.au/Parliamentary_Business/Committees/Senate/Education_and_Employment/Fair_Work_Amendment_2014/Report/index" TargetMode="External"/><Relationship Id="rId9" Type="http://schemas.openxmlformats.org/officeDocument/2006/relationships/hyperlink" Target="https://docs.employment.gov.au/system/files/doc/other/greenfields_agreements_review_background_paper.pdf" TargetMode="External"/><Relationship Id="rId14" Type="http://schemas.openxmlformats.org/officeDocument/2006/relationships/hyperlink" Target="https://docs.employment.gov.au/system/files/doc/other/greenfields_agreements_review_background_paper.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1.BAR\AppData\Local\Temp\AusChamber_SUBMISSION_template_USETHISO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A681A5639B4E00BBB262D6B2BB1CF0"/>
        <w:category>
          <w:name w:val="General"/>
          <w:gallery w:val="placeholder"/>
        </w:category>
        <w:types>
          <w:type w:val="bbPlcHdr"/>
        </w:types>
        <w:behaviors>
          <w:behavior w:val="content"/>
        </w:behaviors>
        <w:guid w:val="{8CE54338-C4F6-42F6-8A59-4B97F94EB0AA}"/>
      </w:docPartPr>
      <w:docPartBody>
        <w:p w:rsidR="00582780" w:rsidRDefault="00582780">
          <w:pPr>
            <w:pStyle w:val="00A681A5639B4E00BBB262D6B2BB1CF0"/>
          </w:pPr>
          <w:r w:rsidRPr="00C06A43">
            <w:t>1 July 2015 - 30 June 2016</w:t>
          </w:r>
        </w:p>
      </w:docPartBody>
    </w:docPart>
    <w:docPart>
      <w:docPartPr>
        <w:name w:val="AE2C1783A52645F88D6C8442ADB784AB"/>
        <w:category>
          <w:name w:val="General"/>
          <w:gallery w:val="placeholder"/>
        </w:category>
        <w:types>
          <w:type w:val="bbPlcHdr"/>
        </w:types>
        <w:behaviors>
          <w:behavior w:val="content"/>
        </w:behaviors>
        <w:guid w:val="{83886C55-46D2-4F10-93FB-FEB5F36CD28E}"/>
      </w:docPartPr>
      <w:docPartBody>
        <w:p w:rsidR="005F17B0" w:rsidRDefault="003D2E46" w:rsidP="003D2E46">
          <w:pPr>
            <w:pStyle w:val="AE2C1783A52645F88D6C8442ADB784AB"/>
          </w:pPr>
          <w:r w:rsidRPr="005373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780"/>
    <w:rsid w:val="0006665E"/>
    <w:rsid w:val="0013385B"/>
    <w:rsid w:val="00134EBC"/>
    <w:rsid w:val="001531B0"/>
    <w:rsid w:val="00187097"/>
    <w:rsid w:val="00191FE6"/>
    <w:rsid w:val="00216A61"/>
    <w:rsid w:val="00217CA7"/>
    <w:rsid w:val="002B73D8"/>
    <w:rsid w:val="003026C5"/>
    <w:rsid w:val="00336A38"/>
    <w:rsid w:val="003A0189"/>
    <w:rsid w:val="003D2E46"/>
    <w:rsid w:val="003F7D1B"/>
    <w:rsid w:val="00491DC6"/>
    <w:rsid w:val="00512319"/>
    <w:rsid w:val="005333CA"/>
    <w:rsid w:val="00541C1E"/>
    <w:rsid w:val="00582780"/>
    <w:rsid w:val="0059174F"/>
    <w:rsid w:val="005F17B0"/>
    <w:rsid w:val="00694608"/>
    <w:rsid w:val="006E1631"/>
    <w:rsid w:val="00816376"/>
    <w:rsid w:val="009E3C36"/>
    <w:rsid w:val="00A11980"/>
    <w:rsid w:val="00AA7742"/>
    <w:rsid w:val="00B65E75"/>
    <w:rsid w:val="00B95AFA"/>
    <w:rsid w:val="00BB7877"/>
    <w:rsid w:val="00C47644"/>
    <w:rsid w:val="00CD6D0A"/>
    <w:rsid w:val="00E73D75"/>
    <w:rsid w:val="00F80E2F"/>
    <w:rsid w:val="00FB673C"/>
    <w:rsid w:val="00FC1864"/>
    <w:rsid w:val="00FE66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E46"/>
    <w:rPr>
      <w:color w:val="808080"/>
    </w:rPr>
  </w:style>
  <w:style w:type="paragraph" w:customStyle="1" w:styleId="8282DBEF347A428DB716575AEE41182A">
    <w:name w:val="8282DBEF347A428DB716575AEE41182A"/>
  </w:style>
  <w:style w:type="paragraph" w:customStyle="1" w:styleId="00A681A5639B4E00BBB262D6B2BB1CF0">
    <w:name w:val="00A681A5639B4E00BBB262D6B2BB1CF0"/>
  </w:style>
  <w:style w:type="paragraph" w:customStyle="1" w:styleId="C4C81FD2633643D8A34A6328CA92B0EC">
    <w:name w:val="C4C81FD2633643D8A34A6328CA92B0EC"/>
  </w:style>
  <w:style w:type="paragraph" w:customStyle="1" w:styleId="2360203D0F764D3AB320E4D8F81A85AA">
    <w:name w:val="2360203D0F764D3AB320E4D8F81A85AA"/>
  </w:style>
  <w:style w:type="paragraph" w:customStyle="1" w:styleId="F74B09D208C04D3088CDFF9401E59CF1">
    <w:name w:val="F74B09D208C04D3088CDFF9401E59CF1"/>
    <w:rsid w:val="00582780"/>
  </w:style>
  <w:style w:type="paragraph" w:customStyle="1" w:styleId="6173AA5776A942569805A23DFBD4519E">
    <w:name w:val="6173AA5776A942569805A23DFBD4519E"/>
    <w:rsid w:val="00582780"/>
  </w:style>
  <w:style w:type="paragraph" w:customStyle="1" w:styleId="15F82CDA71D74334A1B5852302F3C548">
    <w:name w:val="15F82CDA71D74334A1B5852302F3C548"/>
    <w:rsid w:val="00582780"/>
  </w:style>
  <w:style w:type="paragraph" w:customStyle="1" w:styleId="E56F8689ABB244CE8C1C878B1CA1A971">
    <w:name w:val="E56F8689ABB244CE8C1C878B1CA1A971"/>
    <w:rsid w:val="00582780"/>
  </w:style>
  <w:style w:type="paragraph" w:customStyle="1" w:styleId="AE2C1783A52645F88D6C8442ADB784AB">
    <w:name w:val="AE2C1783A52645F88D6C8442ADB784AB"/>
    <w:rsid w:val="003D2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CCI">
      <a:dk1>
        <a:sysClr val="windowText" lastClr="000000"/>
      </a:dk1>
      <a:lt1>
        <a:sysClr val="window" lastClr="FFFFFF"/>
      </a:lt1>
      <a:dk2>
        <a:srgbClr val="14377D"/>
      </a:dk2>
      <a:lt2>
        <a:srgbClr val="B5955F"/>
      </a:lt2>
      <a:accent1>
        <a:srgbClr val="14377D"/>
      </a:accent1>
      <a:accent2>
        <a:srgbClr val="B9945F"/>
      </a:accent2>
      <a:accent3>
        <a:srgbClr val="F1E7D1"/>
      </a:accent3>
      <a:accent4>
        <a:srgbClr val="14377D"/>
      </a:accent4>
      <a:accent5>
        <a:srgbClr val="B5955F"/>
      </a:accent5>
      <a:accent6>
        <a:srgbClr val="F1E7D1"/>
      </a:accent6>
      <a:hlink>
        <a:srgbClr val="000000"/>
      </a:hlink>
      <a:folHlink>
        <a:srgbClr val="000000"/>
      </a:folHlink>
    </a:clrScheme>
    <a:fontScheme name="Custom 1">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38A07A7-E20B-46D8-BF83-57DFC59AADEA}"/>
</file>

<file path=customXml/itemProps2.xml><?xml version="1.0" encoding="utf-8"?>
<ds:datastoreItem xmlns:ds="http://schemas.openxmlformats.org/officeDocument/2006/customXml" ds:itemID="{011713CB-08FA-45A7-8B42-BCFF1D8DA09B}"/>
</file>

<file path=customXml/itemProps3.xml><?xml version="1.0" encoding="utf-8"?>
<ds:datastoreItem xmlns:ds="http://schemas.openxmlformats.org/officeDocument/2006/customXml" ds:itemID="{E183855F-C14F-4F10-BCD5-C489208C8DB4}"/>
</file>

<file path=customXml/itemProps4.xml><?xml version="1.0" encoding="utf-8"?>
<ds:datastoreItem xmlns:ds="http://schemas.openxmlformats.org/officeDocument/2006/customXml" ds:itemID="{E41C33B2-A53A-4CF8-A6FE-A707EE8BE6D5}"/>
</file>

<file path=docProps/app.xml><?xml version="1.0" encoding="utf-8"?>
<Properties xmlns="http://schemas.openxmlformats.org/officeDocument/2006/extended-properties" xmlns:vt="http://schemas.openxmlformats.org/officeDocument/2006/docPropsVTypes">
  <Template>AusChamber_SUBMISSION_template_USETHISONE.dotx</Template>
  <TotalTime>0</TotalTime>
  <Pages>32</Pages>
  <Words>7088</Words>
  <Characters>40405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Greenfields Agreement Review: Response to Consultation Paper</vt:lpstr>
    </vt:vector>
  </TitlesOfParts>
  <LinksUpToDate>false</LinksUpToDate>
  <CharactersWithSpaces>47399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Greenfields Agreement Review: Response to Consultation Paper</dc:title>
  <dc:creator/>
  <dc:description>25 October 2017</dc:description>
  <cp:lastModifiedBy/>
  <cp:revision>1</cp:revision>
  <dcterms:created xsi:type="dcterms:W3CDTF">2017-10-25T03:05:00Z</dcterms:created>
  <dcterms:modified xsi:type="dcterms:W3CDTF">2017-10-26T07:06:00Z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21800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