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Bidi"/>
          <w:lang w:eastAsia="en-US"/>
        </w:rPr>
        <w:id w:val="-1020694362"/>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497"/>
          </w:tblGrid>
          <w:tr w:rsidR="00502D2E" w:rsidTr="00502D2E">
            <w:trPr>
              <w:trHeight w:val="2880"/>
              <w:jc w:val="center"/>
            </w:trPr>
            <w:sdt>
              <w:sdtPr>
                <w:rPr>
                  <w:rFonts w:eastAsiaTheme="majorEastAsia" w:cstheme="minorBidi"/>
                  <w:lang w:eastAsia="en-US"/>
                </w:rPr>
                <w:alias w:val="Company"/>
                <w:id w:val="15524243"/>
                <w:dataBinding w:prefixMappings="xmlns:ns0='http://schemas.openxmlformats.org/officeDocument/2006/extended-properties'" w:xpath="/ns0:Properties[1]/ns0:Company[1]" w:storeItemID="{6668398D-A668-4E3E-A5EB-62B293D839F1}"/>
                <w:text/>
              </w:sdtPr>
              <w:sdtEndPr>
                <w:rPr>
                  <w:rStyle w:val="Heading3Char"/>
                  <w:rFonts w:ascii="Verdana" w:hAnsi="Verdana" w:cstheme="majorBidi"/>
                  <w:b/>
                  <w:bCs/>
                  <w:color w:val="404040" w:themeColor="text1" w:themeTint="BF"/>
                  <w:sz w:val="20"/>
                  <w:szCs w:val="24"/>
                  <w:lang w:eastAsia="zh-TW"/>
                </w:rPr>
              </w:sdtEndPr>
              <w:sdtContent>
                <w:tc>
                  <w:tcPr>
                    <w:tcW w:w="5000" w:type="pct"/>
                  </w:tcPr>
                  <w:p w:rsidR="00502D2E" w:rsidRDefault="00502D2E" w:rsidP="00141AE4">
                    <w:pPr>
                      <w:pStyle w:val="0BodyText"/>
                      <w:rPr>
                        <w:rFonts w:eastAsiaTheme="majorEastAsia"/>
                      </w:rPr>
                    </w:pPr>
                    <w:r>
                      <w:rPr>
                        <w:rStyle w:val="Heading3Char"/>
                        <w:lang w:val="en-US"/>
                      </w:rPr>
                      <w:t>AUSTRALIAN BUSINESS INDUSTRIAL</w:t>
                    </w:r>
                  </w:p>
                </w:tc>
              </w:sdtContent>
            </w:sdt>
          </w:tr>
          <w:tr w:rsidR="00502D2E">
            <w:trPr>
              <w:trHeight w:val="1440"/>
              <w:jc w:val="center"/>
            </w:trPr>
            <w:sdt>
              <w:sdtPr>
                <w:rPr>
                  <w:rStyle w:val="TitleChar"/>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502D2E" w:rsidRPr="002F4943" w:rsidRDefault="00C8604C" w:rsidP="00C8604C">
                    <w:pPr>
                      <w:pStyle w:val="NoSpacing"/>
                      <w:spacing w:before="480" w:after="480"/>
                      <w:jc w:val="center"/>
                      <w:rPr>
                        <w:rFonts w:ascii="Cambria" w:eastAsiaTheme="majorEastAsia" w:hAnsi="Cambria" w:cstheme="majorBidi"/>
                        <w:sz w:val="48"/>
                        <w:szCs w:val="48"/>
                      </w:rPr>
                    </w:pPr>
                    <w:r w:rsidRPr="007A76F7">
                      <w:rPr>
                        <w:rStyle w:val="TitleChar"/>
                      </w:rPr>
                      <w:t>Greenfields Agreements Review</w:t>
                    </w:r>
                  </w:p>
                </w:tc>
              </w:sdtContent>
            </w:sdt>
          </w:tr>
          <w:tr w:rsidR="00502D2E" w:rsidTr="005B33E9">
            <w:trPr>
              <w:trHeight w:val="1587"/>
              <w:jc w:val="center"/>
            </w:trPr>
            <w:sdt>
              <w:sdtPr>
                <w:rPr>
                  <w:rStyle w:val="TitleChar"/>
                </w:rPr>
                <w:alias w:val="Subtitle"/>
                <w:id w:val="15524255"/>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tc>
                  <w:tcPr>
                    <w:tcW w:w="5000" w:type="pct"/>
                    <w:tcBorders>
                      <w:top w:val="single" w:sz="4" w:space="0" w:color="4F81BD" w:themeColor="accent1"/>
                    </w:tcBorders>
                    <w:vAlign w:val="center"/>
                  </w:tcPr>
                  <w:p w:rsidR="00502D2E" w:rsidRDefault="00524631" w:rsidP="00B83506">
                    <w:pPr>
                      <w:pStyle w:val="NoSpacing"/>
                      <w:spacing w:before="480" w:after="480"/>
                      <w:jc w:val="center"/>
                      <w:rPr>
                        <w:rFonts w:asciiTheme="majorHAnsi" w:eastAsiaTheme="majorEastAsia" w:hAnsiTheme="majorHAnsi" w:cstheme="majorBidi"/>
                        <w:sz w:val="44"/>
                        <w:szCs w:val="44"/>
                      </w:rPr>
                    </w:pPr>
                    <w:r w:rsidRPr="007A76F7">
                      <w:rPr>
                        <w:rStyle w:val="TitleChar"/>
                      </w:rPr>
                      <w:t>S</w:t>
                    </w:r>
                    <w:r w:rsidR="00B83506" w:rsidRPr="007A76F7">
                      <w:rPr>
                        <w:rStyle w:val="TitleChar"/>
                      </w:rPr>
                      <w:t>ubmission</w:t>
                    </w:r>
                  </w:p>
                </w:tc>
              </w:sdtContent>
            </w:sdt>
          </w:tr>
          <w:tr w:rsidR="00502D2E" w:rsidTr="006824B0">
            <w:trPr>
              <w:trHeight w:val="452"/>
              <w:jc w:val="center"/>
            </w:trPr>
            <w:tc>
              <w:tcPr>
                <w:tcW w:w="5000" w:type="pct"/>
                <w:vAlign w:val="center"/>
              </w:tcPr>
              <w:p w:rsidR="00502D2E" w:rsidRDefault="00502D2E">
                <w:pPr>
                  <w:pStyle w:val="NoSpacing"/>
                  <w:jc w:val="center"/>
                </w:pPr>
              </w:p>
            </w:tc>
          </w:tr>
          <w:tr w:rsidR="00502D2E">
            <w:trPr>
              <w:trHeight w:val="360"/>
              <w:jc w:val="center"/>
            </w:trPr>
            <w:tc>
              <w:tcPr>
                <w:tcW w:w="5000" w:type="pct"/>
                <w:vAlign w:val="center"/>
              </w:tcPr>
              <w:p w:rsidR="00502D2E" w:rsidRDefault="00502D2E">
                <w:pPr>
                  <w:pStyle w:val="NoSpacing"/>
                  <w:jc w:val="center"/>
                  <w:rPr>
                    <w:b/>
                    <w:bCs/>
                  </w:rPr>
                </w:pPr>
              </w:p>
            </w:tc>
          </w:tr>
          <w:tr w:rsidR="00502D2E">
            <w:trPr>
              <w:trHeight w:val="360"/>
              <w:jc w:val="center"/>
            </w:trPr>
            <w:tc>
              <w:tcPr>
                <w:tcW w:w="5000" w:type="pct"/>
                <w:vAlign w:val="center"/>
              </w:tcPr>
              <w:p w:rsidR="00502D2E" w:rsidRDefault="00502D2E">
                <w:pPr>
                  <w:pStyle w:val="NoSpacing"/>
                  <w:jc w:val="center"/>
                  <w:rPr>
                    <w:b/>
                    <w:bCs/>
                  </w:rPr>
                </w:pPr>
              </w:p>
            </w:tc>
          </w:tr>
        </w:tbl>
        <w:p w:rsidR="00502D2E" w:rsidRDefault="00502D2E">
          <w:bookmarkStart w:id="0" w:name="_GoBack"/>
          <w:bookmarkEnd w:id="0"/>
        </w:p>
        <w:p w:rsidR="00502D2E" w:rsidRPr="006824B0" w:rsidRDefault="00524631" w:rsidP="006824B0">
          <w:pPr>
            <w:jc w:val="right"/>
            <w:rPr>
              <w:rFonts w:asciiTheme="majorHAnsi" w:hAnsiTheme="majorHAnsi"/>
              <w:sz w:val="24"/>
              <w:szCs w:val="24"/>
            </w:rPr>
          </w:pPr>
          <w:r>
            <w:rPr>
              <w:rFonts w:asciiTheme="majorHAnsi" w:hAnsiTheme="majorHAnsi"/>
              <w:sz w:val="24"/>
              <w:szCs w:val="24"/>
            </w:rPr>
            <w:t>DATE</w:t>
          </w:r>
          <w:r w:rsidR="00C8604C">
            <w:rPr>
              <w:rFonts w:asciiTheme="majorHAnsi" w:hAnsiTheme="majorHAnsi"/>
              <w:sz w:val="24"/>
              <w:szCs w:val="24"/>
            </w:rPr>
            <w:t xml:space="preserve"> 25 October 2017</w:t>
          </w:r>
        </w:p>
        <w:tbl>
          <w:tblPr>
            <w:tblpPr w:leftFromText="187" w:rightFromText="187" w:horzAnchor="margin" w:tblpXSpec="center" w:tblpYSpec="bottom"/>
            <w:tblW w:w="5000" w:type="pct"/>
            <w:tblLook w:val="04A0" w:firstRow="1" w:lastRow="0" w:firstColumn="1" w:lastColumn="0" w:noHBand="0" w:noVBand="1"/>
          </w:tblPr>
          <w:tblGrid>
            <w:gridCol w:w="9497"/>
          </w:tblGrid>
          <w:tr w:rsidR="00502D2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502D2E" w:rsidRDefault="002D23DE" w:rsidP="002D23DE">
                    <w:pPr>
                      <w:pStyle w:val="NoSpacing"/>
                    </w:pPr>
                    <w:r>
                      <w:t xml:space="preserve">     </w:t>
                    </w:r>
                  </w:p>
                </w:tc>
              </w:sdtContent>
            </w:sdt>
          </w:tr>
        </w:tbl>
        <w:p w:rsidR="00502D2E" w:rsidRDefault="007A76F7">
          <w:pPr>
            <w:rPr>
              <w:rFonts w:ascii="Verdana" w:eastAsiaTheme="majorEastAsia" w:hAnsi="Verdana" w:cstheme="majorBidi"/>
              <w:bCs/>
              <w:color w:val="F47D2B"/>
              <w:sz w:val="40"/>
              <w:szCs w:val="40"/>
              <w:lang w:eastAsia="zh-TW"/>
            </w:rPr>
          </w:pPr>
        </w:p>
      </w:sdtContent>
    </w:sdt>
    <w:p w:rsidR="003E2DA9" w:rsidRPr="007A76F7" w:rsidRDefault="003E2DA9" w:rsidP="007A76F7"/>
    <w:p w:rsidR="001F3D6D" w:rsidRDefault="001F3D6D">
      <w:pPr>
        <w:rPr>
          <w:rFonts w:ascii="Verdana" w:eastAsiaTheme="majorEastAsia" w:hAnsi="Verdana" w:cstheme="majorBidi"/>
          <w:bCs/>
          <w:color w:val="F47D2B"/>
          <w:sz w:val="40"/>
          <w:szCs w:val="40"/>
          <w:lang w:eastAsia="zh-TW"/>
        </w:rPr>
      </w:pPr>
      <w:r>
        <w:br w:type="page"/>
      </w:r>
    </w:p>
    <w:p w:rsidR="002D23DE" w:rsidRDefault="002D23DE" w:rsidP="002D23DE"/>
    <w:p w:rsidR="00DC76C4" w:rsidRDefault="00DC76C4" w:rsidP="002D23DE"/>
    <w:p w:rsidR="00DC76C4" w:rsidRDefault="00DC76C4" w:rsidP="002D23DE"/>
    <w:p w:rsidR="00DC76C4" w:rsidRDefault="00DC76C4" w:rsidP="002D23DE"/>
    <w:p w:rsidR="00DC76C4" w:rsidRDefault="00DC76C4" w:rsidP="002D23DE"/>
    <w:p w:rsidR="001F3D6D" w:rsidRDefault="001F3D6D" w:rsidP="002D23DE"/>
    <w:p w:rsidR="002D23DE" w:rsidRDefault="002D23DE" w:rsidP="001F3D6D">
      <w:pPr>
        <w:pStyle w:val="Heading1"/>
      </w:pPr>
      <w:r>
        <w:t>About ABI and the NSW Business Chamber Ltd</w:t>
      </w:r>
    </w:p>
    <w:p w:rsidR="00C8604C" w:rsidRDefault="00C800D3" w:rsidP="00471A26">
      <w:pPr>
        <w:autoSpaceDE w:val="0"/>
        <w:autoSpaceDN w:val="0"/>
        <w:adjustRightInd w:val="0"/>
        <w:rPr>
          <w:rFonts w:ascii="Verdana" w:hAnsi="Verdana" w:cs="Calibri"/>
          <w:sz w:val="20"/>
          <w:szCs w:val="20"/>
        </w:rPr>
      </w:pPr>
      <w:r w:rsidRPr="00DD4495">
        <w:rPr>
          <w:rFonts w:ascii="Verdana" w:hAnsi="Verdana"/>
          <w:sz w:val="20"/>
          <w:szCs w:val="20"/>
        </w:rPr>
        <w:t>Australian Business Industrial</w:t>
      </w:r>
      <w:r w:rsidR="002D23DE" w:rsidRPr="00DD4495">
        <w:rPr>
          <w:rFonts w:ascii="Verdana" w:hAnsi="Verdana"/>
          <w:sz w:val="20"/>
          <w:szCs w:val="20"/>
        </w:rPr>
        <w:t xml:space="preserve"> is registered under the </w:t>
      </w:r>
      <w:r w:rsidR="002D23DE" w:rsidRPr="00DD4495">
        <w:rPr>
          <w:rFonts w:ascii="Verdana" w:hAnsi="Verdana"/>
          <w:i/>
          <w:sz w:val="20"/>
          <w:szCs w:val="20"/>
        </w:rPr>
        <w:t>Fair Work (Registered Organisations) Act 2009</w:t>
      </w:r>
      <w:r w:rsidR="002D23DE" w:rsidRPr="00DD4495">
        <w:rPr>
          <w:rFonts w:ascii="Verdana" w:hAnsi="Verdana"/>
          <w:sz w:val="20"/>
          <w:szCs w:val="20"/>
        </w:rPr>
        <w:t xml:space="preserve"> and </w:t>
      </w:r>
      <w:r w:rsidR="002D23DE" w:rsidRPr="00DD4495">
        <w:rPr>
          <w:rFonts w:ascii="Verdana" w:hAnsi="Verdana" w:cs="Calibri"/>
          <w:sz w:val="20"/>
          <w:szCs w:val="20"/>
        </w:rPr>
        <w:t xml:space="preserve">has some </w:t>
      </w:r>
      <w:r w:rsidR="002D23DE" w:rsidRPr="00141AE4">
        <w:rPr>
          <w:rFonts w:ascii="Verdana" w:hAnsi="Verdana" w:cs="Calibri"/>
          <w:sz w:val="20"/>
          <w:szCs w:val="20"/>
        </w:rPr>
        <w:t>4,200</w:t>
      </w:r>
      <w:r w:rsidR="002D23DE" w:rsidRPr="00DD4495">
        <w:rPr>
          <w:rFonts w:ascii="Verdana" w:hAnsi="Verdana" w:cs="Calibri"/>
          <w:sz w:val="20"/>
          <w:szCs w:val="20"/>
        </w:rPr>
        <w:t xml:space="preserve"> members</w:t>
      </w:r>
      <w:r w:rsidR="00083F24">
        <w:rPr>
          <w:rFonts w:ascii="Verdana" w:hAnsi="Verdana" w:cs="Calibri"/>
          <w:sz w:val="20"/>
          <w:szCs w:val="20"/>
        </w:rPr>
        <w:t xml:space="preserve">.  </w:t>
      </w:r>
    </w:p>
    <w:p w:rsidR="00504539" w:rsidRPr="00DD4495" w:rsidRDefault="00083F24" w:rsidP="00471A26">
      <w:pPr>
        <w:autoSpaceDE w:val="0"/>
        <w:autoSpaceDN w:val="0"/>
        <w:adjustRightInd w:val="0"/>
        <w:rPr>
          <w:rFonts w:ascii="Verdana" w:hAnsi="Verdana" w:cs="Calibri"/>
          <w:sz w:val="20"/>
          <w:szCs w:val="20"/>
        </w:rPr>
      </w:pPr>
      <w:r>
        <w:rPr>
          <w:rFonts w:ascii="Verdana" w:hAnsi="Verdana" w:cs="Calibri"/>
          <w:sz w:val="20"/>
          <w:szCs w:val="20"/>
        </w:rPr>
        <w:t>The</w:t>
      </w:r>
      <w:r w:rsidR="00504539" w:rsidRPr="00DD4495">
        <w:rPr>
          <w:rFonts w:ascii="Verdana" w:hAnsi="Verdana" w:cs="Calibri"/>
          <w:sz w:val="20"/>
          <w:szCs w:val="20"/>
        </w:rPr>
        <w:t xml:space="preserve"> NSW Business Chamber Ltd is registered under the (NSW) </w:t>
      </w:r>
      <w:r w:rsidR="00504539" w:rsidRPr="00DD4495">
        <w:rPr>
          <w:rFonts w:ascii="Verdana" w:hAnsi="Verdana" w:cs="Calibri"/>
          <w:i/>
          <w:sz w:val="20"/>
          <w:szCs w:val="20"/>
        </w:rPr>
        <w:t xml:space="preserve">Industrial Relations Act 1996 </w:t>
      </w:r>
      <w:r w:rsidR="00504539" w:rsidRPr="00DD4495">
        <w:rPr>
          <w:rFonts w:ascii="Verdana" w:hAnsi="Verdana" w:cs="Calibri"/>
          <w:sz w:val="20"/>
          <w:szCs w:val="20"/>
        </w:rPr>
        <w:t xml:space="preserve">and </w:t>
      </w:r>
      <w:r w:rsidR="002D23DE" w:rsidRPr="00DD4495">
        <w:rPr>
          <w:rFonts w:ascii="Verdana" w:hAnsi="Verdana" w:cs="Calibri"/>
          <w:sz w:val="20"/>
          <w:szCs w:val="20"/>
        </w:rPr>
        <w:t xml:space="preserve">is a State registered association </w:t>
      </w:r>
      <w:r w:rsidR="00504539" w:rsidRPr="00DD4495">
        <w:rPr>
          <w:rFonts w:ascii="Verdana" w:hAnsi="Verdana" w:cs="Calibri"/>
          <w:sz w:val="20"/>
          <w:szCs w:val="20"/>
        </w:rPr>
        <w:t xml:space="preserve">recognised </w:t>
      </w:r>
      <w:r w:rsidR="002D23DE" w:rsidRPr="00DD4495">
        <w:rPr>
          <w:rFonts w:ascii="Verdana" w:hAnsi="Verdana" w:cs="Calibri"/>
          <w:sz w:val="20"/>
          <w:szCs w:val="20"/>
        </w:rPr>
        <w:t xml:space="preserve">pursuant to Schedule 2 of the </w:t>
      </w:r>
      <w:r w:rsidR="002D23DE" w:rsidRPr="00DD4495">
        <w:rPr>
          <w:rFonts w:ascii="Verdana" w:hAnsi="Verdana" w:cs="Calibri"/>
          <w:i/>
          <w:sz w:val="20"/>
          <w:szCs w:val="20"/>
        </w:rPr>
        <w:t>Fair Work (Registered Organisations) Act 2009</w:t>
      </w:r>
      <w:r w:rsidR="00504539" w:rsidRPr="00DD4495">
        <w:rPr>
          <w:rFonts w:ascii="Verdana" w:hAnsi="Verdana" w:cs="Calibri"/>
          <w:i/>
          <w:sz w:val="20"/>
          <w:szCs w:val="20"/>
        </w:rPr>
        <w:t>.</w:t>
      </w:r>
      <w:r w:rsidR="00504539" w:rsidRPr="00DD4495">
        <w:rPr>
          <w:rFonts w:ascii="Verdana" w:hAnsi="Verdana" w:cs="Calibri"/>
          <w:sz w:val="20"/>
          <w:szCs w:val="20"/>
        </w:rPr>
        <w:t xml:space="preserve">  </w:t>
      </w:r>
    </w:p>
    <w:p w:rsidR="002D23DE" w:rsidRPr="00DD4495" w:rsidRDefault="00504539" w:rsidP="00471A26">
      <w:pPr>
        <w:autoSpaceDE w:val="0"/>
        <w:autoSpaceDN w:val="0"/>
        <w:adjustRightInd w:val="0"/>
        <w:rPr>
          <w:rFonts w:ascii="Verdana" w:hAnsi="Verdana" w:cs="Calibri"/>
          <w:sz w:val="20"/>
          <w:szCs w:val="20"/>
        </w:rPr>
      </w:pPr>
      <w:r w:rsidRPr="00DD4495">
        <w:rPr>
          <w:rFonts w:ascii="Verdana" w:hAnsi="Verdana" w:cs="Calibri"/>
          <w:sz w:val="20"/>
          <w:szCs w:val="20"/>
        </w:rPr>
        <w:t xml:space="preserve">The NSWBC </w:t>
      </w:r>
      <w:r w:rsidR="002D23DE" w:rsidRPr="00DD4495">
        <w:rPr>
          <w:rFonts w:ascii="Verdana" w:hAnsi="Verdana" w:cs="Calibri"/>
          <w:sz w:val="20"/>
          <w:szCs w:val="20"/>
        </w:rPr>
        <w:t xml:space="preserve">has some </w:t>
      </w:r>
      <w:r w:rsidR="002D23DE" w:rsidRPr="00141AE4">
        <w:rPr>
          <w:rFonts w:ascii="Verdana" w:hAnsi="Verdana" w:cs="Calibri"/>
          <w:sz w:val="20"/>
          <w:szCs w:val="20"/>
        </w:rPr>
        <w:t>1</w:t>
      </w:r>
      <w:r w:rsidR="00250633" w:rsidRPr="00141AE4">
        <w:rPr>
          <w:rFonts w:ascii="Verdana" w:hAnsi="Verdana" w:cs="Calibri"/>
          <w:sz w:val="20"/>
          <w:szCs w:val="20"/>
        </w:rPr>
        <w:t>9</w:t>
      </w:r>
      <w:r w:rsidR="002D23DE" w:rsidRPr="00141AE4">
        <w:rPr>
          <w:rFonts w:ascii="Verdana" w:hAnsi="Verdana" w:cs="Calibri"/>
          <w:sz w:val="20"/>
          <w:szCs w:val="20"/>
        </w:rPr>
        <w:t>,000</w:t>
      </w:r>
      <w:r w:rsidR="002D23DE" w:rsidRPr="00DD4495">
        <w:rPr>
          <w:rFonts w:ascii="Verdana" w:hAnsi="Verdana" w:cs="Calibri"/>
          <w:sz w:val="20"/>
          <w:szCs w:val="20"/>
        </w:rPr>
        <w:t xml:space="preserve"> members.  </w:t>
      </w:r>
    </w:p>
    <w:p w:rsidR="002D23DE" w:rsidRDefault="002D23DE" w:rsidP="00471A26">
      <w:pPr>
        <w:autoSpaceDE w:val="0"/>
        <w:autoSpaceDN w:val="0"/>
        <w:adjustRightInd w:val="0"/>
        <w:rPr>
          <w:rFonts w:ascii="Verdana" w:hAnsi="Verdana" w:cs="Calibri"/>
          <w:sz w:val="20"/>
          <w:szCs w:val="20"/>
        </w:rPr>
      </w:pPr>
      <w:r w:rsidRPr="00DD4495">
        <w:rPr>
          <w:rFonts w:ascii="Verdana" w:hAnsi="Verdana" w:cs="Calibri"/>
          <w:sz w:val="20"/>
          <w:szCs w:val="20"/>
        </w:rPr>
        <w:t>ABI comprises those NSWBC Ltd members who specifically seek membership of a federally registered organisation.</w:t>
      </w:r>
      <w:r w:rsidR="002E2132" w:rsidRPr="00DD4495">
        <w:rPr>
          <w:rFonts w:ascii="Verdana" w:hAnsi="Verdana" w:cs="Calibri"/>
          <w:sz w:val="20"/>
          <w:szCs w:val="20"/>
        </w:rPr>
        <w:t xml:space="preserve">  </w:t>
      </w:r>
    </w:p>
    <w:p w:rsidR="007D261B" w:rsidRDefault="007D261B" w:rsidP="00471A26">
      <w:pPr>
        <w:autoSpaceDE w:val="0"/>
        <w:autoSpaceDN w:val="0"/>
        <w:adjustRightInd w:val="0"/>
        <w:rPr>
          <w:rFonts w:ascii="Verdana" w:hAnsi="Verdana" w:cs="Calibri"/>
          <w:sz w:val="20"/>
          <w:szCs w:val="20"/>
        </w:rPr>
      </w:pPr>
    </w:p>
    <w:p w:rsidR="00141AE4" w:rsidRDefault="00141AE4" w:rsidP="00471A26">
      <w:pPr>
        <w:autoSpaceDE w:val="0"/>
        <w:autoSpaceDN w:val="0"/>
        <w:adjustRightInd w:val="0"/>
        <w:rPr>
          <w:rFonts w:ascii="Verdana" w:hAnsi="Verdana" w:cs="Calibri"/>
          <w:sz w:val="20"/>
          <w:szCs w:val="20"/>
        </w:rPr>
      </w:pPr>
    </w:p>
    <w:p w:rsidR="00141AE4" w:rsidRPr="00DD4495" w:rsidRDefault="00141AE4" w:rsidP="00471A26">
      <w:pPr>
        <w:autoSpaceDE w:val="0"/>
        <w:autoSpaceDN w:val="0"/>
        <w:adjustRightInd w:val="0"/>
        <w:rPr>
          <w:rFonts w:ascii="Verdana" w:hAnsi="Verdana" w:cs="Calibri"/>
          <w:sz w:val="20"/>
          <w:szCs w:val="20"/>
        </w:rPr>
      </w:pPr>
    </w:p>
    <w:p w:rsidR="007D261B" w:rsidRPr="00DD4495" w:rsidRDefault="007D261B" w:rsidP="00471A26">
      <w:pPr>
        <w:autoSpaceDE w:val="0"/>
        <w:autoSpaceDN w:val="0"/>
        <w:adjustRightInd w:val="0"/>
        <w:rPr>
          <w:rFonts w:ascii="Verdana" w:hAnsi="Verdana" w:cs="Calibri"/>
          <w:sz w:val="20"/>
          <w:szCs w:val="20"/>
        </w:rPr>
      </w:pPr>
    </w:p>
    <w:p w:rsidR="00F80681" w:rsidRPr="00DD4495" w:rsidRDefault="00F80681" w:rsidP="00471A26">
      <w:pPr>
        <w:rPr>
          <w:rFonts w:ascii="Verdana" w:hAnsi="Verdana"/>
          <w:sz w:val="20"/>
          <w:szCs w:val="20"/>
        </w:rPr>
      </w:pPr>
    </w:p>
    <w:p w:rsidR="008729FB" w:rsidRPr="00DD4495" w:rsidRDefault="008729FB" w:rsidP="001F3D6D">
      <w:pPr>
        <w:pStyle w:val="Heading2"/>
        <w:rPr>
          <w:sz w:val="20"/>
          <w:szCs w:val="20"/>
        </w:rPr>
      </w:pPr>
      <w:r w:rsidRPr="00DD4495">
        <w:rPr>
          <w:rStyle w:val="Heading3Char"/>
          <w:b w:val="0"/>
          <w:bCs/>
          <w:color w:val="808080" w:themeColor="background1" w:themeShade="80"/>
          <w:szCs w:val="20"/>
        </w:rPr>
        <w:t>Contact</w:t>
      </w:r>
      <w:r w:rsidRPr="00DD4495">
        <w:rPr>
          <w:sz w:val="20"/>
          <w:szCs w:val="20"/>
        </w:rPr>
        <w:t xml:space="preserve">: </w:t>
      </w:r>
    </w:p>
    <w:p w:rsidR="002E2132" w:rsidRPr="00DD4495" w:rsidRDefault="002E2132" w:rsidP="001F3D6D">
      <w:pPr>
        <w:spacing w:line="240" w:lineRule="auto"/>
        <w:rPr>
          <w:rFonts w:ascii="Verdana" w:hAnsi="Verdana"/>
          <w:b/>
          <w:sz w:val="20"/>
          <w:szCs w:val="20"/>
        </w:rPr>
      </w:pPr>
    </w:p>
    <w:p w:rsidR="003E6CD7" w:rsidRPr="00DD4495" w:rsidRDefault="003E6CD7" w:rsidP="003E6CD7">
      <w:pPr>
        <w:spacing w:after="0" w:line="240" w:lineRule="auto"/>
        <w:rPr>
          <w:rFonts w:ascii="Verdana" w:hAnsi="Verdana"/>
          <w:sz w:val="20"/>
          <w:szCs w:val="20"/>
        </w:rPr>
      </w:pPr>
    </w:p>
    <w:p w:rsidR="003E6CD7" w:rsidRPr="00DD4495" w:rsidRDefault="003E6CD7" w:rsidP="003E6CD7">
      <w:pPr>
        <w:spacing w:after="0" w:line="240" w:lineRule="auto"/>
        <w:rPr>
          <w:rFonts w:ascii="Verdana" w:hAnsi="Verdana"/>
          <w:b/>
          <w:sz w:val="20"/>
          <w:szCs w:val="20"/>
        </w:rPr>
      </w:pPr>
      <w:r w:rsidRPr="00DD4495">
        <w:rPr>
          <w:rFonts w:ascii="Verdana" w:hAnsi="Verdana"/>
          <w:b/>
          <w:sz w:val="20"/>
          <w:szCs w:val="20"/>
        </w:rPr>
        <w:t xml:space="preserve">Dick Grozier </w:t>
      </w:r>
    </w:p>
    <w:p w:rsidR="003E6CD7" w:rsidRPr="00DD4495" w:rsidRDefault="003E6CD7" w:rsidP="003E6CD7">
      <w:pPr>
        <w:spacing w:after="0" w:line="240" w:lineRule="auto"/>
        <w:rPr>
          <w:rFonts w:ascii="Verdana" w:hAnsi="Verdana"/>
          <w:sz w:val="20"/>
          <w:szCs w:val="20"/>
        </w:rPr>
      </w:pPr>
      <w:r w:rsidRPr="00DD4495">
        <w:rPr>
          <w:rFonts w:ascii="Verdana" w:hAnsi="Verdana"/>
          <w:sz w:val="20"/>
          <w:szCs w:val="20"/>
        </w:rPr>
        <w:t xml:space="preserve">Director of Industrial Relations, Australian Business Industrial </w:t>
      </w:r>
    </w:p>
    <w:p w:rsidR="003E6CD7" w:rsidRPr="00DD4495" w:rsidRDefault="003E6CD7" w:rsidP="003E6CD7">
      <w:pPr>
        <w:spacing w:after="0" w:line="240" w:lineRule="auto"/>
        <w:rPr>
          <w:rFonts w:ascii="Verdana" w:hAnsi="Verdana"/>
          <w:sz w:val="20"/>
          <w:szCs w:val="20"/>
        </w:rPr>
      </w:pPr>
      <w:r w:rsidRPr="00DD4495">
        <w:rPr>
          <w:rFonts w:ascii="Verdana" w:hAnsi="Verdana"/>
          <w:sz w:val="20"/>
          <w:szCs w:val="20"/>
        </w:rPr>
        <w:t xml:space="preserve">dick.grozier@nswbc.com.au </w:t>
      </w:r>
      <w:r w:rsidR="00A83AB8" w:rsidRPr="00DD4495">
        <w:rPr>
          <w:rFonts w:ascii="Verdana" w:hAnsi="Verdana"/>
          <w:sz w:val="20"/>
          <w:szCs w:val="20"/>
        </w:rPr>
        <w:t xml:space="preserve">  </w:t>
      </w:r>
      <w:r w:rsidRPr="00DD4495">
        <w:rPr>
          <w:rFonts w:ascii="Verdana" w:hAnsi="Verdana"/>
          <w:sz w:val="20"/>
          <w:szCs w:val="20"/>
        </w:rPr>
        <w:t>+612 9458 7574</w:t>
      </w:r>
    </w:p>
    <w:p w:rsidR="008729FB" w:rsidRDefault="008729FB" w:rsidP="001F3D6D">
      <w:pPr>
        <w:spacing w:after="0" w:line="240" w:lineRule="auto"/>
      </w:pPr>
      <w:r>
        <w:br w:type="page"/>
      </w:r>
    </w:p>
    <w:p w:rsidR="00997BBA" w:rsidRDefault="00EE06A8" w:rsidP="00997BBA">
      <w:pPr>
        <w:pStyle w:val="Heading1"/>
      </w:pPr>
      <w:r>
        <w:lastRenderedPageBreak/>
        <w:t>Introduction</w:t>
      </w:r>
    </w:p>
    <w:p w:rsidR="00B535FA" w:rsidRDefault="00A660D6" w:rsidP="00AE32AA">
      <w:pPr>
        <w:rPr>
          <w:lang w:eastAsia="zh-TW"/>
        </w:rPr>
      </w:pPr>
      <w:r>
        <w:rPr>
          <w:lang w:eastAsia="zh-TW"/>
        </w:rPr>
        <w:t xml:space="preserve">The </w:t>
      </w:r>
      <w:r w:rsidR="00AE32AA">
        <w:rPr>
          <w:i/>
          <w:lang w:eastAsia="zh-TW"/>
        </w:rPr>
        <w:t>Fair Work Amendment Act 2015</w:t>
      </w:r>
      <w:r>
        <w:rPr>
          <w:i/>
          <w:lang w:eastAsia="zh-TW"/>
        </w:rPr>
        <w:t xml:space="preserve"> </w:t>
      </w:r>
      <w:r w:rsidR="00B535FA">
        <w:rPr>
          <w:lang w:eastAsia="zh-TW"/>
        </w:rPr>
        <w:t xml:space="preserve">(FWA Act) </w:t>
      </w:r>
      <w:r>
        <w:rPr>
          <w:lang w:eastAsia="zh-TW"/>
        </w:rPr>
        <w:t xml:space="preserve">received Assent of 26 November 2015.  Part 5 of Schedule 1 </w:t>
      </w:r>
      <w:r w:rsidR="00B535FA">
        <w:rPr>
          <w:lang w:eastAsia="zh-TW"/>
        </w:rPr>
        <w:t xml:space="preserve">of the act </w:t>
      </w:r>
      <w:r>
        <w:rPr>
          <w:lang w:eastAsia="zh-TW"/>
        </w:rPr>
        <w:t xml:space="preserve">amended provisions applying </w:t>
      </w:r>
      <w:r w:rsidR="00B535FA">
        <w:rPr>
          <w:lang w:eastAsia="zh-TW"/>
        </w:rPr>
        <w:t xml:space="preserve">to </w:t>
      </w:r>
      <w:r>
        <w:rPr>
          <w:lang w:eastAsia="zh-TW"/>
        </w:rPr>
        <w:t>the making and approval of greenfields agreements</w:t>
      </w:r>
      <w:r w:rsidR="00B535FA">
        <w:rPr>
          <w:lang w:eastAsia="zh-TW"/>
        </w:rPr>
        <w:t>.  These amendments commenced on 27 November 2016.  Section 4 of the FWA Act requires the Minister to cause an independent review of the amendments and other matters within 2 years of their commencement.</w:t>
      </w:r>
    </w:p>
    <w:p w:rsidR="00AE32AA" w:rsidRDefault="00B535FA" w:rsidP="00AE32AA">
      <w:pPr>
        <w:rPr>
          <w:lang w:eastAsia="zh-TW"/>
        </w:rPr>
      </w:pPr>
      <w:r>
        <w:rPr>
          <w:lang w:eastAsia="zh-TW"/>
        </w:rPr>
        <w:t xml:space="preserve">Australian Business Industrial and the NSW Business Chamber </w:t>
      </w:r>
      <w:r w:rsidR="00141AE4">
        <w:rPr>
          <w:lang w:eastAsia="zh-TW"/>
        </w:rPr>
        <w:t>(</w:t>
      </w:r>
      <w:r w:rsidR="00141AE4" w:rsidRPr="00141AE4">
        <w:rPr>
          <w:b/>
          <w:lang w:eastAsia="zh-TW"/>
        </w:rPr>
        <w:t>ABI/NSWBC</w:t>
      </w:r>
      <w:r w:rsidR="00141AE4">
        <w:rPr>
          <w:lang w:eastAsia="zh-TW"/>
        </w:rPr>
        <w:t xml:space="preserve">) </w:t>
      </w:r>
      <w:r>
        <w:rPr>
          <w:lang w:eastAsia="zh-TW"/>
        </w:rPr>
        <w:t xml:space="preserve">are pleased to submit to the review.  </w:t>
      </w:r>
    </w:p>
    <w:p w:rsidR="00141AE4" w:rsidRDefault="00EE7BB1" w:rsidP="00AE32AA">
      <w:pPr>
        <w:rPr>
          <w:lang w:eastAsia="zh-TW"/>
        </w:rPr>
      </w:pPr>
      <w:r>
        <w:rPr>
          <w:lang w:eastAsia="zh-TW"/>
        </w:rPr>
        <w:t xml:space="preserve">Under the </w:t>
      </w:r>
      <w:r w:rsidRPr="00EE7BB1">
        <w:rPr>
          <w:i/>
          <w:lang w:eastAsia="zh-TW"/>
        </w:rPr>
        <w:t>Fair Work Act 2009</w:t>
      </w:r>
      <w:r>
        <w:rPr>
          <w:lang w:eastAsia="zh-TW"/>
        </w:rPr>
        <w:t xml:space="preserve"> (FW Act) greenfields agreements can be made between the employer, or multiple employers, for a new enterprise and one or more relevant unions.  </w:t>
      </w:r>
      <w:r w:rsidR="00B535FA">
        <w:rPr>
          <w:lang w:eastAsia="zh-TW"/>
        </w:rPr>
        <w:t xml:space="preserve">The review is assessing the operation of two key changes made to the </w:t>
      </w:r>
      <w:r w:rsidR="00DA1E53">
        <w:rPr>
          <w:lang w:eastAsia="zh-TW"/>
        </w:rPr>
        <w:t>F</w:t>
      </w:r>
      <w:r w:rsidR="00141AE4">
        <w:rPr>
          <w:lang w:eastAsia="zh-TW"/>
        </w:rPr>
        <w:t>W</w:t>
      </w:r>
      <w:r w:rsidR="00DA1E53">
        <w:rPr>
          <w:lang w:eastAsia="zh-TW"/>
        </w:rPr>
        <w:t xml:space="preserve"> Act’s </w:t>
      </w:r>
      <w:r w:rsidR="00B535FA">
        <w:rPr>
          <w:lang w:eastAsia="zh-TW"/>
        </w:rPr>
        <w:t xml:space="preserve">existing greenfields agreements provisions – the introduction of a </w:t>
      </w:r>
      <w:proofErr w:type="gramStart"/>
      <w:r w:rsidR="00B535FA">
        <w:rPr>
          <w:lang w:eastAsia="zh-TW"/>
        </w:rPr>
        <w:t>six month</w:t>
      </w:r>
      <w:proofErr w:type="gramEnd"/>
      <w:r w:rsidR="00B535FA">
        <w:rPr>
          <w:lang w:eastAsia="zh-TW"/>
        </w:rPr>
        <w:t xml:space="preserve"> notification period and the introduction of the good faith bargaining rules to </w:t>
      </w:r>
      <w:r>
        <w:rPr>
          <w:lang w:eastAsia="zh-TW"/>
        </w:rPr>
        <w:t>greenfields agreements.</w:t>
      </w:r>
      <w:r w:rsidR="00DA1E53">
        <w:rPr>
          <w:lang w:eastAsia="zh-TW"/>
        </w:rPr>
        <w:t xml:space="preserve">  </w:t>
      </w:r>
    </w:p>
    <w:p w:rsidR="00EE7BB1" w:rsidRDefault="00DA1E53" w:rsidP="00AE32AA">
      <w:pPr>
        <w:rPr>
          <w:lang w:eastAsia="zh-TW"/>
        </w:rPr>
      </w:pPr>
      <w:r>
        <w:rPr>
          <w:lang w:eastAsia="zh-TW"/>
        </w:rPr>
        <w:t>The review</w:t>
      </w:r>
      <w:r w:rsidR="00EE7BB1">
        <w:rPr>
          <w:lang w:eastAsia="zh-TW"/>
        </w:rPr>
        <w:t xml:space="preserve"> may also consider issues </w:t>
      </w:r>
      <w:r>
        <w:rPr>
          <w:lang w:eastAsia="zh-TW"/>
        </w:rPr>
        <w:t xml:space="preserve">related to the making and operation of greenfields agreements </w:t>
      </w:r>
      <w:r w:rsidR="00EE7BB1">
        <w:rPr>
          <w:lang w:eastAsia="zh-TW"/>
        </w:rPr>
        <w:t xml:space="preserve">including </w:t>
      </w:r>
    </w:p>
    <w:p w:rsidR="00DA1E53" w:rsidRPr="00AF365B" w:rsidRDefault="00DA1E53" w:rsidP="00141AE4">
      <w:pPr>
        <w:pStyle w:val="ListParagraph"/>
      </w:pPr>
      <w:r>
        <w:t>their nominal term</w:t>
      </w:r>
      <w:r w:rsidRPr="00AF365B">
        <w:t>;</w:t>
      </w:r>
    </w:p>
    <w:p w:rsidR="00DA1E53" w:rsidRPr="00AF365B" w:rsidRDefault="00DA1E53" w:rsidP="00141AE4">
      <w:pPr>
        <w:pStyle w:val="ListParagraph"/>
      </w:pPr>
      <w:r w:rsidRPr="00AF365B">
        <w:t xml:space="preserve">the </w:t>
      </w:r>
      <w:r>
        <w:t>impact of the FWA Act on greenfields negotiation times;</w:t>
      </w:r>
    </w:p>
    <w:p w:rsidR="00DA1E53" w:rsidRPr="00AF365B" w:rsidRDefault="00DA1E53" w:rsidP="00141AE4">
      <w:pPr>
        <w:pStyle w:val="ListParagraph"/>
      </w:pPr>
      <w:r w:rsidRPr="00AF365B">
        <w:t xml:space="preserve">views </w:t>
      </w:r>
      <w:r>
        <w:t xml:space="preserve">about behavioural outcomes and effects of the FWA Act </w:t>
      </w:r>
      <w:r w:rsidRPr="00AF365B">
        <w:t>greenfields</w:t>
      </w:r>
      <w:r>
        <w:t xml:space="preserve"> amendments;</w:t>
      </w:r>
    </w:p>
    <w:p w:rsidR="00DA1E53" w:rsidRPr="00AF365B" w:rsidRDefault="00DA1E53" w:rsidP="00141AE4">
      <w:pPr>
        <w:pStyle w:val="ListParagraph"/>
      </w:pPr>
      <w:r w:rsidRPr="00AF365B">
        <w:t>whether the provisions are appropriate to Australia’s current investment climate.</w:t>
      </w:r>
      <w:r>
        <w:rPr>
          <w:rStyle w:val="FootnoteReference"/>
        </w:rPr>
        <w:footnoteReference w:id="1"/>
      </w:r>
    </w:p>
    <w:p w:rsidR="00141AE4" w:rsidRDefault="00141AE4" w:rsidP="00AE32AA">
      <w:pPr>
        <w:rPr>
          <w:lang w:eastAsia="zh-TW"/>
        </w:rPr>
      </w:pPr>
    </w:p>
    <w:p w:rsidR="00B535FA" w:rsidRPr="00AE32AA" w:rsidRDefault="00EE7BB1" w:rsidP="00AE32AA">
      <w:pPr>
        <w:rPr>
          <w:i/>
          <w:lang w:eastAsia="zh-TW"/>
        </w:rPr>
      </w:pPr>
      <w:r>
        <w:rPr>
          <w:lang w:eastAsia="zh-TW"/>
        </w:rPr>
        <w:t xml:space="preserve">The </w:t>
      </w:r>
      <w:r w:rsidR="00B535FA">
        <w:rPr>
          <w:lang w:eastAsia="zh-TW"/>
        </w:rPr>
        <w:t xml:space="preserve">Background Paper to the review </w:t>
      </w:r>
      <w:r>
        <w:rPr>
          <w:lang w:eastAsia="zh-TW"/>
        </w:rPr>
        <w:t xml:space="preserve">poses </w:t>
      </w:r>
      <w:r w:rsidR="001D21E7">
        <w:rPr>
          <w:lang w:eastAsia="zh-TW"/>
        </w:rPr>
        <w:t>eight</w:t>
      </w:r>
      <w:r>
        <w:rPr>
          <w:lang w:eastAsia="zh-TW"/>
        </w:rPr>
        <w:t xml:space="preserve"> specific questions and also invites other relevant comments.</w:t>
      </w:r>
      <w:r w:rsidR="00B535FA">
        <w:rPr>
          <w:lang w:eastAsia="zh-TW"/>
        </w:rPr>
        <w:t xml:space="preserve"> </w:t>
      </w:r>
      <w:r w:rsidR="0049313E">
        <w:rPr>
          <w:lang w:eastAsia="zh-TW"/>
        </w:rPr>
        <w:t xml:space="preserve"> </w:t>
      </w:r>
    </w:p>
    <w:p w:rsidR="00BD53C8" w:rsidRDefault="00BD53C8">
      <w:pPr>
        <w:rPr>
          <w:rFonts w:ascii="Verdana" w:eastAsiaTheme="majorEastAsia" w:hAnsi="Verdana" w:cstheme="majorBidi"/>
          <w:bCs/>
          <w:color w:val="F47D2B"/>
          <w:sz w:val="40"/>
          <w:szCs w:val="40"/>
          <w:lang w:eastAsia="zh-TW"/>
        </w:rPr>
      </w:pPr>
      <w:r>
        <w:br w:type="page"/>
      </w:r>
    </w:p>
    <w:p w:rsidR="00BA68D8" w:rsidRPr="000E340A" w:rsidRDefault="00141AE4" w:rsidP="00BA68D8">
      <w:pPr>
        <w:pStyle w:val="Heading1"/>
      </w:pPr>
      <w:r>
        <w:lastRenderedPageBreak/>
        <w:t>Submissions</w:t>
      </w:r>
    </w:p>
    <w:p w:rsidR="00BA68D8" w:rsidRPr="005C3184" w:rsidRDefault="00141AE4" w:rsidP="00BA68D8">
      <w:pPr>
        <w:pStyle w:val="Heading2"/>
      </w:pPr>
      <w:r>
        <w:t xml:space="preserve">About </w:t>
      </w:r>
      <w:proofErr w:type="spellStart"/>
      <w:r>
        <w:t>greenfields</w:t>
      </w:r>
      <w:proofErr w:type="spellEnd"/>
      <w:r>
        <w:t xml:space="preserve"> agreements</w:t>
      </w:r>
    </w:p>
    <w:p w:rsidR="005A60E5" w:rsidRPr="00C07F28" w:rsidRDefault="000377F8" w:rsidP="00141AE4">
      <w:pPr>
        <w:pStyle w:val="0BodyText"/>
      </w:pPr>
      <w:r w:rsidRPr="00C07F28">
        <w:t xml:space="preserve">The capacity to make greenfields agreements, that is, agreements which are made and can be approved or certified before anyone who is to be covered by the agreement is employed, was introduced into the </w:t>
      </w:r>
      <w:r w:rsidRPr="00C07F28">
        <w:rPr>
          <w:i/>
        </w:rPr>
        <w:t xml:space="preserve">Workplace Relations Act 1996 </w:t>
      </w:r>
      <w:r w:rsidRPr="00C07F28">
        <w:t xml:space="preserve">with the commencement of the </w:t>
      </w:r>
      <w:r w:rsidRPr="00C07F28">
        <w:rPr>
          <w:i/>
        </w:rPr>
        <w:t>Workplace Relations and Other Legi</w:t>
      </w:r>
      <w:r w:rsidR="00807A0A" w:rsidRPr="00C07F28">
        <w:rPr>
          <w:i/>
        </w:rPr>
        <w:t>slation Amendment Act 1996</w:t>
      </w:r>
      <w:r w:rsidR="004B339A" w:rsidRPr="00C07F28">
        <w:rPr>
          <w:i/>
        </w:rPr>
        <w:t xml:space="preserve"> </w:t>
      </w:r>
      <w:r w:rsidR="004B339A" w:rsidRPr="00C07F28">
        <w:t>on 31 December 1996</w:t>
      </w:r>
      <w:r w:rsidR="00807A0A" w:rsidRPr="00C07F28">
        <w:rPr>
          <w:i/>
        </w:rPr>
        <w:t xml:space="preserve">. </w:t>
      </w:r>
      <w:r w:rsidR="00AE32AA" w:rsidRPr="00C07F28">
        <w:t xml:space="preserve"> </w:t>
      </w:r>
    </w:p>
    <w:p w:rsidR="005A60E5" w:rsidRPr="00C07F28" w:rsidRDefault="005A60E5" w:rsidP="00141AE4">
      <w:pPr>
        <w:pStyle w:val="0BodyText"/>
      </w:pPr>
    </w:p>
    <w:p w:rsidR="00807A0A" w:rsidRPr="00C07F28" w:rsidRDefault="005A60E5" w:rsidP="00141AE4">
      <w:pPr>
        <w:pStyle w:val="0BodyText"/>
      </w:pPr>
      <w:r w:rsidRPr="00C07F28">
        <w:t>Greenfields agreements were introduced in the context of a series of amendments to the existing certified agreements provisions</w:t>
      </w:r>
      <w:r w:rsidR="00141AE4">
        <w:t>.</w:t>
      </w:r>
      <w:r w:rsidRPr="00C07F28">
        <w:t xml:space="preserve"> </w:t>
      </w:r>
      <w:r w:rsidR="00141AE4">
        <w:t xml:space="preserve"> These amendments</w:t>
      </w:r>
      <w:r w:rsidRPr="00C07F28">
        <w:t xml:space="preserve"> were directed at both spreading the reach of agreement making by drawing on the </w:t>
      </w:r>
      <w:proofErr w:type="gramStart"/>
      <w:r w:rsidRPr="00C07F28">
        <w:t>corporations</w:t>
      </w:r>
      <w:proofErr w:type="gramEnd"/>
      <w:r w:rsidRPr="00C07F28">
        <w:t xml:space="preserve"> power and providing for direct employee voting for certified agreements.  </w:t>
      </w:r>
      <w:r w:rsidR="00DF1B08" w:rsidRPr="00C07F28">
        <w:t>The policy objective was to support greater local</w:t>
      </w:r>
      <w:r w:rsidR="00DF1B08">
        <w:t xml:space="preserve"> </w:t>
      </w:r>
      <w:r w:rsidR="00DF1B08" w:rsidRPr="00C07F28">
        <w:t>determination of terms and conditions</w:t>
      </w:r>
      <w:r w:rsidR="00141AE4">
        <w:t xml:space="preserve">.  Locally determined terms and conditions </w:t>
      </w:r>
      <w:r w:rsidR="002962F7" w:rsidRPr="00C07F28">
        <w:t>improves the likelihood of</w:t>
      </w:r>
      <w:r w:rsidR="00DF1B08" w:rsidRPr="00C07F28">
        <w:t xml:space="preserve"> </w:t>
      </w:r>
      <w:r w:rsidR="00141AE4">
        <w:t xml:space="preserve">working </w:t>
      </w:r>
      <w:r w:rsidR="00DF1B08" w:rsidRPr="00C07F28">
        <w:t xml:space="preserve">arrangements which </w:t>
      </w:r>
      <w:r w:rsidR="00141AE4">
        <w:t>a</w:t>
      </w:r>
      <w:r w:rsidR="00DF1B08" w:rsidRPr="00C07F28">
        <w:t xml:space="preserve">re more appropriate to the circumstances of the </w:t>
      </w:r>
      <w:r w:rsidR="00141AE4">
        <w:t xml:space="preserve">particular </w:t>
      </w:r>
      <w:r w:rsidR="00DF1B08" w:rsidRPr="00C07F28">
        <w:t>enterprise and its workforce.</w:t>
      </w:r>
      <w:r w:rsidRPr="00C07F28">
        <w:t xml:space="preserve"> </w:t>
      </w:r>
    </w:p>
    <w:p w:rsidR="00807A0A" w:rsidRPr="00C07F28" w:rsidRDefault="00807A0A" w:rsidP="00141AE4">
      <w:pPr>
        <w:pStyle w:val="0BodyText"/>
      </w:pPr>
    </w:p>
    <w:p w:rsidR="002962F7" w:rsidRPr="00C07F28" w:rsidRDefault="00807A0A" w:rsidP="00141AE4">
      <w:pPr>
        <w:pStyle w:val="0BodyText"/>
      </w:pPr>
      <w:r w:rsidRPr="00C07F28">
        <w:t xml:space="preserve">These provisions were amended in 2006 by the </w:t>
      </w:r>
      <w:r w:rsidRPr="00C07F28">
        <w:rPr>
          <w:i/>
        </w:rPr>
        <w:t>Workplace Relations Amendment (Work Choices) Act 2005</w:t>
      </w:r>
      <w:r w:rsidRPr="00C07F28">
        <w:t xml:space="preserve"> to clarify</w:t>
      </w:r>
      <w:r w:rsidR="000377F8" w:rsidRPr="00C07F28">
        <w:rPr>
          <w:i/>
        </w:rPr>
        <w:t xml:space="preserve"> </w:t>
      </w:r>
      <w:r w:rsidRPr="00C07F28">
        <w:t xml:space="preserve">the “new business” leg and also to allow </w:t>
      </w:r>
      <w:r w:rsidR="004B339A" w:rsidRPr="00C07F28">
        <w:t>greenfields agreements to be made by the new business/enterprise employer with unions or without (employer greenfields agreements</w:t>
      </w:r>
      <w:r w:rsidR="00F835C2" w:rsidRPr="00C07F28">
        <w:t xml:space="preserve">).  </w:t>
      </w:r>
      <w:r w:rsidR="002962F7" w:rsidRPr="00C07F28">
        <w:t xml:space="preserve">An employer greenfields agreement was made when it was lodged with the Commission for approval and </w:t>
      </w:r>
      <w:r w:rsidR="00F835C2" w:rsidRPr="00C07F28">
        <w:t xml:space="preserve">had a maximum </w:t>
      </w:r>
      <w:proofErr w:type="gramStart"/>
      <w:r w:rsidR="00F835C2" w:rsidRPr="00C07F28">
        <w:t>one year</w:t>
      </w:r>
      <w:proofErr w:type="gramEnd"/>
      <w:r w:rsidR="00F835C2" w:rsidRPr="00C07F28">
        <w:t xml:space="preserve"> life before being open to bargaining</w:t>
      </w:r>
      <w:r w:rsidR="002962F7" w:rsidRPr="00C07F28">
        <w:t xml:space="preserve"> with employees and their representatives.</w:t>
      </w:r>
      <w:r w:rsidR="004B339A" w:rsidRPr="00C07F28">
        <w:t xml:space="preserve">  </w:t>
      </w:r>
    </w:p>
    <w:p w:rsidR="002962F7" w:rsidRPr="00C07F28" w:rsidRDefault="002962F7" w:rsidP="00141AE4">
      <w:pPr>
        <w:pStyle w:val="0BodyText"/>
      </w:pPr>
    </w:p>
    <w:p w:rsidR="000377F8" w:rsidRPr="00C07F28" w:rsidRDefault="004B339A" w:rsidP="00141AE4">
      <w:pPr>
        <w:pStyle w:val="0BodyText"/>
      </w:pPr>
      <w:r w:rsidRPr="00C07F28">
        <w:t>The</w:t>
      </w:r>
      <w:r w:rsidR="002962F7" w:rsidRPr="00C07F28">
        <w:t>se</w:t>
      </w:r>
      <w:r w:rsidRPr="00C07F28">
        <w:t xml:space="preserve"> amendments commenced on 27 March 2006.</w:t>
      </w:r>
      <w:r w:rsidR="00807A0A" w:rsidRPr="00C07F28">
        <w:t xml:space="preserve"> </w:t>
      </w:r>
      <w:r w:rsidR="000377F8" w:rsidRPr="00C07F28">
        <w:rPr>
          <w:i/>
        </w:rPr>
        <w:t xml:space="preserve"> </w:t>
      </w:r>
    </w:p>
    <w:p w:rsidR="000377F8" w:rsidRPr="00C07F28" w:rsidRDefault="000377F8" w:rsidP="00141AE4">
      <w:pPr>
        <w:pStyle w:val="0BodyText"/>
      </w:pPr>
    </w:p>
    <w:p w:rsidR="002E5709" w:rsidRPr="00C07F28" w:rsidRDefault="002E5709" w:rsidP="00141AE4">
      <w:pPr>
        <w:pStyle w:val="0BodyText"/>
      </w:pPr>
      <w:r w:rsidRPr="00C07F28">
        <w:t>In common with other workplace agreements</w:t>
      </w:r>
      <w:r w:rsidR="004F5066" w:rsidRPr="00C07F28">
        <w:t>,</w:t>
      </w:r>
      <w:r w:rsidRPr="00C07F28">
        <w:t xml:space="preserve"> the approval of greenfields agreements was modified with the </w:t>
      </w:r>
      <w:r w:rsidR="00293F37" w:rsidRPr="00C07F28">
        <w:t>re-introduction of the no disadvantage test under</w:t>
      </w:r>
      <w:r w:rsidRPr="00C07F28">
        <w:t xml:space="preserve"> the </w:t>
      </w:r>
      <w:r w:rsidRPr="00C07F28">
        <w:rPr>
          <w:i/>
        </w:rPr>
        <w:t>Workplace Relations Amendment (Transition to Forward with Fairness) Act 2008</w:t>
      </w:r>
      <w:r w:rsidR="00293F37" w:rsidRPr="00C07F28">
        <w:rPr>
          <w:i/>
        </w:rPr>
        <w:t>.</w:t>
      </w:r>
      <w:r w:rsidR="00293F37" w:rsidRPr="00C07F28">
        <w:t xml:space="preserve">  This commenced </w:t>
      </w:r>
      <w:r w:rsidRPr="00C07F28">
        <w:t xml:space="preserve">on 28 March 2008. </w:t>
      </w:r>
    </w:p>
    <w:p w:rsidR="002E5709" w:rsidRPr="00C07F28" w:rsidRDefault="002E5709" w:rsidP="00141AE4">
      <w:pPr>
        <w:pStyle w:val="0BodyText"/>
      </w:pPr>
    </w:p>
    <w:p w:rsidR="00293F37" w:rsidRDefault="00293F37" w:rsidP="00141AE4">
      <w:pPr>
        <w:pStyle w:val="0BodyText"/>
      </w:pPr>
      <w:r w:rsidRPr="00C07F28">
        <w:t xml:space="preserve">Access to employer greenfields agreements was removed and the no disadvantage test substituted by the better off overall test by the </w:t>
      </w:r>
      <w:r w:rsidRPr="00C07F28">
        <w:rPr>
          <w:i/>
        </w:rPr>
        <w:t>Fair Work Act 2009</w:t>
      </w:r>
      <w:r w:rsidRPr="00C07F28">
        <w:t xml:space="preserve"> with effect on 1 July 2009.</w:t>
      </w:r>
    </w:p>
    <w:p w:rsidR="005A228C" w:rsidRPr="00C07F28" w:rsidRDefault="005A228C" w:rsidP="005A228C">
      <w:pPr>
        <w:pStyle w:val="Heading2"/>
      </w:pPr>
      <w:r>
        <w:t xml:space="preserve">Reviews of the </w:t>
      </w:r>
      <w:proofErr w:type="spellStart"/>
      <w:r>
        <w:t>greenfields</w:t>
      </w:r>
      <w:proofErr w:type="spellEnd"/>
      <w:r>
        <w:t xml:space="preserve"> provisions</w:t>
      </w:r>
    </w:p>
    <w:p w:rsidR="00D133DC" w:rsidRPr="00C07F28" w:rsidRDefault="00102B34" w:rsidP="00141AE4">
      <w:pPr>
        <w:pStyle w:val="0BodyText"/>
      </w:pPr>
      <w:r w:rsidRPr="00C07F28">
        <w:t>The</w:t>
      </w:r>
      <w:r w:rsidR="00DF1B08" w:rsidRPr="00C07F28">
        <w:t xml:space="preserve"> </w:t>
      </w:r>
      <w:r w:rsidR="00D133DC" w:rsidRPr="00C07F28">
        <w:t xml:space="preserve">FW Act’s </w:t>
      </w:r>
      <w:r w:rsidR="00DF1B08" w:rsidRPr="00C07F28">
        <w:t xml:space="preserve">greenfields </w:t>
      </w:r>
      <w:r w:rsidRPr="00C07F28">
        <w:t xml:space="preserve">provisions were reviewed by the </w:t>
      </w:r>
      <w:r w:rsidR="00DF1B08" w:rsidRPr="00C07F28">
        <w:t>Ex</w:t>
      </w:r>
      <w:r w:rsidRPr="00C07F28">
        <w:t xml:space="preserve">pert </w:t>
      </w:r>
      <w:r w:rsidR="00DF1B08" w:rsidRPr="00C07F28">
        <w:t>P</w:t>
      </w:r>
      <w:r w:rsidRPr="00C07F28">
        <w:t>anel</w:t>
      </w:r>
      <w:r w:rsidR="00F06DB5" w:rsidRPr="00C07F28">
        <w:t xml:space="preserve"> </w:t>
      </w:r>
      <w:r w:rsidR="00EF6D02" w:rsidRPr="00C07F28">
        <w:t>(</w:t>
      </w:r>
      <w:r w:rsidR="00EF6D02" w:rsidRPr="00C07F28">
        <w:rPr>
          <w:b/>
        </w:rPr>
        <w:t>Panel</w:t>
      </w:r>
      <w:r w:rsidR="00EF6D02" w:rsidRPr="00C07F28">
        <w:t xml:space="preserve">) </w:t>
      </w:r>
      <w:r w:rsidR="00F06DB5" w:rsidRPr="00C07F28">
        <w:t xml:space="preserve">whose report also became the post implementation review of the FW Act and related legislation.  </w:t>
      </w:r>
      <w:r w:rsidR="00EF6D02" w:rsidRPr="00C07F28">
        <w:t xml:space="preserve">The </w:t>
      </w:r>
      <w:r w:rsidR="00141AE4">
        <w:t xml:space="preserve">economic </w:t>
      </w:r>
      <w:r w:rsidR="00EF6D02" w:rsidRPr="00C07F28">
        <w:t xml:space="preserve">data before the Panel </w:t>
      </w:r>
      <w:r w:rsidR="00D133DC" w:rsidRPr="00C07F28">
        <w:t xml:space="preserve">at that time was buoyant, particularly </w:t>
      </w:r>
      <w:r w:rsidR="00682BD7" w:rsidRPr="00C07F28">
        <w:t>data concerning</w:t>
      </w:r>
      <w:r w:rsidR="00D133DC" w:rsidRPr="00C07F28">
        <w:t xml:space="preserve"> the resource projects sector.  </w:t>
      </w:r>
    </w:p>
    <w:p w:rsidR="00D133DC" w:rsidRPr="00C07F28" w:rsidRDefault="00D133DC" w:rsidP="00141AE4">
      <w:pPr>
        <w:pStyle w:val="0BodyText"/>
      </w:pPr>
    </w:p>
    <w:p w:rsidR="00D133DC" w:rsidRPr="00C07F28" w:rsidRDefault="0008247C" w:rsidP="005A228C">
      <w:pPr>
        <w:pStyle w:val="0BodyText"/>
        <w:ind w:left="720"/>
      </w:pPr>
      <w:r w:rsidRPr="005A228C">
        <w:rPr>
          <w:i/>
        </w:rPr>
        <w:t>The somewhat wider gap [</w:t>
      </w:r>
      <w:r w:rsidR="00141AE4" w:rsidRPr="005A228C">
        <w:rPr>
          <w:i/>
        </w:rPr>
        <w:t xml:space="preserve">the gap in </w:t>
      </w:r>
      <w:r w:rsidRPr="005A228C">
        <w:rPr>
          <w:i/>
        </w:rPr>
        <w:t xml:space="preserve">AAWI between greenfields agreements and all agreements] may reflect the increasing number of remote minerals and energy construction projects in recent years.  </w:t>
      </w:r>
      <w:r w:rsidR="00D133DC" w:rsidRPr="005A228C">
        <w:rPr>
          <w:i/>
        </w:rPr>
        <w:t>From the beginning of 2009 to the end of 2011 the volume of engineering construction completions rose by over 40 per cent.</w:t>
      </w:r>
      <w:r w:rsidRPr="005A228C">
        <w:rPr>
          <w:i/>
        </w:rPr>
        <w:t xml:space="preserve"> </w:t>
      </w:r>
      <w:r w:rsidR="00D133DC" w:rsidRPr="005A228C">
        <w:rPr>
          <w:i/>
        </w:rPr>
        <w:t xml:space="preserve"> Over the same period the value of engineering construction work yet to be done by the private sector rose two and a half times. These were much greater increases than in previous years</w:t>
      </w:r>
      <w:r w:rsidR="00D133DC" w:rsidRPr="00C07F28">
        <w:rPr>
          <w:rStyle w:val="FootnoteReference"/>
          <w:i/>
        </w:rPr>
        <w:footnoteReference w:id="2"/>
      </w:r>
      <w:r w:rsidR="00D133DC" w:rsidRPr="00C07F28">
        <w:t>.</w:t>
      </w:r>
    </w:p>
    <w:p w:rsidR="00D133DC" w:rsidRPr="00C07F28" w:rsidRDefault="00D133DC" w:rsidP="00141AE4">
      <w:pPr>
        <w:pStyle w:val="0BodyText"/>
      </w:pPr>
    </w:p>
    <w:p w:rsidR="0008247C" w:rsidRPr="00C07F28" w:rsidRDefault="00D133DC" w:rsidP="00141AE4">
      <w:pPr>
        <w:pStyle w:val="0BodyText"/>
      </w:pPr>
      <w:r w:rsidRPr="00C07F28">
        <w:t>The Panel’s</w:t>
      </w:r>
      <w:r w:rsidR="00DF1B08" w:rsidRPr="00C07F28">
        <w:t xml:space="preserve"> report also drew attention to the fact that access to employer greenfields agreements coincided with an increase in the number of greenfields agreements</w:t>
      </w:r>
      <w:r w:rsidRPr="00C07F28">
        <w:t xml:space="preserve">, and </w:t>
      </w:r>
      <w:r w:rsidR="00682BD7" w:rsidRPr="00C07F28">
        <w:t xml:space="preserve">also </w:t>
      </w:r>
      <w:r w:rsidRPr="00C07F28">
        <w:t xml:space="preserve">that wage outcomes </w:t>
      </w:r>
      <w:r w:rsidR="0008247C" w:rsidRPr="00C07F28">
        <w:t xml:space="preserve">under employer greenfields agreements </w:t>
      </w:r>
      <w:r w:rsidRPr="00C07F28">
        <w:t>were not unfavourable</w:t>
      </w:r>
      <w:r w:rsidR="00DF1B08" w:rsidRPr="00C07F28">
        <w:t xml:space="preserve">. </w:t>
      </w:r>
    </w:p>
    <w:p w:rsidR="0008247C" w:rsidRPr="00C07F28" w:rsidRDefault="0008247C" w:rsidP="00141AE4">
      <w:pPr>
        <w:pStyle w:val="0BodyText"/>
      </w:pPr>
    </w:p>
    <w:p w:rsidR="0008247C" w:rsidRPr="00C07F28" w:rsidRDefault="0008247C" w:rsidP="0008247C">
      <w:pPr>
        <w:ind w:left="720"/>
        <w:rPr>
          <w:i/>
          <w:highlight w:val="yellow"/>
        </w:rPr>
      </w:pPr>
      <w:r w:rsidRPr="00C07F28">
        <w:rPr>
          <w:i/>
        </w:rPr>
        <w:t>In 2004–05, under the WR Act, the greenfields average annualised wage increase (AAWI) was 4.5 per cent, compared to 4.4 per cent for all agreements. They made up 5.4 per cent of all agreements. In the period 2006–08, 57 per cent of greenfields agreements were employer greenfields agreements and 43 per cent were union greenfields agreements. The AAWI for non-union greenfields agreements was 4.1 per cent and for union greenfields was 4 per cent, compared with all agreements, which were 4.1 per cent and 3.8 per cent union/non-union respectively. Greenfields made up 9.2 per cent of all agreements. In 2009–11, under the FW Act, greenfields AAWI was 4.7 per cent compared to 3.9 per cent of all agreements and 4.0 per cent for all agreements that cover a union. They made up 6.4 per cent of all agreements. Source: DEEWR Workplace Agreements Database</w:t>
      </w:r>
      <w:r w:rsidRPr="00C07F28">
        <w:rPr>
          <w:rStyle w:val="FootnoteReference"/>
          <w:i/>
        </w:rPr>
        <w:footnoteReference w:id="3"/>
      </w:r>
      <w:r w:rsidRPr="00C07F28">
        <w:rPr>
          <w:i/>
        </w:rPr>
        <w:t>.</w:t>
      </w:r>
    </w:p>
    <w:p w:rsidR="00682BD7" w:rsidRPr="00C07F28" w:rsidRDefault="00682BD7" w:rsidP="00141AE4">
      <w:pPr>
        <w:pStyle w:val="0BodyText"/>
      </w:pPr>
      <w:r w:rsidRPr="00C07F28">
        <w:t xml:space="preserve">These figures clearly owe something to the growing capital investment in resource projects in that era, and Australia’s comparative performance out of the global financial crisis.  The disparity between union and employer greenfields AAWIs may owe something to the sectors in which these </w:t>
      </w:r>
      <w:r w:rsidR="00402DEC" w:rsidRPr="00C07F28">
        <w:t xml:space="preserve">two </w:t>
      </w:r>
      <w:r w:rsidRPr="00C07F28">
        <w:t xml:space="preserve">classes of greenfields agreements were made, but </w:t>
      </w:r>
      <w:r w:rsidR="00402DEC" w:rsidRPr="00C07F28">
        <w:t xml:space="preserve">it </w:t>
      </w:r>
      <w:r w:rsidRPr="00C07F28">
        <w:t xml:space="preserve">may also owe something to the motivation of </w:t>
      </w:r>
      <w:r w:rsidR="00402DEC" w:rsidRPr="00C07F28">
        <w:t>unions in at least some greenfi</w:t>
      </w:r>
      <w:r w:rsidR="00141AE4">
        <w:t xml:space="preserve">elds negotiations. </w:t>
      </w:r>
    </w:p>
    <w:p w:rsidR="00682BD7" w:rsidRPr="00C07F28" w:rsidRDefault="00682BD7" w:rsidP="00141AE4">
      <w:pPr>
        <w:pStyle w:val="0BodyText"/>
      </w:pPr>
    </w:p>
    <w:p w:rsidR="00293F37" w:rsidRPr="00C07F28" w:rsidRDefault="00F06DB5" w:rsidP="00141AE4">
      <w:pPr>
        <w:pStyle w:val="0BodyText"/>
      </w:pPr>
      <w:r w:rsidRPr="00C07F28">
        <w:t xml:space="preserve">The </w:t>
      </w:r>
      <w:r w:rsidR="00DF1B08" w:rsidRPr="00C07F28">
        <w:t>P</w:t>
      </w:r>
      <w:r w:rsidRPr="00C07F28">
        <w:t>anel made a number of recommendations concerning greenfields agreement</w:t>
      </w:r>
      <w:r w:rsidR="00DF1B08" w:rsidRPr="00C07F28">
        <w:t>s</w:t>
      </w:r>
      <w:r w:rsidRPr="00C07F28">
        <w:t>, some of which</w:t>
      </w:r>
      <w:r w:rsidR="00DF1B08" w:rsidRPr="00C07F28">
        <w:t>, such as the introduction of good faith bargaining rules,</w:t>
      </w:r>
      <w:r w:rsidRPr="00C07F28">
        <w:t xml:space="preserve"> informed the </w:t>
      </w:r>
      <w:r w:rsidRPr="00C07F28">
        <w:rPr>
          <w:i/>
        </w:rPr>
        <w:t>Fair Work Amendment Act 201</w:t>
      </w:r>
      <w:r w:rsidR="003F0FB5" w:rsidRPr="00C07F28">
        <w:rPr>
          <w:i/>
        </w:rPr>
        <w:t>5</w:t>
      </w:r>
      <w:r w:rsidRPr="00C07F28">
        <w:rPr>
          <w:i/>
        </w:rPr>
        <w:t xml:space="preserve">.  </w:t>
      </w:r>
      <w:r w:rsidR="00102B34" w:rsidRPr="00C07F28">
        <w:t xml:space="preserve"> </w:t>
      </w:r>
    </w:p>
    <w:p w:rsidR="00293F37" w:rsidRPr="00C07F28" w:rsidRDefault="00293F37" w:rsidP="00141AE4">
      <w:pPr>
        <w:pStyle w:val="0BodyText"/>
      </w:pPr>
    </w:p>
    <w:p w:rsidR="000377F8" w:rsidRPr="00C07F28" w:rsidRDefault="003F0FB5" w:rsidP="00141AE4">
      <w:pPr>
        <w:pStyle w:val="0BodyText"/>
      </w:pPr>
      <w:r w:rsidRPr="00C07F28">
        <w:t xml:space="preserve">Greenfields agreements were also addressed by the Productivity Commission’s inquiry into the workplace relations framework.  </w:t>
      </w:r>
      <w:r w:rsidR="00141AE4">
        <w:t>This is discussed further below.</w:t>
      </w:r>
      <w:r w:rsidR="004F5066" w:rsidRPr="00C07F28">
        <w:t xml:space="preserve"> </w:t>
      </w:r>
      <w:r w:rsidRPr="00C07F28">
        <w:t xml:space="preserve"> </w:t>
      </w:r>
    </w:p>
    <w:p w:rsidR="005A228C" w:rsidRDefault="005A228C" w:rsidP="005A228C">
      <w:pPr>
        <w:pStyle w:val="Heading2"/>
      </w:pPr>
      <w:r>
        <w:t xml:space="preserve">The experience of </w:t>
      </w:r>
      <w:proofErr w:type="spellStart"/>
      <w:r>
        <w:t>greenfields</w:t>
      </w:r>
      <w:proofErr w:type="spellEnd"/>
      <w:r>
        <w:t xml:space="preserve"> bargaining</w:t>
      </w:r>
    </w:p>
    <w:p w:rsidR="002B4178" w:rsidRPr="00C07F28" w:rsidRDefault="0049313E" w:rsidP="00141AE4">
      <w:pPr>
        <w:pStyle w:val="0BodyText"/>
      </w:pPr>
      <w:r w:rsidRPr="00C07F28">
        <w:t xml:space="preserve">In the period 1 November 2013 to 30 June 2017 </w:t>
      </w:r>
      <w:r w:rsidR="00861E2F" w:rsidRPr="00C07F28">
        <w:t>a total of 1235 greenfields agreements were approved.</w:t>
      </w:r>
      <w:r w:rsidR="00861E2F" w:rsidRPr="00C07F28">
        <w:rPr>
          <w:rStyle w:val="FootnoteReference"/>
        </w:rPr>
        <w:footnoteReference w:id="4"/>
      </w:r>
      <w:r w:rsidR="00861E2F" w:rsidRPr="00C07F28">
        <w:t xml:space="preserve">  Of these </w:t>
      </w:r>
      <w:r w:rsidRPr="00C07F28">
        <w:t xml:space="preserve">approximately 800 </w:t>
      </w:r>
      <w:r w:rsidR="00861E2F" w:rsidRPr="00C07F28">
        <w:t xml:space="preserve">(65%) were </w:t>
      </w:r>
      <w:r w:rsidRPr="00C07F28">
        <w:t xml:space="preserve">allocated to the construction sector and </w:t>
      </w:r>
      <w:r w:rsidR="00861E2F" w:rsidRPr="00C07F28">
        <w:t xml:space="preserve">another </w:t>
      </w:r>
      <w:r w:rsidRPr="00C07F28">
        <w:t xml:space="preserve">approximately </w:t>
      </w:r>
      <w:r w:rsidR="00861E2F" w:rsidRPr="00C07F28">
        <w:t xml:space="preserve">to </w:t>
      </w:r>
      <w:r w:rsidRPr="00C07F28">
        <w:t xml:space="preserve">25 </w:t>
      </w:r>
      <w:r w:rsidR="00861E2F" w:rsidRPr="00C07F28">
        <w:t>mining (4%)</w:t>
      </w:r>
      <w:r w:rsidR="00861E2F" w:rsidRPr="00C07F28">
        <w:rPr>
          <w:rStyle w:val="FootnoteReference"/>
        </w:rPr>
        <w:footnoteReference w:id="5"/>
      </w:r>
      <w:r w:rsidR="00861E2F" w:rsidRPr="00C07F28">
        <w:t xml:space="preserve">.  </w:t>
      </w:r>
      <w:r w:rsidR="00DD723F" w:rsidRPr="00C07F28">
        <w:t xml:space="preserve"> The table below</w:t>
      </w:r>
      <w:r w:rsidR="00C3436B" w:rsidRPr="00C07F28">
        <w:t>, taken from the Department’s spreadsheet,</w:t>
      </w:r>
      <w:r w:rsidR="00DD723F" w:rsidRPr="00C07F28">
        <w:t xml:space="preserve"> shows the distribution of approval timing</w:t>
      </w:r>
      <w:r w:rsidR="00AF5628" w:rsidRPr="00C07F28">
        <w:t xml:space="preserve"> by financial year</w:t>
      </w:r>
      <w:r w:rsidR="00DD723F" w:rsidRPr="00C07F28">
        <w:t>.</w:t>
      </w:r>
      <w:r w:rsidR="00C3436B" w:rsidRPr="00C07F28">
        <w:t xml:space="preserve">  </w:t>
      </w:r>
      <w:proofErr w:type="gramStart"/>
      <w:r w:rsidR="00C3436B" w:rsidRPr="00C07F28">
        <w:t>Unfortunately</w:t>
      </w:r>
      <w:proofErr w:type="gramEnd"/>
      <w:r w:rsidR="00C3436B" w:rsidRPr="00C07F28">
        <w:t xml:space="preserve"> neither the Background Paper nor the spreadsheet show the allocation of agreements into industries</w:t>
      </w:r>
      <w:r w:rsidR="002B4178" w:rsidRPr="00C07F28">
        <w:t>, which precludes financial year breakdown</w:t>
      </w:r>
      <w:r w:rsidR="005A228C">
        <w:t xml:space="preserve"> by industry on the same basis as Figure 1 of the Background Paper.</w:t>
      </w:r>
      <w:r w:rsidR="002B4178" w:rsidRPr="00C07F28">
        <w:t xml:space="preserve">  </w:t>
      </w:r>
    </w:p>
    <w:p w:rsidR="002B4178" w:rsidRPr="00C07F28" w:rsidRDefault="002B4178" w:rsidP="00141AE4">
      <w:pPr>
        <w:pStyle w:val="0BodyText"/>
      </w:pPr>
    </w:p>
    <w:p w:rsidR="00CB251C" w:rsidRPr="00C07F28" w:rsidRDefault="002B4178" w:rsidP="00141AE4">
      <w:pPr>
        <w:pStyle w:val="0BodyText"/>
      </w:pPr>
      <w:r w:rsidRPr="00C07F28">
        <w:t>N</w:t>
      </w:r>
      <w:r w:rsidR="00C3436B" w:rsidRPr="00C07F28">
        <w:t xml:space="preserve">or is it possible to ascertain when negotiations began for the agreements. </w:t>
      </w:r>
    </w:p>
    <w:p w:rsidR="00CB251C" w:rsidRPr="00141AE4" w:rsidRDefault="00CB251C" w:rsidP="00141AE4">
      <w:pPr>
        <w:pStyle w:val="0BodyText"/>
      </w:pPr>
    </w:p>
    <w:tbl>
      <w:tblPr>
        <w:tblStyle w:val="TableGrid"/>
        <w:tblW w:w="0" w:type="auto"/>
        <w:tblLook w:val="04A0" w:firstRow="1" w:lastRow="0" w:firstColumn="1" w:lastColumn="0" w:noHBand="0" w:noVBand="1"/>
      </w:tblPr>
      <w:tblGrid>
        <w:gridCol w:w="4743"/>
        <w:gridCol w:w="4744"/>
      </w:tblGrid>
      <w:tr w:rsidR="00CB251C" w:rsidRPr="00141AE4" w:rsidTr="007A76F7">
        <w:trPr>
          <w:tblHeader/>
        </w:trPr>
        <w:tc>
          <w:tcPr>
            <w:tcW w:w="4743" w:type="dxa"/>
          </w:tcPr>
          <w:p w:rsidR="00CB251C" w:rsidRPr="00141AE4" w:rsidRDefault="00CB251C" w:rsidP="00141AE4">
            <w:pPr>
              <w:pStyle w:val="0BodyText"/>
              <w:rPr>
                <w:rFonts w:asciiTheme="minorHAnsi" w:hAnsiTheme="minorHAnsi"/>
                <w:b/>
                <w:sz w:val="22"/>
                <w:szCs w:val="22"/>
              </w:rPr>
            </w:pPr>
            <w:r w:rsidRPr="00141AE4">
              <w:rPr>
                <w:rFonts w:asciiTheme="minorHAnsi" w:hAnsiTheme="minorHAnsi"/>
                <w:b/>
                <w:sz w:val="22"/>
                <w:szCs w:val="22"/>
              </w:rPr>
              <w:t>Approval date</w:t>
            </w:r>
          </w:p>
        </w:tc>
        <w:tc>
          <w:tcPr>
            <w:tcW w:w="4744" w:type="dxa"/>
          </w:tcPr>
          <w:p w:rsidR="00CB251C" w:rsidRPr="00141AE4" w:rsidRDefault="00CB251C" w:rsidP="00141AE4">
            <w:pPr>
              <w:pStyle w:val="0BodyText"/>
              <w:rPr>
                <w:rFonts w:asciiTheme="minorHAnsi" w:hAnsiTheme="minorHAnsi"/>
                <w:b/>
                <w:sz w:val="22"/>
                <w:szCs w:val="22"/>
              </w:rPr>
            </w:pPr>
            <w:r w:rsidRPr="00141AE4">
              <w:rPr>
                <w:rFonts w:asciiTheme="minorHAnsi" w:hAnsiTheme="minorHAnsi"/>
                <w:b/>
                <w:sz w:val="22"/>
                <w:szCs w:val="22"/>
              </w:rPr>
              <w:t>Number of greenfields agreements</w:t>
            </w:r>
          </w:p>
        </w:tc>
      </w:tr>
      <w:tr w:rsidR="00CB251C" w:rsidRPr="00141AE4" w:rsidTr="00CB251C">
        <w:tc>
          <w:tcPr>
            <w:tcW w:w="4743" w:type="dxa"/>
          </w:tcPr>
          <w:p w:rsidR="00CB251C" w:rsidRPr="00141AE4" w:rsidRDefault="00DD723F" w:rsidP="00141AE4">
            <w:pPr>
              <w:pStyle w:val="0BodyText"/>
              <w:rPr>
                <w:rFonts w:asciiTheme="minorHAnsi" w:hAnsiTheme="minorHAnsi"/>
                <w:sz w:val="22"/>
                <w:szCs w:val="22"/>
              </w:rPr>
            </w:pPr>
            <w:r w:rsidRPr="00141AE4">
              <w:rPr>
                <w:rFonts w:asciiTheme="minorHAnsi" w:hAnsiTheme="minorHAnsi"/>
                <w:sz w:val="22"/>
                <w:szCs w:val="22"/>
              </w:rPr>
              <w:t>1 Nov 2013 – 30 June 2014</w:t>
            </w:r>
          </w:p>
        </w:tc>
        <w:tc>
          <w:tcPr>
            <w:tcW w:w="4744" w:type="dxa"/>
          </w:tcPr>
          <w:p w:rsidR="00CB251C" w:rsidRPr="00141AE4" w:rsidRDefault="00DD723F" w:rsidP="005A228C">
            <w:pPr>
              <w:pStyle w:val="0BodyText"/>
              <w:jc w:val="center"/>
              <w:rPr>
                <w:rFonts w:asciiTheme="minorHAnsi" w:hAnsiTheme="minorHAnsi"/>
                <w:sz w:val="22"/>
                <w:szCs w:val="22"/>
              </w:rPr>
            </w:pPr>
            <w:r w:rsidRPr="00141AE4">
              <w:rPr>
                <w:rFonts w:asciiTheme="minorHAnsi" w:hAnsiTheme="minorHAnsi"/>
                <w:sz w:val="22"/>
                <w:szCs w:val="22"/>
              </w:rPr>
              <w:t>432</w:t>
            </w:r>
          </w:p>
        </w:tc>
      </w:tr>
      <w:tr w:rsidR="00CB251C" w:rsidRPr="00141AE4" w:rsidTr="00CB251C">
        <w:tc>
          <w:tcPr>
            <w:tcW w:w="4743" w:type="dxa"/>
          </w:tcPr>
          <w:p w:rsidR="00CB251C" w:rsidRPr="00141AE4" w:rsidRDefault="00DD723F" w:rsidP="00141AE4">
            <w:pPr>
              <w:pStyle w:val="0BodyText"/>
              <w:rPr>
                <w:rFonts w:asciiTheme="minorHAnsi" w:hAnsiTheme="minorHAnsi"/>
                <w:sz w:val="22"/>
                <w:szCs w:val="22"/>
              </w:rPr>
            </w:pPr>
            <w:r w:rsidRPr="00141AE4">
              <w:rPr>
                <w:rFonts w:asciiTheme="minorHAnsi" w:hAnsiTheme="minorHAnsi"/>
                <w:sz w:val="22"/>
                <w:szCs w:val="22"/>
              </w:rPr>
              <w:t>1 July 2014 – 30 June 2015</w:t>
            </w:r>
          </w:p>
        </w:tc>
        <w:tc>
          <w:tcPr>
            <w:tcW w:w="4744" w:type="dxa"/>
          </w:tcPr>
          <w:p w:rsidR="00CB251C" w:rsidRPr="00141AE4" w:rsidRDefault="00DD723F" w:rsidP="005A228C">
            <w:pPr>
              <w:pStyle w:val="0BodyText"/>
              <w:jc w:val="center"/>
              <w:rPr>
                <w:rFonts w:asciiTheme="minorHAnsi" w:hAnsiTheme="minorHAnsi"/>
                <w:sz w:val="22"/>
                <w:szCs w:val="22"/>
              </w:rPr>
            </w:pPr>
            <w:r w:rsidRPr="00141AE4">
              <w:rPr>
                <w:rFonts w:asciiTheme="minorHAnsi" w:hAnsiTheme="minorHAnsi"/>
                <w:sz w:val="22"/>
                <w:szCs w:val="22"/>
              </w:rPr>
              <w:t>396</w:t>
            </w:r>
          </w:p>
        </w:tc>
      </w:tr>
      <w:tr w:rsidR="00CB251C" w:rsidRPr="00141AE4" w:rsidTr="00CB251C">
        <w:tc>
          <w:tcPr>
            <w:tcW w:w="4743" w:type="dxa"/>
          </w:tcPr>
          <w:p w:rsidR="00CB251C" w:rsidRPr="00141AE4" w:rsidRDefault="00DD723F" w:rsidP="00141AE4">
            <w:pPr>
              <w:pStyle w:val="0BodyText"/>
              <w:rPr>
                <w:rFonts w:asciiTheme="minorHAnsi" w:hAnsiTheme="minorHAnsi"/>
                <w:sz w:val="22"/>
                <w:szCs w:val="22"/>
              </w:rPr>
            </w:pPr>
            <w:r w:rsidRPr="00141AE4">
              <w:rPr>
                <w:rFonts w:asciiTheme="minorHAnsi" w:hAnsiTheme="minorHAnsi"/>
                <w:sz w:val="22"/>
                <w:szCs w:val="22"/>
              </w:rPr>
              <w:t>1 July 2015 – 30 June 2016</w:t>
            </w:r>
          </w:p>
        </w:tc>
        <w:tc>
          <w:tcPr>
            <w:tcW w:w="4744" w:type="dxa"/>
          </w:tcPr>
          <w:p w:rsidR="00CB251C" w:rsidRPr="00141AE4" w:rsidRDefault="00DD723F" w:rsidP="005A228C">
            <w:pPr>
              <w:pStyle w:val="0BodyText"/>
              <w:jc w:val="center"/>
              <w:rPr>
                <w:rFonts w:asciiTheme="minorHAnsi" w:hAnsiTheme="minorHAnsi"/>
                <w:sz w:val="22"/>
                <w:szCs w:val="22"/>
              </w:rPr>
            </w:pPr>
            <w:r w:rsidRPr="00141AE4">
              <w:rPr>
                <w:rFonts w:asciiTheme="minorHAnsi" w:hAnsiTheme="minorHAnsi"/>
                <w:sz w:val="22"/>
                <w:szCs w:val="22"/>
              </w:rPr>
              <w:t>257</w:t>
            </w:r>
          </w:p>
        </w:tc>
      </w:tr>
      <w:tr w:rsidR="00CB251C" w:rsidRPr="00141AE4" w:rsidTr="00CB251C">
        <w:tc>
          <w:tcPr>
            <w:tcW w:w="4743" w:type="dxa"/>
          </w:tcPr>
          <w:p w:rsidR="00CB251C" w:rsidRPr="00141AE4" w:rsidRDefault="00DD723F" w:rsidP="00141AE4">
            <w:pPr>
              <w:pStyle w:val="0BodyText"/>
              <w:rPr>
                <w:rFonts w:asciiTheme="minorHAnsi" w:hAnsiTheme="minorHAnsi"/>
                <w:sz w:val="22"/>
                <w:szCs w:val="22"/>
              </w:rPr>
            </w:pPr>
            <w:r w:rsidRPr="00141AE4">
              <w:rPr>
                <w:rFonts w:asciiTheme="minorHAnsi" w:hAnsiTheme="minorHAnsi"/>
                <w:sz w:val="22"/>
                <w:szCs w:val="22"/>
              </w:rPr>
              <w:t>1 July 2016 – 30 June 2017</w:t>
            </w:r>
          </w:p>
        </w:tc>
        <w:tc>
          <w:tcPr>
            <w:tcW w:w="4744" w:type="dxa"/>
          </w:tcPr>
          <w:p w:rsidR="00CB251C" w:rsidRPr="00141AE4" w:rsidRDefault="00DD723F" w:rsidP="005A228C">
            <w:pPr>
              <w:pStyle w:val="0BodyText"/>
              <w:jc w:val="center"/>
              <w:rPr>
                <w:rFonts w:asciiTheme="minorHAnsi" w:hAnsiTheme="minorHAnsi"/>
                <w:sz w:val="22"/>
                <w:szCs w:val="22"/>
              </w:rPr>
            </w:pPr>
            <w:r w:rsidRPr="00141AE4">
              <w:rPr>
                <w:rFonts w:asciiTheme="minorHAnsi" w:hAnsiTheme="minorHAnsi"/>
                <w:sz w:val="22"/>
                <w:szCs w:val="22"/>
              </w:rPr>
              <w:t>150</w:t>
            </w:r>
          </w:p>
        </w:tc>
      </w:tr>
      <w:tr w:rsidR="00DD723F" w:rsidRPr="00141AE4" w:rsidTr="00CB251C">
        <w:tc>
          <w:tcPr>
            <w:tcW w:w="4743" w:type="dxa"/>
          </w:tcPr>
          <w:p w:rsidR="00DD723F" w:rsidRPr="00141AE4" w:rsidRDefault="00DD723F" w:rsidP="00141AE4">
            <w:pPr>
              <w:pStyle w:val="0BodyText"/>
              <w:rPr>
                <w:rFonts w:asciiTheme="minorHAnsi" w:hAnsiTheme="minorHAnsi"/>
                <w:sz w:val="22"/>
                <w:szCs w:val="22"/>
              </w:rPr>
            </w:pPr>
            <w:r w:rsidRPr="00141AE4">
              <w:rPr>
                <w:rFonts w:asciiTheme="minorHAnsi" w:hAnsiTheme="minorHAnsi"/>
                <w:sz w:val="22"/>
                <w:szCs w:val="22"/>
              </w:rPr>
              <w:t>1 Nov 2013 – 30 June 2017</w:t>
            </w:r>
            <w:r w:rsidR="005A228C">
              <w:rPr>
                <w:rFonts w:asciiTheme="minorHAnsi" w:hAnsiTheme="minorHAnsi"/>
                <w:sz w:val="22"/>
                <w:szCs w:val="22"/>
              </w:rPr>
              <w:t xml:space="preserve"> (total agreements)</w:t>
            </w:r>
          </w:p>
        </w:tc>
        <w:tc>
          <w:tcPr>
            <w:tcW w:w="4744" w:type="dxa"/>
          </w:tcPr>
          <w:p w:rsidR="00DD723F" w:rsidRPr="00141AE4" w:rsidRDefault="00DD723F" w:rsidP="005A228C">
            <w:pPr>
              <w:pStyle w:val="0BodyText"/>
              <w:jc w:val="center"/>
              <w:rPr>
                <w:rFonts w:asciiTheme="minorHAnsi" w:hAnsiTheme="minorHAnsi"/>
                <w:sz w:val="22"/>
                <w:szCs w:val="22"/>
              </w:rPr>
            </w:pPr>
            <w:r w:rsidRPr="00141AE4">
              <w:rPr>
                <w:rFonts w:asciiTheme="minorHAnsi" w:hAnsiTheme="minorHAnsi"/>
                <w:sz w:val="22"/>
                <w:szCs w:val="22"/>
              </w:rPr>
              <w:t>1235</w:t>
            </w:r>
          </w:p>
        </w:tc>
      </w:tr>
    </w:tbl>
    <w:p w:rsidR="00CB251C" w:rsidRPr="00141AE4" w:rsidRDefault="00CB251C" w:rsidP="00141AE4">
      <w:pPr>
        <w:pStyle w:val="0BodyText"/>
      </w:pPr>
    </w:p>
    <w:p w:rsidR="0049313E" w:rsidRPr="00615A5E" w:rsidRDefault="00CB251C" w:rsidP="00141AE4">
      <w:pPr>
        <w:pStyle w:val="0BodyText"/>
      </w:pPr>
      <w:r w:rsidRPr="00141AE4">
        <w:t>Betwe</w:t>
      </w:r>
      <w:r w:rsidR="00AF5628" w:rsidRPr="00141AE4">
        <w:t xml:space="preserve">en 1 November 2013 and 30 June </w:t>
      </w:r>
      <w:r w:rsidRPr="00141AE4">
        <w:t xml:space="preserve">2014 there were </w:t>
      </w:r>
      <w:r w:rsidR="002B4178" w:rsidRPr="00141AE4">
        <w:t xml:space="preserve">432 </w:t>
      </w:r>
      <w:r w:rsidRPr="00141AE4">
        <w:t>only been 150 greenfields agreements</w:t>
      </w:r>
      <w:r w:rsidRPr="00615A5E">
        <w:t xml:space="preserve"> approved since 1 July 2016</w:t>
      </w:r>
      <w:r w:rsidR="00C3436B" w:rsidRPr="00615A5E">
        <w:t xml:space="preserve">.  </w:t>
      </w:r>
      <w:r w:rsidR="003F0FB5" w:rsidRPr="00615A5E">
        <w:t>1 July 2016</w:t>
      </w:r>
      <w:r w:rsidR="00C3436B" w:rsidRPr="00615A5E">
        <w:t xml:space="preserve"> could serve as a rough proxy</w:t>
      </w:r>
      <w:r w:rsidRPr="00615A5E">
        <w:t xml:space="preserve"> for </w:t>
      </w:r>
      <w:r w:rsidR="003F0FB5" w:rsidRPr="00615A5E">
        <w:t xml:space="preserve">approved </w:t>
      </w:r>
      <w:r w:rsidRPr="00615A5E">
        <w:t>agreements commenced after the start of the FWA Act amendments</w:t>
      </w:r>
      <w:r w:rsidR="003F0FB5" w:rsidRPr="00615A5E">
        <w:rPr>
          <w:rStyle w:val="FootnoteReference"/>
        </w:rPr>
        <w:footnoteReference w:id="6"/>
      </w:r>
      <w:r w:rsidR="003F0FB5" w:rsidRPr="00615A5E">
        <w:t xml:space="preserve">, but little can be made of this aside from the trite point that the new greenfields regime has not been associated with a pick-up in greenfields agreements.  </w:t>
      </w:r>
      <w:r w:rsidRPr="00615A5E">
        <w:t xml:space="preserve"> </w:t>
      </w:r>
    </w:p>
    <w:p w:rsidR="003F0FB5" w:rsidRPr="00C07F28" w:rsidRDefault="003F0FB5" w:rsidP="00141AE4">
      <w:pPr>
        <w:pStyle w:val="0BodyText"/>
      </w:pPr>
    </w:p>
    <w:p w:rsidR="00C07F28" w:rsidRDefault="000664AE" w:rsidP="00141AE4">
      <w:pPr>
        <w:pStyle w:val="0BodyText"/>
      </w:pPr>
      <w:r>
        <w:t>The Table below</w:t>
      </w:r>
      <w:r>
        <w:rPr>
          <w:rStyle w:val="FootnoteReference"/>
        </w:rPr>
        <w:footnoteReference w:id="7"/>
      </w:r>
      <w:r>
        <w:t xml:space="preserve">, shows </w:t>
      </w:r>
      <w:r w:rsidR="005A228C">
        <w:t xml:space="preserve">non-adjusted </w:t>
      </w:r>
      <w:r>
        <w:t xml:space="preserve">capital investment </w:t>
      </w:r>
      <w:r w:rsidR="005A228C">
        <w:t xml:space="preserve">in $b </w:t>
      </w:r>
      <w:r>
        <w:t xml:space="preserve">in selected industries by quarter from the September quarter 2013, just ahead of the FWA Act commencement.  </w:t>
      </w:r>
      <w:r w:rsidR="005A228C">
        <w:t xml:space="preserve"> The non-mining figures do not easily link to industries where greenfields agreements are typically made.</w:t>
      </w:r>
    </w:p>
    <w:p w:rsidR="000664AE" w:rsidRDefault="000664AE" w:rsidP="00141AE4">
      <w:pPr>
        <w:pStyle w:val="0BodyText"/>
      </w:pPr>
    </w:p>
    <w:p w:rsidR="000664AE" w:rsidRPr="00C07F28" w:rsidRDefault="000664AE" w:rsidP="00141AE4">
      <w:pPr>
        <w:pStyle w:val="0BodyText"/>
      </w:pPr>
    </w:p>
    <w:tbl>
      <w:tblPr>
        <w:tblStyle w:val="TableGrid"/>
        <w:tblW w:w="0" w:type="auto"/>
        <w:tblLook w:val="04A0" w:firstRow="1" w:lastRow="0" w:firstColumn="1" w:lastColumn="0" w:noHBand="0" w:noVBand="1"/>
      </w:tblPr>
      <w:tblGrid>
        <w:gridCol w:w="2280"/>
        <w:gridCol w:w="2411"/>
        <w:gridCol w:w="2384"/>
        <w:gridCol w:w="2412"/>
      </w:tblGrid>
      <w:tr w:rsidR="00C07F28" w:rsidRPr="005A228C" w:rsidTr="007A76F7">
        <w:trPr>
          <w:tblHeader/>
        </w:trPr>
        <w:tc>
          <w:tcPr>
            <w:tcW w:w="2280" w:type="dxa"/>
          </w:tcPr>
          <w:p w:rsidR="00C07F28" w:rsidRPr="005A228C" w:rsidRDefault="00C07F28" w:rsidP="005A228C">
            <w:pPr>
              <w:pStyle w:val="0BodyText"/>
              <w:jc w:val="center"/>
              <w:rPr>
                <w:rFonts w:asciiTheme="minorHAnsi" w:hAnsiTheme="minorHAnsi"/>
                <w:b/>
                <w:sz w:val="22"/>
                <w:szCs w:val="22"/>
              </w:rPr>
            </w:pPr>
            <w:r w:rsidRPr="005A228C">
              <w:rPr>
                <w:rFonts w:asciiTheme="minorHAnsi" w:hAnsiTheme="minorHAnsi"/>
                <w:b/>
                <w:sz w:val="22"/>
                <w:szCs w:val="22"/>
              </w:rPr>
              <w:t>Quarter ending</w:t>
            </w:r>
          </w:p>
        </w:tc>
        <w:tc>
          <w:tcPr>
            <w:tcW w:w="2411" w:type="dxa"/>
          </w:tcPr>
          <w:p w:rsidR="00C07F28" w:rsidRPr="005A228C" w:rsidRDefault="00C07F28" w:rsidP="005A228C">
            <w:pPr>
              <w:pStyle w:val="0BodyText"/>
              <w:jc w:val="center"/>
              <w:rPr>
                <w:rFonts w:asciiTheme="minorHAnsi" w:hAnsiTheme="minorHAnsi"/>
                <w:b/>
                <w:sz w:val="22"/>
                <w:szCs w:val="22"/>
              </w:rPr>
            </w:pPr>
            <w:r w:rsidRPr="005A228C">
              <w:rPr>
                <w:rFonts w:asciiTheme="minorHAnsi" w:hAnsiTheme="minorHAnsi"/>
                <w:b/>
                <w:sz w:val="22"/>
                <w:szCs w:val="22"/>
              </w:rPr>
              <w:t>Mining</w:t>
            </w:r>
          </w:p>
        </w:tc>
        <w:tc>
          <w:tcPr>
            <w:tcW w:w="2384" w:type="dxa"/>
          </w:tcPr>
          <w:p w:rsidR="00C07F28" w:rsidRPr="005A228C" w:rsidRDefault="00C07F28" w:rsidP="005A228C">
            <w:pPr>
              <w:pStyle w:val="0BodyText"/>
              <w:jc w:val="center"/>
              <w:rPr>
                <w:rFonts w:asciiTheme="minorHAnsi" w:hAnsiTheme="minorHAnsi"/>
                <w:b/>
                <w:sz w:val="22"/>
                <w:szCs w:val="22"/>
              </w:rPr>
            </w:pPr>
            <w:r w:rsidRPr="005A228C">
              <w:rPr>
                <w:rFonts w:asciiTheme="minorHAnsi" w:hAnsiTheme="minorHAnsi"/>
                <w:b/>
                <w:sz w:val="22"/>
                <w:szCs w:val="22"/>
              </w:rPr>
              <w:t>Manufacturing</w:t>
            </w:r>
          </w:p>
        </w:tc>
        <w:tc>
          <w:tcPr>
            <w:tcW w:w="2412" w:type="dxa"/>
          </w:tcPr>
          <w:p w:rsidR="00C07F28" w:rsidRPr="005A228C" w:rsidRDefault="00C07F28" w:rsidP="005A228C">
            <w:pPr>
              <w:pStyle w:val="0BodyText"/>
              <w:jc w:val="center"/>
              <w:rPr>
                <w:rFonts w:asciiTheme="minorHAnsi" w:hAnsiTheme="minorHAnsi"/>
                <w:b/>
                <w:sz w:val="22"/>
                <w:szCs w:val="22"/>
              </w:rPr>
            </w:pPr>
            <w:r w:rsidRPr="005A228C">
              <w:rPr>
                <w:rFonts w:asciiTheme="minorHAnsi" w:hAnsiTheme="minorHAnsi"/>
                <w:b/>
                <w:sz w:val="22"/>
                <w:szCs w:val="22"/>
              </w:rPr>
              <w:t>Other selected Industries</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Sep-2013</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24203</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2211</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14250</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Dec-2013</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24707</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2544</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15160</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Mar-2014</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19092</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2132</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12814</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Jun-2014</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22390</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2343</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16133</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Sep-2014</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20807</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1956</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16276</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Dec-2014</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21257</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2535</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17865</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Mar-2015</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16811</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1957</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13779</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Jun-2015</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17242</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2180</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17989</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Sep-2015</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14888</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2095</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15426</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Dec-2015</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16227</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2378</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17689</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Mar-2016</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11400</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1740</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14485</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Jun-2016</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10874</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2354</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18137</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Sep-2016</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10069</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1916</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15898</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Dec-2016</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10582</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2420</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17774</w:t>
            </w:r>
          </w:p>
        </w:tc>
      </w:tr>
      <w:tr w:rsidR="00C07F28" w:rsidRPr="00C07F28" w:rsidTr="00950313">
        <w:tc>
          <w:tcPr>
            <w:tcW w:w="2280" w:type="dxa"/>
            <w:vAlign w:val="bottom"/>
          </w:tcPr>
          <w:p w:rsidR="00C07F28" w:rsidRPr="00C07F28" w:rsidRDefault="00C07F28" w:rsidP="00284368">
            <w:pPr>
              <w:jc w:val="center"/>
              <w:rPr>
                <w:rFonts w:asciiTheme="minorHAnsi" w:hAnsiTheme="minorHAnsi" w:cs="Arial"/>
                <w:sz w:val="22"/>
                <w:szCs w:val="22"/>
              </w:rPr>
            </w:pPr>
            <w:r w:rsidRPr="00C07F28">
              <w:rPr>
                <w:rFonts w:asciiTheme="minorHAnsi" w:hAnsiTheme="minorHAnsi" w:cs="Arial"/>
                <w:sz w:val="22"/>
                <w:szCs w:val="22"/>
              </w:rPr>
              <w:t>Mar-2017</w:t>
            </w:r>
          </w:p>
        </w:tc>
        <w:tc>
          <w:tcPr>
            <w:tcW w:w="2411"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8591</w:t>
            </w:r>
          </w:p>
        </w:tc>
        <w:tc>
          <w:tcPr>
            <w:tcW w:w="2384"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2085</w:t>
            </w:r>
          </w:p>
        </w:tc>
        <w:tc>
          <w:tcPr>
            <w:tcW w:w="2412" w:type="dxa"/>
            <w:vAlign w:val="bottom"/>
          </w:tcPr>
          <w:p w:rsidR="00C07F28" w:rsidRPr="00C07F28" w:rsidRDefault="00C07F28" w:rsidP="00BB5B43">
            <w:pPr>
              <w:jc w:val="center"/>
              <w:rPr>
                <w:rFonts w:asciiTheme="minorHAnsi" w:hAnsiTheme="minorHAnsi" w:cs="Arial"/>
                <w:sz w:val="22"/>
                <w:szCs w:val="22"/>
              </w:rPr>
            </w:pPr>
            <w:r w:rsidRPr="00C07F28">
              <w:rPr>
                <w:rFonts w:asciiTheme="minorHAnsi" w:hAnsiTheme="minorHAnsi" w:cs="Arial"/>
                <w:sz w:val="22"/>
                <w:szCs w:val="22"/>
              </w:rPr>
              <w:t>14397</w:t>
            </w:r>
          </w:p>
        </w:tc>
      </w:tr>
    </w:tbl>
    <w:p w:rsidR="00C07F28" w:rsidRPr="00C07F28" w:rsidRDefault="00C07F28" w:rsidP="00141AE4">
      <w:pPr>
        <w:pStyle w:val="0BodyText"/>
      </w:pPr>
    </w:p>
    <w:p w:rsidR="00B810C3" w:rsidRPr="00C07F28" w:rsidRDefault="005A3760" w:rsidP="00141AE4">
      <w:pPr>
        <w:pStyle w:val="0BodyText"/>
      </w:pPr>
      <w:r w:rsidRPr="00C07F28">
        <w:t>Construction a</w:t>
      </w:r>
      <w:r w:rsidR="006C41E0" w:rsidRPr="00C07F28">
        <w:t xml:space="preserve">greements have also given rise to much of the case law and also to many of the problems associated with making </w:t>
      </w:r>
      <w:r w:rsidR="00B810C3" w:rsidRPr="00C07F28">
        <w:t xml:space="preserve">greenfields agreements </w:t>
      </w:r>
      <w:r w:rsidR="006C41E0" w:rsidRPr="00C07F28">
        <w:t xml:space="preserve">for new enterprises and projects.   </w:t>
      </w:r>
      <w:r w:rsidR="00B810C3" w:rsidRPr="00C07F28">
        <w:t>There are three main reasons for this.</w:t>
      </w:r>
      <w:r w:rsidR="006C41E0" w:rsidRPr="00C07F28">
        <w:t xml:space="preserve"> </w:t>
      </w:r>
    </w:p>
    <w:p w:rsidR="00B810C3" w:rsidRPr="00C07F28" w:rsidRDefault="00B810C3" w:rsidP="00141AE4">
      <w:pPr>
        <w:pStyle w:val="0BodyText"/>
      </w:pPr>
    </w:p>
    <w:p w:rsidR="00E838B1" w:rsidRDefault="00B810C3" w:rsidP="00141AE4">
      <w:pPr>
        <w:pStyle w:val="0BodyText"/>
        <w:numPr>
          <w:ilvl w:val="0"/>
          <w:numId w:val="26"/>
        </w:numPr>
      </w:pPr>
      <w:r w:rsidRPr="00C07F28">
        <w:lastRenderedPageBreak/>
        <w:t>The logic of major private sector construction project</w:t>
      </w:r>
      <w:r w:rsidR="003A6A81" w:rsidRPr="00C07F28">
        <w:t xml:space="preserve"> financing</w:t>
      </w:r>
      <w:r w:rsidRPr="00C07F28">
        <w:t xml:space="preserve"> means that delaying or prolonging negotiations maximises the pressure for concessions on the project employer by increasing delay-based project costs.  This is a rational strategy for unions which seek to maximise employee remuneration and conditions on any project.  It is a less rational long term strategy over a series of projects because the costs and the delays begin to impact investment decisions.  In the</w:t>
      </w:r>
      <w:r w:rsidR="003A6A81" w:rsidRPr="00C07F28">
        <w:t xml:space="preserve"> area of natural resource </w:t>
      </w:r>
      <w:proofErr w:type="gramStart"/>
      <w:r w:rsidR="003A6A81" w:rsidRPr="00C07F28">
        <w:t>projects</w:t>
      </w:r>
      <w:proofErr w:type="gramEnd"/>
      <w:r w:rsidR="003A6A81" w:rsidRPr="00C07F28">
        <w:t xml:space="preserve"> the impact on investment decisions is exacerbated by the effect of resource demand/price cycles. </w:t>
      </w:r>
    </w:p>
    <w:p w:rsidR="003A6A81" w:rsidRPr="00C07F28" w:rsidRDefault="00B810C3" w:rsidP="00141AE4">
      <w:pPr>
        <w:pStyle w:val="0BodyText"/>
      </w:pPr>
      <w:r w:rsidRPr="00C07F28">
        <w:t xml:space="preserve"> </w:t>
      </w:r>
    </w:p>
    <w:p w:rsidR="00B810C3" w:rsidRPr="00C07F28" w:rsidRDefault="005A3760" w:rsidP="00141AE4">
      <w:pPr>
        <w:pStyle w:val="0BodyText"/>
        <w:numPr>
          <w:ilvl w:val="0"/>
          <w:numId w:val="26"/>
        </w:numPr>
      </w:pPr>
      <w:r w:rsidRPr="00C07F28">
        <w:t>Major construction projects typically require a workforce which is able to be represented by a number of unions</w:t>
      </w:r>
      <w:r w:rsidR="00253AA2" w:rsidRPr="00C07F28">
        <w:t xml:space="preserve">.  Increasing the number of negotiating unions can complicate agreement making.  </w:t>
      </w:r>
      <w:r w:rsidR="00261631" w:rsidRPr="00C07F28">
        <w:t>Further, i</w:t>
      </w:r>
      <w:r w:rsidR="00253AA2" w:rsidRPr="00C07F28">
        <w:t>n construction t</w:t>
      </w:r>
      <w:r w:rsidRPr="00C07F28">
        <w:t xml:space="preserve">here are areas of demarcation overlap.  </w:t>
      </w:r>
      <w:r w:rsidR="00253AA2" w:rsidRPr="00C07F28">
        <w:t>T</w:t>
      </w:r>
      <w:r w:rsidRPr="00C07F28">
        <w:t xml:space="preserve">here are </w:t>
      </w:r>
      <w:r w:rsidR="00253AA2" w:rsidRPr="00C07F28">
        <w:t xml:space="preserve">also </w:t>
      </w:r>
      <w:r w:rsidRPr="00C07F28">
        <w:t xml:space="preserve">bitter </w:t>
      </w:r>
      <w:r w:rsidR="00253AA2" w:rsidRPr="00C07F28">
        <w:t xml:space="preserve">long running </w:t>
      </w:r>
      <w:r w:rsidRPr="00C07F28">
        <w:t xml:space="preserve">demarcation differences which affect negotiations. </w:t>
      </w:r>
      <w:r w:rsidR="00D612F9">
        <w:t xml:space="preserve"> The fact of overlapping, or potentially overlapping eligibility, and the ongoing </w:t>
      </w:r>
      <w:r w:rsidR="002E1D6B">
        <w:t>coverage</w:t>
      </w:r>
      <w:r w:rsidR="00D612F9">
        <w:t xml:space="preserve"> between unions </w:t>
      </w:r>
      <w:r w:rsidR="002E1D6B">
        <w:t>discourages any particular union from being the first to agree, or to sign a completed agreement in the absence of the other unions.</w:t>
      </w:r>
      <w:r w:rsidR="00D612F9">
        <w:t xml:space="preserve"> </w:t>
      </w:r>
    </w:p>
    <w:p w:rsidR="00B810C3" w:rsidRPr="00C07F28" w:rsidRDefault="00B810C3" w:rsidP="00141AE4">
      <w:pPr>
        <w:pStyle w:val="0BodyText"/>
      </w:pPr>
    </w:p>
    <w:p w:rsidR="007C06F0" w:rsidRPr="00C07F28" w:rsidRDefault="00530E3E" w:rsidP="00141AE4">
      <w:pPr>
        <w:pStyle w:val="0BodyText"/>
      </w:pPr>
      <w:r w:rsidRPr="00C07F28">
        <w:t xml:space="preserve">The capacity to take collective action to pursue workplace outcomes is designed to </w:t>
      </w:r>
      <w:r w:rsidR="002E1D6B">
        <w:t>address</w:t>
      </w:r>
      <w:r w:rsidRPr="00C07F28">
        <w:t xml:space="preserve"> the conceptual imbalance between capital and those selling their labour.  In practice the capacity of capital to dictate terms of employment varies in different cultural settings and according to the actual economic circumstances of the venture.  Taking collective </w:t>
      </w:r>
      <w:r w:rsidR="002E1D6B">
        <w:t>action, or in going enterprises</w:t>
      </w:r>
      <w:r w:rsidRPr="00C07F28">
        <w:t xml:space="preserve"> responding with restrictions on employees, usually imposes costs on the initiator as well as the target over the long term.  This is an important aspect of the underlying policy of protected industrial action under the FW act</w:t>
      </w:r>
      <w:r w:rsidRPr="00C07F28">
        <w:rPr>
          <w:i/>
        </w:rPr>
        <w:t xml:space="preserve">.  </w:t>
      </w:r>
    </w:p>
    <w:p w:rsidR="007C06F0" w:rsidRPr="00C07F28" w:rsidRDefault="007C06F0" w:rsidP="00141AE4">
      <w:pPr>
        <w:pStyle w:val="0BodyText"/>
      </w:pPr>
    </w:p>
    <w:p w:rsidR="000F087C" w:rsidRPr="00C07F28" w:rsidRDefault="000F087C" w:rsidP="00141AE4">
      <w:pPr>
        <w:pStyle w:val="0BodyText"/>
      </w:pPr>
      <w:r w:rsidRPr="00C07F28">
        <w:t xml:space="preserve">Where there are no costs to a bargaining party the economic driver to reach some form of accommodation dissipates.  </w:t>
      </w:r>
    </w:p>
    <w:p w:rsidR="000F087C" w:rsidRPr="00C07F28" w:rsidRDefault="000F087C" w:rsidP="00141AE4">
      <w:pPr>
        <w:pStyle w:val="0BodyText"/>
      </w:pPr>
    </w:p>
    <w:p w:rsidR="00B810C3" w:rsidRPr="00C07F28" w:rsidRDefault="00261631" w:rsidP="00141AE4">
      <w:pPr>
        <w:pStyle w:val="0BodyText"/>
      </w:pPr>
      <w:r w:rsidRPr="00C07F28">
        <w:t xml:space="preserve">Greenfields agreements </w:t>
      </w:r>
      <w:r w:rsidR="0059695A" w:rsidRPr="00C07F28">
        <w:t>do not give rise to collective action</w:t>
      </w:r>
      <w:r w:rsidR="000F087C" w:rsidRPr="00C07F28">
        <w:t xml:space="preserve"> or the threat of it</w:t>
      </w:r>
      <w:r w:rsidR="0059695A" w:rsidRPr="00C07F28">
        <w:t xml:space="preserve">.  </w:t>
      </w:r>
      <w:r w:rsidR="000F087C" w:rsidRPr="00C07F28">
        <w:t>For unions t</w:t>
      </w:r>
      <w:r w:rsidR="0059695A" w:rsidRPr="00C07F28">
        <w:t xml:space="preserve">here is no direct cost on the members </w:t>
      </w:r>
      <w:r w:rsidR="002E1D6B">
        <w:t xml:space="preserve">or potential members </w:t>
      </w:r>
      <w:r w:rsidR="0059695A" w:rsidRPr="00C07F28">
        <w:t xml:space="preserve">(to be) covered by the enterprise agreement.  Nor do the </w:t>
      </w:r>
      <w:r w:rsidR="002E1D6B">
        <w:t xml:space="preserve">(potential) </w:t>
      </w:r>
      <w:r w:rsidR="0059695A" w:rsidRPr="00C07F28">
        <w:t xml:space="preserve">members who will work under the agreement impact the </w:t>
      </w:r>
      <w:r w:rsidR="000F087C" w:rsidRPr="00C07F28">
        <w:t xml:space="preserve">range of </w:t>
      </w:r>
      <w:r w:rsidR="0059695A" w:rsidRPr="00C07F28">
        <w:t xml:space="preserve">subject </w:t>
      </w:r>
      <w:r w:rsidR="000F087C" w:rsidRPr="00C07F28">
        <w:t xml:space="preserve">matter </w:t>
      </w:r>
      <w:r w:rsidR="0059695A" w:rsidRPr="00C07F28">
        <w:t>of negotiations and priority given to different i</w:t>
      </w:r>
      <w:r w:rsidR="000F087C" w:rsidRPr="00C07F28">
        <w:t xml:space="preserve">ssues.  They do not press on their timing. </w:t>
      </w:r>
      <w:r w:rsidR="002E1D6B">
        <w:t xml:space="preserve"> </w:t>
      </w:r>
      <w:r w:rsidR="000F087C" w:rsidRPr="00C07F28">
        <w:t xml:space="preserve">Negotiating unions are </w:t>
      </w:r>
      <w:r w:rsidR="0059695A" w:rsidRPr="00C07F28">
        <w:t xml:space="preserve">conceptually free to follow their own interests.     </w:t>
      </w:r>
    </w:p>
    <w:p w:rsidR="00BA68D8" w:rsidRPr="005C3184" w:rsidRDefault="00AE32AA" w:rsidP="00BA68D8">
      <w:pPr>
        <w:pStyle w:val="Heading2"/>
      </w:pPr>
      <w:r>
        <w:t>The review questions</w:t>
      </w:r>
    </w:p>
    <w:p w:rsidR="00BA68D8" w:rsidRPr="00C07F28" w:rsidRDefault="000F087C" w:rsidP="00BA68D8">
      <w:pPr>
        <w:pStyle w:val="Heading3"/>
        <w:rPr>
          <w:rFonts w:asciiTheme="minorHAnsi" w:hAnsiTheme="minorHAnsi"/>
          <w:sz w:val="22"/>
          <w:szCs w:val="22"/>
        </w:rPr>
      </w:pPr>
      <w:r w:rsidRPr="00C07F28">
        <w:rPr>
          <w:rFonts w:asciiTheme="minorHAnsi" w:hAnsiTheme="minorHAnsi"/>
          <w:sz w:val="22"/>
          <w:szCs w:val="22"/>
        </w:rPr>
        <w:t>Question 1</w:t>
      </w:r>
    </w:p>
    <w:p w:rsidR="0089505D" w:rsidRPr="002E1D6B" w:rsidRDefault="0089505D" w:rsidP="002E1D6B">
      <w:pPr>
        <w:pStyle w:val="0BodyText"/>
        <w:ind w:left="720"/>
        <w:rPr>
          <w:i/>
        </w:rPr>
      </w:pPr>
      <w:r w:rsidRPr="002E1D6B">
        <w:rPr>
          <w:i/>
        </w:rPr>
        <w:t xml:space="preserve">The extent to which the 2015 Greenfields agreement amendments have altered bargaining behaviour on the part of either employers or unions. </w:t>
      </w:r>
    </w:p>
    <w:p w:rsidR="0038072B" w:rsidRDefault="0038072B" w:rsidP="00141AE4">
      <w:pPr>
        <w:pStyle w:val="0BodyText"/>
      </w:pPr>
    </w:p>
    <w:p w:rsidR="00A830F1" w:rsidRDefault="0038072B" w:rsidP="00141AE4">
      <w:pPr>
        <w:pStyle w:val="0BodyText"/>
      </w:pPr>
      <w:r>
        <w:t xml:space="preserve">This is a difficult question for ABI/NSWBC to answer with direct experience.  Neither its industrial group nor its members have been involved in large numbers of greenfields bargaining.  ABI/NSWBC experience has been in a small number of construction project agreements.  As discussed above, there is good reason to believe these, particularly those which involve major investment projects, may not be typical of greenfields bargaining for other types of new enterprise, such as agreements covering </w:t>
      </w:r>
      <w:r w:rsidR="00A830F1">
        <w:t>a</w:t>
      </w:r>
      <w:r w:rsidR="00731331">
        <w:t>n urban</w:t>
      </w:r>
      <w:r>
        <w:t xml:space="preserve"> post construction manufacturing workforce or a new theatrical production.  </w:t>
      </w:r>
      <w:r w:rsidR="00A830F1">
        <w:t xml:space="preserve"> </w:t>
      </w:r>
    </w:p>
    <w:p w:rsidR="00A830F1" w:rsidRDefault="00A830F1" w:rsidP="00141AE4">
      <w:pPr>
        <w:pStyle w:val="0BodyText"/>
      </w:pPr>
    </w:p>
    <w:p w:rsidR="0031469C" w:rsidRDefault="00A830F1" w:rsidP="00141AE4">
      <w:pPr>
        <w:pStyle w:val="0BodyText"/>
      </w:pPr>
      <w:r>
        <w:lastRenderedPageBreak/>
        <w:t>There appear to have been no applications for approval of a greenfields agreement which ha</w:t>
      </w:r>
      <w:r w:rsidR="0031469C">
        <w:t>ve</w:t>
      </w:r>
      <w:r>
        <w:t xml:space="preserve"> not been signed by relevant unions</w:t>
      </w:r>
      <w:r>
        <w:rPr>
          <w:rStyle w:val="FootnoteReference"/>
        </w:rPr>
        <w:footnoteReference w:id="8"/>
      </w:r>
      <w:r>
        <w:t>.  There is no available evidence of how long each greenfields agreement before the Commission for approval took to negotiate, nor whether there is widespread practice of notifying a negotiation period.  There is evidence of reduced numbers of greenfields agreements, due at least in part to reduced investment</w:t>
      </w:r>
      <w:r w:rsidR="0031469C">
        <w:t xml:space="preserve"> </w:t>
      </w:r>
      <w:r>
        <w:t>levels</w:t>
      </w:r>
      <w:r w:rsidR="0031469C">
        <w:t>,</w:t>
      </w:r>
      <w:r>
        <w:t xml:space="preserve"> but perhaps </w:t>
      </w:r>
      <w:r w:rsidR="00731331">
        <w:t xml:space="preserve">also due </w:t>
      </w:r>
      <w:r>
        <w:t xml:space="preserve">to </w:t>
      </w:r>
      <w:r w:rsidR="00731331">
        <w:t>a</w:t>
      </w:r>
      <w:r w:rsidR="0031469C">
        <w:t xml:space="preserve"> view on the part of those in some sectors who are investing in a new enterprise that greenfields agreements do not efficiently bring the certainty about labour costs that they should.  </w:t>
      </w:r>
    </w:p>
    <w:p w:rsidR="0031469C" w:rsidRDefault="0031469C" w:rsidP="00141AE4">
      <w:pPr>
        <w:pStyle w:val="0BodyText"/>
      </w:pPr>
    </w:p>
    <w:p w:rsidR="0089505D" w:rsidRDefault="0031469C" w:rsidP="00141AE4">
      <w:pPr>
        <w:pStyle w:val="0BodyText"/>
      </w:pPr>
      <w:r>
        <w:t>It is clear that there has also been a reduction in the number of major projects, but less clear which industries have suffered a disproportionate fall in the number of greenfields negotiations attempted.  There is no available evidence that the FWA Act changes have brought unfairness into greenfields agreements outcomes</w:t>
      </w:r>
      <w:r w:rsidR="00AD71EF">
        <w:t>, and the relative speed in their approvals compared with non-greenfields agreement approval applications suggests otherwise</w:t>
      </w:r>
      <w:r w:rsidR="00AD71EF">
        <w:rPr>
          <w:rStyle w:val="FootnoteReference"/>
        </w:rPr>
        <w:footnoteReference w:id="9"/>
      </w:r>
      <w:r>
        <w:t>.</w:t>
      </w:r>
    </w:p>
    <w:p w:rsidR="0089505D" w:rsidRPr="00C07F28" w:rsidRDefault="0089505D" w:rsidP="0042594D">
      <w:pPr>
        <w:pStyle w:val="Heading3"/>
        <w:rPr>
          <w:rFonts w:asciiTheme="minorHAnsi" w:hAnsiTheme="minorHAnsi"/>
          <w:sz w:val="22"/>
          <w:szCs w:val="22"/>
        </w:rPr>
      </w:pPr>
      <w:r w:rsidRPr="00C07F28">
        <w:rPr>
          <w:rFonts w:asciiTheme="minorHAnsi" w:hAnsiTheme="minorHAnsi"/>
          <w:sz w:val="22"/>
          <w:szCs w:val="22"/>
        </w:rPr>
        <w:t>Question 2</w:t>
      </w:r>
    </w:p>
    <w:p w:rsidR="0089505D" w:rsidRPr="00C07F28" w:rsidRDefault="0089505D" w:rsidP="0031469C">
      <w:pPr>
        <w:autoSpaceDE w:val="0"/>
        <w:autoSpaceDN w:val="0"/>
        <w:adjustRightInd w:val="0"/>
        <w:spacing w:after="0" w:line="240" w:lineRule="auto"/>
        <w:ind w:left="720"/>
        <w:rPr>
          <w:rFonts w:cs="Calibri"/>
          <w:i/>
          <w:color w:val="000000"/>
        </w:rPr>
      </w:pPr>
      <w:r w:rsidRPr="00C07F28">
        <w:rPr>
          <w:rFonts w:cs="Calibri"/>
          <w:i/>
          <w:color w:val="000000"/>
        </w:rPr>
        <w:t xml:space="preserve">Any concerns relating to the effect of the 2015 greenfields agreement amendments on bargaining outcomes and bargaining behaviour. </w:t>
      </w:r>
    </w:p>
    <w:p w:rsidR="00AD71EF" w:rsidRDefault="00AD71EF" w:rsidP="00141AE4">
      <w:pPr>
        <w:pStyle w:val="0BodyText"/>
      </w:pPr>
    </w:p>
    <w:p w:rsidR="00800FB7" w:rsidRDefault="00AD71EF" w:rsidP="00141AE4">
      <w:pPr>
        <w:pStyle w:val="0BodyText"/>
      </w:pPr>
      <w:r>
        <w:t xml:space="preserve">This question was in part addressed above.  It is, however, worth remarking that the absence of any s 182(4) applications means that all greenfields agreements which were approved satisfied the better off overall test, consistent with the test for all other forms of enterprise agreement.   </w:t>
      </w:r>
      <w:r w:rsidR="00800FB7">
        <w:t xml:space="preserve"> </w:t>
      </w:r>
    </w:p>
    <w:p w:rsidR="00800FB7" w:rsidRDefault="00800FB7" w:rsidP="00141AE4">
      <w:pPr>
        <w:pStyle w:val="0BodyText"/>
      </w:pPr>
    </w:p>
    <w:p w:rsidR="0089505D" w:rsidRDefault="00800FB7" w:rsidP="00141AE4">
      <w:pPr>
        <w:pStyle w:val="0BodyText"/>
      </w:pPr>
      <w:r>
        <w:t xml:space="preserve">Applications </w:t>
      </w:r>
      <w:r w:rsidR="002E6435">
        <w:t xml:space="preserve">made </w:t>
      </w:r>
      <w:r>
        <w:t>under s 182(4) must satisfy s 187(6)</w:t>
      </w:r>
      <w:r w:rsidR="002E6435">
        <w:t xml:space="preserve">.  These agreements must </w:t>
      </w:r>
      <w:r>
        <w:t xml:space="preserve">provide pay and conditions which are consistent with prevailing terms and conditions for the relevant industry and area for equivalent work.  This is a requirement imposed on no other type of enterprise agreement, is onerous to prove in the event that it is contested – a typical scenario given the agreement was not signed by the participating unions, and is at odds with the policy of determining terms and conditions which are enterprise specific.      </w:t>
      </w:r>
    </w:p>
    <w:p w:rsidR="00800FB7" w:rsidRDefault="00800FB7" w:rsidP="00141AE4">
      <w:pPr>
        <w:pStyle w:val="0BodyText"/>
      </w:pPr>
    </w:p>
    <w:p w:rsidR="00800FB7" w:rsidRPr="00C07F28" w:rsidRDefault="00800FB7" w:rsidP="00141AE4">
      <w:pPr>
        <w:pStyle w:val="0BodyText"/>
      </w:pPr>
      <w:r>
        <w:t>In the case of major resource construction projects this requirement will mimic the natural bargaining outcomes and is therefore not necessary.  In times of downturn it provides an obvious inhibitor</w:t>
      </w:r>
      <w:r w:rsidR="002E6435">
        <w:t xml:space="preserve">, placing investment in Australia at a disadvantage with external alternatives.  </w:t>
      </w:r>
      <w:r w:rsidR="00A16F35">
        <w:t xml:space="preserve">  </w:t>
      </w:r>
    </w:p>
    <w:p w:rsidR="0042594D" w:rsidRPr="00C07F28" w:rsidRDefault="0089505D" w:rsidP="0042594D">
      <w:pPr>
        <w:pStyle w:val="Heading3"/>
        <w:rPr>
          <w:rFonts w:asciiTheme="minorHAnsi" w:hAnsiTheme="minorHAnsi" w:cs="Calibri"/>
          <w:color w:val="000000"/>
          <w:sz w:val="22"/>
          <w:szCs w:val="22"/>
        </w:rPr>
      </w:pPr>
      <w:r w:rsidRPr="00C07F28">
        <w:rPr>
          <w:rFonts w:asciiTheme="minorHAnsi" w:hAnsiTheme="minorHAnsi"/>
          <w:sz w:val="22"/>
          <w:szCs w:val="22"/>
        </w:rPr>
        <w:t>Question 3</w:t>
      </w:r>
    </w:p>
    <w:p w:rsidR="0042594D" w:rsidRPr="00C07F28" w:rsidRDefault="0042594D" w:rsidP="00DC792E">
      <w:pPr>
        <w:autoSpaceDE w:val="0"/>
        <w:autoSpaceDN w:val="0"/>
        <w:adjustRightInd w:val="0"/>
        <w:spacing w:after="0" w:line="240" w:lineRule="auto"/>
        <w:ind w:left="720"/>
        <w:rPr>
          <w:rFonts w:cs="Calibri"/>
          <w:i/>
          <w:color w:val="000000"/>
        </w:rPr>
      </w:pPr>
      <w:r w:rsidRPr="00C07F28">
        <w:rPr>
          <w:rFonts w:cs="Calibri"/>
          <w:i/>
          <w:color w:val="000000"/>
        </w:rPr>
        <w:t xml:space="preserve">The extent to which there may be a relationship between these amendments and the number of applications for approval of greenfields agreements. </w:t>
      </w:r>
    </w:p>
    <w:p w:rsidR="0089505D" w:rsidRDefault="0089505D" w:rsidP="00141AE4">
      <w:pPr>
        <w:pStyle w:val="0BodyText"/>
      </w:pPr>
    </w:p>
    <w:p w:rsidR="00A16F35" w:rsidRDefault="00A16F35" w:rsidP="00141AE4">
      <w:pPr>
        <w:pStyle w:val="0BodyText"/>
      </w:pPr>
      <w:r>
        <w:t>The reduction in construction projects, which was a major driver of greenfields bargaining</w:t>
      </w:r>
      <w:r w:rsidR="002E6435">
        <w:t>,</w:t>
      </w:r>
      <w:r>
        <w:t xml:space="preserve"> </w:t>
      </w:r>
      <w:r w:rsidR="002E6435">
        <w:t>is</w:t>
      </w:r>
      <w:r>
        <w:t xml:space="preserve"> primarily attributable to changed investment levels.   Not only has investment reduced but it is increasingly directed to plant and equipment rather than building and construction.  This does not suggest that the FWA Act amendments have been causal in driving the reduction in </w:t>
      </w:r>
      <w:r w:rsidR="002E6435">
        <w:t xml:space="preserve">greenfield </w:t>
      </w:r>
      <w:r>
        <w:t xml:space="preserve">agreement numbers. </w:t>
      </w:r>
    </w:p>
    <w:p w:rsidR="00A16F35" w:rsidRDefault="00A16F35" w:rsidP="00141AE4">
      <w:pPr>
        <w:pStyle w:val="0BodyText"/>
      </w:pPr>
    </w:p>
    <w:p w:rsidR="00A16F35" w:rsidRDefault="00A16F35" w:rsidP="00141AE4">
      <w:pPr>
        <w:pStyle w:val="0BodyText"/>
      </w:pPr>
      <w:r>
        <w:lastRenderedPageBreak/>
        <w:t xml:space="preserve">It may be that the FWA Act amendments have not assisted the resolution of intractable negotiations, as suggested above, but these are a small proportion of greenfields negotiations.  They are individually very important because characteristically they involve </w:t>
      </w:r>
      <w:r w:rsidR="00F06F68">
        <w:t xml:space="preserve">very </w:t>
      </w:r>
      <w:r>
        <w:t>large amounts of</w:t>
      </w:r>
      <w:r w:rsidR="00F06F68">
        <w:t xml:space="preserve"> </w:t>
      </w:r>
      <w:r>
        <w:t>capital investment</w:t>
      </w:r>
      <w:r w:rsidR="00F06F68">
        <w:t xml:space="preserve">, much of it foreign sourced, which gives rise </w:t>
      </w:r>
      <w:r>
        <w:t xml:space="preserve">to a </w:t>
      </w:r>
      <w:r w:rsidR="00F06F68">
        <w:t>major</w:t>
      </w:r>
      <w:r>
        <w:t xml:space="preserve"> and long term income stream for Australia, but they do not significantly impact the numbers of </w:t>
      </w:r>
      <w:r w:rsidR="00F06F68">
        <w:t xml:space="preserve">greenfields </w:t>
      </w:r>
      <w:r>
        <w:t xml:space="preserve">agreements attempted </w:t>
      </w:r>
      <w:r w:rsidR="00F06F68">
        <w:t>o</w:t>
      </w:r>
      <w:r>
        <w:t xml:space="preserve">r made.  </w:t>
      </w:r>
    </w:p>
    <w:p w:rsidR="00F06F68" w:rsidRDefault="00F06F68" w:rsidP="00141AE4">
      <w:pPr>
        <w:pStyle w:val="0BodyText"/>
      </w:pPr>
    </w:p>
    <w:p w:rsidR="00F06F68" w:rsidRDefault="00F06F68" w:rsidP="00141AE4">
      <w:pPr>
        <w:pStyle w:val="0BodyText"/>
      </w:pPr>
      <w:r>
        <w:t>Consideration could be given to altering the approval process triggered by s 182(4) applications</w:t>
      </w:r>
      <w:r w:rsidR="005B6A65">
        <w:t>, to require the better off overall test.  The reality is that new enterprises still need to attract employees, and investors do not seek</w:t>
      </w:r>
      <w:r w:rsidR="002E6435">
        <w:t xml:space="preserve"> to start with </w:t>
      </w:r>
      <w:r w:rsidR="005B6A65">
        <w:t>a disgruntled workforce</w:t>
      </w:r>
      <w:r w:rsidR="002E6435">
        <w:t xml:space="preserve">, or one which quickly becomes </w:t>
      </w:r>
      <w:proofErr w:type="gramStart"/>
      <w:r w:rsidR="002E6435">
        <w:t xml:space="preserve">disenchanted, </w:t>
      </w:r>
      <w:r w:rsidR="005B6A65">
        <w:t xml:space="preserve"> because</w:t>
      </w:r>
      <w:proofErr w:type="gramEnd"/>
      <w:r w:rsidR="005B6A65">
        <w:t xml:space="preserve"> of its impact on the new investment</w:t>
      </w:r>
      <w:r w:rsidR="002E6435">
        <w:t>’s returns</w:t>
      </w:r>
      <w:r>
        <w:t xml:space="preserve">.  </w:t>
      </w:r>
    </w:p>
    <w:p w:rsidR="00F06F68" w:rsidRDefault="00F06F68" w:rsidP="00141AE4">
      <w:pPr>
        <w:pStyle w:val="0BodyText"/>
      </w:pPr>
    </w:p>
    <w:p w:rsidR="00F06F68" w:rsidRPr="00C07F28" w:rsidRDefault="00F06F68" w:rsidP="00141AE4">
      <w:pPr>
        <w:pStyle w:val="0BodyText"/>
      </w:pPr>
      <w:r>
        <w:t>Given negotiations in th</w:t>
      </w:r>
      <w:r w:rsidR="002E6435">
        <w:t>is sector involve</w:t>
      </w:r>
      <w:r>
        <w:t xml:space="preserve"> knowledgeable unions, proceeds without direct employee input, and any approval process for a s 182(4) application will be contested and therefore prolonged beyond a “normal” uncontested approval, consideration could be given to reducing the notified negotiation period to three months.  </w:t>
      </w:r>
      <w:r w:rsidR="005B6A65">
        <w:t xml:space="preserve"> There is no evidence to suggest that this would negatively impact the bulk of greenfields negotiations which are currently successful under the FWA Act amendments</w:t>
      </w:r>
      <w:r w:rsidR="002E6435">
        <w:t xml:space="preserve"> and such an outcome seems unlikely</w:t>
      </w:r>
      <w:r w:rsidR="005B6A65">
        <w:t xml:space="preserve">.   </w:t>
      </w:r>
    </w:p>
    <w:p w:rsidR="0089505D" w:rsidRPr="00C07F28" w:rsidRDefault="0089505D" w:rsidP="0089505D">
      <w:pPr>
        <w:pStyle w:val="Heading3"/>
        <w:rPr>
          <w:rFonts w:asciiTheme="minorHAnsi" w:hAnsiTheme="minorHAnsi"/>
          <w:sz w:val="22"/>
          <w:szCs w:val="22"/>
        </w:rPr>
      </w:pPr>
      <w:r w:rsidRPr="00C07F28">
        <w:rPr>
          <w:rFonts w:asciiTheme="minorHAnsi" w:hAnsiTheme="minorHAnsi"/>
          <w:sz w:val="22"/>
          <w:szCs w:val="22"/>
        </w:rPr>
        <w:t xml:space="preserve">Question 4 </w:t>
      </w:r>
    </w:p>
    <w:p w:rsidR="0042594D" w:rsidRPr="00C07F28" w:rsidRDefault="0042594D" w:rsidP="005B6A65">
      <w:pPr>
        <w:autoSpaceDE w:val="0"/>
        <w:autoSpaceDN w:val="0"/>
        <w:adjustRightInd w:val="0"/>
        <w:spacing w:after="0" w:line="240" w:lineRule="auto"/>
        <w:ind w:left="720"/>
        <w:rPr>
          <w:rFonts w:cs="Calibri"/>
          <w:i/>
          <w:color w:val="000000"/>
        </w:rPr>
      </w:pPr>
      <w:r w:rsidRPr="00C07F28">
        <w:rPr>
          <w:rFonts w:cs="Calibri"/>
          <w:i/>
          <w:color w:val="000000"/>
        </w:rPr>
        <w:t xml:space="preserve">The extent to which there may be systemic issues or impediments to the making of greenfields agreements. </w:t>
      </w:r>
    </w:p>
    <w:p w:rsidR="005B6A65" w:rsidRDefault="005B6A65" w:rsidP="00141AE4">
      <w:pPr>
        <w:pStyle w:val="0BodyText"/>
      </w:pPr>
    </w:p>
    <w:p w:rsidR="00BB5B43" w:rsidRDefault="005B6A65" w:rsidP="00141AE4">
      <w:pPr>
        <w:pStyle w:val="0BodyText"/>
      </w:pPr>
      <w:r>
        <w:t xml:space="preserve">ABI/NSWBC believes on the basis of its (limited) direct experience and the available evidence that the FWA Act amendments have not damaged the negotiation of greenfields agreements overall.  Much of this is inferential, rather than demonstrably causal, but we believe the inference </w:t>
      </w:r>
      <w:r w:rsidR="002E6435">
        <w:t>to be</w:t>
      </w:r>
      <w:r>
        <w:t xml:space="preserve"> accurate.  That said, we also believe that there is a small subset of (nationally important) agreements which has been impacted by aspects of the FWA Act changes.</w:t>
      </w:r>
      <w:r w:rsidR="00BB5B43">
        <w:t xml:space="preserve"> </w:t>
      </w:r>
    </w:p>
    <w:p w:rsidR="00BB5B43" w:rsidRDefault="00BB5B43" w:rsidP="00141AE4">
      <w:pPr>
        <w:pStyle w:val="0BodyText"/>
      </w:pPr>
    </w:p>
    <w:p w:rsidR="00BB5B43" w:rsidRDefault="00BB5B43" w:rsidP="00141AE4">
      <w:pPr>
        <w:pStyle w:val="0BodyText"/>
      </w:pPr>
      <w:r w:rsidRPr="002E6435">
        <w:t>ABI/NSWBC has identified the length of the notified negotiation period [s 178</w:t>
      </w:r>
      <w:proofErr w:type="gramStart"/>
      <w:r w:rsidRPr="002E6435">
        <w:t>B(</w:t>
      </w:r>
      <w:proofErr w:type="gramEnd"/>
      <w:r w:rsidRPr="002E6435">
        <w:t xml:space="preserve">1)] and the approval process [s </w:t>
      </w:r>
      <w:r w:rsidR="000664AE" w:rsidRPr="002E6435">
        <w:t>187(6)] as likely impediments the greenfields bargaining in the sector.</w:t>
      </w:r>
    </w:p>
    <w:p w:rsidR="00BB5B43" w:rsidRDefault="00BB5B43" w:rsidP="00141AE4">
      <w:pPr>
        <w:pStyle w:val="0BodyText"/>
      </w:pPr>
    </w:p>
    <w:p w:rsidR="00950313" w:rsidRDefault="00BB5B43" w:rsidP="00141AE4">
      <w:pPr>
        <w:pStyle w:val="0BodyText"/>
      </w:pPr>
      <w:r>
        <w:t>The importance of this subset is recognised in both the debate about greenfields agreements and their evaluations</w:t>
      </w:r>
      <w:r w:rsidR="002E6435">
        <w:t>.  Much of</w:t>
      </w:r>
      <w:r>
        <w:t xml:space="preserve"> the focus and evidence, as well as </w:t>
      </w:r>
      <w:r w:rsidR="002E6435">
        <w:t xml:space="preserve">many of </w:t>
      </w:r>
      <w:r>
        <w:t xml:space="preserve">the contentions, have arisen from large scale, usually resource based, construction projects.  </w:t>
      </w:r>
    </w:p>
    <w:p w:rsidR="00950313" w:rsidRDefault="00950313" w:rsidP="00141AE4">
      <w:pPr>
        <w:pStyle w:val="0BodyText"/>
      </w:pPr>
    </w:p>
    <w:p w:rsidR="0089505D" w:rsidRDefault="00BB5B43" w:rsidP="00141AE4">
      <w:pPr>
        <w:pStyle w:val="0BodyText"/>
      </w:pPr>
      <w:r>
        <w:t xml:space="preserve">These problems should be addressed </w:t>
      </w:r>
      <w:r w:rsidR="002E6435">
        <w:t xml:space="preserve">so </w:t>
      </w:r>
      <w:r>
        <w:t>that solution</w:t>
      </w:r>
      <w:r w:rsidR="002E6435">
        <w:t>s</w:t>
      </w:r>
      <w:r>
        <w:t xml:space="preserve"> do not negatively impact the bulk of greenfields bargaining</w:t>
      </w:r>
      <w:r w:rsidR="002E6435">
        <w:t xml:space="preserve"> which is working well</w:t>
      </w:r>
      <w:r>
        <w:t xml:space="preserve">.  </w:t>
      </w:r>
      <w:r w:rsidR="005B6A65">
        <w:t xml:space="preserve"> </w:t>
      </w:r>
      <w:r w:rsidR="00950313">
        <w:t>If it is concluded that rem</w:t>
      </w:r>
      <w:r w:rsidR="002E6435">
        <w:t>e</w:t>
      </w:r>
      <w:r w:rsidR="00950313">
        <w:t xml:space="preserve">dial changes might negatively impact the mainstream greenfields bargaining – not ABI/NSWBC’s contention – it would be possible to legislate specifically for major project contracts. </w:t>
      </w:r>
    </w:p>
    <w:p w:rsidR="005B6A65" w:rsidRDefault="005B6A65" w:rsidP="00141AE4">
      <w:pPr>
        <w:pStyle w:val="0BodyText"/>
      </w:pPr>
    </w:p>
    <w:p w:rsidR="0089505D" w:rsidRPr="00C07F28" w:rsidRDefault="0089505D" w:rsidP="0089505D">
      <w:pPr>
        <w:pStyle w:val="Heading3"/>
        <w:rPr>
          <w:rFonts w:asciiTheme="minorHAnsi" w:hAnsiTheme="minorHAnsi"/>
          <w:sz w:val="22"/>
          <w:szCs w:val="22"/>
        </w:rPr>
      </w:pPr>
      <w:r w:rsidRPr="00C07F28">
        <w:rPr>
          <w:rFonts w:asciiTheme="minorHAnsi" w:hAnsiTheme="minorHAnsi"/>
          <w:sz w:val="22"/>
          <w:szCs w:val="22"/>
        </w:rPr>
        <w:t>Question 5</w:t>
      </w:r>
    </w:p>
    <w:p w:rsidR="0042594D" w:rsidRPr="00C07F28" w:rsidRDefault="0042594D" w:rsidP="005B6A65">
      <w:pPr>
        <w:autoSpaceDE w:val="0"/>
        <w:autoSpaceDN w:val="0"/>
        <w:adjustRightInd w:val="0"/>
        <w:spacing w:after="0" w:line="240" w:lineRule="auto"/>
        <w:ind w:left="720"/>
        <w:rPr>
          <w:rFonts w:cs="Calibri"/>
          <w:i/>
          <w:color w:val="000000"/>
        </w:rPr>
      </w:pPr>
      <w:r w:rsidRPr="00C07F28">
        <w:rPr>
          <w:rFonts w:cs="Calibri"/>
          <w:i/>
          <w:color w:val="000000"/>
        </w:rPr>
        <w:t xml:space="preserve">Recommendations of the Productivity Commission relating to greenfields agreements. </w:t>
      </w:r>
    </w:p>
    <w:p w:rsidR="0089505D" w:rsidRDefault="0089505D" w:rsidP="00141AE4">
      <w:pPr>
        <w:pStyle w:val="0BodyText"/>
      </w:pPr>
    </w:p>
    <w:p w:rsidR="00AD5520" w:rsidRDefault="00AD5520" w:rsidP="00141AE4">
      <w:pPr>
        <w:pStyle w:val="0BodyText"/>
      </w:pPr>
      <w:r>
        <w:lastRenderedPageBreak/>
        <w:t xml:space="preserve">The Productivity Commission made four relevant recommendations.  These </w:t>
      </w:r>
      <w:r w:rsidR="00950313">
        <w:t>differed from its interim report in a number of ways, in part because of the passage of the FWA Act in the intervening period</w:t>
      </w:r>
      <w:r w:rsidR="00950313">
        <w:rPr>
          <w:rStyle w:val="FootnoteReference"/>
        </w:rPr>
        <w:footnoteReference w:id="10"/>
      </w:r>
      <w:r w:rsidR="00950313">
        <w:t>.</w:t>
      </w:r>
      <w:r>
        <w:t xml:space="preserve"> </w:t>
      </w:r>
      <w:r w:rsidR="002E6435">
        <w:t xml:space="preserve">  It recommended</w:t>
      </w:r>
    </w:p>
    <w:p w:rsidR="00AD5520" w:rsidRDefault="00AD5520" w:rsidP="00141AE4">
      <w:pPr>
        <w:pStyle w:val="0BodyText"/>
      </w:pPr>
    </w:p>
    <w:p w:rsidR="00AD5520" w:rsidRDefault="00AD5520" w:rsidP="00141AE4">
      <w:pPr>
        <w:pStyle w:val="0BodyText"/>
        <w:numPr>
          <w:ilvl w:val="0"/>
          <w:numId w:val="29"/>
        </w:numPr>
      </w:pPr>
      <w:r>
        <w:t>Reduc</w:t>
      </w:r>
      <w:r w:rsidR="002E6435">
        <w:t>ing</w:t>
      </w:r>
      <w:r>
        <w:t xml:space="preserve"> the </w:t>
      </w:r>
      <w:r w:rsidR="004C4350">
        <w:t>notified negotiation period</w:t>
      </w:r>
      <w:r>
        <w:t xml:space="preserve"> to 3 months</w:t>
      </w:r>
      <w:r>
        <w:rPr>
          <w:rStyle w:val="FootnoteReference"/>
        </w:rPr>
        <w:footnoteReference w:id="11"/>
      </w:r>
      <w:r>
        <w:t xml:space="preserve"> </w:t>
      </w:r>
    </w:p>
    <w:p w:rsidR="009D115F" w:rsidRDefault="009D115F" w:rsidP="00141AE4">
      <w:pPr>
        <w:pStyle w:val="0BodyText"/>
        <w:numPr>
          <w:ilvl w:val="0"/>
          <w:numId w:val="29"/>
        </w:numPr>
      </w:pPr>
      <w:r>
        <w:t>Using last offer arbitration for determinations after a failed negotiation period</w:t>
      </w:r>
    </w:p>
    <w:p w:rsidR="009D115F" w:rsidRDefault="00AD5520" w:rsidP="00141AE4">
      <w:pPr>
        <w:pStyle w:val="0BodyText"/>
        <w:numPr>
          <w:ilvl w:val="0"/>
          <w:numId w:val="29"/>
        </w:numPr>
      </w:pPr>
      <w:r>
        <w:t>Expand</w:t>
      </w:r>
      <w:r w:rsidR="002E6435">
        <w:t>ing</w:t>
      </w:r>
      <w:r>
        <w:t xml:space="preserve"> the options at the end of the negotiation period</w:t>
      </w:r>
    </w:p>
    <w:p w:rsidR="00AD5520" w:rsidRDefault="009D115F" w:rsidP="00141AE4">
      <w:pPr>
        <w:pStyle w:val="0BodyText"/>
        <w:numPr>
          <w:ilvl w:val="0"/>
          <w:numId w:val="29"/>
        </w:numPr>
      </w:pPr>
      <w:r>
        <w:t xml:space="preserve">Providing for project proponent </w:t>
      </w:r>
      <w:r w:rsidR="0090246A">
        <w:t xml:space="preserve">agreements </w:t>
      </w:r>
      <w:r>
        <w:t>for large scale projects.</w:t>
      </w:r>
      <w:r>
        <w:rPr>
          <w:rStyle w:val="FootnoteReference"/>
        </w:rPr>
        <w:footnoteReference w:id="12"/>
      </w:r>
    </w:p>
    <w:p w:rsidR="004C4350" w:rsidRDefault="004C4350" w:rsidP="00141AE4">
      <w:pPr>
        <w:pStyle w:val="0BodyText"/>
      </w:pPr>
    </w:p>
    <w:p w:rsidR="004C4350" w:rsidRDefault="002E6435" w:rsidP="00141AE4">
      <w:pPr>
        <w:pStyle w:val="0BodyText"/>
      </w:pPr>
      <w:r w:rsidRPr="002E6435">
        <w:rPr>
          <w:i/>
        </w:rPr>
        <w:t>Re: #1</w:t>
      </w:r>
      <w:r>
        <w:tab/>
      </w:r>
      <w:r w:rsidR="004C4350">
        <w:t xml:space="preserve">ABI/NSWBC supports #1.  </w:t>
      </w:r>
    </w:p>
    <w:p w:rsidR="004C4350" w:rsidRDefault="004C4350" w:rsidP="00141AE4">
      <w:pPr>
        <w:pStyle w:val="0BodyText"/>
      </w:pPr>
    </w:p>
    <w:p w:rsidR="004C4350" w:rsidRDefault="002E6435" w:rsidP="00141AE4">
      <w:pPr>
        <w:pStyle w:val="0BodyText"/>
      </w:pPr>
      <w:r w:rsidRPr="002E6435">
        <w:rPr>
          <w:i/>
        </w:rPr>
        <w:t>Re: #2</w:t>
      </w:r>
      <w:r>
        <w:tab/>
      </w:r>
      <w:r w:rsidR="004C4350">
        <w:t>ABI/NSWBC do not support the principle of involuntary arbitration to resolve bargaining impasses.  Arbitration rarely rejects all of one party’s claims</w:t>
      </w:r>
      <w:r w:rsidR="00A32E37">
        <w:t xml:space="preserve"> and it does not present a credible threat of a nil outcome</w:t>
      </w:r>
      <w:r w:rsidR="004C4350">
        <w:t xml:space="preserve">.  This </w:t>
      </w:r>
      <w:r w:rsidR="00A32E37">
        <w:t xml:space="preserve">fact </w:t>
      </w:r>
      <w:r w:rsidR="004C4350">
        <w:t>reduces the pressure to settle and can become a bargaining objective for one party.  Whilst we do not strongly favour last offer arbitration we accept that it addresses our main concern with arbitration.  It is an option for reform.</w:t>
      </w:r>
    </w:p>
    <w:p w:rsidR="004C4350" w:rsidRDefault="004C4350" w:rsidP="00141AE4">
      <w:pPr>
        <w:pStyle w:val="0BodyText"/>
      </w:pPr>
    </w:p>
    <w:p w:rsidR="0090246A" w:rsidRDefault="002E6435" w:rsidP="00141AE4">
      <w:pPr>
        <w:pStyle w:val="0BodyText"/>
      </w:pPr>
      <w:r w:rsidRPr="002E6435">
        <w:rPr>
          <w:i/>
        </w:rPr>
        <w:t>Re</w:t>
      </w:r>
      <w:r w:rsidR="00A32E37">
        <w:rPr>
          <w:i/>
        </w:rPr>
        <w:t>:</w:t>
      </w:r>
      <w:r w:rsidRPr="002E6435">
        <w:rPr>
          <w:i/>
        </w:rPr>
        <w:t xml:space="preserve"> #3</w:t>
      </w:r>
      <w:r>
        <w:tab/>
      </w:r>
      <w:r w:rsidR="004C4350">
        <w:t xml:space="preserve">ABI/NSWBC has proposed that non-agreed greenfields agreements should be subject to the better off overall test, but we accept that </w:t>
      </w:r>
      <w:r w:rsidR="0090246A">
        <w:t>the Productivity Commission did not adopt this as a recommendation.  W</w:t>
      </w:r>
      <w:r w:rsidR="00A32E37">
        <w:t xml:space="preserve">ithout ruling out moving to assessment with the better off overall test ABI/NSWBC would </w:t>
      </w:r>
      <w:r w:rsidR="0090246A">
        <w:t xml:space="preserve">support #3 and </w:t>
      </w:r>
      <w:r w:rsidR="00A32E37">
        <w:t xml:space="preserve">we </w:t>
      </w:r>
      <w:r w:rsidR="0090246A">
        <w:t>would seek to be involved in consultations regarding its consideration.</w:t>
      </w:r>
    </w:p>
    <w:p w:rsidR="0090246A" w:rsidRDefault="0090246A" w:rsidP="00141AE4">
      <w:pPr>
        <w:pStyle w:val="0BodyText"/>
      </w:pPr>
    </w:p>
    <w:p w:rsidR="004C4350" w:rsidRPr="00C07F28" w:rsidRDefault="004C4350" w:rsidP="00141AE4">
      <w:pPr>
        <w:pStyle w:val="0BodyText"/>
      </w:pPr>
      <w:r>
        <w:t xml:space="preserve"> </w:t>
      </w:r>
      <w:r w:rsidR="002E6435" w:rsidRPr="00A32E37">
        <w:rPr>
          <w:i/>
        </w:rPr>
        <w:t>Re: #4</w:t>
      </w:r>
      <w:r w:rsidR="002E6435">
        <w:tab/>
        <w:t>T</w:t>
      </w:r>
      <w:r w:rsidR="0090246A">
        <w:t xml:space="preserve">here is a tension between terms and conditions which apply to a particular project and the terms and conditions applying to an employer whose work </w:t>
      </w:r>
      <w:r w:rsidR="00A32E37">
        <w:t>derives</w:t>
      </w:r>
      <w:r w:rsidR="0090246A">
        <w:t xml:space="preserve"> serially from different projects.  It is also the case that major projects carry special problems because of the amounts of and costs of non-earning capital.  ABI/NSWBC support investigation of this recommendation.</w:t>
      </w:r>
    </w:p>
    <w:p w:rsidR="0089505D" w:rsidRPr="00C07F28" w:rsidRDefault="0089505D" w:rsidP="0042594D">
      <w:pPr>
        <w:pStyle w:val="Heading3"/>
        <w:rPr>
          <w:rFonts w:asciiTheme="minorHAnsi" w:hAnsiTheme="minorHAnsi"/>
          <w:sz w:val="22"/>
          <w:szCs w:val="22"/>
        </w:rPr>
      </w:pPr>
      <w:r w:rsidRPr="00C07F28">
        <w:rPr>
          <w:rFonts w:asciiTheme="minorHAnsi" w:hAnsiTheme="minorHAnsi"/>
          <w:sz w:val="22"/>
          <w:szCs w:val="22"/>
        </w:rPr>
        <w:t>Question 6</w:t>
      </w:r>
    </w:p>
    <w:p w:rsidR="0042594D" w:rsidRPr="00C07F28" w:rsidRDefault="0042594D" w:rsidP="005B6A65">
      <w:pPr>
        <w:autoSpaceDE w:val="0"/>
        <w:autoSpaceDN w:val="0"/>
        <w:adjustRightInd w:val="0"/>
        <w:spacing w:after="0" w:line="240" w:lineRule="auto"/>
        <w:ind w:left="720"/>
        <w:rPr>
          <w:rFonts w:cs="Calibri"/>
          <w:color w:val="000000"/>
        </w:rPr>
      </w:pPr>
      <w:r w:rsidRPr="00C07F28">
        <w:rPr>
          <w:rFonts w:cs="Calibri"/>
          <w:i/>
          <w:color w:val="000000"/>
        </w:rPr>
        <w:t>The anticipated effects of returning to the legislative arrangements which applied to greenfields agreement making prior to November 2015</w:t>
      </w:r>
      <w:r w:rsidRPr="00C07F28">
        <w:rPr>
          <w:rFonts w:cs="Calibri"/>
          <w:color w:val="000000"/>
        </w:rPr>
        <w:t xml:space="preserve">. </w:t>
      </w:r>
    </w:p>
    <w:p w:rsidR="0089505D" w:rsidRDefault="0089505D" w:rsidP="00141AE4">
      <w:pPr>
        <w:pStyle w:val="0BodyText"/>
      </w:pPr>
    </w:p>
    <w:p w:rsidR="00D658A3" w:rsidRDefault="0090246A" w:rsidP="00141AE4">
      <w:pPr>
        <w:pStyle w:val="0BodyText"/>
      </w:pPr>
      <w:r>
        <w:t xml:space="preserve">ABI/NSWBC does not support abandoning the FWA Act amendments, and as discussed above does not see any evidence to make a case for repeal.  As noted, the fact that there have been no s 182(4) applications is not evidence of the amendments not working, and there is no direct evidence that the </w:t>
      </w:r>
      <w:r w:rsidR="00D658A3">
        <w:t xml:space="preserve">reducing </w:t>
      </w:r>
      <w:r>
        <w:t xml:space="preserve">numbers of greenfields agreements </w:t>
      </w:r>
      <w:r w:rsidR="00D658A3">
        <w:t xml:space="preserve">is because of </w:t>
      </w:r>
      <w:r>
        <w:t xml:space="preserve">the FWA Act amendments.  </w:t>
      </w:r>
    </w:p>
    <w:p w:rsidR="00D658A3" w:rsidRDefault="00D658A3" w:rsidP="00141AE4">
      <w:pPr>
        <w:pStyle w:val="0BodyText"/>
      </w:pPr>
    </w:p>
    <w:p w:rsidR="0090246A" w:rsidRPr="00C07F28" w:rsidRDefault="0090246A" w:rsidP="00141AE4">
      <w:pPr>
        <w:pStyle w:val="0BodyText"/>
      </w:pPr>
      <w:r>
        <w:t>There is a question about wh</w:t>
      </w:r>
      <w:r w:rsidR="00D658A3">
        <w:t>e</w:t>
      </w:r>
      <w:r>
        <w:t xml:space="preserve">ther </w:t>
      </w:r>
      <w:r w:rsidR="00D658A3">
        <w:t xml:space="preserve">the FWA Act amendments should be themselves amended to improve the usefulness of greenfields bargaining for major projects. </w:t>
      </w:r>
      <w:r>
        <w:t xml:space="preserve"> </w:t>
      </w:r>
    </w:p>
    <w:p w:rsidR="0089505D" w:rsidRPr="00C07F28" w:rsidRDefault="0089505D" w:rsidP="0089505D">
      <w:pPr>
        <w:pStyle w:val="Heading3"/>
        <w:rPr>
          <w:rFonts w:asciiTheme="minorHAnsi" w:hAnsiTheme="minorHAnsi"/>
          <w:sz w:val="22"/>
          <w:szCs w:val="22"/>
        </w:rPr>
      </w:pPr>
      <w:r w:rsidRPr="00C07F28">
        <w:rPr>
          <w:rFonts w:asciiTheme="minorHAnsi" w:hAnsiTheme="minorHAnsi"/>
          <w:sz w:val="22"/>
          <w:szCs w:val="22"/>
        </w:rPr>
        <w:lastRenderedPageBreak/>
        <w:t>Question 7</w:t>
      </w:r>
    </w:p>
    <w:p w:rsidR="0042594D" w:rsidRPr="00C07F28" w:rsidRDefault="0042594D" w:rsidP="005B6A65">
      <w:pPr>
        <w:autoSpaceDE w:val="0"/>
        <w:autoSpaceDN w:val="0"/>
        <w:adjustRightInd w:val="0"/>
        <w:spacing w:after="0" w:line="240" w:lineRule="auto"/>
        <w:ind w:left="720"/>
        <w:rPr>
          <w:rFonts w:cs="Calibri"/>
          <w:i/>
          <w:color w:val="000000"/>
        </w:rPr>
      </w:pPr>
      <w:r w:rsidRPr="00C07F28">
        <w:rPr>
          <w:rFonts w:cs="Calibri"/>
          <w:i/>
          <w:color w:val="000000"/>
        </w:rPr>
        <w:t xml:space="preserve">The impact of the reduction in the number and scale of capital development projects on greenfields agreement making since 2015. </w:t>
      </w:r>
    </w:p>
    <w:p w:rsidR="0089505D" w:rsidRDefault="0089505D" w:rsidP="00141AE4">
      <w:pPr>
        <w:pStyle w:val="0BodyText"/>
      </w:pPr>
    </w:p>
    <w:p w:rsidR="00E4258A" w:rsidRDefault="00D658A3" w:rsidP="00141AE4">
      <w:pPr>
        <w:pStyle w:val="0BodyText"/>
      </w:pPr>
      <w:r>
        <w:t xml:space="preserve">A growing stream of greenfields agreements is a positive outcome and indicates a vibrant economy.  The FW Act should, consistent with equity, support the greenfields stream.  A downturn is less good, but the evidence is that this seems mainly attributable to the amounts of and types of new capital investment. </w:t>
      </w:r>
    </w:p>
    <w:p w:rsidR="00E4258A" w:rsidRDefault="00E4258A" w:rsidP="00141AE4">
      <w:pPr>
        <w:pStyle w:val="0BodyText"/>
      </w:pPr>
    </w:p>
    <w:p w:rsidR="00D658A3" w:rsidRDefault="00A32E37" w:rsidP="00141AE4">
      <w:pPr>
        <w:pStyle w:val="0BodyText"/>
      </w:pPr>
      <w:r>
        <w:t>There has been some recent growth i</w:t>
      </w:r>
      <w:r w:rsidR="00E4258A">
        <w:t xml:space="preserve">n foreign </w:t>
      </w:r>
      <w:r>
        <w:t xml:space="preserve">direct </w:t>
      </w:r>
      <w:r w:rsidR="00E4258A">
        <w:t xml:space="preserve">investment </w:t>
      </w:r>
      <w:r w:rsidR="00965E51">
        <w:t xml:space="preserve">but also something of </w:t>
      </w:r>
      <w:r w:rsidR="00E4258A">
        <w:t xml:space="preserve">a </w:t>
      </w:r>
      <w:proofErr w:type="spellStart"/>
      <w:r w:rsidR="00E4258A">
        <w:t>turn around</w:t>
      </w:r>
      <w:proofErr w:type="spellEnd"/>
      <w:r w:rsidR="00E4258A">
        <w:t xml:space="preserve"> in the </w:t>
      </w:r>
      <w:r>
        <w:t xml:space="preserve">composition of investment away from direct investment and also in the </w:t>
      </w:r>
      <w:r w:rsidR="00E4258A">
        <w:t xml:space="preserve">direction of net </w:t>
      </w:r>
      <w:r>
        <w:t xml:space="preserve">direct </w:t>
      </w:r>
      <w:r w:rsidR="00E4258A">
        <w:t xml:space="preserve">investment flow in sectors such as </w:t>
      </w:r>
      <w:r w:rsidR="00965E51">
        <w:t>mining</w:t>
      </w:r>
      <w:r w:rsidR="00AF3798">
        <w:rPr>
          <w:rStyle w:val="FootnoteReference"/>
        </w:rPr>
        <w:footnoteReference w:id="13"/>
      </w:r>
      <w:r w:rsidR="00E4258A" w:rsidRPr="00AF3798">
        <w:t>.</w:t>
      </w:r>
      <w:r w:rsidR="00E4258A">
        <w:t xml:space="preserve">  Not much more than inferences can be dra</w:t>
      </w:r>
      <w:r>
        <w:t>wn from</w:t>
      </w:r>
      <w:r w:rsidR="00E4258A">
        <w:t xml:space="preserve"> this.</w:t>
      </w:r>
      <w:r w:rsidR="00D658A3">
        <w:t xml:space="preserve">  </w:t>
      </w:r>
    </w:p>
    <w:p w:rsidR="00D658A3" w:rsidRDefault="00D658A3" w:rsidP="00141AE4">
      <w:pPr>
        <w:pStyle w:val="0BodyText"/>
      </w:pPr>
    </w:p>
    <w:p w:rsidR="00D658A3" w:rsidRPr="00C07F28" w:rsidRDefault="00D658A3" w:rsidP="00141AE4">
      <w:pPr>
        <w:pStyle w:val="0BodyText"/>
      </w:pPr>
      <w:r>
        <w:t xml:space="preserve">In the resource sector this </w:t>
      </w:r>
      <w:r w:rsidR="00965E51">
        <w:t xml:space="preserve">impact </w:t>
      </w:r>
      <w:r>
        <w:t>is clear</w:t>
      </w:r>
      <w:r w:rsidR="00965E51">
        <w:t>.  International investment in mining projects has significantly declined</w:t>
      </w:r>
      <w:r>
        <w:t xml:space="preserve"> – there are few new major projects </w:t>
      </w:r>
      <w:r w:rsidR="00A32E37">
        <w:t xml:space="preserve">being commenced anywhere.  Those in Australia </w:t>
      </w:r>
      <w:r>
        <w:t>are moving to completion.   Many</w:t>
      </w:r>
      <w:r w:rsidR="00965E51">
        <w:t xml:space="preserve"> of these projects </w:t>
      </w:r>
      <w:r>
        <w:t xml:space="preserve">are in remote areas and it is not unusual for some of those involved in </w:t>
      </w:r>
      <w:r w:rsidR="00965E51">
        <w:t xml:space="preserve">the </w:t>
      </w:r>
      <w:r>
        <w:t xml:space="preserve">construction </w:t>
      </w:r>
      <w:r w:rsidR="00965E51">
        <w:t xml:space="preserve">phase </w:t>
      </w:r>
      <w:r>
        <w:t xml:space="preserve">to stay on for operational jobs.  </w:t>
      </w:r>
      <w:r w:rsidR="00965E51">
        <w:t xml:space="preserve">Resource state policies may increase this tendency.  </w:t>
      </w:r>
      <w:r w:rsidR="00E4258A">
        <w:t xml:space="preserve">Operational start-up is therefore not likely to yield a second round of greenfields agreements.  </w:t>
      </w:r>
    </w:p>
    <w:p w:rsidR="0042594D" w:rsidRPr="00C07F28" w:rsidRDefault="0089505D" w:rsidP="0042594D">
      <w:pPr>
        <w:pStyle w:val="Heading3"/>
        <w:rPr>
          <w:rFonts w:asciiTheme="minorHAnsi" w:hAnsiTheme="minorHAnsi"/>
          <w:sz w:val="22"/>
          <w:szCs w:val="22"/>
        </w:rPr>
      </w:pPr>
      <w:r w:rsidRPr="00C07F28">
        <w:rPr>
          <w:rFonts w:asciiTheme="minorHAnsi" w:hAnsiTheme="minorHAnsi"/>
          <w:sz w:val="22"/>
          <w:szCs w:val="22"/>
        </w:rPr>
        <w:t xml:space="preserve">Question 8 </w:t>
      </w:r>
    </w:p>
    <w:p w:rsidR="0042594D" w:rsidRPr="00C07F28" w:rsidRDefault="0042594D" w:rsidP="005B6A65">
      <w:pPr>
        <w:autoSpaceDE w:val="0"/>
        <w:autoSpaceDN w:val="0"/>
        <w:adjustRightInd w:val="0"/>
        <w:spacing w:after="0" w:line="240" w:lineRule="auto"/>
        <w:ind w:left="720"/>
        <w:rPr>
          <w:rFonts w:cs="Calibri"/>
          <w:i/>
          <w:color w:val="000000"/>
        </w:rPr>
      </w:pPr>
      <w:r w:rsidRPr="00C07F28">
        <w:rPr>
          <w:rFonts w:cs="Calibri"/>
          <w:i/>
          <w:color w:val="000000"/>
        </w:rPr>
        <w:t xml:space="preserve">Any other matter relating to the negotiation of, and the approval process for greenfields agreements. </w:t>
      </w:r>
    </w:p>
    <w:p w:rsidR="00E4258A" w:rsidRDefault="00E4258A" w:rsidP="00141AE4">
      <w:pPr>
        <w:pStyle w:val="0BodyText"/>
      </w:pPr>
    </w:p>
    <w:p w:rsidR="00E4258A" w:rsidRDefault="00E4258A" w:rsidP="00141AE4">
      <w:pPr>
        <w:pStyle w:val="0BodyText"/>
      </w:pPr>
      <w:r>
        <w:t>As discussed above access to employer greenfields agreements was removed with the commencement of the FW Act.  The FW Act was introduced as part of the incoming government’s election policy and was in this respect consistent with it.  It was also introduced at a time when Australia’s economy was doing well against international standards.</w:t>
      </w:r>
    </w:p>
    <w:p w:rsidR="00E4258A" w:rsidRDefault="00E4258A" w:rsidP="00141AE4">
      <w:pPr>
        <w:pStyle w:val="0BodyText"/>
      </w:pPr>
    </w:p>
    <w:p w:rsidR="0089505D" w:rsidRPr="00C07F28" w:rsidRDefault="00E4258A" w:rsidP="00141AE4">
      <w:pPr>
        <w:pStyle w:val="0BodyText"/>
      </w:pPr>
      <w:proofErr w:type="gramStart"/>
      <w:r>
        <w:t>However</w:t>
      </w:r>
      <w:proofErr w:type="gramEnd"/>
      <w:r>
        <w:t xml:space="preserve"> there was no evidence of unfairness to support the removal of employer greenfields agreements at that time, and more recently Australia’s economy has fared less well against </w:t>
      </w:r>
      <w:r w:rsidR="00230079">
        <w:t>international comparisons</w:t>
      </w:r>
      <w:r w:rsidR="00A32E37">
        <w:t>.  C</w:t>
      </w:r>
      <w:r w:rsidR="00230079">
        <w:t>apital, including local capital in the superannuation system</w:t>
      </w:r>
      <w:r w:rsidR="00A32E37">
        <w:t>,</w:t>
      </w:r>
      <w:r w:rsidR="00230079">
        <w:t xml:space="preserve"> has become more globally focussed.</w:t>
      </w:r>
      <w:r>
        <w:t xml:space="preserve"> </w:t>
      </w:r>
    </w:p>
    <w:p w:rsidR="0089505D" w:rsidRPr="00C07F28" w:rsidRDefault="00230079" w:rsidP="00A32E37">
      <w:pPr>
        <w:pStyle w:val="BodyText"/>
        <w:ind w:left="720"/>
      </w:pPr>
      <w:r w:rsidRPr="00230079">
        <w:rPr>
          <w:rFonts w:asciiTheme="minorHAnsi" w:hAnsiTheme="minorHAnsi"/>
          <w:i/>
          <w:sz w:val="22"/>
          <w:szCs w:val="22"/>
        </w:rPr>
        <w:t xml:space="preserve">There is some empirical evidence that employer </w:t>
      </w:r>
      <w:proofErr w:type="spellStart"/>
      <w:r w:rsidRPr="00230079">
        <w:rPr>
          <w:rFonts w:asciiTheme="minorHAnsi" w:hAnsiTheme="minorHAnsi"/>
          <w:i/>
          <w:sz w:val="22"/>
          <w:szCs w:val="22"/>
        </w:rPr>
        <w:t>greenfields</w:t>
      </w:r>
      <w:proofErr w:type="spellEnd"/>
      <w:r w:rsidRPr="00230079">
        <w:rPr>
          <w:rFonts w:asciiTheme="minorHAnsi" w:hAnsiTheme="minorHAnsi"/>
          <w:i/>
          <w:sz w:val="22"/>
          <w:szCs w:val="22"/>
        </w:rPr>
        <w:t xml:space="preserve"> agreements under </w:t>
      </w:r>
      <w:proofErr w:type="spellStart"/>
      <w:r w:rsidRPr="00230079">
        <w:rPr>
          <w:rFonts w:asciiTheme="minorHAnsi" w:hAnsiTheme="minorHAnsi"/>
          <w:i/>
          <w:sz w:val="22"/>
          <w:szCs w:val="22"/>
        </w:rPr>
        <w:t>WorkChoices</w:t>
      </w:r>
      <w:proofErr w:type="spellEnd"/>
      <w:r w:rsidRPr="00230079">
        <w:rPr>
          <w:rFonts w:asciiTheme="minorHAnsi" w:hAnsiTheme="minorHAnsi"/>
          <w:i/>
          <w:sz w:val="22"/>
          <w:szCs w:val="22"/>
        </w:rPr>
        <w:t xml:space="preserve"> led to overall reductions in wages and conditions. In a study of employer greenfields agreements in the first year following the introduction of </w:t>
      </w:r>
      <w:proofErr w:type="spellStart"/>
      <w:r w:rsidRPr="00230079">
        <w:rPr>
          <w:rFonts w:asciiTheme="minorHAnsi" w:hAnsiTheme="minorHAnsi"/>
          <w:i/>
          <w:sz w:val="22"/>
          <w:szCs w:val="22"/>
        </w:rPr>
        <w:t>WorkChoices</w:t>
      </w:r>
      <w:proofErr w:type="spellEnd"/>
      <w:r w:rsidRPr="00230079">
        <w:rPr>
          <w:rFonts w:asciiTheme="minorHAnsi" w:hAnsiTheme="minorHAnsi"/>
          <w:i/>
          <w:sz w:val="22"/>
          <w:szCs w:val="22"/>
        </w:rPr>
        <w:t>, Gahan (2007) revealed a significant reduction in entitlements for employees, particularly through the removal of protected award conditions, with employees generally not receiving equivalent compensation for the loss of these conditions. However, these agreements were made in the absence of a no</w:t>
      </w:r>
      <w:r w:rsidRPr="00230079">
        <w:rPr>
          <w:rFonts w:asciiTheme="minorHAnsi" w:hAnsiTheme="minorHAnsi"/>
          <w:i/>
          <w:sz w:val="22"/>
          <w:szCs w:val="22"/>
        </w:rPr>
        <w:noBreakHyphen/>
        <w:t>disadvantage test and, as noted by Gahan, it is likely that most of them would not have been approved were such a test in place</w:t>
      </w:r>
      <w:r w:rsidRPr="00A32E37">
        <w:rPr>
          <w:rStyle w:val="FootnoteReference"/>
          <w:rFonts w:asciiTheme="minorHAnsi" w:hAnsiTheme="minorHAnsi"/>
          <w:sz w:val="22"/>
          <w:szCs w:val="22"/>
        </w:rPr>
        <w:footnoteReference w:id="14"/>
      </w:r>
      <w:r w:rsidR="00A32E37" w:rsidRPr="00A32E37">
        <w:rPr>
          <w:rFonts w:asciiTheme="minorHAnsi" w:hAnsiTheme="minorHAnsi"/>
          <w:sz w:val="22"/>
          <w:szCs w:val="22"/>
        </w:rPr>
        <w:t>.</w:t>
      </w:r>
    </w:p>
    <w:sectPr w:rsidR="0089505D" w:rsidRPr="00C07F28" w:rsidSect="00410BCF">
      <w:headerReference w:type="default" r:id="rId8"/>
      <w:footerReference w:type="default" r:id="rId9"/>
      <w:headerReference w:type="first" r:id="rId10"/>
      <w:pgSz w:w="11907" w:h="16840" w:code="9"/>
      <w:pgMar w:top="2432" w:right="1134" w:bottom="1440" w:left="1276"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313" w:rsidRDefault="00950313" w:rsidP="00BB7422">
      <w:pPr>
        <w:spacing w:after="0" w:line="240" w:lineRule="auto"/>
      </w:pPr>
      <w:r>
        <w:separator/>
      </w:r>
    </w:p>
  </w:endnote>
  <w:endnote w:type="continuationSeparator" w:id="0">
    <w:p w:rsidR="00950313" w:rsidRDefault="00950313" w:rsidP="00BB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T15Dt0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592060"/>
      <w:docPartObj>
        <w:docPartGallery w:val="Page Numbers (Bottom of Page)"/>
        <w:docPartUnique/>
      </w:docPartObj>
    </w:sdtPr>
    <w:sdtEndPr>
      <w:rPr>
        <w:noProof/>
      </w:rPr>
    </w:sdtEndPr>
    <w:sdtContent>
      <w:p w:rsidR="00950313" w:rsidRDefault="00950313">
        <w:pPr>
          <w:jc w:val="right"/>
        </w:pPr>
        <w:r>
          <w:fldChar w:fldCharType="begin"/>
        </w:r>
        <w:r>
          <w:instrText xml:space="preserve"> PAGE   \* MERGEFORMAT </w:instrText>
        </w:r>
        <w:r>
          <w:fldChar w:fldCharType="separate"/>
        </w:r>
        <w:r w:rsidR="007A76F7">
          <w:rPr>
            <w:noProof/>
          </w:rPr>
          <w:t>3</w:t>
        </w:r>
        <w:r>
          <w:rPr>
            <w:noProof/>
          </w:rPr>
          <w:fldChar w:fldCharType="end"/>
        </w:r>
      </w:p>
    </w:sdtContent>
  </w:sdt>
  <w:p w:rsidR="00950313" w:rsidRDefault="0095031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313" w:rsidRDefault="00950313" w:rsidP="00BB7422">
      <w:pPr>
        <w:spacing w:after="0" w:line="240" w:lineRule="auto"/>
      </w:pPr>
      <w:r>
        <w:separator/>
      </w:r>
    </w:p>
  </w:footnote>
  <w:footnote w:type="continuationSeparator" w:id="0">
    <w:p w:rsidR="00950313" w:rsidRDefault="00950313" w:rsidP="00BB7422">
      <w:pPr>
        <w:spacing w:after="0" w:line="240" w:lineRule="auto"/>
      </w:pPr>
      <w:r>
        <w:continuationSeparator/>
      </w:r>
    </w:p>
  </w:footnote>
  <w:footnote w:id="1">
    <w:p w:rsidR="00950313" w:rsidRPr="00DA1E53" w:rsidRDefault="00950313">
      <w:pPr>
        <w:pStyle w:val="FootnoteText"/>
      </w:pPr>
      <w:r>
        <w:rPr>
          <w:rStyle w:val="FootnoteReference"/>
        </w:rPr>
        <w:footnoteRef/>
      </w:r>
      <w:r>
        <w:t xml:space="preserve"> P 4, </w:t>
      </w:r>
      <w:r>
        <w:rPr>
          <w:i/>
        </w:rPr>
        <w:t>Greenfields Agreements Review - Background Paper</w:t>
      </w:r>
      <w:r>
        <w:t>, October 2017</w:t>
      </w:r>
    </w:p>
  </w:footnote>
  <w:footnote w:id="2">
    <w:p w:rsidR="00950313" w:rsidRDefault="00950313">
      <w:pPr>
        <w:pStyle w:val="FootnoteText"/>
      </w:pPr>
      <w:r>
        <w:rPr>
          <w:rStyle w:val="FootnoteReference"/>
        </w:rPr>
        <w:footnoteRef/>
      </w:r>
      <w:r>
        <w:t xml:space="preserve"> P 82, </w:t>
      </w:r>
      <w:r>
        <w:rPr>
          <w:i/>
        </w:rPr>
        <w:t xml:space="preserve">Towards more productive and equitable workplaces – </w:t>
      </w:r>
      <w:r w:rsidR="00944198">
        <w:rPr>
          <w:i/>
        </w:rPr>
        <w:t>An evaluation of the F</w:t>
      </w:r>
      <w:r>
        <w:rPr>
          <w:i/>
        </w:rPr>
        <w:t xml:space="preserve">air </w:t>
      </w:r>
      <w:r w:rsidR="00944198">
        <w:rPr>
          <w:i/>
        </w:rPr>
        <w:t>W</w:t>
      </w:r>
      <w:r>
        <w:rPr>
          <w:i/>
        </w:rPr>
        <w:t>ork legislation</w:t>
      </w:r>
      <w:r>
        <w:t xml:space="preserve">, </w:t>
      </w:r>
      <w:r w:rsidR="00944198">
        <w:t>June 2012</w:t>
      </w:r>
      <w:r>
        <w:t xml:space="preserve"> </w:t>
      </w:r>
    </w:p>
  </w:footnote>
  <w:footnote w:id="3">
    <w:p w:rsidR="00950313" w:rsidRDefault="00950313">
      <w:pPr>
        <w:pStyle w:val="FootnoteText"/>
      </w:pPr>
      <w:r>
        <w:rPr>
          <w:rStyle w:val="FootnoteReference"/>
        </w:rPr>
        <w:footnoteRef/>
      </w:r>
      <w:r>
        <w:t xml:space="preserve"> Footnote 97, p 82, </w:t>
      </w:r>
      <w:r>
        <w:rPr>
          <w:i/>
        </w:rPr>
        <w:t>Towards more productive and equitable wor</w:t>
      </w:r>
      <w:r w:rsidR="005A228C">
        <w:rPr>
          <w:i/>
        </w:rPr>
        <w:t>kplaces – An evaluation of the F</w:t>
      </w:r>
      <w:r>
        <w:rPr>
          <w:i/>
        </w:rPr>
        <w:t xml:space="preserve">air </w:t>
      </w:r>
      <w:r w:rsidR="005A228C">
        <w:rPr>
          <w:i/>
        </w:rPr>
        <w:t>W</w:t>
      </w:r>
      <w:r>
        <w:rPr>
          <w:i/>
        </w:rPr>
        <w:t>ork legislation</w:t>
      </w:r>
      <w:r>
        <w:t xml:space="preserve">, </w:t>
      </w:r>
      <w:r w:rsidR="005A228C">
        <w:t>June 2012</w:t>
      </w:r>
      <w:r>
        <w:t xml:space="preserve"> </w:t>
      </w:r>
    </w:p>
  </w:footnote>
  <w:footnote w:id="4">
    <w:p w:rsidR="00950313" w:rsidRDefault="00950313">
      <w:pPr>
        <w:pStyle w:val="FootnoteText"/>
      </w:pPr>
      <w:r>
        <w:rPr>
          <w:rStyle w:val="FootnoteReference"/>
        </w:rPr>
        <w:footnoteRef/>
      </w:r>
      <w:r>
        <w:t xml:space="preserve"> Department of Employment workplace agreement database spreadsheet accessed at </w:t>
      </w:r>
      <w:hyperlink r:id="rId1" w:history="1">
        <w:r w:rsidRPr="00861E2F">
          <w:rPr>
            <w:rStyle w:val="Hyperlink"/>
          </w:rPr>
          <w:t>https://docs.employment.gov.au/documents/list-greenfield-agreements-made</w:t>
        </w:r>
      </w:hyperlink>
    </w:p>
  </w:footnote>
  <w:footnote w:id="5">
    <w:p w:rsidR="00950313" w:rsidRDefault="00950313">
      <w:pPr>
        <w:pStyle w:val="FootnoteText"/>
      </w:pPr>
      <w:r>
        <w:rPr>
          <w:rStyle w:val="FootnoteReference"/>
        </w:rPr>
        <w:footnoteRef/>
      </w:r>
      <w:r>
        <w:t xml:space="preserve"> P 9, </w:t>
      </w:r>
      <w:r>
        <w:rPr>
          <w:i/>
        </w:rPr>
        <w:t>Greenfields Agreements Review - Background Paper</w:t>
      </w:r>
      <w:r>
        <w:t xml:space="preserve">, October 2017.  </w:t>
      </w:r>
      <w:r w:rsidR="005A228C">
        <w:t>The</w:t>
      </w:r>
      <w:r>
        <w:t xml:space="preserve"> Department’s spreadsheet does not identify the industry </w:t>
      </w:r>
      <w:r w:rsidR="005A228C">
        <w:t>in</w:t>
      </w:r>
      <w:r>
        <w:t>to which each of the agreements was allocated.</w:t>
      </w:r>
    </w:p>
  </w:footnote>
  <w:footnote w:id="6">
    <w:p w:rsidR="00950313" w:rsidRDefault="00950313">
      <w:pPr>
        <w:pStyle w:val="FootnoteText"/>
      </w:pPr>
      <w:r>
        <w:rPr>
          <w:rStyle w:val="FootnoteReference"/>
        </w:rPr>
        <w:footnoteRef/>
      </w:r>
      <w:r>
        <w:t xml:space="preserve"> 27 November 2015 was the first day which could be a specified day to notify a negotiation period. </w:t>
      </w:r>
    </w:p>
  </w:footnote>
  <w:footnote w:id="7">
    <w:p w:rsidR="00950313" w:rsidRDefault="00950313" w:rsidP="000664AE">
      <w:pPr>
        <w:pStyle w:val="FootnoteText"/>
      </w:pPr>
      <w:r>
        <w:rPr>
          <w:rStyle w:val="FootnoteReference"/>
        </w:rPr>
        <w:footnoteRef/>
      </w:r>
      <w:r>
        <w:t xml:space="preserve"> Table 1A, </w:t>
      </w:r>
      <w:r w:rsidRPr="00647FF6">
        <w:rPr>
          <w:i/>
        </w:rPr>
        <w:t xml:space="preserve">Private New </w:t>
      </w:r>
      <w:r w:rsidR="00C8604C">
        <w:rPr>
          <w:i/>
        </w:rPr>
        <w:t>C</w:t>
      </w:r>
      <w:r w:rsidRPr="00647FF6">
        <w:rPr>
          <w:i/>
        </w:rPr>
        <w:t>apital Expenditure and Expected Expenditure, Australia</w:t>
      </w:r>
      <w:r>
        <w:t>, Actual Expenditure by Type of Asset and Industry – Current Prices, ABS 5625.0, 2017</w:t>
      </w:r>
    </w:p>
  </w:footnote>
  <w:footnote w:id="8">
    <w:p w:rsidR="00950313" w:rsidRPr="00A830F1" w:rsidRDefault="00950313">
      <w:pPr>
        <w:pStyle w:val="FootnoteText"/>
      </w:pPr>
      <w:r>
        <w:rPr>
          <w:rStyle w:val="FootnoteReference"/>
        </w:rPr>
        <w:footnoteRef/>
      </w:r>
      <w:r>
        <w:t xml:space="preserve"> P 17, </w:t>
      </w:r>
      <w:r>
        <w:rPr>
          <w:i/>
        </w:rPr>
        <w:t>Greenfields Agreements Review - Background Paper</w:t>
      </w:r>
      <w:r>
        <w:t>, October 2017</w:t>
      </w:r>
    </w:p>
  </w:footnote>
  <w:footnote w:id="9">
    <w:p w:rsidR="00950313" w:rsidRDefault="00950313">
      <w:pPr>
        <w:pStyle w:val="FootnoteText"/>
      </w:pPr>
      <w:r>
        <w:rPr>
          <w:rStyle w:val="FootnoteReference"/>
        </w:rPr>
        <w:footnoteRef/>
      </w:r>
      <w:r>
        <w:t xml:space="preserve"> P 18, </w:t>
      </w:r>
      <w:r>
        <w:rPr>
          <w:i/>
        </w:rPr>
        <w:t>Greenfields Agreements Review - Background Paper</w:t>
      </w:r>
      <w:r>
        <w:t>, October 2017</w:t>
      </w:r>
    </w:p>
  </w:footnote>
  <w:footnote w:id="10">
    <w:p w:rsidR="00950313" w:rsidRDefault="00950313">
      <w:pPr>
        <w:pStyle w:val="FootnoteText"/>
      </w:pPr>
      <w:r>
        <w:rPr>
          <w:rStyle w:val="FootnoteReference"/>
        </w:rPr>
        <w:footnoteRef/>
      </w:r>
      <w:r>
        <w:t xml:space="preserve"> P 712, </w:t>
      </w:r>
      <w:r>
        <w:rPr>
          <w:i/>
        </w:rPr>
        <w:t>Workplace Relations Framework – Productivity Commission Inquiry Report, Vol 2</w:t>
      </w:r>
      <w:r>
        <w:t>, 30 November 2015</w:t>
      </w:r>
    </w:p>
  </w:footnote>
  <w:footnote w:id="11">
    <w:p w:rsidR="00950313" w:rsidRPr="009D115F" w:rsidRDefault="00950313">
      <w:pPr>
        <w:pStyle w:val="FootnoteText"/>
      </w:pPr>
      <w:r>
        <w:rPr>
          <w:rStyle w:val="FootnoteReference"/>
        </w:rPr>
        <w:footnoteRef/>
      </w:r>
      <w:r>
        <w:t xml:space="preserve"> P 713, </w:t>
      </w:r>
      <w:r>
        <w:rPr>
          <w:i/>
        </w:rPr>
        <w:t>Workplace Relations Framework – Productivity Commission Inquiry Report, Vol 2</w:t>
      </w:r>
      <w:r>
        <w:t>, 30 November 2015, and discussion on pp 711 – 712.</w:t>
      </w:r>
    </w:p>
  </w:footnote>
  <w:footnote w:id="12">
    <w:p w:rsidR="00950313" w:rsidRDefault="00950313">
      <w:pPr>
        <w:pStyle w:val="FootnoteText"/>
      </w:pPr>
      <w:r>
        <w:rPr>
          <w:rStyle w:val="FootnoteReference"/>
        </w:rPr>
        <w:footnoteRef/>
      </w:r>
      <w:r>
        <w:t xml:space="preserve">Recommendation 21.1, P 719, </w:t>
      </w:r>
      <w:r>
        <w:rPr>
          <w:i/>
        </w:rPr>
        <w:t>Workplace Relations Framework – Productivity Commission Inquiry Report, Vol 2</w:t>
      </w:r>
      <w:r>
        <w:t>, 30 November 2015</w:t>
      </w:r>
    </w:p>
  </w:footnote>
  <w:footnote w:id="13">
    <w:p w:rsidR="00AF3798" w:rsidRPr="00AF3798" w:rsidRDefault="00AF3798">
      <w:pPr>
        <w:pStyle w:val="FootnoteText"/>
      </w:pPr>
      <w:r>
        <w:rPr>
          <w:rStyle w:val="FootnoteReference"/>
        </w:rPr>
        <w:footnoteRef/>
      </w:r>
      <w:r>
        <w:t xml:space="preserve"> ABS Cat 5352.0, </w:t>
      </w:r>
      <w:r>
        <w:rPr>
          <w:i/>
        </w:rPr>
        <w:t>International Investment Position, Australia: Supplementary Statistics, 2016</w:t>
      </w:r>
      <w:r>
        <w:t xml:space="preserve">, (released 10 May 2017),  Analysis and Comments, accessed at </w:t>
      </w:r>
      <w:hyperlink r:id="rId2" w:history="1">
        <w:r w:rsidRPr="00AF3798">
          <w:rPr>
            <w:rStyle w:val="Hyperlink"/>
          </w:rPr>
          <w:t>http://www.abs.gov.au/ausstats/abs@.nsf/mf/5352.0</w:t>
        </w:r>
      </w:hyperlink>
      <w:r>
        <w:t>.  In the year ended 31 December 2016 direct external investment into Australia increased to $796.1b (up 5% on the previous year) and direct investment out of Australia increased to $554.9b (up 4%).</w:t>
      </w:r>
    </w:p>
  </w:footnote>
  <w:footnote w:id="14">
    <w:p w:rsidR="00230079" w:rsidRDefault="00230079">
      <w:pPr>
        <w:pStyle w:val="FootnoteText"/>
      </w:pPr>
      <w:r>
        <w:rPr>
          <w:rStyle w:val="FootnoteReference"/>
        </w:rPr>
        <w:footnoteRef/>
      </w:r>
      <w:r>
        <w:t xml:space="preserve"> P 716, </w:t>
      </w:r>
      <w:r>
        <w:rPr>
          <w:i/>
        </w:rPr>
        <w:t>Workplace Relations Framework – Productivity Commission Inquiry Report, Vol 2</w:t>
      </w:r>
      <w:r>
        <w:t>, 30 November 2015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313" w:rsidRDefault="00950313">
    <w:pPr>
      <w:pStyle w:val="Header"/>
    </w:pPr>
    <w:r>
      <w:rPr>
        <w:noProof/>
        <w:lang w:eastAsia="en-AU"/>
      </w:rPr>
      <w:drawing>
        <wp:anchor distT="0" distB="0" distL="114300" distR="114300" simplePos="0" relativeHeight="251657728" behindDoc="1" locked="0" layoutInCell="1" allowOverlap="1" wp14:anchorId="79F6D4F7" wp14:editId="0D54EE50">
          <wp:simplePos x="0" y="0"/>
          <wp:positionH relativeFrom="page">
            <wp:posOffset>1482</wp:posOffset>
          </wp:positionH>
          <wp:positionV relativeFrom="page">
            <wp:posOffset>635</wp:posOffset>
          </wp:positionV>
          <wp:extent cx="7559040" cy="10692384"/>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 1699 A4 page_NBC_blank.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069238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313" w:rsidRDefault="00950313">
    <w:pPr>
      <w:pStyle w:val="Header"/>
    </w:pPr>
    <w:r>
      <w:rPr>
        <w:noProof/>
        <w:lang w:eastAsia="en-AU"/>
      </w:rPr>
      <w:drawing>
        <wp:anchor distT="0" distB="0" distL="114300" distR="114300" simplePos="0" relativeHeight="251656704" behindDoc="1" locked="0" layoutInCell="1" allowOverlap="1" wp14:anchorId="012D6960" wp14:editId="463026BF">
          <wp:simplePos x="0" y="0"/>
          <wp:positionH relativeFrom="page">
            <wp:posOffset>0</wp:posOffset>
          </wp:positionH>
          <wp:positionV relativeFrom="page">
            <wp:posOffset>0</wp:posOffset>
          </wp:positionV>
          <wp:extent cx="7559040" cy="10692384"/>
          <wp:effectExtent l="0" t="0" r="1016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 1699 NBC A4 page MASTER.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069238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FC63F64"/>
    <w:lvl w:ilvl="0">
      <w:start w:val="1"/>
      <w:numFmt w:val="decimal"/>
      <w:pStyle w:val="ListNumber"/>
      <w:lvlText w:val="%1."/>
      <w:lvlJc w:val="left"/>
      <w:pPr>
        <w:tabs>
          <w:tab w:val="num" w:pos="360"/>
        </w:tabs>
        <w:ind w:left="360" w:hanging="360"/>
      </w:pPr>
    </w:lvl>
  </w:abstractNum>
  <w:abstractNum w:abstractNumId="1" w15:restartNumberingAfterBreak="0">
    <w:nsid w:val="01C50F20"/>
    <w:multiLevelType w:val="hybridMultilevel"/>
    <w:tmpl w:val="1130CDB6"/>
    <w:lvl w:ilvl="0" w:tplc="54EEB15A">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2" w15:restartNumberingAfterBreak="0">
    <w:nsid w:val="16E27F07"/>
    <w:multiLevelType w:val="hybridMultilevel"/>
    <w:tmpl w:val="F44C97CA"/>
    <w:lvl w:ilvl="0" w:tplc="A864942C">
      <w:start w:val="1"/>
      <w:numFmt w:val="bullet"/>
      <w:pStyle w:val="ListParagraph"/>
      <w:lvlText w:val=""/>
      <w:lvlJc w:val="left"/>
      <w:pPr>
        <w:ind w:left="720" w:hanging="360"/>
      </w:pPr>
      <w:rPr>
        <w:rFonts w:ascii="Symbol" w:hAnsi="Symbol" w:hint="default"/>
      </w:rPr>
    </w:lvl>
    <w:lvl w:ilvl="1" w:tplc="0C090003" w:tentative="1">
      <w:start w:val="1"/>
      <w:numFmt w:val="bullet"/>
      <w:pStyle w:val="Heading4"/>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154A93"/>
    <w:multiLevelType w:val="hybridMultilevel"/>
    <w:tmpl w:val="EDD21E52"/>
    <w:lvl w:ilvl="0" w:tplc="B4D4D6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484EE9"/>
    <w:multiLevelType w:val="hybridMultilevel"/>
    <w:tmpl w:val="D1485A4A"/>
    <w:lvl w:ilvl="0" w:tplc="312CF0D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537E12"/>
    <w:multiLevelType w:val="hybridMultilevel"/>
    <w:tmpl w:val="AC5857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C6159FB"/>
    <w:multiLevelType w:val="hybridMultilevel"/>
    <w:tmpl w:val="546ADB44"/>
    <w:lvl w:ilvl="0" w:tplc="66BA52B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0C4453"/>
    <w:multiLevelType w:val="hybridMultilevel"/>
    <w:tmpl w:val="AE3A92DC"/>
    <w:lvl w:ilvl="0" w:tplc="0C09000F">
      <w:start w:val="1"/>
      <w:numFmt w:val="decimal"/>
      <w:lvlText w:val="%1."/>
      <w:lvlJc w:val="left"/>
      <w:pPr>
        <w:ind w:left="723" w:hanging="360"/>
      </w:pPr>
    </w:lvl>
    <w:lvl w:ilvl="1" w:tplc="0C090019" w:tentative="1">
      <w:start w:val="1"/>
      <w:numFmt w:val="lowerLetter"/>
      <w:lvlText w:val="%2."/>
      <w:lvlJc w:val="left"/>
      <w:pPr>
        <w:ind w:left="1443" w:hanging="360"/>
      </w:pPr>
    </w:lvl>
    <w:lvl w:ilvl="2" w:tplc="0C09001B" w:tentative="1">
      <w:start w:val="1"/>
      <w:numFmt w:val="lowerRoman"/>
      <w:lvlText w:val="%3."/>
      <w:lvlJc w:val="right"/>
      <w:pPr>
        <w:ind w:left="2163" w:hanging="180"/>
      </w:pPr>
    </w:lvl>
    <w:lvl w:ilvl="3" w:tplc="0C09000F" w:tentative="1">
      <w:start w:val="1"/>
      <w:numFmt w:val="decimal"/>
      <w:lvlText w:val="%4."/>
      <w:lvlJc w:val="left"/>
      <w:pPr>
        <w:ind w:left="2883" w:hanging="360"/>
      </w:pPr>
    </w:lvl>
    <w:lvl w:ilvl="4" w:tplc="0C090019" w:tentative="1">
      <w:start w:val="1"/>
      <w:numFmt w:val="lowerLetter"/>
      <w:lvlText w:val="%5."/>
      <w:lvlJc w:val="left"/>
      <w:pPr>
        <w:ind w:left="3603" w:hanging="360"/>
      </w:pPr>
    </w:lvl>
    <w:lvl w:ilvl="5" w:tplc="0C09001B" w:tentative="1">
      <w:start w:val="1"/>
      <w:numFmt w:val="lowerRoman"/>
      <w:lvlText w:val="%6."/>
      <w:lvlJc w:val="right"/>
      <w:pPr>
        <w:ind w:left="4323" w:hanging="180"/>
      </w:pPr>
    </w:lvl>
    <w:lvl w:ilvl="6" w:tplc="0C09000F" w:tentative="1">
      <w:start w:val="1"/>
      <w:numFmt w:val="decimal"/>
      <w:lvlText w:val="%7."/>
      <w:lvlJc w:val="left"/>
      <w:pPr>
        <w:ind w:left="5043" w:hanging="360"/>
      </w:pPr>
    </w:lvl>
    <w:lvl w:ilvl="7" w:tplc="0C090019" w:tentative="1">
      <w:start w:val="1"/>
      <w:numFmt w:val="lowerLetter"/>
      <w:lvlText w:val="%8."/>
      <w:lvlJc w:val="left"/>
      <w:pPr>
        <w:ind w:left="5763" w:hanging="360"/>
      </w:pPr>
    </w:lvl>
    <w:lvl w:ilvl="8" w:tplc="0C09001B" w:tentative="1">
      <w:start w:val="1"/>
      <w:numFmt w:val="lowerRoman"/>
      <w:lvlText w:val="%9."/>
      <w:lvlJc w:val="right"/>
      <w:pPr>
        <w:ind w:left="6483" w:hanging="180"/>
      </w:pPr>
    </w:lvl>
  </w:abstractNum>
  <w:abstractNum w:abstractNumId="8" w15:restartNumberingAfterBreak="0">
    <w:nsid w:val="248122D8"/>
    <w:multiLevelType w:val="hybridMultilevel"/>
    <w:tmpl w:val="E13E8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0242D4"/>
    <w:multiLevelType w:val="multilevel"/>
    <w:tmpl w:val="391EA5BA"/>
    <w:numStyleLink w:val="CommLegal"/>
  </w:abstractNum>
  <w:abstractNum w:abstractNumId="10" w15:restartNumberingAfterBreak="0">
    <w:nsid w:val="372659CC"/>
    <w:multiLevelType w:val="multilevel"/>
    <w:tmpl w:val="391EA5BA"/>
    <w:styleLink w:val="CommLegal"/>
    <w:lvl w:ilvl="0">
      <w:start w:val="1"/>
      <w:numFmt w:val="decimal"/>
      <w:pStyle w:val="COMMLevel1Legal"/>
      <w:lvlText w:val="%1."/>
      <w:lvlJc w:val="left"/>
      <w:pPr>
        <w:tabs>
          <w:tab w:val="num" w:pos="720"/>
        </w:tabs>
        <w:ind w:left="720" w:hanging="720"/>
      </w:pPr>
      <w:rPr>
        <w:rFonts w:hint="default"/>
      </w:rPr>
    </w:lvl>
    <w:lvl w:ilvl="1">
      <w:start w:val="1"/>
      <w:numFmt w:val="decimal"/>
      <w:pStyle w:val="COMMLevel2Legal"/>
      <w:lvlText w:val="%1.%2"/>
      <w:lvlJc w:val="left"/>
      <w:pPr>
        <w:tabs>
          <w:tab w:val="num" w:pos="720"/>
        </w:tabs>
        <w:ind w:left="720" w:hanging="720"/>
      </w:pPr>
      <w:rPr>
        <w:rFonts w:hint="default"/>
      </w:rPr>
    </w:lvl>
    <w:lvl w:ilvl="2">
      <w:start w:val="1"/>
      <w:numFmt w:val="decimal"/>
      <w:pStyle w:val="COMMLevel3Legal"/>
      <w:lvlText w:val="%1.%2.%3"/>
      <w:lvlJc w:val="left"/>
      <w:pPr>
        <w:tabs>
          <w:tab w:val="num" w:pos="1440"/>
        </w:tabs>
        <w:ind w:left="1440" w:hanging="720"/>
      </w:pPr>
      <w:rPr>
        <w:rFonts w:hint="default"/>
      </w:rPr>
    </w:lvl>
    <w:lvl w:ilvl="3">
      <w:start w:val="1"/>
      <w:numFmt w:val="lowerLetter"/>
      <w:pStyle w:val="COMMLevel4Legal"/>
      <w:lvlText w:val="(%4)"/>
      <w:lvlJc w:val="left"/>
      <w:pPr>
        <w:tabs>
          <w:tab w:val="num" w:pos="2160"/>
        </w:tabs>
        <w:ind w:left="2160" w:hanging="720"/>
      </w:pPr>
      <w:rPr>
        <w:rFonts w:hint="default"/>
      </w:rPr>
    </w:lvl>
    <w:lvl w:ilvl="4">
      <w:start w:val="1"/>
      <w:numFmt w:val="lowerRoman"/>
      <w:pStyle w:val="COMMLevel5Legal"/>
      <w:lvlText w:val="(%5)"/>
      <w:lvlJc w:val="left"/>
      <w:pPr>
        <w:tabs>
          <w:tab w:val="num" w:pos="2880"/>
        </w:tabs>
        <w:ind w:left="2880" w:hanging="720"/>
      </w:pPr>
      <w:rPr>
        <w:rFonts w:hint="default"/>
      </w:rPr>
    </w:lvl>
    <w:lvl w:ilvl="5">
      <w:start w:val="1"/>
      <w:numFmt w:val="upperLetter"/>
      <w:pStyle w:val="COMMLevel6Legal"/>
      <w:lvlText w:val="%6"/>
      <w:lvlJc w:val="left"/>
      <w:pPr>
        <w:ind w:left="3600" w:hanging="720"/>
      </w:pPr>
      <w:rPr>
        <w:rFonts w:hint="default"/>
      </w:rPr>
    </w:lvl>
    <w:lvl w:ilvl="6">
      <w:start w:val="1"/>
      <w:numFmt w:val="decimal"/>
      <w:pStyle w:val="COMMLevel7Legal"/>
      <w:lvlText w:val="%7."/>
      <w:lvlJc w:val="left"/>
      <w:pPr>
        <w:ind w:left="4321" w:hanging="721"/>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013E20"/>
    <w:multiLevelType w:val="hybridMultilevel"/>
    <w:tmpl w:val="3634D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ED0AE4"/>
    <w:multiLevelType w:val="hybridMultilevel"/>
    <w:tmpl w:val="FB9EA60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3" w15:restartNumberingAfterBreak="0">
    <w:nsid w:val="4C203BD7"/>
    <w:multiLevelType w:val="hybridMultilevel"/>
    <w:tmpl w:val="E9D64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C34311"/>
    <w:multiLevelType w:val="hybridMultilevel"/>
    <w:tmpl w:val="3BB05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5B2604A"/>
    <w:multiLevelType w:val="hybridMultilevel"/>
    <w:tmpl w:val="12DCD3F8"/>
    <w:lvl w:ilvl="0" w:tplc="8A684FC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8A3B08"/>
    <w:multiLevelType w:val="hybridMultilevel"/>
    <w:tmpl w:val="DD04A0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7E09FC"/>
    <w:multiLevelType w:val="multilevel"/>
    <w:tmpl w:val="F6D4B5D6"/>
    <w:lvl w:ilvl="0">
      <w:start w:val="1"/>
      <w:numFmt w:val="decimal"/>
      <w:lvlText w:val="%1."/>
      <w:lvlJc w:val="left"/>
      <w:pPr>
        <w:tabs>
          <w:tab w:val="num" w:pos="720"/>
        </w:tabs>
        <w:ind w:left="720" w:hanging="360"/>
      </w:pPr>
      <w:rPr>
        <w:rFonts w:ascii="Arial Narrow" w:hAnsi="Arial Narrow"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93A8C"/>
    <w:multiLevelType w:val="hybridMultilevel"/>
    <w:tmpl w:val="AE94D6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700C435B"/>
    <w:multiLevelType w:val="multilevel"/>
    <w:tmpl w:val="73E8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F0D12"/>
    <w:multiLevelType w:val="hybridMultilevel"/>
    <w:tmpl w:val="35EAD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80591F"/>
    <w:multiLevelType w:val="hybridMultilevel"/>
    <w:tmpl w:val="8F483E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74565742"/>
    <w:multiLevelType w:val="hybridMultilevel"/>
    <w:tmpl w:val="2C7ABA26"/>
    <w:lvl w:ilvl="0" w:tplc="BA284ADC">
      <w:start w:val="1"/>
      <w:numFmt w:val="bullet"/>
      <w:lvlText w:val=""/>
      <w:lvlJc w:val="left"/>
      <w:pPr>
        <w:ind w:left="770" w:hanging="360"/>
      </w:pPr>
      <w:rPr>
        <w:rFonts w:ascii="Symbol" w:hAnsi="Symbol" w:hint="default"/>
      </w:rPr>
    </w:lvl>
    <w:lvl w:ilvl="1" w:tplc="E682C0F0">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3" w15:restartNumberingAfterBreak="0">
    <w:nsid w:val="7C2605E0"/>
    <w:multiLevelType w:val="hybridMultilevel"/>
    <w:tmpl w:val="256021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7D0342E5"/>
    <w:multiLevelType w:val="hybridMultilevel"/>
    <w:tmpl w:val="0A1A0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C73B67"/>
    <w:multiLevelType w:val="hybridMultilevel"/>
    <w:tmpl w:val="DB6C6080"/>
    <w:lvl w:ilvl="0" w:tplc="297842DE">
      <w:start w:val="1"/>
      <w:numFmt w:val="bullet"/>
      <w:lvlText w:val=""/>
      <w:lvlJc w:val="left"/>
      <w:pPr>
        <w:ind w:left="720" w:hanging="360"/>
      </w:pPr>
      <w:rPr>
        <w:rFonts w:ascii="Symbol" w:hAnsi="Symbol" w:hint="default"/>
      </w:rPr>
    </w:lvl>
    <w:lvl w:ilvl="1" w:tplc="727ED272">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19"/>
  </w:num>
  <w:num w:numId="4">
    <w:abstractNumId w:val="3"/>
  </w:num>
  <w:num w:numId="5">
    <w:abstractNumId w:val="10"/>
  </w:num>
  <w:num w:numId="6">
    <w:abstractNumId w:val="9"/>
  </w:num>
  <w:num w:numId="7">
    <w:abstractNumId w:val="6"/>
  </w:num>
  <w:num w:numId="8">
    <w:abstractNumId w:val="18"/>
  </w:num>
  <w:num w:numId="9">
    <w:abstractNumId w:val="24"/>
  </w:num>
  <w:num w:numId="10">
    <w:abstractNumId w:val="22"/>
  </w:num>
  <w:num w:numId="11">
    <w:abstractNumId w:val="0"/>
  </w:num>
  <w:num w:numId="12">
    <w:abstractNumId w:val="7"/>
  </w:num>
  <w:num w:numId="13">
    <w:abstractNumId w:val="4"/>
  </w:num>
  <w:num w:numId="14">
    <w:abstractNumId w:val="23"/>
  </w:num>
  <w:num w:numId="15">
    <w:abstractNumId w:val="21"/>
  </w:num>
  <w:num w:numId="16">
    <w:abstractNumId w:val="17"/>
    <w:lvlOverride w:ilvl="0">
      <w:startOverride w:val="58"/>
    </w:lvlOverride>
  </w:num>
  <w:num w:numId="17">
    <w:abstractNumId w:val="17"/>
    <w:lvlOverride w:ilvl="0">
      <w:startOverride w:val="59"/>
    </w:lvlOverride>
  </w:num>
  <w:num w:numId="18">
    <w:abstractNumId w:val="11"/>
  </w:num>
  <w:num w:numId="19">
    <w:abstractNumId w:val="15"/>
  </w:num>
  <w:num w:numId="20">
    <w:abstractNumId w:val="20"/>
  </w:num>
  <w:num w:numId="21">
    <w:abstractNumId w:val="13"/>
  </w:num>
  <w:num w:numId="22">
    <w:abstractNumId w:val="14"/>
  </w:num>
  <w:num w:numId="23">
    <w:abstractNumId w:val="15"/>
  </w:num>
  <w:num w:numId="24">
    <w:abstractNumId w:val="15"/>
  </w:num>
  <w:num w:numId="25">
    <w:abstractNumId w:val="1"/>
  </w:num>
  <w:num w:numId="26">
    <w:abstractNumId w:val="16"/>
  </w:num>
  <w:num w:numId="27">
    <w:abstractNumId w:val="2"/>
  </w:num>
  <w:num w:numId="28">
    <w:abstractNumId w:val="1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D2"/>
    <w:rsid w:val="000010E6"/>
    <w:rsid w:val="00001B59"/>
    <w:rsid w:val="000027E2"/>
    <w:rsid w:val="00002B57"/>
    <w:rsid w:val="0000454E"/>
    <w:rsid w:val="000052AE"/>
    <w:rsid w:val="00006B18"/>
    <w:rsid w:val="0001297A"/>
    <w:rsid w:val="00013AC1"/>
    <w:rsid w:val="00015762"/>
    <w:rsid w:val="000158EC"/>
    <w:rsid w:val="00017DED"/>
    <w:rsid w:val="00017E45"/>
    <w:rsid w:val="00021A8F"/>
    <w:rsid w:val="00025349"/>
    <w:rsid w:val="000274E6"/>
    <w:rsid w:val="00030C12"/>
    <w:rsid w:val="00034901"/>
    <w:rsid w:val="000377F8"/>
    <w:rsid w:val="0004601D"/>
    <w:rsid w:val="0005043A"/>
    <w:rsid w:val="000526BB"/>
    <w:rsid w:val="00053ACB"/>
    <w:rsid w:val="00056191"/>
    <w:rsid w:val="0006291A"/>
    <w:rsid w:val="000633FC"/>
    <w:rsid w:val="0006641F"/>
    <w:rsid w:val="000664AE"/>
    <w:rsid w:val="000721F5"/>
    <w:rsid w:val="00077B20"/>
    <w:rsid w:val="0008247C"/>
    <w:rsid w:val="00083F24"/>
    <w:rsid w:val="00086FBE"/>
    <w:rsid w:val="00087F35"/>
    <w:rsid w:val="00094DF9"/>
    <w:rsid w:val="000A0DEE"/>
    <w:rsid w:val="000A1D37"/>
    <w:rsid w:val="000A3493"/>
    <w:rsid w:val="000A76C9"/>
    <w:rsid w:val="000B3956"/>
    <w:rsid w:val="000B4E41"/>
    <w:rsid w:val="000B6316"/>
    <w:rsid w:val="000B642A"/>
    <w:rsid w:val="000C0501"/>
    <w:rsid w:val="000C5F36"/>
    <w:rsid w:val="000C63C1"/>
    <w:rsid w:val="000D6EE4"/>
    <w:rsid w:val="000D7423"/>
    <w:rsid w:val="000D74EE"/>
    <w:rsid w:val="000E2818"/>
    <w:rsid w:val="000E47CA"/>
    <w:rsid w:val="000E5F2A"/>
    <w:rsid w:val="000F087C"/>
    <w:rsid w:val="000F1890"/>
    <w:rsid w:val="000F2170"/>
    <w:rsid w:val="00100246"/>
    <w:rsid w:val="00102B34"/>
    <w:rsid w:val="0011103E"/>
    <w:rsid w:val="0011109D"/>
    <w:rsid w:val="0011298C"/>
    <w:rsid w:val="00114C2A"/>
    <w:rsid w:val="00114C4B"/>
    <w:rsid w:val="00116254"/>
    <w:rsid w:val="001269F0"/>
    <w:rsid w:val="00127B91"/>
    <w:rsid w:val="00134C20"/>
    <w:rsid w:val="001379CB"/>
    <w:rsid w:val="00141AE4"/>
    <w:rsid w:val="00142C46"/>
    <w:rsid w:val="00146068"/>
    <w:rsid w:val="001464E5"/>
    <w:rsid w:val="001539F7"/>
    <w:rsid w:val="00153D55"/>
    <w:rsid w:val="0015482F"/>
    <w:rsid w:val="001552BF"/>
    <w:rsid w:val="00155DCF"/>
    <w:rsid w:val="00160EF1"/>
    <w:rsid w:val="00174B18"/>
    <w:rsid w:val="001910EA"/>
    <w:rsid w:val="00191507"/>
    <w:rsid w:val="00193E20"/>
    <w:rsid w:val="00197C92"/>
    <w:rsid w:val="001A0A7A"/>
    <w:rsid w:val="001A0ABF"/>
    <w:rsid w:val="001A6AD2"/>
    <w:rsid w:val="001A7B91"/>
    <w:rsid w:val="001B187F"/>
    <w:rsid w:val="001B5BB1"/>
    <w:rsid w:val="001B60F8"/>
    <w:rsid w:val="001B7DE6"/>
    <w:rsid w:val="001C39D6"/>
    <w:rsid w:val="001D21E7"/>
    <w:rsid w:val="001D2DBF"/>
    <w:rsid w:val="001D39F7"/>
    <w:rsid w:val="001D4193"/>
    <w:rsid w:val="001D6390"/>
    <w:rsid w:val="001E1679"/>
    <w:rsid w:val="001E6E24"/>
    <w:rsid w:val="001E71B7"/>
    <w:rsid w:val="001F156D"/>
    <w:rsid w:val="001F375C"/>
    <w:rsid w:val="001F3D6D"/>
    <w:rsid w:val="0020071E"/>
    <w:rsid w:val="00203D5E"/>
    <w:rsid w:val="00205DF1"/>
    <w:rsid w:val="00207706"/>
    <w:rsid w:val="00207D9E"/>
    <w:rsid w:val="00213AB4"/>
    <w:rsid w:val="00215B15"/>
    <w:rsid w:val="002254DE"/>
    <w:rsid w:val="00225F9A"/>
    <w:rsid w:val="00226136"/>
    <w:rsid w:val="002262B8"/>
    <w:rsid w:val="0022707F"/>
    <w:rsid w:val="00227FC3"/>
    <w:rsid w:val="00230079"/>
    <w:rsid w:val="002302ED"/>
    <w:rsid w:val="0023174D"/>
    <w:rsid w:val="00232129"/>
    <w:rsid w:val="00232B3D"/>
    <w:rsid w:val="002330DF"/>
    <w:rsid w:val="0023377F"/>
    <w:rsid w:val="00235712"/>
    <w:rsid w:val="00235CD5"/>
    <w:rsid w:val="00235F53"/>
    <w:rsid w:val="002419DD"/>
    <w:rsid w:val="0024210D"/>
    <w:rsid w:val="0024326C"/>
    <w:rsid w:val="00243FF7"/>
    <w:rsid w:val="002452EA"/>
    <w:rsid w:val="002468BA"/>
    <w:rsid w:val="00246D24"/>
    <w:rsid w:val="00250633"/>
    <w:rsid w:val="00253AA2"/>
    <w:rsid w:val="00261631"/>
    <w:rsid w:val="00262755"/>
    <w:rsid w:val="002646EB"/>
    <w:rsid w:val="002664BA"/>
    <w:rsid w:val="00266F2E"/>
    <w:rsid w:val="0027431E"/>
    <w:rsid w:val="00276F8F"/>
    <w:rsid w:val="00277FB7"/>
    <w:rsid w:val="00280FB5"/>
    <w:rsid w:val="00281D53"/>
    <w:rsid w:val="00284368"/>
    <w:rsid w:val="00284DA7"/>
    <w:rsid w:val="002921C8"/>
    <w:rsid w:val="00293A27"/>
    <w:rsid w:val="00293F37"/>
    <w:rsid w:val="00294902"/>
    <w:rsid w:val="002962F7"/>
    <w:rsid w:val="00296D89"/>
    <w:rsid w:val="002A196E"/>
    <w:rsid w:val="002A4D14"/>
    <w:rsid w:val="002A72EB"/>
    <w:rsid w:val="002B0265"/>
    <w:rsid w:val="002B06D9"/>
    <w:rsid w:val="002B4178"/>
    <w:rsid w:val="002B5D6D"/>
    <w:rsid w:val="002B7037"/>
    <w:rsid w:val="002B7DE5"/>
    <w:rsid w:val="002C167B"/>
    <w:rsid w:val="002C1691"/>
    <w:rsid w:val="002C46F2"/>
    <w:rsid w:val="002C5874"/>
    <w:rsid w:val="002C7805"/>
    <w:rsid w:val="002D133F"/>
    <w:rsid w:val="002D1CE2"/>
    <w:rsid w:val="002D23DE"/>
    <w:rsid w:val="002D34B6"/>
    <w:rsid w:val="002D361E"/>
    <w:rsid w:val="002D3C79"/>
    <w:rsid w:val="002E0645"/>
    <w:rsid w:val="002E1D6B"/>
    <w:rsid w:val="002E2132"/>
    <w:rsid w:val="002E32D8"/>
    <w:rsid w:val="002E4060"/>
    <w:rsid w:val="002E5709"/>
    <w:rsid w:val="002E6435"/>
    <w:rsid w:val="002F0B10"/>
    <w:rsid w:val="002F18EA"/>
    <w:rsid w:val="002F4943"/>
    <w:rsid w:val="002F78A0"/>
    <w:rsid w:val="00303DDC"/>
    <w:rsid w:val="00304150"/>
    <w:rsid w:val="00307F0A"/>
    <w:rsid w:val="00310764"/>
    <w:rsid w:val="00310E65"/>
    <w:rsid w:val="0031469C"/>
    <w:rsid w:val="00314AE1"/>
    <w:rsid w:val="00322A36"/>
    <w:rsid w:val="00324928"/>
    <w:rsid w:val="00325536"/>
    <w:rsid w:val="003262FB"/>
    <w:rsid w:val="0033619B"/>
    <w:rsid w:val="00337D32"/>
    <w:rsid w:val="00342E59"/>
    <w:rsid w:val="003438E0"/>
    <w:rsid w:val="00344A6C"/>
    <w:rsid w:val="003457A5"/>
    <w:rsid w:val="00346B5E"/>
    <w:rsid w:val="00347D2E"/>
    <w:rsid w:val="0035006B"/>
    <w:rsid w:val="00350310"/>
    <w:rsid w:val="00351509"/>
    <w:rsid w:val="00357DD2"/>
    <w:rsid w:val="00357F2C"/>
    <w:rsid w:val="00363148"/>
    <w:rsid w:val="003663E5"/>
    <w:rsid w:val="0036743C"/>
    <w:rsid w:val="003734DB"/>
    <w:rsid w:val="00375490"/>
    <w:rsid w:val="0038072B"/>
    <w:rsid w:val="003835EA"/>
    <w:rsid w:val="00390D42"/>
    <w:rsid w:val="00391962"/>
    <w:rsid w:val="003968B0"/>
    <w:rsid w:val="00396E07"/>
    <w:rsid w:val="0039749D"/>
    <w:rsid w:val="003A41B3"/>
    <w:rsid w:val="003A5848"/>
    <w:rsid w:val="003A66D3"/>
    <w:rsid w:val="003A6A81"/>
    <w:rsid w:val="003B4AD7"/>
    <w:rsid w:val="003B5FEF"/>
    <w:rsid w:val="003B71BA"/>
    <w:rsid w:val="003B7D64"/>
    <w:rsid w:val="003C25C0"/>
    <w:rsid w:val="003C78FE"/>
    <w:rsid w:val="003D3824"/>
    <w:rsid w:val="003E169D"/>
    <w:rsid w:val="003E24FC"/>
    <w:rsid w:val="003E2DA9"/>
    <w:rsid w:val="003E6362"/>
    <w:rsid w:val="003E6CD7"/>
    <w:rsid w:val="003F0FB5"/>
    <w:rsid w:val="003F1B06"/>
    <w:rsid w:val="003F1E05"/>
    <w:rsid w:val="003F269D"/>
    <w:rsid w:val="003F4891"/>
    <w:rsid w:val="003F75F8"/>
    <w:rsid w:val="0040015C"/>
    <w:rsid w:val="00402AD3"/>
    <w:rsid w:val="00402DEC"/>
    <w:rsid w:val="0040472B"/>
    <w:rsid w:val="00410BCF"/>
    <w:rsid w:val="00414BF1"/>
    <w:rsid w:val="00416217"/>
    <w:rsid w:val="00417446"/>
    <w:rsid w:val="00424C79"/>
    <w:rsid w:val="0042594D"/>
    <w:rsid w:val="00425A00"/>
    <w:rsid w:val="00435F2D"/>
    <w:rsid w:val="00437763"/>
    <w:rsid w:val="004435D6"/>
    <w:rsid w:val="00443D64"/>
    <w:rsid w:val="004472AB"/>
    <w:rsid w:val="00447BDF"/>
    <w:rsid w:val="00456D81"/>
    <w:rsid w:val="00456DD2"/>
    <w:rsid w:val="00462523"/>
    <w:rsid w:val="004715A1"/>
    <w:rsid w:val="00471A26"/>
    <w:rsid w:val="00475F67"/>
    <w:rsid w:val="00477084"/>
    <w:rsid w:val="0047790B"/>
    <w:rsid w:val="00490D2D"/>
    <w:rsid w:val="00491012"/>
    <w:rsid w:val="0049313E"/>
    <w:rsid w:val="004A19A8"/>
    <w:rsid w:val="004A27C2"/>
    <w:rsid w:val="004B187A"/>
    <w:rsid w:val="004B2C59"/>
    <w:rsid w:val="004B2ED1"/>
    <w:rsid w:val="004B339A"/>
    <w:rsid w:val="004C167D"/>
    <w:rsid w:val="004C4350"/>
    <w:rsid w:val="004C7B73"/>
    <w:rsid w:val="004D0F84"/>
    <w:rsid w:val="004D150C"/>
    <w:rsid w:val="004D7197"/>
    <w:rsid w:val="004E4183"/>
    <w:rsid w:val="004F16FF"/>
    <w:rsid w:val="004F3E61"/>
    <w:rsid w:val="004F5066"/>
    <w:rsid w:val="004F5B0F"/>
    <w:rsid w:val="004F71E8"/>
    <w:rsid w:val="00501CE9"/>
    <w:rsid w:val="00502D2E"/>
    <w:rsid w:val="00504539"/>
    <w:rsid w:val="00504C9D"/>
    <w:rsid w:val="00521566"/>
    <w:rsid w:val="00522A7E"/>
    <w:rsid w:val="00524631"/>
    <w:rsid w:val="00526DED"/>
    <w:rsid w:val="0052742C"/>
    <w:rsid w:val="0052758D"/>
    <w:rsid w:val="00530E3E"/>
    <w:rsid w:val="00531A69"/>
    <w:rsid w:val="005345A3"/>
    <w:rsid w:val="005349A6"/>
    <w:rsid w:val="00535620"/>
    <w:rsid w:val="0053646B"/>
    <w:rsid w:val="00543F93"/>
    <w:rsid w:val="005448E6"/>
    <w:rsid w:val="00544EBD"/>
    <w:rsid w:val="0055313C"/>
    <w:rsid w:val="0055339C"/>
    <w:rsid w:val="00557F2B"/>
    <w:rsid w:val="00560038"/>
    <w:rsid w:val="0056116B"/>
    <w:rsid w:val="00563171"/>
    <w:rsid w:val="00563664"/>
    <w:rsid w:val="005642AD"/>
    <w:rsid w:val="00581AB2"/>
    <w:rsid w:val="00585D7E"/>
    <w:rsid w:val="0059695A"/>
    <w:rsid w:val="00597988"/>
    <w:rsid w:val="005A06B3"/>
    <w:rsid w:val="005A228C"/>
    <w:rsid w:val="005A3760"/>
    <w:rsid w:val="005A3865"/>
    <w:rsid w:val="005A60E5"/>
    <w:rsid w:val="005A790F"/>
    <w:rsid w:val="005B1849"/>
    <w:rsid w:val="005B33E9"/>
    <w:rsid w:val="005B6A65"/>
    <w:rsid w:val="005C00C9"/>
    <w:rsid w:val="005C1E22"/>
    <w:rsid w:val="005C76CE"/>
    <w:rsid w:val="005E1502"/>
    <w:rsid w:val="005E30CB"/>
    <w:rsid w:val="005E766D"/>
    <w:rsid w:val="005E7A8E"/>
    <w:rsid w:val="005F155B"/>
    <w:rsid w:val="005F32E4"/>
    <w:rsid w:val="005F593E"/>
    <w:rsid w:val="005F6461"/>
    <w:rsid w:val="005F692E"/>
    <w:rsid w:val="005F7014"/>
    <w:rsid w:val="0060202F"/>
    <w:rsid w:val="0060272D"/>
    <w:rsid w:val="006030FA"/>
    <w:rsid w:val="0060312B"/>
    <w:rsid w:val="00604CC4"/>
    <w:rsid w:val="00615A5E"/>
    <w:rsid w:val="00624857"/>
    <w:rsid w:val="00634D2F"/>
    <w:rsid w:val="0063544A"/>
    <w:rsid w:val="0063617D"/>
    <w:rsid w:val="00636402"/>
    <w:rsid w:val="006377E7"/>
    <w:rsid w:val="00643723"/>
    <w:rsid w:val="006467ED"/>
    <w:rsid w:val="0064721C"/>
    <w:rsid w:val="00647FF6"/>
    <w:rsid w:val="006566D2"/>
    <w:rsid w:val="00662CE1"/>
    <w:rsid w:val="0066697C"/>
    <w:rsid w:val="00674119"/>
    <w:rsid w:val="00675D92"/>
    <w:rsid w:val="0067611B"/>
    <w:rsid w:val="00681C33"/>
    <w:rsid w:val="00681DB7"/>
    <w:rsid w:val="006824B0"/>
    <w:rsid w:val="00682BD7"/>
    <w:rsid w:val="00685B43"/>
    <w:rsid w:val="00687057"/>
    <w:rsid w:val="00687F0B"/>
    <w:rsid w:val="00690036"/>
    <w:rsid w:val="0069131B"/>
    <w:rsid w:val="006957A9"/>
    <w:rsid w:val="006975D2"/>
    <w:rsid w:val="006A1F34"/>
    <w:rsid w:val="006A3292"/>
    <w:rsid w:val="006A369E"/>
    <w:rsid w:val="006A6C98"/>
    <w:rsid w:val="006B1BBE"/>
    <w:rsid w:val="006B1F39"/>
    <w:rsid w:val="006B5862"/>
    <w:rsid w:val="006B6503"/>
    <w:rsid w:val="006C3F12"/>
    <w:rsid w:val="006C41E0"/>
    <w:rsid w:val="006C72A9"/>
    <w:rsid w:val="006D20B3"/>
    <w:rsid w:val="006E0027"/>
    <w:rsid w:val="006E004C"/>
    <w:rsid w:val="006E0AC3"/>
    <w:rsid w:val="006E1631"/>
    <w:rsid w:val="006E1D0E"/>
    <w:rsid w:val="006E2840"/>
    <w:rsid w:val="006E49D4"/>
    <w:rsid w:val="006F135E"/>
    <w:rsid w:val="006F319D"/>
    <w:rsid w:val="00710CD4"/>
    <w:rsid w:val="0071523A"/>
    <w:rsid w:val="00717D8E"/>
    <w:rsid w:val="00720875"/>
    <w:rsid w:val="00722D3F"/>
    <w:rsid w:val="0073002A"/>
    <w:rsid w:val="00730257"/>
    <w:rsid w:val="00731331"/>
    <w:rsid w:val="0073554B"/>
    <w:rsid w:val="0074539D"/>
    <w:rsid w:val="00751C93"/>
    <w:rsid w:val="0075664B"/>
    <w:rsid w:val="007566BD"/>
    <w:rsid w:val="007602CF"/>
    <w:rsid w:val="00772535"/>
    <w:rsid w:val="0077283E"/>
    <w:rsid w:val="00780EAC"/>
    <w:rsid w:val="00791F76"/>
    <w:rsid w:val="00792610"/>
    <w:rsid w:val="00796225"/>
    <w:rsid w:val="00796379"/>
    <w:rsid w:val="007A41C2"/>
    <w:rsid w:val="007A6C66"/>
    <w:rsid w:val="007A7564"/>
    <w:rsid w:val="007A76F7"/>
    <w:rsid w:val="007B3844"/>
    <w:rsid w:val="007C06F0"/>
    <w:rsid w:val="007C3EED"/>
    <w:rsid w:val="007C5B1D"/>
    <w:rsid w:val="007C76DD"/>
    <w:rsid w:val="007D261B"/>
    <w:rsid w:val="007D69FD"/>
    <w:rsid w:val="007E3788"/>
    <w:rsid w:val="007F5637"/>
    <w:rsid w:val="00800FB7"/>
    <w:rsid w:val="0080727E"/>
    <w:rsid w:val="008077BF"/>
    <w:rsid w:val="00807A0A"/>
    <w:rsid w:val="00807F9F"/>
    <w:rsid w:val="00810975"/>
    <w:rsid w:val="00810B40"/>
    <w:rsid w:val="00812B00"/>
    <w:rsid w:val="00812C28"/>
    <w:rsid w:val="00813FF2"/>
    <w:rsid w:val="00816C57"/>
    <w:rsid w:val="00826E1F"/>
    <w:rsid w:val="008276E0"/>
    <w:rsid w:val="00831878"/>
    <w:rsid w:val="008473F0"/>
    <w:rsid w:val="008568F8"/>
    <w:rsid w:val="00856B12"/>
    <w:rsid w:val="008573BB"/>
    <w:rsid w:val="0086128B"/>
    <w:rsid w:val="00861E2F"/>
    <w:rsid w:val="008634A2"/>
    <w:rsid w:val="008651A1"/>
    <w:rsid w:val="00865591"/>
    <w:rsid w:val="008729FB"/>
    <w:rsid w:val="00874172"/>
    <w:rsid w:val="00875DFF"/>
    <w:rsid w:val="00883262"/>
    <w:rsid w:val="00884B40"/>
    <w:rsid w:val="008850A1"/>
    <w:rsid w:val="008852E6"/>
    <w:rsid w:val="0088633F"/>
    <w:rsid w:val="0089505D"/>
    <w:rsid w:val="008955E0"/>
    <w:rsid w:val="0089565F"/>
    <w:rsid w:val="00897367"/>
    <w:rsid w:val="00897A8B"/>
    <w:rsid w:val="008A1B76"/>
    <w:rsid w:val="008A2214"/>
    <w:rsid w:val="008A4B5A"/>
    <w:rsid w:val="008B177C"/>
    <w:rsid w:val="008B4A21"/>
    <w:rsid w:val="008C2D31"/>
    <w:rsid w:val="008C4B8F"/>
    <w:rsid w:val="008C70E3"/>
    <w:rsid w:val="008C7AC7"/>
    <w:rsid w:val="008D203C"/>
    <w:rsid w:val="008D2EF9"/>
    <w:rsid w:val="008D578A"/>
    <w:rsid w:val="008E191C"/>
    <w:rsid w:val="008E72A4"/>
    <w:rsid w:val="008E74F4"/>
    <w:rsid w:val="008F08A9"/>
    <w:rsid w:val="008F762A"/>
    <w:rsid w:val="00900A0B"/>
    <w:rsid w:val="00902424"/>
    <w:rsid w:val="0090246A"/>
    <w:rsid w:val="00906366"/>
    <w:rsid w:val="00907132"/>
    <w:rsid w:val="00911104"/>
    <w:rsid w:val="0091306D"/>
    <w:rsid w:val="00914E25"/>
    <w:rsid w:val="0091503A"/>
    <w:rsid w:val="00920831"/>
    <w:rsid w:val="00925231"/>
    <w:rsid w:val="00930B93"/>
    <w:rsid w:val="00930D35"/>
    <w:rsid w:val="00944198"/>
    <w:rsid w:val="00945BEE"/>
    <w:rsid w:val="00950313"/>
    <w:rsid w:val="009523D7"/>
    <w:rsid w:val="00963B09"/>
    <w:rsid w:val="00965E51"/>
    <w:rsid w:val="009719A2"/>
    <w:rsid w:val="00971FDA"/>
    <w:rsid w:val="0097616B"/>
    <w:rsid w:val="00977DE5"/>
    <w:rsid w:val="00977F06"/>
    <w:rsid w:val="00981551"/>
    <w:rsid w:val="009816F2"/>
    <w:rsid w:val="0098241C"/>
    <w:rsid w:val="00984F52"/>
    <w:rsid w:val="00986F16"/>
    <w:rsid w:val="009938CD"/>
    <w:rsid w:val="0099500F"/>
    <w:rsid w:val="00995D57"/>
    <w:rsid w:val="00996701"/>
    <w:rsid w:val="00996DF1"/>
    <w:rsid w:val="00997BBA"/>
    <w:rsid w:val="009A4060"/>
    <w:rsid w:val="009B11FB"/>
    <w:rsid w:val="009B2E38"/>
    <w:rsid w:val="009B5CF3"/>
    <w:rsid w:val="009B7A59"/>
    <w:rsid w:val="009C23BB"/>
    <w:rsid w:val="009C4F99"/>
    <w:rsid w:val="009D115F"/>
    <w:rsid w:val="009D18F2"/>
    <w:rsid w:val="009D3257"/>
    <w:rsid w:val="009D44FC"/>
    <w:rsid w:val="009D75CD"/>
    <w:rsid w:val="009D7EC3"/>
    <w:rsid w:val="009E1114"/>
    <w:rsid w:val="009E1376"/>
    <w:rsid w:val="009E3767"/>
    <w:rsid w:val="009E4896"/>
    <w:rsid w:val="009E5365"/>
    <w:rsid w:val="009E746F"/>
    <w:rsid w:val="009E7A99"/>
    <w:rsid w:val="009F1F95"/>
    <w:rsid w:val="00A02708"/>
    <w:rsid w:val="00A0337A"/>
    <w:rsid w:val="00A143EE"/>
    <w:rsid w:val="00A16F35"/>
    <w:rsid w:val="00A16F4B"/>
    <w:rsid w:val="00A20A8F"/>
    <w:rsid w:val="00A20CEC"/>
    <w:rsid w:val="00A23070"/>
    <w:rsid w:val="00A26B89"/>
    <w:rsid w:val="00A26F8B"/>
    <w:rsid w:val="00A31047"/>
    <w:rsid w:val="00A317B5"/>
    <w:rsid w:val="00A31FF3"/>
    <w:rsid w:val="00A32E37"/>
    <w:rsid w:val="00A335F4"/>
    <w:rsid w:val="00A34FAB"/>
    <w:rsid w:val="00A4120C"/>
    <w:rsid w:val="00A41C8B"/>
    <w:rsid w:val="00A42C9B"/>
    <w:rsid w:val="00A436FC"/>
    <w:rsid w:val="00A52DCD"/>
    <w:rsid w:val="00A537FF"/>
    <w:rsid w:val="00A64828"/>
    <w:rsid w:val="00A65045"/>
    <w:rsid w:val="00A65DDC"/>
    <w:rsid w:val="00A660D6"/>
    <w:rsid w:val="00A667F6"/>
    <w:rsid w:val="00A67E26"/>
    <w:rsid w:val="00A70063"/>
    <w:rsid w:val="00A73253"/>
    <w:rsid w:val="00A733BF"/>
    <w:rsid w:val="00A73530"/>
    <w:rsid w:val="00A74E60"/>
    <w:rsid w:val="00A75174"/>
    <w:rsid w:val="00A75E5F"/>
    <w:rsid w:val="00A81A61"/>
    <w:rsid w:val="00A822AB"/>
    <w:rsid w:val="00A82816"/>
    <w:rsid w:val="00A830F1"/>
    <w:rsid w:val="00A83AB8"/>
    <w:rsid w:val="00A8457F"/>
    <w:rsid w:val="00A917A9"/>
    <w:rsid w:val="00A97698"/>
    <w:rsid w:val="00AA46C7"/>
    <w:rsid w:val="00AA5CF3"/>
    <w:rsid w:val="00AA662F"/>
    <w:rsid w:val="00AB0CE4"/>
    <w:rsid w:val="00AB14ED"/>
    <w:rsid w:val="00AB6C24"/>
    <w:rsid w:val="00AB72BD"/>
    <w:rsid w:val="00AC0D39"/>
    <w:rsid w:val="00AC2824"/>
    <w:rsid w:val="00AC4A7F"/>
    <w:rsid w:val="00AD0486"/>
    <w:rsid w:val="00AD084E"/>
    <w:rsid w:val="00AD48CB"/>
    <w:rsid w:val="00AD5520"/>
    <w:rsid w:val="00AD71EF"/>
    <w:rsid w:val="00AE32AA"/>
    <w:rsid w:val="00AE5F01"/>
    <w:rsid w:val="00AE5F27"/>
    <w:rsid w:val="00AE7D20"/>
    <w:rsid w:val="00AF11CF"/>
    <w:rsid w:val="00AF277C"/>
    <w:rsid w:val="00AF3304"/>
    <w:rsid w:val="00AF3798"/>
    <w:rsid w:val="00AF517D"/>
    <w:rsid w:val="00AF5628"/>
    <w:rsid w:val="00B01607"/>
    <w:rsid w:val="00B10449"/>
    <w:rsid w:val="00B17B65"/>
    <w:rsid w:val="00B22B24"/>
    <w:rsid w:val="00B239B4"/>
    <w:rsid w:val="00B23C7A"/>
    <w:rsid w:val="00B33B65"/>
    <w:rsid w:val="00B353D1"/>
    <w:rsid w:val="00B43F12"/>
    <w:rsid w:val="00B44579"/>
    <w:rsid w:val="00B453A5"/>
    <w:rsid w:val="00B51A08"/>
    <w:rsid w:val="00B5218C"/>
    <w:rsid w:val="00B535FA"/>
    <w:rsid w:val="00B53872"/>
    <w:rsid w:val="00B54407"/>
    <w:rsid w:val="00B55F42"/>
    <w:rsid w:val="00B5736F"/>
    <w:rsid w:val="00B63E19"/>
    <w:rsid w:val="00B66DBF"/>
    <w:rsid w:val="00B670E9"/>
    <w:rsid w:val="00B67447"/>
    <w:rsid w:val="00B72CC0"/>
    <w:rsid w:val="00B760C4"/>
    <w:rsid w:val="00B775CF"/>
    <w:rsid w:val="00B80B9D"/>
    <w:rsid w:val="00B810C3"/>
    <w:rsid w:val="00B83506"/>
    <w:rsid w:val="00B86464"/>
    <w:rsid w:val="00B9045E"/>
    <w:rsid w:val="00B94674"/>
    <w:rsid w:val="00B946BA"/>
    <w:rsid w:val="00B97AA6"/>
    <w:rsid w:val="00BA333F"/>
    <w:rsid w:val="00BA68D8"/>
    <w:rsid w:val="00BB1888"/>
    <w:rsid w:val="00BB5B43"/>
    <w:rsid w:val="00BB7422"/>
    <w:rsid w:val="00BD1BE8"/>
    <w:rsid w:val="00BD337A"/>
    <w:rsid w:val="00BD487F"/>
    <w:rsid w:val="00BD53C8"/>
    <w:rsid w:val="00BD6B2A"/>
    <w:rsid w:val="00BD6BF5"/>
    <w:rsid w:val="00BD7DB1"/>
    <w:rsid w:val="00BE6403"/>
    <w:rsid w:val="00BE77D2"/>
    <w:rsid w:val="00BF3111"/>
    <w:rsid w:val="00BF5359"/>
    <w:rsid w:val="00BF6225"/>
    <w:rsid w:val="00BF6912"/>
    <w:rsid w:val="00BF7FD0"/>
    <w:rsid w:val="00C02FFF"/>
    <w:rsid w:val="00C03012"/>
    <w:rsid w:val="00C0452A"/>
    <w:rsid w:val="00C07298"/>
    <w:rsid w:val="00C07F28"/>
    <w:rsid w:val="00C1142A"/>
    <w:rsid w:val="00C12D2E"/>
    <w:rsid w:val="00C206A7"/>
    <w:rsid w:val="00C23475"/>
    <w:rsid w:val="00C25FA6"/>
    <w:rsid w:val="00C2681D"/>
    <w:rsid w:val="00C3436B"/>
    <w:rsid w:val="00C416EC"/>
    <w:rsid w:val="00C42DFF"/>
    <w:rsid w:val="00C44332"/>
    <w:rsid w:val="00C4602F"/>
    <w:rsid w:val="00C5665A"/>
    <w:rsid w:val="00C625D9"/>
    <w:rsid w:val="00C648EB"/>
    <w:rsid w:val="00C70DBD"/>
    <w:rsid w:val="00C731C9"/>
    <w:rsid w:val="00C75F8A"/>
    <w:rsid w:val="00C800D3"/>
    <w:rsid w:val="00C801D0"/>
    <w:rsid w:val="00C8604C"/>
    <w:rsid w:val="00C90C93"/>
    <w:rsid w:val="00C91EFB"/>
    <w:rsid w:val="00C95B17"/>
    <w:rsid w:val="00C9730B"/>
    <w:rsid w:val="00CA1491"/>
    <w:rsid w:val="00CA35DB"/>
    <w:rsid w:val="00CA3D87"/>
    <w:rsid w:val="00CA6CCA"/>
    <w:rsid w:val="00CB251C"/>
    <w:rsid w:val="00CB6D4E"/>
    <w:rsid w:val="00CC298C"/>
    <w:rsid w:val="00CC2ACA"/>
    <w:rsid w:val="00CD0F7B"/>
    <w:rsid w:val="00CE05B8"/>
    <w:rsid w:val="00CE2D8D"/>
    <w:rsid w:val="00CE42F1"/>
    <w:rsid w:val="00CE6D67"/>
    <w:rsid w:val="00CF436E"/>
    <w:rsid w:val="00D005D0"/>
    <w:rsid w:val="00D01D82"/>
    <w:rsid w:val="00D133DC"/>
    <w:rsid w:val="00D149F9"/>
    <w:rsid w:val="00D15F59"/>
    <w:rsid w:val="00D205C7"/>
    <w:rsid w:val="00D2091F"/>
    <w:rsid w:val="00D24C74"/>
    <w:rsid w:val="00D26B89"/>
    <w:rsid w:val="00D3250C"/>
    <w:rsid w:val="00D34732"/>
    <w:rsid w:val="00D35376"/>
    <w:rsid w:val="00D36549"/>
    <w:rsid w:val="00D44D6B"/>
    <w:rsid w:val="00D51F16"/>
    <w:rsid w:val="00D526BA"/>
    <w:rsid w:val="00D57653"/>
    <w:rsid w:val="00D60BF3"/>
    <w:rsid w:val="00D612F9"/>
    <w:rsid w:val="00D626DD"/>
    <w:rsid w:val="00D6517E"/>
    <w:rsid w:val="00D658A3"/>
    <w:rsid w:val="00D66D1D"/>
    <w:rsid w:val="00D67147"/>
    <w:rsid w:val="00D70D16"/>
    <w:rsid w:val="00D73FE3"/>
    <w:rsid w:val="00D80E5B"/>
    <w:rsid w:val="00D8296D"/>
    <w:rsid w:val="00D85F5A"/>
    <w:rsid w:val="00D86AC9"/>
    <w:rsid w:val="00DA1875"/>
    <w:rsid w:val="00DA1E53"/>
    <w:rsid w:val="00DA22BF"/>
    <w:rsid w:val="00DA6734"/>
    <w:rsid w:val="00DB4B82"/>
    <w:rsid w:val="00DB7D08"/>
    <w:rsid w:val="00DB7E1E"/>
    <w:rsid w:val="00DC76C4"/>
    <w:rsid w:val="00DC7818"/>
    <w:rsid w:val="00DC792E"/>
    <w:rsid w:val="00DD4495"/>
    <w:rsid w:val="00DD723F"/>
    <w:rsid w:val="00DE02F3"/>
    <w:rsid w:val="00DF1176"/>
    <w:rsid w:val="00DF1B08"/>
    <w:rsid w:val="00DF2213"/>
    <w:rsid w:val="00DF3568"/>
    <w:rsid w:val="00DF3573"/>
    <w:rsid w:val="00DF416D"/>
    <w:rsid w:val="00E010C8"/>
    <w:rsid w:val="00E014F2"/>
    <w:rsid w:val="00E0221E"/>
    <w:rsid w:val="00E03766"/>
    <w:rsid w:val="00E1076E"/>
    <w:rsid w:val="00E17BD6"/>
    <w:rsid w:val="00E2465B"/>
    <w:rsid w:val="00E27A36"/>
    <w:rsid w:val="00E3052E"/>
    <w:rsid w:val="00E30AA5"/>
    <w:rsid w:val="00E34195"/>
    <w:rsid w:val="00E36C3E"/>
    <w:rsid w:val="00E40ABE"/>
    <w:rsid w:val="00E4258A"/>
    <w:rsid w:val="00E43253"/>
    <w:rsid w:val="00E452B1"/>
    <w:rsid w:val="00E4645A"/>
    <w:rsid w:val="00E52825"/>
    <w:rsid w:val="00E56039"/>
    <w:rsid w:val="00E56DA5"/>
    <w:rsid w:val="00E61823"/>
    <w:rsid w:val="00E63679"/>
    <w:rsid w:val="00E72A1F"/>
    <w:rsid w:val="00E769EF"/>
    <w:rsid w:val="00E80AFB"/>
    <w:rsid w:val="00E82235"/>
    <w:rsid w:val="00E838B1"/>
    <w:rsid w:val="00E874CE"/>
    <w:rsid w:val="00E90939"/>
    <w:rsid w:val="00E94A7C"/>
    <w:rsid w:val="00E96B93"/>
    <w:rsid w:val="00EA289F"/>
    <w:rsid w:val="00EA3844"/>
    <w:rsid w:val="00EA789A"/>
    <w:rsid w:val="00EC0FAB"/>
    <w:rsid w:val="00ED2B24"/>
    <w:rsid w:val="00ED2C76"/>
    <w:rsid w:val="00ED509A"/>
    <w:rsid w:val="00ED517E"/>
    <w:rsid w:val="00ED65A5"/>
    <w:rsid w:val="00EE06A8"/>
    <w:rsid w:val="00EE071E"/>
    <w:rsid w:val="00EE101D"/>
    <w:rsid w:val="00EE5FCC"/>
    <w:rsid w:val="00EE649F"/>
    <w:rsid w:val="00EE7BB1"/>
    <w:rsid w:val="00EE7C4F"/>
    <w:rsid w:val="00EE7E83"/>
    <w:rsid w:val="00EF09E5"/>
    <w:rsid w:val="00EF6D02"/>
    <w:rsid w:val="00F001B2"/>
    <w:rsid w:val="00F00B6C"/>
    <w:rsid w:val="00F05AEE"/>
    <w:rsid w:val="00F06DB5"/>
    <w:rsid w:val="00F06F68"/>
    <w:rsid w:val="00F122DF"/>
    <w:rsid w:val="00F14071"/>
    <w:rsid w:val="00F151C3"/>
    <w:rsid w:val="00F20BC4"/>
    <w:rsid w:val="00F264FE"/>
    <w:rsid w:val="00F31B8D"/>
    <w:rsid w:val="00F42A5C"/>
    <w:rsid w:val="00F43148"/>
    <w:rsid w:val="00F45D9A"/>
    <w:rsid w:val="00F475BE"/>
    <w:rsid w:val="00F47B40"/>
    <w:rsid w:val="00F53202"/>
    <w:rsid w:val="00F571A2"/>
    <w:rsid w:val="00F571F3"/>
    <w:rsid w:val="00F647A3"/>
    <w:rsid w:val="00F73018"/>
    <w:rsid w:val="00F75449"/>
    <w:rsid w:val="00F80681"/>
    <w:rsid w:val="00F835C2"/>
    <w:rsid w:val="00F8645C"/>
    <w:rsid w:val="00F87155"/>
    <w:rsid w:val="00F87321"/>
    <w:rsid w:val="00F874FA"/>
    <w:rsid w:val="00F94293"/>
    <w:rsid w:val="00F948FC"/>
    <w:rsid w:val="00F951D1"/>
    <w:rsid w:val="00F96DA2"/>
    <w:rsid w:val="00FA0902"/>
    <w:rsid w:val="00FA0D74"/>
    <w:rsid w:val="00FA4897"/>
    <w:rsid w:val="00FA6E76"/>
    <w:rsid w:val="00FA765D"/>
    <w:rsid w:val="00FB0F36"/>
    <w:rsid w:val="00FB2091"/>
    <w:rsid w:val="00FB240E"/>
    <w:rsid w:val="00FC30FE"/>
    <w:rsid w:val="00FC435F"/>
    <w:rsid w:val="00FD1D12"/>
    <w:rsid w:val="00FD1EF8"/>
    <w:rsid w:val="00FD3EBC"/>
    <w:rsid w:val="00FD4A96"/>
    <w:rsid w:val="00FD6C62"/>
    <w:rsid w:val="00FE1C68"/>
    <w:rsid w:val="00FE3948"/>
    <w:rsid w:val="00FE43BC"/>
    <w:rsid w:val="00FE4959"/>
    <w:rsid w:val="00FF0D9B"/>
    <w:rsid w:val="00FF163E"/>
    <w:rsid w:val="00FF2F3E"/>
    <w:rsid w:val="00FF5D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E1C6029F-8CC2-4797-8E15-E1BABB14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AB8"/>
  </w:style>
  <w:style w:type="paragraph" w:styleId="Heading1">
    <w:name w:val="heading 1"/>
    <w:aliases w:val="0 Heading 1"/>
    <w:basedOn w:val="Normal"/>
    <w:next w:val="Normal"/>
    <w:link w:val="Heading1Char"/>
    <w:uiPriority w:val="9"/>
    <w:qFormat/>
    <w:rsid w:val="0099500F"/>
    <w:pPr>
      <w:keepNext/>
      <w:keepLines/>
      <w:spacing w:before="240" w:after="360" w:line="240" w:lineRule="auto"/>
      <w:outlineLvl w:val="0"/>
    </w:pPr>
    <w:rPr>
      <w:rFonts w:ascii="Verdana" w:eastAsiaTheme="majorEastAsia" w:hAnsi="Verdana" w:cstheme="majorBidi"/>
      <w:bCs/>
      <w:color w:val="F47D2B"/>
      <w:sz w:val="40"/>
      <w:szCs w:val="40"/>
      <w:lang w:eastAsia="zh-TW"/>
    </w:rPr>
  </w:style>
  <w:style w:type="paragraph" w:styleId="Heading2">
    <w:name w:val="heading 2"/>
    <w:aliases w:val="0 Heading 2"/>
    <w:basedOn w:val="Normal"/>
    <w:next w:val="Normal"/>
    <w:link w:val="Heading2Char"/>
    <w:uiPriority w:val="9"/>
    <w:unhideWhenUsed/>
    <w:qFormat/>
    <w:rsid w:val="0099500F"/>
    <w:pPr>
      <w:keepNext/>
      <w:keepLines/>
      <w:spacing w:before="200" w:after="160" w:line="240" w:lineRule="auto"/>
      <w:outlineLvl w:val="1"/>
    </w:pPr>
    <w:rPr>
      <w:rFonts w:ascii="Verdana" w:eastAsiaTheme="majorEastAsia" w:hAnsi="Verdana" w:cstheme="majorBidi"/>
      <w:bCs/>
      <w:color w:val="808080" w:themeColor="background1" w:themeShade="80"/>
      <w:sz w:val="28"/>
      <w:szCs w:val="28"/>
      <w:lang w:val="en-US" w:eastAsia="zh-TW"/>
    </w:rPr>
  </w:style>
  <w:style w:type="paragraph" w:styleId="Heading3">
    <w:name w:val="heading 3"/>
    <w:basedOn w:val="Normal"/>
    <w:next w:val="Normal"/>
    <w:link w:val="Heading3Char"/>
    <w:uiPriority w:val="9"/>
    <w:unhideWhenUsed/>
    <w:qFormat/>
    <w:rsid w:val="0099500F"/>
    <w:pPr>
      <w:keepNext/>
      <w:keepLines/>
      <w:spacing w:before="200" w:after="120" w:line="240" w:lineRule="auto"/>
      <w:outlineLvl w:val="2"/>
    </w:pPr>
    <w:rPr>
      <w:rFonts w:ascii="Verdana" w:eastAsiaTheme="majorEastAsia" w:hAnsi="Verdana" w:cstheme="majorBidi"/>
      <w:b/>
      <w:bCs/>
      <w:color w:val="404040" w:themeColor="text1" w:themeTint="BF"/>
      <w:sz w:val="20"/>
      <w:szCs w:val="24"/>
      <w:lang w:eastAsia="zh-TW"/>
    </w:rPr>
  </w:style>
  <w:style w:type="paragraph" w:styleId="Heading4">
    <w:name w:val="heading 4"/>
    <w:aliases w:val="Bullets level 2"/>
    <w:basedOn w:val="ListParagraph"/>
    <w:next w:val="Normal"/>
    <w:link w:val="Heading4Char"/>
    <w:uiPriority w:val="9"/>
    <w:unhideWhenUsed/>
    <w:qFormat/>
    <w:rsid w:val="0099500F"/>
    <w:pPr>
      <w:numPr>
        <w:ilvl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NECG) Footnote Text,ALTS FOOTNOTE"/>
    <w:basedOn w:val="Normal"/>
    <w:link w:val="FootnoteTextChar"/>
    <w:uiPriority w:val="99"/>
    <w:unhideWhenUsed/>
    <w:rsid w:val="00BB7422"/>
    <w:pPr>
      <w:spacing w:after="0" w:line="240" w:lineRule="auto"/>
    </w:pPr>
    <w:rPr>
      <w:sz w:val="20"/>
      <w:szCs w:val="20"/>
    </w:rPr>
  </w:style>
  <w:style w:type="character" w:customStyle="1" w:styleId="FootnoteTextChar">
    <w:name w:val="Footnote Text Char"/>
    <w:aliases w:val="(NECG) Footnote Text Char,ALTS FOOTNOTE Char"/>
    <w:basedOn w:val="DefaultParagraphFont"/>
    <w:link w:val="FootnoteText"/>
    <w:uiPriority w:val="99"/>
    <w:rsid w:val="00BB7422"/>
    <w:rPr>
      <w:sz w:val="20"/>
      <w:szCs w:val="20"/>
    </w:rPr>
  </w:style>
  <w:style w:type="character" w:styleId="FootnoteReference">
    <w:name w:val="footnote reference"/>
    <w:aliases w:val="(NECG) Footnote Reference"/>
    <w:basedOn w:val="DefaultParagraphFont"/>
    <w:uiPriority w:val="99"/>
    <w:unhideWhenUsed/>
    <w:rsid w:val="00BB7422"/>
    <w:rPr>
      <w:vertAlign w:val="superscript"/>
    </w:rPr>
  </w:style>
  <w:style w:type="paragraph" w:customStyle="1" w:styleId="RFSBoxtext">
    <w:name w:val="RFS Box text"/>
    <w:basedOn w:val="Normal"/>
    <w:rsid w:val="00FB0F36"/>
    <w:pPr>
      <w:pBdr>
        <w:top w:val="single" w:sz="4" w:space="5" w:color="776AB0"/>
        <w:left w:val="single" w:sz="4" w:space="4" w:color="776AB0"/>
        <w:bottom w:val="single" w:sz="4" w:space="5" w:color="776AB0"/>
        <w:right w:val="single" w:sz="4" w:space="4" w:color="776AB0"/>
      </w:pBdr>
      <w:shd w:val="clear" w:color="26B8D2" w:fill="E7E5F2"/>
      <w:suppressAutoHyphens/>
      <w:autoSpaceDE w:val="0"/>
      <w:autoSpaceDN w:val="0"/>
      <w:adjustRightInd w:val="0"/>
      <w:spacing w:before="360" w:after="360" w:line="300" w:lineRule="atLeast"/>
      <w:ind w:left="113" w:right="170"/>
      <w:textAlignment w:val="center"/>
    </w:pPr>
    <w:rPr>
      <w:rFonts w:ascii="Calibri" w:eastAsia="Times New Roman" w:hAnsi="Calibri" w:cs="Garamond"/>
      <w:color w:val="000000"/>
      <w:sz w:val="20"/>
      <w:szCs w:val="24"/>
      <w:lang w:val="en-GB" w:eastAsia="en-AU"/>
    </w:rPr>
  </w:style>
  <w:style w:type="character" w:customStyle="1" w:styleId="Heading1Char">
    <w:name w:val="Heading 1 Char"/>
    <w:aliases w:val="0 Heading 1 Char"/>
    <w:basedOn w:val="DefaultParagraphFont"/>
    <w:link w:val="Heading1"/>
    <w:rsid w:val="0099500F"/>
    <w:rPr>
      <w:rFonts w:ascii="Verdana" w:eastAsiaTheme="majorEastAsia" w:hAnsi="Verdana" w:cstheme="majorBidi"/>
      <w:bCs/>
      <w:color w:val="F47D2B"/>
      <w:sz w:val="40"/>
      <w:szCs w:val="40"/>
      <w:lang w:eastAsia="zh-TW"/>
    </w:rPr>
  </w:style>
  <w:style w:type="character" w:customStyle="1" w:styleId="Heading2Char">
    <w:name w:val="Heading 2 Char"/>
    <w:aliases w:val="0 Heading 2 Char"/>
    <w:basedOn w:val="DefaultParagraphFont"/>
    <w:link w:val="Heading2"/>
    <w:uiPriority w:val="9"/>
    <w:rsid w:val="0099500F"/>
    <w:rPr>
      <w:rFonts w:ascii="Verdana" w:eastAsiaTheme="majorEastAsia" w:hAnsi="Verdana" w:cstheme="majorBidi"/>
      <w:bCs/>
      <w:color w:val="808080" w:themeColor="background1" w:themeShade="80"/>
      <w:sz w:val="28"/>
      <w:szCs w:val="28"/>
      <w:lang w:val="en-US" w:eastAsia="zh-TW"/>
    </w:rPr>
  </w:style>
  <w:style w:type="character" w:customStyle="1" w:styleId="Heading3Char">
    <w:name w:val="Heading 3 Char"/>
    <w:basedOn w:val="DefaultParagraphFont"/>
    <w:link w:val="Heading3"/>
    <w:uiPriority w:val="9"/>
    <w:rsid w:val="0099500F"/>
    <w:rPr>
      <w:rFonts w:ascii="Verdana" w:eastAsiaTheme="majorEastAsia" w:hAnsi="Verdana" w:cstheme="majorBidi"/>
      <w:b/>
      <w:bCs/>
      <w:color w:val="404040" w:themeColor="text1" w:themeTint="BF"/>
      <w:sz w:val="20"/>
      <w:szCs w:val="24"/>
      <w:lang w:eastAsia="zh-TW"/>
    </w:rPr>
  </w:style>
  <w:style w:type="character" w:customStyle="1" w:styleId="Heading4Char">
    <w:name w:val="Heading 4 Char"/>
    <w:aliases w:val="Bullets level 2 Char"/>
    <w:basedOn w:val="DefaultParagraphFont"/>
    <w:link w:val="Heading4"/>
    <w:uiPriority w:val="9"/>
    <w:rsid w:val="0099500F"/>
    <w:rPr>
      <w:rFonts w:ascii="Verdana" w:eastAsia="Times New Roman" w:hAnsi="Verdana" w:cstheme="minorHAnsi"/>
      <w:color w:val="404040" w:themeColor="text1" w:themeTint="BF"/>
      <w:sz w:val="20"/>
      <w:szCs w:val="20"/>
      <w:lang w:eastAsia="zh-TW"/>
    </w:rPr>
  </w:style>
  <w:style w:type="paragraph" w:styleId="Header">
    <w:name w:val="header"/>
    <w:basedOn w:val="Normal"/>
    <w:link w:val="HeaderChar"/>
    <w:rsid w:val="0099500F"/>
    <w:pPr>
      <w:tabs>
        <w:tab w:val="center" w:pos="4320"/>
        <w:tab w:val="right" w:pos="8640"/>
      </w:tabs>
      <w:spacing w:after="0" w:line="240" w:lineRule="auto"/>
    </w:pPr>
    <w:rPr>
      <w:rFonts w:eastAsia="Times New Roman" w:cstheme="minorHAnsi"/>
      <w:szCs w:val="24"/>
      <w:lang w:eastAsia="zh-TW"/>
    </w:rPr>
  </w:style>
  <w:style w:type="character" w:customStyle="1" w:styleId="HeaderChar">
    <w:name w:val="Header Char"/>
    <w:basedOn w:val="DefaultParagraphFont"/>
    <w:link w:val="Header"/>
    <w:rsid w:val="0099500F"/>
    <w:rPr>
      <w:rFonts w:eastAsia="Times New Roman" w:cstheme="minorHAnsi"/>
      <w:szCs w:val="24"/>
      <w:lang w:eastAsia="zh-TW"/>
    </w:rPr>
  </w:style>
  <w:style w:type="paragraph" w:styleId="ListParagraph">
    <w:name w:val="List Paragraph"/>
    <w:aliases w:val="Bullets level 1,List Paragraph1,Recommendation,List Paragraph11"/>
    <w:basedOn w:val="0BodyText"/>
    <w:link w:val="ListParagraphChar"/>
    <w:autoRedefine/>
    <w:uiPriority w:val="34"/>
    <w:qFormat/>
    <w:rsid w:val="00EE7BB1"/>
    <w:pPr>
      <w:numPr>
        <w:numId w:val="27"/>
      </w:numPr>
      <w:spacing w:line="240" w:lineRule="auto"/>
      <w:jc w:val="both"/>
    </w:pPr>
    <w:rPr>
      <w:rFonts w:ascii="Calibri" w:eastAsia="Calibri" w:hAnsi="Calibri"/>
      <w:color w:val="000000" w:themeColor="text1"/>
    </w:rPr>
  </w:style>
  <w:style w:type="paragraph" w:customStyle="1" w:styleId="0BodyText">
    <w:name w:val="0 Body Text"/>
    <w:basedOn w:val="Normal"/>
    <w:autoRedefine/>
    <w:qFormat/>
    <w:rsid w:val="00141AE4"/>
    <w:pPr>
      <w:spacing w:after="0" w:line="280" w:lineRule="exact"/>
    </w:pPr>
    <w:rPr>
      <w:rFonts w:eastAsia="Times New Roman" w:cstheme="minorHAnsi"/>
      <w:lang w:eastAsia="zh-TW"/>
    </w:rPr>
  </w:style>
  <w:style w:type="paragraph" w:customStyle="1" w:styleId="TableHeading">
    <w:name w:val="Table Heading"/>
    <w:basedOn w:val="Normal"/>
    <w:qFormat/>
    <w:rsid w:val="0099500F"/>
    <w:pPr>
      <w:spacing w:before="80" w:after="80" w:line="240" w:lineRule="auto"/>
    </w:pPr>
    <w:rPr>
      <w:rFonts w:ascii="Verdana" w:eastAsia="Times New Roman" w:hAnsi="Verdana" w:cstheme="minorHAnsi"/>
      <w:b/>
      <w:color w:val="FFFFFF" w:themeColor="background1"/>
      <w:sz w:val="20"/>
      <w:szCs w:val="20"/>
      <w:lang w:eastAsia="zh-TW"/>
    </w:rPr>
  </w:style>
  <w:style w:type="table" w:styleId="TableGrid">
    <w:name w:val="Table Grid"/>
    <w:basedOn w:val="TableNormal"/>
    <w:rsid w:val="0099500F"/>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E60"/>
    <w:rPr>
      <w:color w:val="0000FF" w:themeColor="hyperlink"/>
      <w:u w:val="single"/>
    </w:rPr>
  </w:style>
  <w:style w:type="paragraph" w:styleId="Footer">
    <w:name w:val="footer"/>
    <w:basedOn w:val="Normal"/>
    <w:link w:val="FooterChar"/>
    <w:uiPriority w:val="99"/>
    <w:unhideWhenUsed/>
    <w:rsid w:val="0050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D2E"/>
  </w:style>
  <w:style w:type="paragraph" w:styleId="NoSpacing">
    <w:name w:val="No Spacing"/>
    <w:link w:val="NoSpacingChar"/>
    <w:uiPriority w:val="1"/>
    <w:qFormat/>
    <w:rsid w:val="00502D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02D2E"/>
    <w:rPr>
      <w:rFonts w:eastAsiaTheme="minorEastAsia"/>
      <w:lang w:val="en-US" w:eastAsia="ja-JP"/>
    </w:rPr>
  </w:style>
  <w:style w:type="paragraph" w:styleId="BalloonText">
    <w:name w:val="Balloon Text"/>
    <w:basedOn w:val="Normal"/>
    <w:link w:val="BalloonTextChar"/>
    <w:uiPriority w:val="99"/>
    <w:semiHidden/>
    <w:unhideWhenUsed/>
    <w:rsid w:val="00502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D2E"/>
    <w:rPr>
      <w:rFonts w:ascii="Tahoma" w:hAnsi="Tahoma" w:cs="Tahoma"/>
      <w:sz w:val="16"/>
      <w:szCs w:val="16"/>
    </w:rPr>
  </w:style>
  <w:style w:type="paragraph" w:customStyle="1" w:styleId="Default">
    <w:name w:val="Default"/>
    <w:rsid w:val="008E72A4"/>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paragraph" w:customStyle="1" w:styleId="CM4">
    <w:name w:val="CM4"/>
    <w:basedOn w:val="Default"/>
    <w:next w:val="Default"/>
    <w:uiPriority w:val="99"/>
    <w:rsid w:val="00AD0486"/>
    <w:pPr>
      <w:spacing w:line="276" w:lineRule="atLeast"/>
    </w:pPr>
    <w:rPr>
      <w:rFonts w:ascii="TT15Dt00" w:eastAsia="Calibri" w:hAnsi="TT15Dt00"/>
      <w:color w:val="auto"/>
      <w:lang w:eastAsia="en-US"/>
    </w:rPr>
  </w:style>
  <w:style w:type="paragraph" w:customStyle="1" w:styleId="Pa6">
    <w:name w:val="Pa6"/>
    <w:basedOn w:val="Default"/>
    <w:next w:val="Default"/>
    <w:uiPriority w:val="99"/>
    <w:rsid w:val="00C625D9"/>
    <w:pPr>
      <w:spacing w:line="191" w:lineRule="atLeast"/>
    </w:pPr>
    <w:rPr>
      <w:rFonts w:ascii="Times" w:eastAsiaTheme="minorHAnsi" w:hAnsi="Times" w:cs="Times"/>
      <w:color w:val="auto"/>
      <w:lang w:eastAsia="en-US"/>
    </w:rPr>
  </w:style>
  <w:style w:type="paragraph" w:styleId="NormalWeb">
    <w:name w:val="Normal (Web)"/>
    <w:basedOn w:val="Normal"/>
    <w:uiPriority w:val="99"/>
    <w:unhideWhenUsed/>
    <w:rsid w:val="00017DE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Level3Legal">
    <w:name w:val="COMM Level 3 (Legal)"/>
    <w:basedOn w:val="COMMLevel2Legal"/>
    <w:rsid w:val="0052742C"/>
    <w:pPr>
      <w:numPr>
        <w:ilvl w:val="2"/>
      </w:numPr>
      <w:outlineLvl w:val="2"/>
    </w:pPr>
  </w:style>
  <w:style w:type="paragraph" w:customStyle="1" w:styleId="COMMLevel1Legal">
    <w:name w:val="COMM Level 1 (Legal)"/>
    <w:basedOn w:val="Normal"/>
    <w:next w:val="Normal"/>
    <w:rsid w:val="0052742C"/>
    <w:pPr>
      <w:keepNext/>
      <w:numPr>
        <w:numId w:val="6"/>
      </w:numPr>
      <w:pBdr>
        <w:top w:val="single" w:sz="4" w:space="0" w:color="FF6600"/>
      </w:pBdr>
      <w:spacing w:before="240" w:after="120" w:line="264" w:lineRule="auto"/>
      <w:outlineLvl w:val="0"/>
    </w:pPr>
    <w:rPr>
      <w:rFonts w:ascii="Calibri" w:eastAsia="Times New Roman" w:hAnsi="Calibri" w:cs="Calibri"/>
      <w:b/>
      <w:caps/>
      <w:color w:val="FF6600"/>
      <w:szCs w:val="20"/>
    </w:rPr>
  </w:style>
  <w:style w:type="paragraph" w:customStyle="1" w:styleId="COMMLevel2Legal">
    <w:name w:val="COMM Level 2 (Legal)"/>
    <w:basedOn w:val="Normal"/>
    <w:rsid w:val="0052742C"/>
    <w:pPr>
      <w:numPr>
        <w:ilvl w:val="1"/>
        <w:numId w:val="6"/>
      </w:numPr>
      <w:spacing w:after="120" w:line="264" w:lineRule="auto"/>
      <w:outlineLvl w:val="1"/>
    </w:pPr>
    <w:rPr>
      <w:rFonts w:ascii="Calibri" w:eastAsia="Times New Roman" w:hAnsi="Calibri" w:cs="Times New Roman"/>
      <w:color w:val="404040" w:themeColor="text1" w:themeTint="BF"/>
      <w:sz w:val="20"/>
      <w:szCs w:val="20"/>
    </w:rPr>
  </w:style>
  <w:style w:type="paragraph" w:customStyle="1" w:styleId="COMMLevel4Legal">
    <w:name w:val="COMM Level 4 (Legal)"/>
    <w:basedOn w:val="COMMLevel3Legal"/>
    <w:rsid w:val="0052742C"/>
    <w:pPr>
      <w:numPr>
        <w:ilvl w:val="3"/>
      </w:numPr>
      <w:outlineLvl w:val="3"/>
    </w:pPr>
  </w:style>
  <w:style w:type="paragraph" w:customStyle="1" w:styleId="COMMLevel5Legal">
    <w:name w:val="COMM Level 5 (Legal)"/>
    <w:basedOn w:val="COMMLevel4Legal"/>
    <w:rsid w:val="0052742C"/>
    <w:pPr>
      <w:numPr>
        <w:ilvl w:val="4"/>
      </w:numPr>
      <w:outlineLvl w:val="4"/>
    </w:pPr>
  </w:style>
  <w:style w:type="paragraph" w:customStyle="1" w:styleId="COMMLevel6Legal">
    <w:name w:val="COMM Level 6 (Legal)"/>
    <w:basedOn w:val="COMMLevel5Legal"/>
    <w:rsid w:val="0052742C"/>
    <w:pPr>
      <w:numPr>
        <w:ilvl w:val="5"/>
      </w:numPr>
      <w:tabs>
        <w:tab w:val="left" w:pos="3686"/>
      </w:tabs>
    </w:pPr>
  </w:style>
  <w:style w:type="paragraph" w:customStyle="1" w:styleId="COMMLevel7Legal">
    <w:name w:val="COMM Level 7 (Legal)"/>
    <w:basedOn w:val="COMMLevel6Legal"/>
    <w:rsid w:val="0052742C"/>
    <w:pPr>
      <w:numPr>
        <w:ilvl w:val="6"/>
      </w:numPr>
      <w:spacing w:line="276" w:lineRule="auto"/>
      <w:ind w:left="4320" w:hanging="720"/>
      <w:outlineLvl w:val="9"/>
    </w:pPr>
  </w:style>
  <w:style w:type="numbering" w:customStyle="1" w:styleId="CommLegal">
    <w:name w:val="Comm Legal"/>
    <w:uiPriority w:val="99"/>
    <w:rsid w:val="0052742C"/>
    <w:pPr>
      <w:numPr>
        <w:numId w:val="5"/>
      </w:numPr>
    </w:pPr>
  </w:style>
  <w:style w:type="character" w:styleId="CommentReference">
    <w:name w:val="annotation reference"/>
    <w:basedOn w:val="DefaultParagraphFont"/>
    <w:uiPriority w:val="99"/>
    <w:semiHidden/>
    <w:unhideWhenUsed/>
    <w:rsid w:val="0040015C"/>
    <w:rPr>
      <w:sz w:val="16"/>
      <w:szCs w:val="16"/>
    </w:rPr>
  </w:style>
  <w:style w:type="paragraph" w:styleId="CommentText">
    <w:name w:val="annotation text"/>
    <w:basedOn w:val="Normal"/>
    <w:link w:val="CommentTextChar"/>
    <w:uiPriority w:val="99"/>
    <w:semiHidden/>
    <w:unhideWhenUsed/>
    <w:rsid w:val="0040015C"/>
    <w:pPr>
      <w:spacing w:line="240" w:lineRule="auto"/>
    </w:pPr>
    <w:rPr>
      <w:sz w:val="20"/>
      <w:szCs w:val="20"/>
    </w:rPr>
  </w:style>
  <w:style w:type="character" w:customStyle="1" w:styleId="CommentTextChar">
    <w:name w:val="Comment Text Char"/>
    <w:basedOn w:val="DefaultParagraphFont"/>
    <w:link w:val="CommentText"/>
    <w:uiPriority w:val="99"/>
    <w:semiHidden/>
    <w:rsid w:val="0040015C"/>
    <w:rPr>
      <w:sz w:val="20"/>
      <w:szCs w:val="20"/>
    </w:rPr>
  </w:style>
  <w:style w:type="paragraph" w:styleId="CommentSubject">
    <w:name w:val="annotation subject"/>
    <w:basedOn w:val="CommentText"/>
    <w:next w:val="CommentText"/>
    <w:link w:val="CommentSubjectChar"/>
    <w:uiPriority w:val="99"/>
    <w:semiHidden/>
    <w:unhideWhenUsed/>
    <w:rsid w:val="0040015C"/>
    <w:rPr>
      <w:b/>
      <w:bCs/>
    </w:rPr>
  </w:style>
  <w:style w:type="character" w:customStyle="1" w:styleId="CommentSubjectChar">
    <w:name w:val="Comment Subject Char"/>
    <w:basedOn w:val="CommentTextChar"/>
    <w:link w:val="CommentSubject"/>
    <w:uiPriority w:val="99"/>
    <w:semiHidden/>
    <w:rsid w:val="0040015C"/>
    <w:rPr>
      <w:b/>
      <w:bCs/>
      <w:sz w:val="20"/>
      <w:szCs w:val="20"/>
    </w:rPr>
  </w:style>
  <w:style w:type="paragraph" w:customStyle="1" w:styleId="style5">
    <w:name w:val="style5"/>
    <w:basedOn w:val="Normal"/>
    <w:rsid w:val="00D57653"/>
    <w:pPr>
      <w:spacing w:before="100" w:beforeAutospacing="1" w:after="100" w:afterAutospacing="1" w:line="240" w:lineRule="auto"/>
      <w:ind w:left="600"/>
    </w:pPr>
    <w:rPr>
      <w:rFonts w:ascii="Times New Roman" w:eastAsia="Times New Roman" w:hAnsi="Times New Roman" w:cs="Times New Roman"/>
      <w:sz w:val="24"/>
      <w:szCs w:val="24"/>
      <w:lang w:eastAsia="en-AU"/>
    </w:rPr>
  </w:style>
  <w:style w:type="paragraph" w:customStyle="1" w:styleId="subsection">
    <w:name w:val="subsection"/>
    <w:basedOn w:val="Normal"/>
    <w:rsid w:val="0035006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etext">
    <w:name w:val="notetext"/>
    <w:basedOn w:val="Normal"/>
    <w:rsid w:val="0035006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head">
    <w:name w:val="subsectionhead"/>
    <w:basedOn w:val="Normal"/>
    <w:rsid w:val="005E7A8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23377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ps-normal">
    <w:name w:val="hps-normal"/>
    <w:basedOn w:val="Normal"/>
    <w:rsid w:val="00E36C3E"/>
    <w:pPr>
      <w:spacing w:before="180" w:after="180" w:line="240" w:lineRule="auto"/>
      <w:ind w:firstLine="240"/>
    </w:pPr>
    <w:rPr>
      <w:rFonts w:ascii="Times New Roman" w:eastAsia="Times New Roman" w:hAnsi="Times New Roman" w:cs="Times New Roman"/>
      <w:color w:val="444444"/>
      <w:sz w:val="24"/>
      <w:szCs w:val="24"/>
      <w:lang w:eastAsia="en-AU"/>
    </w:rPr>
  </w:style>
  <w:style w:type="character" w:customStyle="1" w:styleId="hps-normal1">
    <w:name w:val="hps-normal1"/>
    <w:basedOn w:val="DefaultParagraphFont"/>
    <w:rsid w:val="00E36C3E"/>
  </w:style>
  <w:style w:type="paragraph" w:styleId="ListNumber">
    <w:name w:val="List Number"/>
    <w:basedOn w:val="Normal"/>
    <w:rsid w:val="003C25C0"/>
    <w:pPr>
      <w:numPr>
        <w:numId w:val="11"/>
      </w:numPr>
      <w:spacing w:after="0" w:line="240" w:lineRule="auto"/>
    </w:pPr>
    <w:rPr>
      <w:rFonts w:ascii="Arial" w:eastAsia="Times New Roman" w:hAnsi="Arial" w:cs="Times New Roman"/>
      <w:sz w:val="24"/>
      <w:szCs w:val="20"/>
      <w:lang w:eastAsia="en-AU"/>
    </w:rPr>
  </w:style>
  <w:style w:type="character" w:styleId="FollowedHyperlink">
    <w:name w:val="FollowedHyperlink"/>
    <w:basedOn w:val="DefaultParagraphFont"/>
    <w:uiPriority w:val="99"/>
    <w:semiHidden/>
    <w:unhideWhenUsed/>
    <w:rsid w:val="0022707F"/>
    <w:rPr>
      <w:color w:val="800080" w:themeColor="followedHyperlink"/>
      <w:u w:val="single"/>
    </w:rPr>
  </w:style>
  <w:style w:type="character" w:customStyle="1" w:styleId="apple-converted-space">
    <w:name w:val="apple-converted-space"/>
    <w:basedOn w:val="DefaultParagraphFont"/>
    <w:rsid w:val="006B5862"/>
  </w:style>
  <w:style w:type="character" w:customStyle="1" w:styleId="ListParagraphChar">
    <w:name w:val="List Paragraph Char"/>
    <w:aliases w:val="Bullets level 1 Char,List Paragraph1 Char,Recommendation Char,List Paragraph11 Char"/>
    <w:basedOn w:val="DefaultParagraphFont"/>
    <w:link w:val="ListParagraph"/>
    <w:uiPriority w:val="34"/>
    <w:locked/>
    <w:rsid w:val="00EE7BB1"/>
    <w:rPr>
      <w:rFonts w:ascii="Calibri" w:eastAsia="Calibri" w:hAnsi="Calibri" w:cstheme="minorHAnsi"/>
      <w:color w:val="000000" w:themeColor="text1"/>
      <w:lang w:eastAsia="zh-TW"/>
    </w:rPr>
  </w:style>
  <w:style w:type="table" w:customStyle="1" w:styleId="TableGrid1">
    <w:name w:val="Table Grid1"/>
    <w:basedOn w:val="TableNormal"/>
    <w:next w:val="TableGrid"/>
    <w:uiPriority w:val="59"/>
    <w:rsid w:val="003E6CD7"/>
    <w:pPr>
      <w:spacing w:after="0" w:line="240" w:lineRule="auto"/>
    </w:pPr>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51F16"/>
    <w:pPr>
      <w:spacing w:after="0" w:line="240" w:lineRule="auto"/>
    </w:pPr>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51F16"/>
    <w:pPr>
      <w:spacing w:after="0" w:line="240" w:lineRule="auto"/>
    </w:pPr>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DD4495"/>
    <w:pPr>
      <w:spacing w:after="0" w:line="240" w:lineRule="auto"/>
    </w:pPr>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12B00"/>
    <w:pPr>
      <w:spacing w:after="0" w:line="240" w:lineRule="auto"/>
    </w:pPr>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816F2"/>
    <w:pPr>
      <w:spacing w:after="0" w:line="240" w:lineRule="auto"/>
    </w:pPr>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unhideWhenUsed/>
    <w:qFormat/>
    <w:rsid w:val="00230079"/>
    <w:pPr>
      <w:spacing w:before="240" w:after="0" w:line="300" w:lineRule="atLeast"/>
      <w:jc w:val="both"/>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230079"/>
    <w:rPr>
      <w:rFonts w:ascii="Times New Roman" w:eastAsia="Times New Roman" w:hAnsi="Times New Roman" w:cs="Times New Roman"/>
      <w:sz w:val="24"/>
      <w:szCs w:val="20"/>
      <w:lang w:eastAsia="en-AU"/>
    </w:rPr>
  </w:style>
  <w:style w:type="paragraph" w:styleId="Title">
    <w:name w:val="Title"/>
    <w:basedOn w:val="NoSpacing"/>
    <w:next w:val="Normal"/>
    <w:link w:val="TitleChar"/>
    <w:uiPriority w:val="10"/>
    <w:qFormat/>
    <w:rsid w:val="007A76F7"/>
    <w:pPr>
      <w:spacing w:before="480" w:after="480"/>
      <w:jc w:val="center"/>
    </w:pPr>
    <w:rPr>
      <w:rFonts w:ascii="Cambria" w:hAnsi="Cambria"/>
      <w:sz w:val="48"/>
      <w:szCs w:val="48"/>
      <w:lang w:val="en"/>
    </w:rPr>
  </w:style>
  <w:style w:type="character" w:customStyle="1" w:styleId="TitleChar">
    <w:name w:val="Title Char"/>
    <w:basedOn w:val="DefaultParagraphFont"/>
    <w:link w:val="Title"/>
    <w:uiPriority w:val="10"/>
    <w:rsid w:val="007A76F7"/>
    <w:rPr>
      <w:rFonts w:ascii="Cambria" w:eastAsiaTheme="minorEastAsia" w:hAnsi="Cambria"/>
      <w:sz w:val="48"/>
      <w:szCs w:val="48"/>
      <w:lang w:val="e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792002">
      <w:bodyDiv w:val="1"/>
      <w:marLeft w:val="0"/>
      <w:marRight w:val="0"/>
      <w:marTop w:val="0"/>
      <w:marBottom w:val="0"/>
      <w:divBdr>
        <w:top w:val="none" w:sz="0" w:space="0" w:color="auto"/>
        <w:left w:val="none" w:sz="0" w:space="0" w:color="auto"/>
        <w:bottom w:val="none" w:sz="0" w:space="0" w:color="auto"/>
        <w:right w:val="none" w:sz="0" w:space="0" w:color="auto"/>
      </w:divBdr>
    </w:div>
    <w:div w:id="604312581">
      <w:bodyDiv w:val="1"/>
      <w:marLeft w:val="0"/>
      <w:marRight w:val="0"/>
      <w:marTop w:val="0"/>
      <w:marBottom w:val="0"/>
      <w:divBdr>
        <w:top w:val="none" w:sz="0" w:space="0" w:color="auto"/>
        <w:left w:val="none" w:sz="0" w:space="0" w:color="auto"/>
        <w:bottom w:val="none" w:sz="0" w:space="0" w:color="auto"/>
        <w:right w:val="none" w:sz="0" w:space="0" w:color="auto"/>
      </w:divBdr>
    </w:div>
    <w:div w:id="702248071">
      <w:bodyDiv w:val="1"/>
      <w:marLeft w:val="0"/>
      <w:marRight w:val="0"/>
      <w:marTop w:val="0"/>
      <w:marBottom w:val="0"/>
      <w:divBdr>
        <w:top w:val="none" w:sz="0" w:space="0" w:color="auto"/>
        <w:left w:val="none" w:sz="0" w:space="0" w:color="auto"/>
        <w:bottom w:val="none" w:sz="0" w:space="0" w:color="auto"/>
        <w:right w:val="none" w:sz="0" w:space="0" w:color="auto"/>
      </w:divBdr>
    </w:div>
    <w:div w:id="1136292465">
      <w:bodyDiv w:val="1"/>
      <w:marLeft w:val="0"/>
      <w:marRight w:val="0"/>
      <w:marTop w:val="0"/>
      <w:marBottom w:val="0"/>
      <w:divBdr>
        <w:top w:val="none" w:sz="0" w:space="0" w:color="auto"/>
        <w:left w:val="none" w:sz="0" w:space="0" w:color="auto"/>
        <w:bottom w:val="none" w:sz="0" w:space="0" w:color="auto"/>
        <w:right w:val="none" w:sz="0" w:space="0" w:color="auto"/>
      </w:divBdr>
    </w:div>
    <w:div w:id="1190683306">
      <w:bodyDiv w:val="1"/>
      <w:marLeft w:val="0"/>
      <w:marRight w:val="0"/>
      <w:marTop w:val="0"/>
      <w:marBottom w:val="0"/>
      <w:divBdr>
        <w:top w:val="none" w:sz="0" w:space="0" w:color="auto"/>
        <w:left w:val="none" w:sz="0" w:space="0" w:color="auto"/>
        <w:bottom w:val="none" w:sz="0" w:space="0" w:color="auto"/>
        <w:right w:val="none" w:sz="0" w:space="0" w:color="auto"/>
      </w:divBdr>
    </w:div>
    <w:div w:id="1240335676">
      <w:bodyDiv w:val="1"/>
      <w:marLeft w:val="0"/>
      <w:marRight w:val="0"/>
      <w:marTop w:val="0"/>
      <w:marBottom w:val="0"/>
      <w:divBdr>
        <w:top w:val="none" w:sz="0" w:space="0" w:color="auto"/>
        <w:left w:val="none" w:sz="0" w:space="0" w:color="auto"/>
        <w:bottom w:val="none" w:sz="0" w:space="0" w:color="auto"/>
        <w:right w:val="none" w:sz="0" w:space="0" w:color="auto"/>
      </w:divBdr>
      <w:divsChild>
        <w:div w:id="2140219064">
          <w:marLeft w:val="0"/>
          <w:marRight w:val="0"/>
          <w:marTop w:val="0"/>
          <w:marBottom w:val="0"/>
          <w:divBdr>
            <w:top w:val="none" w:sz="0" w:space="0" w:color="auto"/>
            <w:left w:val="none" w:sz="0" w:space="0" w:color="auto"/>
            <w:bottom w:val="none" w:sz="0" w:space="0" w:color="auto"/>
            <w:right w:val="none" w:sz="0" w:space="0" w:color="auto"/>
          </w:divBdr>
          <w:divsChild>
            <w:div w:id="14119831">
              <w:marLeft w:val="0"/>
              <w:marRight w:val="0"/>
              <w:marTop w:val="0"/>
              <w:marBottom w:val="0"/>
              <w:divBdr>
                <w:top w:val="none" w:sz="0" w:space="0" w:color="auto"/>
                <w:left w:val="none" w:sz="0" w:space="0" w:color="auto"/>
                <w:bottom w:val="none" w:sz="0" w:space="0" w:color="auto"/>
                <w:right w:val="none" w:sz="0" w:space="0" w:color="auto"/>
              </w:divBdr>
            </w:div>
          </w:divsChild>
        </w:div>
        <w:div w:id="2052340145">
          <w:marLeft w:val="0"/>
          <w:marRight w:val="0"/>
          <w:marTop w:val="0"/>
          <w:marBottom w:val="0"/>
          <w:divBdr>
            <w:top w:val="none" w:sz="0" w:space="0" w:color="auto"/>
            <w:left w:val="none" w:sz="0" w:space="0" w:color="auto"/>
            <w:bottom w:val="none" w:sz="0" w:space="0" w:color="auto"/>
            <w:right w:val="none" w:sz="0" w:space="0" w:color="auto"/>
          </w:divBdr>
          <w:divsChild>
            <w:div w:id="668943505">
              <w:marLeft w:val="0"/>
              <w:marRight w:val="0"/>
              <w:marTop w:val="0"/>
              <w:marBottom w:val="0"/>
              <w:divBdr>
                <w:top w:val="single" w:sz="2" w:space="15" w:color="005D25"/>
                <w:left w:val="none" w:sz="0" w:space="0" w:color="auto"/>
                <w:bottom w:val="none" w:sz="0" w:space="0" w:color="auto"/>
                <w:right w:val="none" w:sz="0" w:space="0" w:color="auto"/>
              </w:divBdr>
              <w:divsChild>
                <w:div w:id="309678901">
                  <w:marLeft w:val="0"/>
                  <w:marRight w:val="0"/>
                  <w:marTop w:val="0"/>
                  <w:marBottom w:val="0"/>
                  <w:divBdr>
                    <w:top w:val="none" w:sz="0" w:space="0" w:color="auto"/>
                    <w:left w:val="none" w:sz="0" w:space="0" w:color="auto"/>
                    <w:bottom w:val="none" w:sz="0" w:space="0" w:color="auto"/>
                    <w:right w:val="none" w:sz="0" w:space="0" w:color="auto"/>
                  </w:divBdr>
                  <w:divsChild>
                    <w:div w:id="167208837">
                      <w:marLeft w:val="0"/>
                      <w:marRight w:val="0"/>
                      <w:marTop w:val="0"/>
                      <w:marBottom w:val="0"/>
                      <w:divBdr>
                        <w:top w:val="none" w:sz="0" w:space="0" w:color="auto"/>
                        <w:left w:val="none" w:sz="0" w:space="0" w:color="auto"/>
                        <w:bottom w:val="none" w:sz="0" w:space="0" w:color="auto"/>
                        <w:right w:val="none" w:sz="0" w:space="0" w:color="auto"/>
                      </w:divBdr>
                      <w:divsChild>
                        <w:div w:id="118695609">
                          <w:marLeft w:val="0"/>
                          <w:marRight w:val="0"/>
                          <w:marTop w:val="0"/>
                          <w:marBottom w:val="0"/>
                          <w:divBdr>
                            <w:top w:val="none" w:sz="0" w:space="0" w:color="auto"/>
                            <w:left w:val="none" w:sz="0" w:space="0" w:color="auto"/>
                            <w:bottom w:val="none" w:sz="0" w:space="0" w:color="auto"/>
                            <w:right w:val="none" w:sz="0" w:space="0" w:color="auto"/>
                          </w:divBdr>
                          <w:divsChild>
                            <w:div w:id="348681908">
                              <w:marLeft w:val="0"/>
                              <w:marRight w:val="0"/>
                              <w:marTop w:val="0"/>
                              <w:marBottom w:val="0"/>
                              <w:divBdr>
                                <w:top w:val="none" w:sz="0" w:space="0" w:color="auto"/>
                                <w:left w:val="none" w:sz="0" w:space="0" w:color="auto"/>
                                <w:bottom w:val="none" w:sz="0" w:space="0" w:color="auto"/>
                                <w:right w:val="none" w:sz="0" w:space="0" w:color="auto"/>
                              </w:divBdr>
                              <w:divsChild>
                                <w:div w:id="3725803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100916">
      <w:bodyDiv w:val="1"/>
      <w:marLeft w:val="0"/>
      <w:marRight w:val="0"/>
      <w:marTop w:val="0"/>
      <w:marBottom w:val="0"/>
      <w:divBdr>
        <w:top w:val="none" w:sz="0" w:space="0" w:color="auto"/>
        <w:left w:val="none" w:sz="0" w:space="0" w:color="auto"/>
        <w:bottom w:val="none" w:sz="0" w:space="0" w:color="auto"/>
        <w:right w:val="none" w:sz="0" w:space="0" w:color="auto"/>
      </w:divBdr>
      <w:divsChild>
        <w:div w:id="2101565632">
          <w:marLeft w:val="0"/>
          <w:marRight w:val="0"/>
          <w:marTop w:val="0"/>
          <w:marBottom w:val="0"/>
          <w:divBdr>
            <w:top w:val="single" w:sz="6" w:space="8" w:color="B8B8B8"/>
            <w:left w:val="none" w:sz="0" w:space="0" w:color="auto"/>
            <w:bottom w:val="none" w:sz="0" w:space="0" w:color="auto"/>
            <w:right w:val="none" w:sz="0" w:space="0" w:color="auto"/>
          </w:divBdr>
          <w:divsChild>
            <w:div w:id="1961911580">
              <w:marLeft w:val="2"/>
              <w:marRight w:val="2"/>
              <w:marTop w:val="0"/>
              <w:marBottom w:val="0"/>
              <w:divBdr>
                <w:top w:val="single" w:sz="6" w:space="8" w:color="CDCCD4"/>
                <w:left w:val="single" w:sz="6" w:space="8" w:color="CDCCD4"/>
                <w:bottom w:val="single" w:sz="6" w:space="8" w:color="CDCCD4"/>
                <w:right w:val="single" w:sz="6" w:space="4" w:color="CDCCD4"/>
              </w:divBdr>
              <w:divsChild>
                <w:div w:id="391195744">
                  <w:marLeft w:val="0"/>
                  <w:marRight w:val="0"/>
                  <w:marTop w:val="75"/>
                  <w:marBottom w:val="75"/>
                  <w:divBdr>
                    <w:top w:val="single" w:sz="6" w:space="8" w:color="CCCCD4"/>
                    <w:left w:val="single" w:sz="6" w:space="8" w:color="CCCCD4"/>
                    <w:bottom w:val="single" w:sz="6" w:space="8" w:color="CCCCD4"/>
                    <w:right w:val="single" w:sz="6" w:space="8" w:color="CCCCD4"/>
                  </w:divBdr>
                  <w:divsChild>
                    <w:div w:id="1022050779">
                      <w:marLeft w:val="0"/>
                      <w:marRight w:val="0"/>
                      <w:marTop w:val="0"/>
                      <w:marBottom w:val="0"/>
                      <w:divBdr>
                        <w:top w:val="none" w:sz="0" w:space="0" w:color="auto"/>
                        <w:left w:val="none" w:sz="0" w:space="0" w:color="auto"/>
                        <w:bottom w:val="none" w:sz="0" w:space="0" w:color="auto"/>
                        <w:right w:val="none" w:sz="0" w:space="0" w:color="auto"/>
                      </w:divBdr>
                      <w:divsChild>
                        <w:div w:id="1340351225">
                          <w:marLeft w:val="0"/>
                          <w:marRight w:val="0"/>
                          <w:marTop w:val="0"/>
                          <w:marBottom w:val="0"/>
                          <w:divBdr>
                            <w:top w:val="none" w:sz="0" w:space="0" w:color="auto"/>
                            <w:left w:val="none" w:sz="0" w:space="0" w:color="auto"/>
                            <w:bottom w:val="none" w:sz="0" w:space="0" w:color="auto"/>
                            <w:right w:val="single" w:sz="6" w:space="0" w:color="CCCCD4"/>
                          </w:divBdr>
                          <w:divsChild>
                            <w:div w:id="1336886175">
                              <w:marLeft w:val="0"/>
                              <w:marRight w:val="0"/>
                              <w:marTop w:val="0"/>
                              <w:marBottom w:val="0"/>
                              <w:divBdr>
                                <w:top w:val="none" w:sz="0" w:space="0" w:color="auto"/>
                                <w:left w:val="none" w:sz="0" w:space="0" w:color="auto"/>
                                <w:bottom w:val="none" w:sz="0" w:space="0" w:color="auto"/>
                                <w:right w:val="none" w:sz="0" w:space="0" w:color="auto"/>
                              </w:divBdr>
                              <w:divsChild>
                                <w:div w:id="778332920">
                                  <w:marLeft w:val="0"/>
                                  <w:marRight w:val="0"/>
                                  <w:marTop w:val="0"/>
                                  <w:marBottom w:val="0"/>
                                  <w:divBdr>
                                    <w:top w:val="none" w:sz="0" w:space="0" w:color="auto"/>
                                    <w:left w:val="none" w:sz="0" w:space="0" w:color="auto"/>
                                    <w:bottom w:val="none" w:sz="0" w:space="0" w:color="auto"/>
                                    <w:right w:val="none" w:sz="0" w:space="0" w:color="auto"/>
                                  </w:divBdr>
                                  <w:divsChild>
                                    <w:div w:id="10803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140090">
      <w:bodyDiv w:val="1"/>
      <w:marLeft w:val="0"/>
      <w:marRight w:val="0"/>
      <w:marTop w:val="0"/>
      <w:marBottom w:val="0"/>
      <w:divBdr>
        <w:top w:val="none" w:sz="0" w:space="0" w:color="auto"/>
        <w:left w:val="none" w:sz="0" w:space="0" w:color="auto"/>
        <w:bottom w:val="none" w:sz="0" w:space="0" w:color="auto"/>
        <w:right w:val="none" w:sz="0" w:space="0" w:color="auto"/>
      </w:divBdr>
    </w:div>
    <w:div w:id="1498032769">
      <w:bodyDiv w:val="1"/>
      <w:marLeft w:val="0"/>
      <w:marRight w:val="0"/>
      <w:marTop w:val="0"/>
      <w:marBottom w:val="0"/>
      <w:divBdr>
        <w:top w:val="none" w:sz="0" w:space="0" w:color="auto"/>
        <w:left w:val="none" w:sz="0" w:space="0" w:color="auto"/>
        <w:bottom w:val="none" w:sz="0" w:space="0" w:color="auto"/>
        <w:right w:val="none" w:sz="0" w:space="0" w:color="auto"/>
      </w:divBdr>
    </w:div>
    <w:div w:id="1519125735">
      <w:bodyDiv w:val="1"/>
      <w:marLeft w:val="0"/>
      <w:marRight w:val="0"/>
      <w:marTop w:val="0"/>
      <w:marBottom w:val="0"/>
      <w:divBdr>
        <w:top w:val="none" w:sz="0" w:space="0" w:color="auto"/>
        <w:left w:val="none" w:sz="0" w:space="0" w:color="auto"/>
        <w:bottom w:val="none" w:sz="0" w:space="0" w:color="auto"/>
        <w:right w:val="none" w:sz="0" w:space="0" w:color="auto"/>
      </w:divBdr>
    </w:div>
    <w:div w:id="1694452721">
      <w:bodyDiv w:val="1"/>
      <w:marLeft w:val="0"/>
      <w:marRight w:val="0"/>
      <w:marTop w:val="0"/>
      <w:marBottom w:val="0"/>
      <w:divBdr>
        <w:top w:val="none" w:sz="0" w:space="0" w:color="auto"/>
        <w:left w:val="none" w:sz="0" w:space="0" w:color="auto"/>
        <w:bottom w:val="none" w:sz="0" w:space="0" w:color="auto"/>
        <w:right w:val="none" w:sz="0" w:space="0" w:color="auto"/>
      </w:divBdr>
    </w:div>
    <w:div w:id="202351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www.abs.gov.au/ausstats/abs@.nsf/mf/5352.0" TargetMode="External"/><Relationship Id="rId1" Type="http://schemas.openxmlformats.org/officeDocument/2006/relationships/hyperlink" Target="https://docs.employment.gov.au/documents/list-greenfield-agreements-ma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2491C9-8A34-4303-BB77-AD5E49212172}"/>
</file>

<file path=customXml/itemProps2.xml><?xml version="1.0" encoding="utf-8"?>
<ds:datastoreItem xmlns:ds="http://schemas.openxmlformats.org/officeDocument/2006/customXml" ds:itemID="{B0767C9F-9092-4932-816B-19A42C1F8B18}"/>
</file>

<file path=customXml/itemProps3.xml><?xml version="1.0" encoding="utf-8"?>
<ds:datastoreItem xmlns:ds="http://schemas.openxmlformats.org/officeDocument/2006/customXml" ds:itemID="{17005DC1-0462-43F3-86D7-7B0269DC0AEB}"/>
</file>

<file path=customXml/itemProps4.xml><?xml version="1.0" encoding="utf-8"?>
<ds:datastoreItem xmlns:ds="http://schemas.openxmlformats.org/officeDocument/2006/customXml" ds:itemID="{511803B0-EE42-4D79-AF29-B9160EDCBBAC}"/>
</file>

<file path=docProps/app.xml><?xml version="1.0" encoding="utf-8"?>
<Properties xmlns="http://schemas.openxmlformats.org/officeDocument/2006/extended-properties" xmlns:vt="http://schemas.openxmlformats.org/officeDocument/2006/docPropsVTypes">
  <Template>92DD3976.dotm</Template>
  <TotalTime>2399</TotalTime>
  <Pages>11</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TITLE</vt:lpstr>
    </vt:vector>
  </TitlesOfParts>
  <Company>AUSTRALIAN BUSINESS INDUSTRIAL</Company>
  <LinksUpToDate>false</LinksUpToDate>
  <CharactersWithSpaces>23313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Greenfields Agreements Review</dc:title>
  <dc:subject>Submission</dc:subject>
  <dc:creator>Dick Grozier</dc:creator>
  <cp:lastModifiedBy>HELIOS,George</cp:lastModifiedBy>
  <cp:revision>35</cp:revision>
  <cp:lastPrinted>2017-10-24T23:43:00Z</cp:lastPrinted>
  <dcterms:created xsi:type="dcterms:W3CDTF">2017-10-17T02:00:00Z</dcterms:created>
  <dcterms:modified xsi:type="dcterms:W3CDTF">2017-10-26T06:41:00Z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21600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