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FFF5" w14:textId="5CA214F4" w:rsidR="00837E53" w:rsidRDefault="005A7C29" w:rsidP="00FC428B">
      <w:pPr>
        <w:pStyle w:val="Title"/>
        <w:spacing w:before="240" w:after="240"/>
      </w:pPr>
      <w:r w:rsidRPr="0027592B">
        <w:rPr>
          <w:b/>
          <w:color w:val="767171" w:themeColor="background2" w:themeShade="80"/>
          <w:sz w:val="32"/>
          <w:szCs w:val="32"/>
        </w:rPr>
        <w:t xml:space="preserve"> </w:t>
      </w:r>
      <w:r w:rsidR="00146FF3" w:rsidRPr="0027592B">
        <w:rPr>
          <w:b/>
          <w:color w:val="767171" w:themeColor="background2" w:themeShade="80"/>
          <w:sz w:val="32"/>
          <w:szCs w:val="32"/>
        </w:rPr>
        <w:t>Guideline</w:t>
      </w:r>
      <w:r w:rsidR="00146FF3" w:rsidRPr="0027592B">
        <w:rPr>
          <w:color w:val="767171" w:themeColor="background2" w:themeShade="80"/>
          <w:sz w:val="32"/>
          <w:szCs w:val="32"/>
        </w:rPr>
        <w:t>:</w:t>
      </w:r>
      <w:r w:rsidR="00146FF3">
        <w:br/>
      </w:r>
      <w:r w:rsidR="003329A7">
        <w:t>Performance Framework</w:t>
      </w:r>
    </w:p>
    <w:p w14:paraId="3DE41B0B" w14:textId="7F6E07D5" w:rsidR="00A9085C" w:rsidRDefault="00313C5B" w:rsidP="004670DD">
      <w:pPr>
        <w:pStyle w:val="guidelinetext"/>
        <w:ind w:left="0"/>
      </w:pPr>
      <w:r>
        <w:t xml:space="preserve">A </w:t>
      </w:r>
      <w:r w:rsidRPr="0052035C">
        <w:t xml:space="preserve">sound </w:t>
      </w:r>
      <w:r>
        <w:t>performance f</w:t>
      </w:r>
      <w:r w:rsidRPr="0052035C">
        <w:t xml:space="preserve">ramework based on the principles of </w:t>
      </w:r>
      <w:r w:rsidR="005624A1">
        <w:t>effectiveness</w:t>
      </w:r>
      <w:r w:rsidRPr="0052035C">
        <w:t xml:space="preserve">, </w:t>
      </w:r>
      <w:r>
        <w:t>engagement</w:t>
      </w:r>
      <w:r w:rsidRPr="0052035C">
        <w:t xml:space="preserve">, </w:t>
      </w:r>
      <w:r>
        <w:t>satisfaction and service quality underpins t</w:t>
      </w:r>
      <w:r w:rsidR="002D5CA5">
        <w:t>he</w:t>
      </w:r>
      <w:r w:rsidR="00005C67">
        <w:t xml:space="preserve"> T</w:t>
      </w:r>
      <w:r w:rsidR="002D5CA5">
        <w:t xml:space="preserve">ime to </w:t>
      </w:r>
      <w:r w:rsidR="00005C67">
        <w:t>W</w:t>
      </w:r>
      <w:r w:rsidR="002D5CA5">
        <w:t xml:space="preserve">ork </w:t>
      </w:r>
      <w:r w:rsidR="00005C67">
        <w:t>Employment S</w:t>
      </w:r>
      <w:r w:rsidR="002D5CA5">
        <w:t>ervice</w:t>
      </w:r>
      <w:r w:rsidR="0052035C" w:rsidRPr="0052035C">
        <w:t xml:space="preserve"> </w:t>
      </w:r>
      <w:r w:rsidR="00762B6C">
        <w:t xml:space="preserve">(the </w:t>
      </w:r>
      <w:r w:rsidR="00A60933">
        <w:t>S</w:t>
      </w:r>
      <w:r w:rsidR="00762B6C">
        <w:t>ervice)</w:t>
      </w:r>
      <w:r w:rsidR="0052035C" w:rsidRPr="0052035C">
        <w:t>. This Guideline contains detailed informati</w:t>
      </w:r>
      <w:r w:rsidR="002D5CA5">
        <w:t xml:space="preserve">on on the </w:t>
      </w:r>
      <w:r w:rsidR="00762B6C">
        <w:t>p</w:t>
      </w:r>
      <w:r w:rsidR="002D5CA5">
        <w:t xml:space="preserve">erformance </w:t>
      </w:r>
      <w:r w:rsidR="00762B6C">
        <w:t>f</w:t>
      </w:r>
      <w:r w:rsidR="002D5CA5">
        <w:t>ramework</w:t>
      </w:r>
      <w:r w:rsidR="0052035C" w:rsidRPr="0052035C">
        <w:t xml:space="preserve"> for </w:t>
      </w:r>
      <w:r w:rsidR="00FE07F0">
        <w:t xml:space="preserve">delivering </w:t>
      </w:r>
      <w:r w:rsidR="00AF753E">
        <w:t>S</w:t>
      </w:r>
      <w:r w:rsidR="0052035C" w:rsidRPr="0052035C">
        <w:t xml:space="preserve">ervices under </w:t>
      </w:r>
      <w:r w:rsidR="002D5CA5">
        <w:t xml:space="preserve">the </w:t>
      </w:r>
      <w:r w:rsidR="00053CC3">
        <w:t>Time to Work Employment Service Deed 2018</w:t>
      </w:r>
      <w:r w:rsidR="00A76946">
        <w:t>–</w:t>
      </w:r>
      <w:r w:rsidR="00460F63">
        <w:t>2023</w:t>
      </w:r>
      <w:r w:rsidR="00053CC3">
        <w:t xml:space="preserve"> (the Deed)</w:t>
      </w:r>
      <w:r w:rsidR="00FE07F0">
        <w:t>, and assessing Provider performance</w:t>
      </w:r>
      <w:r w:rsidR="0052035C" w:rsidRPr="0052035C">
        <w:t xml:space="preserve">. </w:t>
      </w:r>
    </w:p>
    <w:p w14:paraId="3A320319" w14:textId="41DA5532" w:rsidR="004670DD" w:rsidRPr="004670DD" w:rsidRDefault="004670DD" w:rsidP="004670DD">
      <w:pPr>
        <w:pStyle w:val="guidelinebullet"/>
        <w:tabs>
          <w:tab w:val="right" w:pos="1701"/>
        </w:tabs>
        <w:ind w:left="1797"/>
        <w:rPr>
          <w:color w:val="385623" w:themeColor="accent6" w:themeShade="80"/>
        </w:rPr>
      </w:pPr>
    </w:p>
    <w:p w14:paraId="2BADA668" w14:textId="77777777" w:rsidR="00DA7435" w:rsidRPr="00D70644" w:rsidRDefault="00DA7435" w:rsidP="00DA7435">
      <w:pPr>
        <w:tabs>
          <w:tab w:val="right" w:pos="1701"/>
        </w:tabs>
        <w:sectPr w:rsidR="00DA7435" w:rsidRPr="00D70644" w:rsidSect="00FC428B">
          <w:headerReference w:type="even" r:id="rId8"/>
          <w:headerReference w:type="default" r:id="rId9"/>
          <w:footerReference w:type="even" r:id="rId10"/>
          <w:footerReference w:type="default" r:id="rId11"/>
          <w:headerReference w:type="first" r:id="rId12"/>
          <w:footerReference w:type="first" r:id="rId13"/>
          <w:pgSz w:w="11906" w:h="16838"/>
          <w:pgMar w:top="568" w:right="1440" w:bottom="1440" w:left="1440" w:header="0" w:footer="708" w:gutter="0"/>
          <w:cols w:space="708"/>
          <w:titlePg/>
          <w:docGrid w:linePitch="360"/>
        </w:sectPr>
      </w:pPr>
    </w:p>
    <w:p w14:paraId="3FD5B2D5" w14:textId="4904B5BB" w:rsidR="00DA7435" w:rsidRPr="00D70644" w:rsidRDefault="00DA7435" w:rsidP="00DA7435">
      <w:pPr>
        <w:rPr>
          <w:color w:val="385623" w:themeColor="accent6" w:themeShade="80"/>
        </w:rPr>
      </w:pPr>
      <w:r w:rsidRPr="00D70644">
        <w:rPr>
          <w:color w:val="767171" w:themeColor="background2" w:themeShade="80"/>
        </w:rPr>
        <w:t xml:space="preserve">Version: </w:t>
      </w:r>
      <w:r w:rsidR="00915C05">
        <w:rPr>
          <w:color w:val="767171" w:themeColor="background2" w:themeShade="80"/>
        </w:rPr>
        <w:t>1.</w:t>
      </w:r>
      <w:r w:rsidR="00DB0090">
        <w:rPr>
          <w:color w:val="767171" w:themeColor="background2" w:themeShade="80"/>
        </w:rPr>
        <w:t>2</w:t>
      </w:r>
    </w:p>
    <w:p w14:paraId="043A610F" w14:textId="7AC02ED1" w:rsidR="00DA7435" w:rsidRPr="00D70644" w:rsidRDefault="00DA7435" w:rsidP="00DA7435">
      <w:r w:rsidRPr="00D70644">
        <w:rPr>
          <w:color w:val="767171" w:themeColor="background2" w:themeShade="80"/>
        </w:rPr>
        <w:br w:type="column"/>
      </w:r>
      <w:r w:rsidRPr="00D70644">
        <w:rPr>
          <w:color w:val="767171" w:themeColor="background2" w:themeShade="80"/>
        </w:rPr>
        <w:t>Published on:</w:t>
      </w:r>
      <w:r w:rsidRPr="00D70644">
        <w:t xml:space="preserve"> </w:t>
      </w:r>
      <w:r w:rsidR="00B419B1">
        <w:rPr>
          <w:sz w:val="20"/>
          <w:szCs w:val="20"/>
        </w:rPr>
        <w:t>27 June 2022</w:t>
      </w:r>
      <w:r w:rsidR="00212892" w:rsidRPr="00E47D4B">
        <w:rPr>
          <w:sz w:val="20"/>
          <w:szCs w:val="20"/>
        </w:rPr>
        <w:t xml:space="preserve"> </w:t>
      </w:r>
    </w:p>
    <w:p w14:paraId="48E80436" w14:textId="24487F1E" w:rsidR="00212892" w:rsidRDefault="00DA7435" w:rsidP="00DA7435">
      <w:r w:rsidRPr="00D70644">
        <w:rPr>
          <w:color w:val="767171" w:themeColor="background2" w:themeShade="80"/>
        </w:rPr>
        <w:t>Effective from:</w:t>
      </w:r>
      <w:r w:rsidRPr="00D70644">
        <w:t xml:space="preserve"> </w:t>
      </w:r>
      <w:r w:rsidR="004B4C16">
        <w:rPr>
          <w:sz w:val="20"/>
          <w:szCs w:val="20"/>
        </w:rPr>
        <w:t>1 July 2022</w:t>
      </w:r>
      <w:r w:rsidR="00212892">
        <w:rPr>
          <w:sz w:val="20"/>
          <w:szCs w:val="20"/>
        </w:rPr>
        <w:t xml:space="preserve"> </w:t>
      </w:r>
    </w:p>
    <w:p w14:paraId="749E0A81" w14:textId="77777777" w:rsidR="00DA7435" w:rsidRDefault="00DA7435" w:rsidP="00DA7435">
      <w:pPr>
        <w:rPr>
          <w:color w:val="385623" w:themeColor="accent6" w:themeShade="80"/>
        </w:rPr>
      </w:pPr>
    </w:p>
    <w:p w14:paraId="2DDF811A" w14:textId="53731BCB" w:rsidR="00212892" w:rsidRDefault="00212892" w:rsidP="00212892">
      <w:pPr>
        <w:rPr>
          <w:color w:val="385623" w:themeColor="accent6" w:themeShade="80"/>
        </w:rPr>
        <w:sectPr w:rsidR="00212892" w:rsidSect="00837E53">
          <w:type w:val="continuous"/>
          <w:pgSz w:w="11906" w:h="16838"/>
          <w:pgMar w:top="1440" w:right="1440" w:bottom="1440" w:left="1440" w:header="708" w:footer="708" w:gutter="0"/>
          <w:cols w:num="2" w:space="708"/>
          <w:titlePg/>
          <w:docGrid w:linePitch="360"/>
        </w:sectPr>
      </w:pPr>
    </w:p>
    <w:p w14:paraId="4931B40D" w14:textId="2F9FBD59" w:rsidR="00212892" w:rsidRPr="00116544" w:rsidRDefault="00212892" w:rsidP="00212892">
      <w:pPr>
        <w:pStyle w:val="guidelinedocinfo"/>
        <w:spacing w:before="360"/>
      </w:pPr>
      <w:r w:rsidRPr="00116544">
        <w:t xml:space="preserve">Changes from the previous version (Version </w:t>
      </w:r>
      <w:r>
        <w:t>1</w:t>
      </w:r>
      <w:r w:rsidRPr="00116544">
        <w:t>.</w:t>
      </w:r>
      <w:r w:rsidR="00460F63">
        <w:t>1</w:t>
      </w:r>
      <w:r w:rsidRPr="00116544">
        <w:t>)</w:t>
      </w:r>
    </w:p>
    <w:p w14:paraId="12D529E5" w14:textId="77777777" w:rsidR="00212892" w:rsidRDefault="00212892" w:rsidP="00212892">
      <w:pPr>
        <w:pStyle w:val="guidelinechanges"/>
        <w:rPr>
          <w:b/>
        </w:rPr>
      </w:pPr>
      <w:r w:rsidRPr="00D911DD">
        <w:rPr>
          <w:b/>
        </w:rPr>
        <w:t>Policy changes:</w:t>
      </w:r>
    </w:p>
    <w:p w14:paraId="226B1956" w14:textId="6A4D1347" w:rsidR="00915C05" w:rsidRDefault="00915C05" w:rsidP="00915C05">
      <w:pPr>
        <w:pStyle w:val="guidelinechanges"/>
        <w:rPr>
          <w:b/>
        </w:rPr>
      </w:pPr>
      <w:r>
        <w:rPr>
          <w:bCs/>
        </w:rPr>
        <w:t>Nil</w:t>
      </w:r>
    </w:p>
    <w:p w14:paraId="39072DAB" w14:textId="4F4EF072" w:rsidR="00212892" w:rsidRPr="00D911DD" w:rsidRDefault="00212892" w:rsidP="00915C05">
      <w:pPr>
        <w:pStyle w:val="guidelinechanges"/>
        <w:rPr>
          <w:b/>
        </w:rPr>
      </w:pPr>
      <w:r w:rsidRPr="00D911DD">
        <w:rPr>
          <w:b/>
        </w:rPr>
        <w:t>Wording changes:</w:t>
      </w:r>
    </w:p>
    <w:p w14:paraId="6F9C5760" w14:textId="3B191A72" w:rsidR="00915C05" w:rsidRPr="00D37703" w:rsidRDefault="00053CC3" w:rsidP="00915C05">
      <w:pPr>
        <w:pStyle w:val="guidelinechanges"/>
        <w:rPr>
          <w:bCs/>
        </w:rPr>
      </w:pPr>
      <w:r>
        <w:rPr>
          <w:bCs/>
        </w:rPr>
        <w:t>G</w:t>
      </w:r>
      <w:r w:rsidR="00915C05" w:rsidRPr="00AA5AD1">
        <w:rPr>
          <w:bCs/>
        </w:rPr>
        <w:t xml:space="preserve">eneral editing to reflect the </w:t>
      </w:r>
      <w:r w:rsidR="00460F63">
        <w:rPr>
          <w:bCs/>
        </w:rPr>
        <w:t xml:space="preserve">additional </w:t>
      </w:r>
      <w:r w:rsidR="00915C05">
        <w:rPr>
          <w:bCs/>
        </w:rPr>
        <w:t xml:space="preserve">12 month </w:t>
      </w:r>
      <w:r w:rsidR="00915C05" w:rsidRPr="00AA5AD1">
        <w:rPr>
          <w:bCs/>
        </w:rPr>
        <w:t>extension to the Time to Work Employment</w:t>
      </w:r>
      <w:r w:rsidR="00915C05">
        <w:rPr>
          <w:bCs/>
        </w:rPr>
        <w:t xml:space="preserve"> </w:t>
      </w:r>
      <w:r w:rsidR="00915C05" w:rsidRPr="00AA5AD1">
        <w:rPr>
          <w:bCs/>
        </w:rPr>
        <w:t>Service</w:t>
      </w:r>
      <w:r w:rsidR="00915C05">
        <w:rPr>
          <w:bCs/>
        </w:rPr>
        <w:t xml:space="preserve"> </w:t>
      </w:r>
      <w:r w:rsidR="00915C05" w:rsidRPr="00AA5AD1">
        <w:rPr>
          <w:bCs/>
        </w:rPr>
        <w:t>Deed 2018</w:t>
      </w:r>
      <w:r w:rsidR="00B7194A">
        <w:rPr>
          <w:bCs/>
        </w:rPr>
        <w:t>–</w:t>
      </w:r>
      <w:r w:rsidR="00265D6C">
        <w:rPr>
          <w:bCs/>
        </w:rPr>
        <w:t>2023</w:t>
      </w:r>
      <w:r w:rsidR="00915C05" w:rsidRPr="00915C05">
        <w:rPr>
          <w:bCs/>
        </w:rPr>
        <w:t xml:space="preserve"> </w:t>
      </w:r>
      <w:r w:rsidR="00915C05">
        <w:rPr>
          <w:bCs/>
        </w:rPr>
        <w:t xml:space="preserve">and </w:t>
      </w:r>
      <w:r w:rsidR="00915C05" w:rsidRPr="00AA5AD1">
        <w:rPr>
          <w:bCs/>
        </w:rPr>
        <w:t xml:space="preserve">general editing </w:t>
      </w:r>
      <w:r w:rsidR="00915C05">
        <w:rPr>
          <w:bCs/>
        </w:rPr>
        <w:t>intended to improve readability</w:t>
      </w:r>
      <w:r w:rsidR="00C710BA">
        <w:rPr>
          <w:bCs/>
        </w:rPr>
        <w:t xml:space="preserve"> and reflect the replacement of jobactive with Workforce Australia Services</w:t>
      </w:r>
      <w:r w:rsidR="00915C05" w:rsidRPr="00AA5AD1">
        <w:rPr>
          <w:bCs/>
        </w:rPr>
        <w:t>.</w:t>
      </w:r>
    </w:p>
    <w:p w14:paraId="636FCC5D" w14:textId="5BD0F862" w:rsidR="00212892" w:rsidRDefault="00212892" w:rsidP="00212892">
      <w:pPr>
        <w:pStyle w:val="guidelinechanges"/>
        <w:spacing w:before="0"/>
      </w:pPr>
    </w:p>
    <w:p w14:paraId="4B493CF0" w14:textId="6C1DB124" w:rsidR="00DA7435" w:rsidRPr="00DA7435" w:rsidRDefault="00DA7435" w:rsidP="00DA7435">
      <w:pPr>
        <w:pBdr>
          <w:top w:val="single" w:sz="4" w:space="1" w:color="767171" w:themeColor="background2" w:themeShade="80"/>
        </w:pBdr>
        <w:rPr>
          <w:color w:val="767171" w:themeColor="background2" w:themeShade="80"/>
        </w:rPr>
      </w:pPr>
      <w:r w:rsidRPr="00DA7435">
        <w:rPr>
          <w:color w:val="767171" w:themeColor="background2" w:themeShade="80"/>
        </w:rPr>
        <w:t>Related documents and references</w:t>
      </w:r>
    </w:p>
    <w:p w14:paraId="53B3A9C3" w14:textId="77777777" w:rsidR="008A3C21" w:rsidRDefault="008A3C21" w:rsidP="00C333EA">
      <w:pPr>
        <w:numPr>
          <w:ilvl w:val="0"/>
          <w:numId w:val="3"/>
        </w:numPr>
        <w:spacing w:before="60"/>
        <w:ind w:left="426" w:hanging="426"/>
        <w:rPr>
          <w:sz w:val="20"/>
        </w:rPr>
        <w:sectPr w:rsidR="008A3C21" w:rsidSect="00DA7435">
          <w:headerReference w:type="default" r:id="rId14"/>
          <w:type w:val="continuous"/>
          <w:pgSz w:w="11906" w:h="16838"/>
          <w:pgMar w:top="1440" w:right="1440" w:bottom="1440" w:left="1440" w:header="708" w:footer="708" w:gutter="0"/>
          <w:cols w:space="708"/>
          <w:titlePg/>
          <w:docGrid w:linePitch="360"/>
        </w:sectPr>
      </w:pPr>
    </w:p>
    <w:p w14:paraId="53C9FC79" w14:textId="6DF949E3" w:rsidR="00762B6C" w:rsidRPr="00326880" w:rsidRDefault="00170201" w:rsidP="004670DD">
      <w:pPr>
        <w:spacing w:before="60"/>
        <w:rPr>
          <w:rStyle w:val="Hyperlink"/>
          <w:sz w:val="20"/>
        </w:rPr>
      </w:pPr>
      <w:r w:rsidRPr="00326880">
        <w:rPr>
          <w:sz w:val="20"/>
        </w:rPr>
        <w:fldChar w:fldCharType="begin"/>
      </w:r>
      <w:r w:rsidR="00112276" w:rsidRPr="00326880">
        <w:rPr>
          <w:sz w:val="20"/>
        </w:rPr>
        <w:instrText>HYPERLINK "https://ecsnaccessintranet.hosts.application.enet/ProviderPortal/TWES/ContractualInformation/pages/Default.aspx"</w:instrText>
      </w:r>
      <w:r w:rsidRPr="00326880">
        <w:rPr>
          <w:sz w:val="20"/>
        </w:rPr>
        <w:fldChar w:fldCharType="separate"/>
      </w:r>
      <w:r w:rsidR="00762B6C" w:rsidRPr="00326880">
        <w:rPr>
          <w:rStyle w:val="Hyperlink"/>
          <w:sz w:val="20"/>
        </w:rPr>
        <w:t>Time to Work Employment Service Deed 2018</w:t>
      </w:r>
      <w:r w:rsidR="006826AA" w:rsidRPr="00326880">
        <w:rPr>
          <w:rStyle w:val="Hyperlink"/>
          <w:sz w:val="20"/>
        </w:rPr>
        <w:t>–</w:t>
      </w:r>
      <w:r w:rsidR="00460F63" w:rsidRPr="00326880">
        <w:rPr>
          <w:rStyle w:val="Hyperlink"/>
          <w:sz w:val="20"/>
        </w:rPr>
        <w:t>2023</w:t>
      </w:r>
    </w:p>
    <w:p w14:paraId="2E84913B" w14:textId="186CE13B" w:rsidR="00DA7435" w:rsidRPr="00DA7435" w:rsidRDefault="00170201" w:rsidP="004670DD">
      <w:pPr>
        <w:spacing w:before="60"/>
        <w:rPr>
          <w:sz w:val="20"/>
        </w:rPr>
      </w:pPr>
      <w:r w:rsidRPr="00326880">
        <w:rPr>
          <w:sz w:val="20"/>
        </w:rPr>
        <w:fldChar w:fldCharType="end"/>
      </w:r>
      <w:hyperlink r:id="rId15" w:history="1">
        <w:r w:rsidR="00C85E89" w:rsidRPr="001237B8">
          <w:rPr>
            <w:rStyle w:val="Hyperlink"/>
            <w:sz w:val="20"/>
          </w:rPr>
          <w:t>Time to Work Employment Service Guideline</w:t>
        </w:r>
      </w:hyperlink>
    </w:p>
    <w:p w14:paraId="2EC453C9" w14:textId="19377ED8" w:rsidR="00DA7435" w:rsidRPr="00DA7435" w:rsidRDefault="00B100A2" w:rsidP="004670DD">
      <w:pPr>
        <w:spacing w:before="60"/>
        <w:rPr>
          <w:sz w:val="20"/>
        </w:rPr>
      </w:pPr>
      <w:hyperlink r:id="rId16" w:history="1">
        <w:r w:rsidR="00DA7435" w:rsidRPr="001237B8">
          <w:rPr>
            <w:rStyle w:val="Hyperlink"/>
            <w:sz w:val="20"/>
          </w:rPr>
          <w:t>Learning Centre website</w:t>
        </w:r>
      </w:hyperlink>
    </w:p>
    <w:p w14:paraId="6D545724" w14:textId="1248B57B" w:rsidR="00DA7435" w:rsidRDefault="00B100A2" w:rsidP="00D270A9">
      <w:pPr>
        <w:spacing w:before="60"/>
        <w:rPr>
          <w:color w:val="385623" w:themeColor="accent6" w:themeShade="80"/>
        </w:rPr>
      </w:pPr>
      <w:hyperlink r:id="rId17" w:history="1">
        <w:r w:rsidR="00DA7435" w:rsidRPr="009F574B">
          <w:rPr>
            <w:rStyle w:val="Hyperlink"/>
            <w:sz w:val="20"/>
          </w:rPr>
          <w:t>Employment Services Reporting</w:t>
        </w:r>
      </w:hyperlink>
      <w:r w:rsidR="00DA7435" w:rsidRPr="00DA7435">
        <w:rPr>
          <w:sz w:val="20"/>
        </w:rPr>
        <w:t xml:space="preserve"> an</w:t>
      </w:r>
      <w:r w:rsidR="00112276">
        <w:rPr>
          <w:sz w:val="20"/>
        </w:rPr>
        <w:t xml:space="preserve">d </w:t>
      </w:r>
      <w:hyperlink r:id="rId18" w:history="1">
        <w:r w:rsidR="00DA7435" w:rsidRPr="009F574B">
          <w:rPr>
            <w:rStyle w:val="Hyperlink"/>
            <w:sz w:val="20"/>
          </w:rPr>
          <w:t>Qlik</w:t>
        </w:r>
      </w:hyperlink>
    </w:p>
    <w:p w14:paraId="1111DC49" w14:textId="7D1581C5" w:rsidR="00762B6C" w:rsidRDefault="00762B6C" w:rsidP="00DA7435">
      <w:pPr>
        <w:rPr>
          <w:color w:val="385623" w:themeColor="accent6" w:themeShade="80"/>
        </w:rPr>
      </w:pPr>
    </w:p>
    <w:p w14:paraId="67D41628" w14:textId="77777777" w:rsidR="00762B6C" w:rsidRDefault="00762B6C" w:rsidP="00DA7435">
      <w:pPr>
        <w:rPr>
          <w:color w:val="385623" w:themeColor="accent6" w:themeShade="80"/>
        </w:rPr>
        <w:sectPr w:rsidR="00762B6C" w:rsidSect="00F70B57">
          <w:headerReference w:type="default" r:id="rId19"/>
          <w:footerReference w:type="even" r:id="rId20"/>
          <w:footerReference w:type="default" r:id="rId21"/>
          <w:headerReference w:type="first" r:id="rId22"/>
          <w:type w:val="continuous"/>
          <w:pgSz w:w="11906" w:h="16838"/>
          <w:pgMar w:top="1440" w:right="1440" w:bottom="1440" w:left="1440" w:header="709" w:footer="709" w:gutter="0"/>
          <w:cols w:num="2" w:space="282"/>
          <w:titlePg/>
          <w:docGrid w:linePitch="360"/>
        </w:sectPr>
      </w:pPr>
    </w:p>
    <w:sdt>
      <w:sdtPr>
        <w:rPr>
          <w:color w:val="auto"/>
          <w:lang w:val="en-AU"/>
        </w:rPr>
        <w:id w:val="-477219038"/>
        <w:docPartObj>
          <w:docPartGallery w:val="Table of Contents"/>
          <w:docPartUnique/>
        </w:docPartObj>
      </w:sdtPr>
      <w:sdtEndPr>
        <w:rPr>
          <w:bCs/>
          <w:noProof/>
        </w:rPr>
      </w:sdtEndPr>
      <w:sdtContent>
        <w:p w14:paraId="56F432F3" w14:textId="2BBFA273" w:rsidR="00616F93" w:rsidRPr="00DC2309" w:rsidRDefault="00616F93">
          <w:pPr>
            <w:pStyle w:val="TOCHeading"/>
            <w:rPr>
              <w:rFonts w:asciiTheme="majorHAnsi" w:eastAsia="Times New Roman" w:hAnsiTheme="majorHAnsi" w:cstheme="majorBidi"/>
              <w:color w:val="2E74B5" w:themeColor="accent1" w:themeShade="BF"/>
              <w:sz w:val="26"/>
              <w:szCs w:val="26"/>
              <w:lang w:val="en-AU"/>
            </w:rPr>
          </w:pPr>
          <w:r w:rsidRPr="00DC2309">
            <w:rPr>
              <w:rFonts w:asciiTheme="majorHAnsi" w:eastAsia="Times New Roman" w:hAnsiTheme="majorHAnsi" w:cstheme="majorBidi"/>
              <w:color w:val="2E74B5" w:themeColor="accent1" w:themeShade="BF"/>
              <w:sz w:val="26"/>
              <w:szCs w:val="26"/>
              <w:lang w:val="en-AU"/>
            </w:rPr>
            <w:t>Contents</w:t>
          </w:r>
        </w:p>
        <w:p w14:paraId="7E24A4DD" w14:textId="25C74DDB" w:rsidR="009E03E1" w:rsidRDefault="002B2818">
          <w:pPr>
            <w:pStyle w:val="TOC1"/>
            <w:tabs>
              <w:tab w:val="left" w:pos="440"/>
              <w:tab w:val="right" w:pos="9016"/>
            </w:tabs>
            <w:rPr>
              <w:rFonts w:eastAsiaTheme="minorEastAsia"/>
              <w:b w:val="0"/>
              <w:bCs w:val="0"/>
              <w:noProof/>
              <w:sz w:val="22"/>
              <w:szCs w:val="22"/>
              <w:lang w:eastAsia="en-AU"/>
            </w:rPr>
          </w:pPr>
          <w:r w:rsidRPr="00170201">
            <w:rPr>
              <w:b w:val="0"/>
              <w:bCs w:val="0"/>
            </w:rPr>
            <w:fldChar w:fldCharType="begin"/>
          </w:r>
          <w:r w:rsidRPr="00170201">
            <w:rPr>
              <w:b w:val="0"/>
              <w:bCs w:val="0"/>
            </w:rPr>
            <w:instrText xml:space="preserve"> TOC \o "1-3" \h \z \u </w:instrText>
          </w:r>
          <w:r w:rsidRPr="00170201">
            <w:rPr>
              <w:b w:val="0"/>
              <w:bCs w:val="0"/>
            </w:rPr>
            <w:fldChar w:fldCharType="separate"/>
          </w:r>
          <w:hyperlink w:anchor="_Toc106983023" w:history="1">
            <w:r w:rsidR="009E03E1" w:rsidRPr="00D008C4">
              <w:rPr>
                <w:rStyle w:val="Hyperlink"/>
                <w:noProof/>
              </w:rPr>
              <w:t>1.</w:t>
            </w:r>
            <w:r w:rsidR="009E03E1">
              <w:rPr>
                <w:rFonts w:eastAsiaTheme="minorEastAsia"/>
                <w:b w:val="0"/>
                <w:bCs w:val="0"/>
                <w:noProof/>
                <w:sz w:val="22"/>
                <w:szCs w:val="22"/>
                <w:lang w:eastAsia="en-AU"/>
              </w:rPr>
              <w:tab/>
            </w:r>
            <w:r w:rsidR="009E03E1" w:rsidRPr="00D008C4">
              <w:rPr>
                <w:rStyle w:val="Hyperlink"/>
                <w:noProof/>
              </w:rPr>
              <w:t>Performance assessment and management is continually monitored and assessed</w:t>
            </w:r>
            <w:r w:rsidR="009E03E1">
              <w:rPr>
                <w:noProof/>
                <w:webHidden/>
              </w:rPr>
              <w:tab/>
            </w:r>
            <w:r w:rsidR="009E03E1">
              <w:rPr>
                <w:noProof/>
                <w:webHidden/>
              </w:rPr>
              <w:fldChar w:fldCharType="begin"/>
            </w:r>
            <w:r w:rsidR="009E03E1">
              <w:rPr>
                <w:noProof/>
                <w:webHidden/>
              </w:rPr>
              <w:instrText xml:space="preserve"> PAGEREF _Toc106983023 \h </w:instrText>
            </w:r>
            <w:r w:rsidR="009E03E1">
              <w:rPr>
                <w:noProof/>
                <w:webHidden/>
              </w:rPr>
            </w:r>
            <w:r w:rsidR="009E03E1">
              <w:rPr>
                <w:noProof/>
                <w:webHidden/>
              </w:rPr>
              <w:fldChar w:fldCharType="separate"/>
            </w:r>
            <w:r w:rsidR="00B100A2">
              <w:rPr>
                <w:noProof/>
                <w:webHidden/>
              </w:rPr>
              <w:t>3</w:t>
            </w:r>
            <w:r w:rsidR="009E03E1">
              <w:rPr>
                <w:noProof/>
                <w:webHidden/>
              </w:rPr>
              <w:fldChar w:fldCharType="end"/>
            </w:r>
          </w:hyperlink>
        </w:p>
        <w:p w14:paraId="5ED5B9FB" w14:textId="16EF820A" w:rsidR="009E03E1" w:rsidRDefault="00B100A2">
          <w:pPr>
            <w:pStyle w:val="TOC2"/>
            <w:rPr>
              <w:rFonts w:eastAsiaTheme="minorEastAsia"/>
              <w:i w:val="0"/>
              <w:iCs w:val="0"/>
              <w:noProof/>
              <w:sz w:val="22"/>
              <w:szCs w:val="22"/>
              <w:lang w:eastAsia="en-AU"/>
            </w:rPr>
          </w:pPr>
          <w:hyperlink w:anchor="_Toc106983024" w:history="1">
            <w:r w:rsidR="009E03E1" w:rsidRPr="00D008C4">
              <w:rPr>
                <w:rStyle w:val="Hyperlink"/>
                <w:rFonts w:eastAsia="Times New Roman"/>
                <w:noProof/>
              </w:rPr>
              <w:t>Principles for assessing performance</w:t>
            </w:r>
            <w:r w:rsidR="009E03E1">
              <w:rPr>
                <w:noProof/>
                <w:webHidden/>
              </w:rPr>
              <w:tab/>
            </w:r>
            <w:r w:rsidR="009E03E1">
              <w:rPr>
                <w:noProof/>
                <w:webHidden/>
              </w:rPr>
              <w:fldChar w:fldCharType="begin"/>
            </w:r>
            <w:r w:rsidR="009E03E1">
              <w:rPr>
                <w:noProof/>
                <w:webHidden/>
              </w:rPr>
              <w:instrText xml:space="preserve"> PAGEREF _Toc106983024 \h </w:instrText>
            </w:r>
            <w:r w:rsidR="009E03E1">
              <w:rPr>
                <w:noProof/>
                <w:webHidden/>
              </w:rPr>
            </w:r>
            <w:r w:rsidR="009E03E1">
              <w:rPr>
                <w:noProof/>
                <w:webHidden/>
              </w:rPr>
              <w:fldChar w:fldCharType="separate"/>
            </w:r>
            <w:r>
              <w:rPr>
                <w:noProof/>
                <w:webHidden/>
              </w:rPr>
              <w:t>3</w:t>
            </w:r>
            <w:r w:rsidR="009E03E1">
              <w:rPr>
                <w:noProof/>
                <w:webHidden/>
              </w:rPr>
              <w:fldChar w:fldCharType="end"/>
            </w:r>
          </w:hyperlink>
        </w:p>
        <w:p w14:paraId="484CAA39" w14:textId="5D963F8F" w:rsidR="009E03E1" w:rsidRDefault="00B100A2">
          <w:pPr>
            <w:pStyle w:val="TOC2"/>
            <w:rPr>
              <w:rFonts w:eastAsiaTheme="minorEastAsia"/>
              <w:i w:val="0"/>
              <w:iCs w:val="0"/>
              <w:noProof/>
              <w:sz w:val="22"/>
              <w:szCs w:val="22"/>
              <w:lang w:eastAsia="en-AU"/>
            </w:rPr>
          </w:pPr>
          <w:hyperlink w:anchor="_Toc106983025" w:history="1">
            <w:r w:rsidR="009E03E1" w:rsidRPr="00D008C4">
              <w:rPr>
                <w:rStyle w:val="Hyperlink"/>
                <w:rFonts w:eastAsia="Times New Roman"/>
                <w:noProof/>
              </w:rPr>
              <w:t>Deed compliance</w:t>
            </w:r>
            <w:r w:rsidR="009E03E1">
              <w:rPr>
                <w:noProof/>
                <w:webHidden/>
              </w:rPr>
              <w:tab/>
            </w:r>
            <w:r w:rsidR="009E03E1">
              <w:rPr>
                <w:noProof/>
                <w:webHidden/>
              </w:rPr>
              <w:fldChar w:fldCharType="begin"/>
            </w:r>
            <w:r w:rsidR="009E03E1">
              <w:rPr>
                <w:noProof/>
                <w:webHidden/>
              </w:rPr>
              <w:instrText xml:space="preserve"> PAGEREF _Toc106983025 \h </w:instrText>
            </w:r>
            <w:r w:rsidR="009E03E1">
              <w:rPr>
                <w:noProof/>
                <w:webHidden/>
              </w:rPr>
            </w:r>
            <w:r w:rsidR="009E03E1">
              <w:rPr>
                <w:noProof/>
                <w:webHidden/>
              </w:rPr>
              <w:fldChar w:fldCharType="separate"/>
            </w:r>
            <w:r>
              <w:rPr>
                <w:noProof/>
                <w:webHidden/>
              </w:rPr>
              <w:t>3</w:t>
            </w:r>
            <w:r w:rsidR="009E03E1">
              <w:rPr>
                <w:noProof/>
                <w:webHidden/>
              </w:rPr>
              <w:fldChar w:fldCharType="end"/>
            </w:r>
          </w:hyperlink>
        </w:p>
        <w:p w14:paraId="402B36F5" w14:textId="770D88C2" w:rsidR="009E03E1" w:rsidRDefault="00B100A2">
          <w:pPr>
            <w:pStyle w:val="TOC2"/>
            <w:rPr>
              <w:rFonts w:eastAsiaTheme="minorEastAsia"/>
              <w:i w:val="0"/>
              <w:iCs w:val="0"/>
              <w:noProof/>
              <w:sz w:val="22"/>
              <w:szCs w:val="22"/>
              <w:lang w:eastAsia="en-AU"/>
            </w:rPr>
          </w:pPr>
          <w:hyperlink w:anchor="_Toc106983026" w:history="1">
            <w:r w:rsidR="009E03E1" w:rsidRPr="00D008C4">
              <w:rPr>
                <w:rStyle w:val="Hyperlink"/>
                <w:rFonts w:eastAsia="Times New Roman"/>
                <w:noProof/>
              </w:rPr>
              <w:t>Joint Charter of Deed Management</w:t>
            </w:r>
            <w:r w:rsidR="009E03E1">
              <w:rPr>
                <w:noProof/>
                <w:webHidden/>
              </w:rPr>
              <w:tab/>
            </w:r>
            <w:r w:rsidR="009E03E1">
              <w:rPr>
                <w:noProof/>
                <w:webHidden/>
              </w:rPr>
              <w:fldChar w:fldCharType="begin"/>
            </w:r>
            <w:r w:rsidR="009E03E1">
              <w:rPr>
                <w:noProof/>
                <w:webHidden/>
              </w:rPr>
              <w:instrText xml:space="preserve"> PAGEREF _Toc106983026 \h </w:instrText>
            </w:r>
            <w:r w:rsidR="009E03E1">
              <w:rPr>
                <w:noProof/>
                <w:webHidden/>
              </w:rPr>
            </w:r>
            <w:r w:rsidR="009E03E1">
              <w:rPr>
                <w:noProof/>
                <w:webHidden/>
              </w:rPr>
              <w:fldChar w:fldCharType="separate"/>
            </w:r>
            <w:r>
              <w:rPr>
                <w:noProof/>
                <w:webHidden/>
              </w:rPr>
              <w:t>3</w:t>
            </w:r>
            <w:r w:rsidR="009E03E1">
              <w:rPr>
                <w:noProof/>
                <w:webHidden/>
              </w:rPr>
              <w:fldChar w:fldCharType="end"/>
            </w:r>
          </w:hyperlink>
        </w:p>
        <w:p w14:paraId="54E81E35" w14:textId="23FE5B2C" w:rsidR="009E03E1" w:rsidRDefault="00B100A2">
          <w:pPr>
            <w:pStyle w:val="TOC1"/>
            <w:tabs>
              <w:tab w:val="left" w:pos="440"/>
              <w:tab w:val="right" w:pos="9016"/>
            </w:tabs>
            <w:rPr>
              <w:rFonts w:eastAsiaTheme="minorEastAsia"/>
              <w:b w:val="0"/>
              <w:bCs w:val="0"/>
              <w:noProof/>
              <w:sz w:val="22"/>
              <w:szCs w:val="22"/>
              <w:lang w:eastAsia="en-AU"/>
            </w:rPr>
          </w:pPr>
          <w:hyperlink w:anchor="_Toc106983027" w:history="1">
            <w:r w:rsidR="009E03E1" w:rsidRPr="00D008C4">
              <w:rPr>
                <w:rStyle w:val="Hyperlink"/>
                <w:noProof/>
              </w:rPr>
              <w:t>2.</w:t>
            </w:r>
            <w:r w:rsidR="009E03E1">
              <w:rPr>
                <w:rFonts w:eastAsiaTheme="minorEastAsia"/>
                <w:b w:val="0"/>
                <w:bCs w:val="0"/>
                <w:noProof/>
                <w:sz w:val="22"/>
                <w:szCs w:val="22"/>
                <w:lang w:eastAsia="en-AU"/>
              </w:rPr>
              <w:tab/>
            </w:r>
            <w:r w:rsidR="009E03E1" w:rsidRPr="00D008C4">
              <w:rPr>
                <w:rStyle w:val="Hyperlink"/>
                <w:noProof/>
              </w:rPr>
              <w:t>Key Performance Indicators</w:t>
            </w:r>
            <w:r w:rsidR="009E03E1">
              <w:rPr>
                <w:noProof/>
                <w:webHidden/>
              </w:rPr>
              <w:tab/>
            </w:r>
            <w:r w:rsidR="009E03E1">
              <w:rPr>
                <w:noProof/>
                <w:webHidden/>
              </w:rPr>
              <w:fldChar w:fldCharType="begin"/>
            </w:r>
            <w:r w:rsidR="009E03E1">
              <w:rPr>
                <w:noProof/>
                <w:webHidden/>
              </w:rPr>
              <w:instrText xml:space="preserve"> PAGEREF _Toc106983027 \h </w:instrText>
            </w:r>
            <w:r w:rsidR="009E03E1">
              <w:rPr>
                <w:noProof/>
                <w:webHidden/>
              </w:rPr>
            </w:r>
            <w:r w:rsidR="009E03E1">
              <w:rPr>
                <w:noProof/>
                <w:webHidden/>
              </w:rPr>
              <w:fldChar w:fldCharType="separate"/>
            </w:r>
            <w:r>
              <w:rPr>
                <w:noProof/>
                <w:webHidden/>
              </w:rPr>
              <w:t>4</w:t>
            </w:r>
            <w:r w:rsidR="009E03E1">
              <w:rPr>
                <w:noProof/>
                <w:webHidden/>
              </w:rPr>
              <w:fldChar w:fldCharType="end"/>
            </w:r>
          </w:hyperlink>
        </w:p>
        <w:p w14:paraId="67DBC2D9" w14:textId="4094421D" w:rsidR="009E03E1" w:rsidRDefault="00B100A2">
          <w:pPr>
            <w:pStyle w:val="TOC2"/>
            <w:rPr>
              <w:rFonts w:eastAsiaTheme="minorEastAsia"/>
              <w:i w:val="0"/>
              <w:iCs w:val="0"/>
              <w:noProof/>
              <w:sz w:val="22"/>
              <w:szCs w:val="22"/>
              <w:lang w:eastAsia="en-AU"/>
            </w:rPr>
          </w:pPr>
          <w:hyperlink w:anchor="_Toc106983028" w:history="1">
            <w:r w:rsidR="009E03E1" w:rsidRPr="00D008C4">
              <w:rPr>
                <w:rStyle w:val="Hyperlink"/>
                <w:noProof/>
              </w:rPr>
              <w:t>KPI 1—Effectiveness:</w:t>
            </w:r>
            <w:r w:rsidR="009E03E1">
              <w:rPr>
                <w:noProof/>
                <w:webHidden/>
              </w:rPr>
              <w:tab/>
            </w:r>
            <w:r w:rsidR="009E03E1">
              <w:rPr>
                <w:noProof/>
                <w:webHidden/>
              </w:rPr>
              <w:fldChar w:fldCharType="begin"/>
            </w:r>
            <w:r w:rsidR="009E03E1">
              <w:rPr>
                <w:noProof/>
                <w:webHidden/>
              </w:rPr>
              <w:instrText xml:space="preserve"> PAGEREF _Toc106983028 \h </w:instrText>
            </w:r>
            <w:r w:rsidR="009E03E1">
              <w:rPr>
                <w:noProof/>
                <w:webHidden/>
              </w:rPr>
            </w:r>
            <w:r w:rsidR="009E03E1">
              <w:rPr>
                <w:noProof/>
                <w:webHidden/>
              </w:rPr>
              <w:fldChar w:fldCharType="separate"/>
            </w:r>
            <w:r>
              <w:rPr>
                <w:noProof/>
                <w:webHidden/>
              </w:rPr>
              <w:t>4</w:t>
            </w:r>
            <w:r w:rsidR="009E03E1">
              <w:rPr>
                <w:noProof/>
                <w:webHidden/>
              </w:rPr>
              <w:fldChar w:fldCharType="end"/>
            </w:r>
          </w:hyperlink>
        </w:p>
        <w:p w14:paraId="74CEF8BD" w14:textId="66E7D986" w:rsidR="009E03E1" w:rsidRDefault="00B100A2">
          <w:pPr>
            <w:pStyle w:val="TOC2"/>
            <w:rPr>
              <w:rFonts w:eastAsiaTheme="minorEastAsia"/>
              <w:i w:val="0"/>
              <w:iCs w:val="0"/>
              <w:noProof/>
              <w:sz w:val="22"/>
              <w:szCs w:val="22"/>
              <w:lang w:eastAsia="en-AU"/>
            </w:rPr>
          </w:pPr>
          <w:hyperlink w:anchor="_Toc106983029" w:history="1">
            <w:r w:rsidR="009E03E1" w:rsidRPr="00D008C4">
              <w:rPr>
                <w:rStyle w:val="Hyperlink"/>
                <w:noProof/>
              </w:rPr>
              <w:t>KPI 2—Engagement:</w:t>
            </w:r>
            <w:r w:rsidR="009E03E1">
              <w:rPr>
                <w:noProof/>
                <w:webHidden/>
              </w:rPr>
              <w:tab/>
            </w:r>
            <w:r w:rsidR="009E03E1">
              <w:rPr>
                <w:noProof/>
                <w:webHidden/>
              </w:rPr>
              <w:fldChar w:fldCharType="begin"/>
            </w:r>
            <w:r w:rsidR="009E03E1">
              <w:rPr>
                <w:noProof/>
                <w:webHidden/>
              </w:rPr>
              <w:instrText xml:space="preserve"> PAGEREF _Toc106983029 \h </w:instrText>
            </w:r>
            <w:r w:rsidR="009E03E1">
              <w:rPr>
                <w:noProof/>
                <w:webHidden/>
              </w:rPr>
            </w:r>
            <w:r w:rsidR="009E03E1">
              <w:rPr>
                <w:noProof/>
                <w:webHidden/>
              </w:rPr>
              <w:fldChar w:fldCharType="separate"/>
            </w:r>
            <w:r>
              <w:rPr>
                <w:noProof/>
                <w:webHidden/>
              </w:rPr>
              <w:t>4</w:t>
            </w:r>
            <w:r w:rsidR="009E03E1">
              <w:rPr>
                <w:noProof/>
                <w:webHidden/>
              </w:rPr>
              <w:fldChar w:fldCharType="end"/>
            </w:r>
          </w:hyperlink>
        </w:p>
        <w:p w14:paraId="432958CE" w14:textId="3CA5DD91" w:rsidR="009E03E1" w:rsidRDefault="00B100A2">
          <w:pPr>
            <w:pStyle w:val="TOC2"/>
            <w:rPr>
              <w:rFonts w:eastAsiaTheme="minorEastAsia"/>
              <w:i w:val="0"/>
              <w:iCs w:val="0"/>
              <w:noProof/>
              <w:sz w:val="22"/>
              <w:szCs w:val="22"/>
              <w:lang w:eastAsia="en-AU"/>
            </w:rPr>
          </w:pPr>
          <w:hyperlink w:anchor="_Toc106983030" w:history="1">
            <w:r w:rsidR="009E03E1" w:rsidRPr="00D008C4">
              <w:rPr>
                <w:rStyle w:val="Hyperlink"/>
                <w:noProof/>
              </w:rPr>
              <w:t>KPI 3—Satisfaction and service quality:</w:t>
            </w:r>
            <w:r w:rsidR="009E03E1">
              <w:rPr>
                <w:noProof/>
                <w:webHidden/>
              </w:rPr>
              <w:tab/>
            </w:r>
            <w:r w:rsidR="009E03E1">
              <w:rPr>
                <w:noProof/>
                <w:webHidden/>
              </w:rPr>
              <w:fldChar w:fldCharType="begin"/>
            </w:r>
            <w:r w:rsidR="009E03E1">
              <w:rPr>
                <w:noProof/>
                <w:webHidden/>
              </w:rPr>
              <w:instrText xml:space="preserve"> PAGEREF _Toc106983030 \h </w:instrText>
            </w:r>
            <w:r w:rsidR="009E03E1">
              <w:rPr>
                <w:noProof/>
                <w:webHidden/>
              </w:rPr>
            </w:r>
            <w:r w:rsidR="009E03E1">
              <w:rPr>
                <w:noProof/>
                <w:webHidden/>
              </w:rPr>
              <w:fldChar w:fldCharType="separate"/>
            </w:r>
            <w:r>
              <w:rPr>
                <w:noProof/>
                <w:webHidden/>
              </w:rPr>
              <w:t>4</w:t>
            </w:r>
            <w:r w:rsidR="009E03E1">
              <w:rPr>
                <w:noProof/>
                <w:webHidden/>
              </w:rPr>
              <w:fldChar w:fldCharType="end"/>
            </w:r>
          </w:hyperlink>
        </w:p>
        <w:p w14:paraId="2440B147" w14:textId="0FBB0F3B" w:rsidR="009E03E1" w:rsidRDefault="00B100A2">
          <w:pPr>
            <w:pStyle w:val="TOC1"/>
            <w:tabs>
              <w:tab w:val="left" w:pos="440"/>
              <w:tab w:val="right" w:pos="9016"/>
            </w:tabs>
            <w:rPr>
              <w:rFonts w:eastAsiaTheme="minorEastAsia"/>
              <w:b w:val="0"/>
              <w:bCs w:val="0"/>
              <w:noProof/>
              <w:sz w:val="22"/>
              <w:szCs w:val="22"/>
              <w:lang w:eastAsia="en-AU"/>
            </w:rPr>
          </w:pPr>
          <w:hyperlink w:anchor="_Toc106983031" w:history="1">
            <w:r w:rsidR="009E03E1" w:rsidRPr="00D008C4">
              <w:rPr>
                <w:rStyle w:val="Hyperlink"/>
                <w:noProof/>
              </w:rPr>
              <w:t>3.</w:t>
            </w:r>
            <w:r w:rsidR="009E03E1">
              <w:rPr>
                <w:rFonts w:eastAsiaTheme="minorEastAsia"/>
                <w:b w:val="0"/>
                <w:bCs w:val="0"/>
                <w:noProof/>
                <w:sz w:val="22"/>
                <w:szCs w:val="22"/>
                <w:lang w:eastAsia="en-AU"/>
              </w:rPr>
              <w:tab/>
            </w:r>
            <w:r w:rsidR="009E03E1" w:rsidRPr="00D008C4">
              <w:rPr>
                <w:rStyle w:val="Hyperlink"/>
                <w:noProof/>
              </w:rPr>
              <w:t>Service Guarantee and providing culturally competent Services</w:t>
            </w:r>
            <w:r w:rsidR="009E03E1">
              <w:rPr>
                <w:noProof/>
                <w:webHidden/>
              </w:rPr>
              <w:tab/>
            </w:r>
            <w:r w:rsidR="009E03E1">
              <w:rPr>
                <w:noProof/>
                <w:webHidden/>
              </w:rPr>
              <w:fldChar w:fldCharType="begin"/>
            </w:r>
            <w:r w:rsidR="009E03E1">
              <w:rPr>
                <w:noProof/>
                <w:webHidden/>
              </w:rPr>
              <w:instrText xml:space="preserve"> PAGEREF _Toc106983031 \h </w:instrText>
            </w:r>
            <w:r w:rsidR="009E03E1">
              <w:rPr>
                <w:noProof/>
                <w:webHidden/>
              </w:rPr>
            </w:r>
            <w:r w:rsidR="009E03E1">
              <w:rPr>
                <w:noProof/>
                <w:webHidden/>
              </w:rPr>
              <w:fldChar w:fldCharType="separate"/>
            </w:r>
            <w:r>
              <w:rPr>
                <w:noProof/>
                <w:webHidden/>
              </w:rPr>
              <w:t>5</w:t>
            </w:r>
            <w:r w:rsidR="009E03E1">
              <w:rPr>
                <w:noProof/>
                <w:webHidden/>
              </w:rPr>
              <w:fldChar w:fldCharType="end"/>
            </w:r>
          </w:hyperlink>
        </w:p>
        <w:p w14:paraId="60DDAD7C" w14:textId="48B8AD98" w:rsidR="009E03E1" w:rsidRDefault="00B100A2">
          <w:pPr>
            <w:pStyle w:val="TOC2"/>
            <w:rPr>
              <w:rFonts w:eastAsiaTheme="minorEastAsia"/>
              <w:i w:val="0"/>
              <w:iCs w:val="0"/>
              <w:noProof/>
              <w:sz w:val="22"/>
              <w:szCs w:val="22"/>
              <w:lang w:eastAsia="en-AU"/>
            </w:rPr>
          </w:pPr>
          <w:hyperlink w:anchor="_Toc106983032" w:history="1">
            <w:r w:rsidR="009E03E1" w:rsidRPr="00D008C4">
              <w:rPr>
                <w:rStyle w:val="Hyperlink"/>
                <w:noProof/>
              </w:rPr>
              <w:t>Service Guarantee</w:t>
            </w:r>
            <w:r w:rsidR="009E03E1">
              <w:rPr>
                <w:noProof/>
                <w:webHidden/>
              </w:rPr>
              <w:tab/>
            </w:r>
            <w:r w:rsidR="009E03E1">
              <w:rPr>
                <w:noProof/>
                <w:webHidden/>
              </w:rPr>
              <w:fldChar w:fldCharType="begin"/>
            </w:r>
            <w:r w:rsidR="009E03E1">
              <w:rPr>
                <w:noProof/>
                <w:webHidden/>
              </w:rPr>
              <w:instrText xml:space="preserve"> PAGEREF _Toc106983032 \h </w:instrText>
            </w:r>
            <w:r w:rsidR="009E03E1">
              <w:rPr>
                <w:noProof/>
                <w:webHidden/>
              </w:rPr>
            </w:r>
            <w:r w:rsidR="009E03E1">
              <w:rPr>
                <w:noProof/>
                <w:webHidden/>
              </w:rPr>
              <w:fldChar w:fldCharType="separate"/>
            </w:r>
            <w:r>
              <w:rPr>
                <w:noProof/>
                <w:webHidden/>
              </w:rPr>
              <w:t>5</w:t>
            </w:r>
            <w:r w:rsidR="009E03E1">
              <w:rPr>
                <w:noProof/>
                <w:webHidden/>
              </w:rPr>
              <w:fldChar w:fldCharType="end"/>
            </w:r>
          </w:hyperlink>
        </w:p>
        <w:p w14:paraId="33554CD5" w14:textId="43D62C2D" w:rsidR="009E03E1" w:rsidRDefault="00B100A2">
          <w:pPr>
            <w:pStyle w:val="TOC2"/>
            <w:rPr>
              <w:rFonts w:eastAsiaTheme="minorEastAsia"/>
              <w:i w:val="0"/>
              <w:iCs w:val="0"/>
              <w:noProof/>
              <w:sz w:val="22"/>
              <w:szCs w:val="22"/>
              <w:lang w:eastAsia="en-AU"/>
            </w:rPr>
          </w:pPr>
          <w:hyperlink w:anchor="_Toc106983033" w:history="1">
            <w:r w:rsidR="009E03E1" w:rsidRPr="00D008C4">
              <w:rPr>
                <w:rStyle w:val="Hyperlink"/>
                <w:noProof/>
              </w:rPr>
              <w:t>Providers and their organisation must promote and deliver culturally competent service delivery</w:t>
            </w:r>
            <w:r w:rsidR="009E03E1">
              <w:rPr>
                <w:noProof/>
                <w:webHidden/>
              </w:rPr>
              <w:tab/>
            </w:r>
            <w:r w:rsidR="009E03E1">
              <w:rPr>
                <w:noProof/>
                <w:webHidden/>
              </w:rPr>
              <w:fldChar w:fldCharType="begin"/>
            </w:r>
            <w:r w:rsidR="009E03E1">
              <w:rPr>
                <w:noProof/>
                <w:webHidden/>
              </w:rPr>
              <w:instrText xml:space="preserve"> PAGEREF _Toc106983033 \h </w:instrText>
            </w:r>
            <w:r w:rsidR="009E03E1">
              <w:rPr>
                <w:noProof/>
                <w:webHidden/>
              </w:rPr>
            </w:r>
            <w:r w:rsidR="009E03E1">
              <w:rPr>
                <w:noProof/>
                <w:webHidden/>
              </w:rPr>
              <w:fldChar w:fldCharType="separate"/>
            </w:r>
            <w:r>
              <w:rPr>
                <w:noProof/>
                <w:webHidden/>
              </w:rPr>
              <w:t>5</w:t>
            </w:r>
            <w:r w:rsidR="009E03E1">
              <w:rPr>
                <w:noProof/>
                <w:webHidden/>
              </w:rPr>
              <w:fldChar w:fldCharType="end"/>
            </w:r>
          </w:hyperlink>
        </w:p>
        <w:p w14:paraId="6A715899" w14:textId="0C9267B4" w:rsidR="009E03E1" w:rsidRDefault="00B100A2">
          <w:pPr>
            <w:pStyle w:val="TOC1"/>
            <w:tabs>
              <w:tab w:val="left" w:pos="440"/>
              <w:tab w:val="right" w:pos="9016"/>
            </w:tabs>
            <w:rPr>
              <w:rFonts w:eastAsiaTheme="minorEastAsia"/>
              <w:b w:val="0"/>
              <w:bCs w:val="0"/>
              <w:noProof/>
              <w:sz w:val="22"/>
              <w:szCs w:val="22"/>
              <w:lang w:eastAsia="en-AU"/>
            </w:rPr>
          </w:pPr>
          <w:hyperlink w:anchor="_Toc106983034" w:history="1">
            <w:r w:rsidR="009E03E1" w:rsidRPr="00D008C4">
              <w:rPr>
                <w:rStyle w:val="Hyperlink"/>
                <w:noProof/>
              </w:rPr>
              <w:t>4.</w:t>
            </w:r>
            <w:r w:rsidR="009E03E1">
              <w:rPr>
                <w:rFonts w:eastAsiaTheme="minorEastAsia"/>
                <w:b w:val="0"/>
                <w:bCs w:val="0"/>
                <w:noProof/>
                <w:sz w:val="22"/>
                <w:szCs w:val="22"/>
                <w:lang w:eastAsia="en-AU"/>
              </w:rPr>
              <w:tab/>
            </w:r>
            <w:r w:rsidR="009E03E1" w:rsidRPr="00D008C4">
              <w:rPr>
                <w:rStyle w:val="Hyperlink"/>
                <w:noProof/>
              </w:rPr>
              <w:t>Providing Progress Reports to the Department</w:t>
            </w:r>
            <w:r w:rsidR="009E03E1">
              <w:rPr>
                <w:noProof/>
                <w:webHidden/>
              </w:rPr>
              <w:tab/>
            </w:r>
            <w:r w:rsidR="009E03E1">
              <w:rPr>
                <w:noProof/>
                <w:webHidden/>
              </w:rPr>
              <w:fldChar w:fldCharType="begin"/>
            </w:r>
            <w:r w:rsidR="009E03E1">
              <w:rPr>
                <w:noProof/>
                <w:webHidden/>
              </w:rPr>
              <w:instrText xml:space="preserve"> PAGEREF _Toc106983034 \h </w:instrText>
            </w:r>
            <w:r w:rsidR="009E03E1">
              <w:rPr>
                <w:noProof/>
                <w:webHidden/>
              </w:rPr>
            </w:r>
            <w:r w:rsidR="009E03E1">
              <w:rPr>
                <w:noProof/>
                <w:webHidden/>
              </w:rPr>
              <w:fldChar w:fldCharType="separate"/>
            </w:r>
            <w:r>
              <w:rPr>
                <w:noProof/>
                <w:webHidden/>
              </w:rPr>
              <w:t>6</w:t>
            </w:r>
            <w:r w:rsidR="009E03E1">
              <w:rPr>
                <w:noProof/>
                <w:webHidden/>
              </w:rPr>
              <w:fldChar w:fldCharType="end"/>
            </w:r>
          </w:hyperlink>
        </w:p>
        <w:p w14:paraId="1960E1E4" w14:textId="2A73AD71" w:rsidR="009E03E1" w:rsidRDefault="00B100A2">
          <w:pPr>
            <w:pStyle w:val="TOC2"/>
            <w:rPr>
              <w:rFonts w:eastAsiaTheme="minorEastAsia"/>
              <w:i w:val="0"/>
              <w:iCs w:val="0"/>
              <w:noProof/>
              <w:sz w:val="22"/>
              <w:szCs w:val="22"/>
              <w:lang w:eastAsia="en-AU"/>
            </w:rPr>
          </w:pPr>
          <w:hyperlink w:anchor="_Toc106983035" w:history="1">
            <w:r w:rsidR="009E03E1" w:rsidRPr="00D008C4">
              <w:rPr>
                <w:rStyle w:val="Hyperlink"/>
                <w:noProof/>
              </w:rPr>
              <w:t>Providers are required to report on service delivery progress</w:t>
            </w:r>
            <w:r w:rsidR="009E03E1">
              <w:rPr>
                <w:noProof/>
                <w:webHidden/>
              </w:rPr>
              <w:tab/>
            </w:r>
            <w:r w:rsidR="009E03E1">
              <w:rPr>
                <w:noProof/>
                <w:webHidden/>
              </w:rPr>
              <w:fldChar w:fldCharType="begin"/>
            </w:r>
            <w:r w:rsidR="009E03E1">
              <w:rPr>
                <w:noProof/>
                <w:webHidden/>
              </w:rPr>
              <w:instrText xml:space="preserve"> PAGEREF _Toc106983035 \h </w:instrText>
            </w:r>
            <w:r w:rsidR="009E03E1">
              <w:rPr>
                <w:noProof/>
                <w:webHidden/>
              </w:rPr>
            </w:r>
            <w:r w:rsidR="009E03E1">
              <w:rPr>
                <w:noProof/>
                <w:webHidden/>
              </w:rPr>
              <w:fldChar w:fldCharType="separate"/>
            </w:r>
            <w:r>
              <w:rPr>
                <w:noProof/>
                <w:webHidden/>
              </w:rPr>
              <w:t>6</w:t>
            </w:r>
            <w:r w:rsidR="009E03E1">
              <w:rPr>
                <w:noProof/>
                <w:webHidden/>
              </w:rPr>
              <w:fldChar w:fldCharType="end"/>
            </w:r>
          </w:hyperlink>
        </w:p>
        <w:p w14:paraId="34C6A86B" w14:textId="2DE38905" w:rsidR="009E03E1" w:rsidRDefault="00B100A2">
          <w:pPr>
            <w:pStyle w:val="TOC1"/>
            <w:tabs>
              <w:tab w:val="left" w:pos="440"/>
              <w:tab w:val="right" w:pos="9016"/>
            </w:tabs>
            <w:rPr>
              <w:rFonts w:eastAsiaTheme="minorEastAsia"/>
              <w:b w:val="0"/>
              <w:bCs w:val="0"/>
              <w:noProof/>
              <w:sz w:val="22"/>
              <w:szCs w:val="22"/>
              <w:lang w:eastAsia="en-AU"/>
            </w:rPr>
          </w:pPr>
          <w:hyperlink w:anchor="_Toc106983036" w:history="1">
            <w:r w:rsidR="009E03E1" w:rsidRPr="00D008C4">
              <w:rPr>
                <w:rStyle w:val="Hyperlink"/>
                <w:noProof/>
              </w:rPr>
              <w:t>5.</w:t>
            </w:r>
            <w:r w:rsidR="009E03E1">
              <w:rPr>
                <w:rFonts w:eastAsiaTheme="minorEastAsia"/>
                <w:b w:val="0"/>
                <w:bCs w:val="0"/>
                <w:noProof/>
                <w:sz w:val="22"/>
                <w:szCs w:val="22"/>
                <w:lang w:eastAsia="en-AU"/>
              </w:rPr>
              <w:tab/>
            </w:r>
            <w:r w:rsidR="009E03E1" w:rsidRPr="00D008C4">
              <w:rPr>
                <w:rStyle w:val="Hyperlink"/>
                <w:noProof/>
              </w:rPr>
              <w:t>Measuring service delivery through formal performance assessments</w:t>
            </w:r>
            <w:r w:rsidR="009E03E1">
              <w:rPr>
                <w:noProof/>
                <w:webHidden/>
              </w:rPr>
              <w:tab/>
            </w:r>
            <w:r w:rsidR="009E03E1">
              <w:rPr>
                <w:noProof/>
                <w:webHidden/>
              </w:rPr>
              <w:fldChar w:fldCharType="begin"/>
            </w:r>
            <w:r w:rsidR="009E03E1">
              <w:rPr>
                <w:noProof/>
                <w:webHidden/>
              </w:rPr>
              <w:instrText xml:space="preserve"> PAGEREF _Toc106983036 \h </w:instrText>
            </w:r>
            <w:r w:rsidR="009E03E1">
              <w:rPr>
                <w:noProof/>
                <w:webHidden/>
              </w:rPr>
            </w:r>
            <w:r w:rsidR="009E03E1">
              <w:rPr>
                <w:noProof/>
                <w:webHidden/>
              </w:rPr>
              <w:fldChar w:fldCharType="separate"/>
            </w:r>
            <w:r>
              <w:rPr>
                <w:noProof/>
                <w:webHidden/>
              </w:rPr>
              <w:t>6</w:t>
            </w:r>
            <w:r w:rsidR="009E03E1">
              <w:rPr>
                <w:noProof/>
                <w:webHidden/>
              </w:rPr>
              <w:fldChar w:fldCharType="end"/>
            </w:r>
          </w:hyperlink>
        </w:p>
        <w:p w14:paraId="4437DA60" w14:textId="2DE5ECB9" w:rsidR="009E03E1" w:rsidRDefault="00B100A2">
          <w:pPr>
            <w:pStyle w:val="TOC2"/>
            <w:rPr>
              <w:rFonts w:eastAsiaTheme="minorEastAsia"/>
              <w:i w:val="0"/>
              <w:iCs w:val="0"/>
              <w:noProof/>
              <w:sz w:val="22"/>
              <w:szCs w:val="22"/>
              <w:lang w:eastAsia="en-AU"/>
            </w:rPr>
          </w:pPr>
          <w:hyperlink w:anchor="_Toc106983037" w:history="1">
            <w:r w:rsidR="009E03E1" w:rsidRPr="00D008C4">
              <w:rPr>
                <w:rStyle w:val="Hyperlink"/>
                <w:noProof/>
              </w:rPr>
              <w:t>Provider performance is formally assessed</w:t>
            </w:r>
            <w:r w:rsidR="009E03E1">
              <w:rPr>
                <w:noProof/>
                <w:webHidden/>
              </w:rPr>
              <w:tab/>
            </w:r>
            <w:r w:rsidR="009E03E1">
              <w:rPr>
                <w:noProof/>
                <w:webHidden/>
              </w:rPr>
              <w:fldChar w:fldCharType="begin"/>
            </w:r>
            <w:r w:rsidR="009E03E1">
              <w:rPr>
                <w:noProof/>
                <w:webHidden/>
              </w:rPr>
              <w:instrText xml:space="preserve"> PAGEREF _Toc106983037 \h </w:instrText>
            </w:r>
            <w:r w:rsidR="009E03E1">
              <w:rPr>
                <w:noProof/>
                <w:webHidden/>
              </w:rPr>
            </w:r>
            <w:r w:rsidR="009E03E1">
              <w:rPr>
                <w:noProof/>
                <w:webHidden/>
              </w:rPr>
              <w:fldChar w:fldCharType="separate"/>
            </w:r>
            <w:r>
              <w:rPr>
                <w:noProof/>
                <w:webHidden/>
              </w:rPr>
              <w:t>6</w:t>
            </w:r>
            <w:r w:rsidR="009E03E1">
              <w:rPr>
                <w:noProof/>
                <w:webHidden/>
              </w:rPr>
              <w:fldChar w:fldCharType="end"/>
            </w:r>
          </w:hyperlink>
        </w:p>
        <w:p w14:paraId="2DC175FC" w14:textId="595AE84F" w:rsidR="009E03E1" w:rsidRDefault="00B100A2">
          <w:pPr>
            <w:pStyle w:val="TOC1"/>
            <w:tabs>
              <w:tab w:val="right" w:pos="9016"/>
            </w:tabs>
            <w:rPr>
              <w:rFonts w:eastAsiaTheme="minorEastAsia"/>
              <w:b w:val="0"/>
              <w:bCs w:val="0"/>
              <w:noProof/>
              <w:sz w:val="22"/>
              <w:szCs w:val="22"/>
              <w:lang w:eastAsia="en-AU"/>
            </w:rPr>
          </w:pPr>
          <w:hyperlink w:anchor="_Toc106983038" w:history="1">
            <w:r w:rsidR="009E03E1" w:rsidRPr="00D008C4">
              <w:rPr>
                <w:rStyle w:val="Hyperlink"/>
                <w:noProof/>
              </w:rPr>
              <w:t>6. Performance assessment actions</w:t>
            </w:r>
            <w:r w:rsidR="009E03E1">
              <w:rPr>
                <w:noProof/>
                <w:webHidden/>
              </w:rPr>
              <w:tab/>
            </w:r>
            <w:r w:rsidR="009E03E1">
              <w:rPr>
                <w:noProof/>
                <w:webHidden/>
              </w:rPr>
              <w:fldChar w:fldCharType="begin"/>
            </w:r>
            <w:r w:rsidR="009E03E1">
              <w:rPr>
                <w:noProof/>
                <w:webHidden/>
              </w:rPr>
              <w:instrText xml:space="preserve"> PAGEREF _Toc106983038 \h </w:instrText>
            </w:r>
            <w:r w:rsidR="009E03E1">
              <w:rPr>
                <w:noProof/>
                <w:webHidden/>
              </w:rPr>
            </w:r>
            <w:r w:rsidR="009E03E1">
              <w:rPr>
                <w:noProof/>
                <w:webHidden/>
              </w:rPr>
              <w:fldChar w:fldCharType="separate"/>
            </w:r>
            <w:r>
              <w:rPr>
                <w:noProof/>
                <w:webHidden/>
              </w:rPr>
              <w:t>6</w:t>
            </w:r>
            <w:r w:rsidR="009E03E1">
              <w:rPr>
                <w:noProof/>
                <w:webHidden/>
              </w:rPr>
              <w:fldChar w:fldCharType="end"/>
            </w:r>
          </w:hyperlink>
        </w:p>
        <w:p w14:paraId="71D8079B" w14:textId="7CBEC255" w:rsidR="009E03E1" w:rsidRDefault="00B100A2">
          <w:pPr>
            <w:pStyle w:val="TOC1"/>
            <w:tabs>
              <w:tab w:val="right" w:pos="9016"/>
            </w:tabs>
            <w:rPr>
              <w:rFonts w:eastAsiaTheme="minorEastAsia"/>
              <w:b w:val="0"/>
              <w:bCs w:val="0"/>
              <w:noProof/>
              <w:sz w:val="22"/>
              <w:szCs w:val="22"/>
              <w:lang w:eastAsia="en-AU"/>
            </w:rPr>
          </w:pPr>
          <w:hyperlink w:anchor="_Toc106983039" w:history="1">
            <w:r w:rsidR="009E03E1" w:rsidRPr="00D008C4">
              <w:rPr>
                <w:rStyle w:val="Hyperlink"/>
                <w:noProof/>
              </w:rPr>
              <w:t>Summary of required Documentary Evidence</w:t>
            </w:r>
            <w:r w:rsidR="009E03E1">
              <w:rPr>
                <w:noProof/>
                <w:webHidden/>
              </w:rPr>
              <w:tab/>
            </w:r>
            <w:r w:rsidR="009E03E1">
              <w:rPr>
                <w:noProof/>
                <w:webHidden/>
              </w:rPr>
              <w:fldChar w:fldCharType="begin"/>
            </w:r>
            <w:r w:rsidR="009E03E1">
              <w:rPr>
                <w:noProof/>
                <w:webHidden/>
              </w:rPr>
              <w:instrText xml:space="preserve"> PAGEREF _Toc106983039 \h </w:instrText>
            </w:r>
            <w:r w:rsidR="009E03E1">
              <w:rPr>
                <w:noProof/>
                <w:webHidden/>
              </w:rPr>
            </w:r>
            <w:r w:rsidR="009E03E1">
              <w:rPr>
                <w:noProof/>
                <w:webHidden/>
              </w:rPr>
              <w:fldChar w:fldCharType="separate"/>
            </w:r>
            <w:r>
              <w:rPr>
                <w:noProof/>
                <w:webHidden/>
              </w:rPr>
              <w:t>7</w:t>
            </w:r>
            <w:r w:rsidR="009E03E1">
              <w:rPr>
                <w:noProof/>
                <w:webHidden/>
              </w:rPr>
              <w:fldChar w:fldCharType="end"/>
            </w:r>
          </w:hyperlink>
        </w:p>
        <w:p w14:paraId="71538770" w14:textId="07A8B4F5" w:rsidR="00616F93" w:rsidRPr="00170201" w:rsidRDefault="002B2818">
          <w:r w:rsidRPr="00170201">
            <w:rPr>
              <w:bCs/>
              <w:sz w:val="20"/>
              <w:szCs w:val="20"/>
            </w:rPr>
            <w:fldChar w:fldCharType="end"/>
          </w:r>
        </w:p>
      </w:sdtContent>
    </w:sdt>
    <w:p w14:paraId="55AA8300" w14:textId="62D6BA98" w:rsidR="00F14245" w:rsidRDefault="00F14245">
      <w:pPr>
        <w:rPr>
          <w:rFonts w:asciiTheme="majorHAnsi" w:eastAsiaTheme="majorEastAsia" w:hAnsiTheme="majorHAnsi" w:cstheme="majorBidi"/>
          <w:color w:val="2E74B5" w:themeColor="accent1" w:themeShade="BF"/>
          <w:sz w:val="32"/>
          <w:szCs w:val="32"/>
        </w:rPr>
      </w:pPr>
      <w:r>
        <w:br w:type="page"/>
      </w:r>
    </w:p>
    <w:p w14:paraId="097074BD" w14:textId="00502A39" w:rsidR="00861A63" w:rsidRDefault="00F2665A" w:rsidP="00B22E27">
      <w:pPr>
        <w:pStyle w:val="Heading1"/>
        <w:tabs>
          <w:tab w:val="left" w:pos="426"/>
        </w:tabs>
        <w:ind w:left="426" w:hanging="426"/>
      </w:pPr>
      <w:bookmarkStart w:id="0" w:name="_Toc106983023"/>
      <w:r>
        <w:lastRenderedPageBreak/>
        <w:t>1.</w:t>
      </w:r>
      <w:r w:rsidR="00B22E27">
        <w:tab/>
      </w:r>
      <w:r w:rsidR="00861A63" w:rsidRPr="00861A63">
        <w:t>Performance assessment and management</w:t>
      </w:r>
      <w:r w:rsidR="006243FB">
        <w:t xml:space="preserve"> is continually monitored and assessed</w:t>
      </w:r>
      <w:bookmarkEnd w:id="0"/>
    </w:p>
    <w:p w14:paraId="0C226300" w14:textId="2F695BB0" w:rsidR="00861A63" w:rsidRPr="00A432F4" w:rsidRDefault="00861A63" w:rsidP="005772EB">
      <w:pPr>
        <w:pStyle w:val="Heading2"/>
        <w:rPr>
          <w:rFonts w:eastAsia="Times New Roman"/>
        </w:rPr>
      </w:pPr>
      <w:bookmarkStart w:id="1" w:name="_Toc412463453"/>
      <w:bookmarkStart w:id="2" w:name="_Toc412801876"/>
      <w:bookmarkStart w:id="3" w:name="_Toc106983024"/>
      <w:r w:rsidRPr="00861A63">
        <w:rPr>
          <w:rFonts w:eastAsia="Times New Roman"/>
        </w:rPr>
        <w:t xml:space="preserve">Principles for </w:t>
      </w:r>
      <w:r w:rsidR="00313C5B">
        <w:rPr>
          <w:rFonts w:eastAsia="Times New Roman"/>
        </w:rPr>
        <w:t xml:space="preserve">assessing </w:t>
      </w:r>
      <w:r w:rsidRPr="00861A63">
        <w:rPr>
          <w:rFonts w:eastAsia="Times New Roman"/>
        </w:rPr>
        <w:t>performance</w:t>
      </w:r>
      <w:bookmarkEnd w:id="1"/>
      <w:bookmarkEnd w:id="2"/>
      <w:bookmarkEnd w:id="3"/>
    </w:p>
    <w:p w14:paraId="236AE6D4" w14:textId="23753602" w:rsidR="00277B31" w:rsidRDefault="00277B31" w:rsidP="004670DD">
      <w:pPr>
        <w:pStyle w:val="guidelinetext"/>
      </w:pPr>
      <w:r>
        <w:rPr>
          <w:rFonts w:ascii="Calibri" w:eastAsia="Calibri" w:hAnsi="Calibri" w:cs="Times New Roman"/>
        </w:rPr>
        <w:t>The Time to Work Employment Service (the Service) is a national, voluntary in-Prison employment service that assists sentenced Aboriginal and Torres Strait Islander peoples to access the support they need to better prepare them to find employment and reintegrate into the community upon their release from Prison.</w:t>
      </w:r>
      <w:r w:rsidR="00A25119" w:rsidRPr="000D5D8A">
        <w:t>.</w:t>
      </w:r>
      <w:r w:rsidR="00A25119">
        <w:t xml:space="preserve"> Providers</w:t>
      </w:r>
      <w:r w:rsidR="00313C5B">
        <w:t>’</w:t>
      </w:r>
      <w:r w:rsidR="00A25119">
        <w:t xml:space="preserve"> </w:t>
      </w:r>
      <w:r w:rsidR="003A298B">
        <w:t>support</w:t>
      </w:r>
      <w:r w:rsidR="00A25119">
        <w:t xml:space="preserve"> improve</w:t>
      </w:r>
      <w:r w:rsidR="00313C5B">
        <w:t>s</w:t>
      </w:r>
      <w:r w:rsidR="00A25119">
        <w:t xml:space="preserve"> the timeliness, coordination, appropriateness and quality of employment services provided to Aboriginal and Torres Strait Islander </w:t>
      </w:r>
      <w:r w:rsidR="00571EBC">
        <w:t>people</w:t>
      </w:r>
      <w:r w:rsidR="00A60933">
        <w:t>s</w:t>
      </w:r>
      <w:r w:rsidR="00571EBC">
        <w:t xml:space="preserve"> </w:t>
      </w:r>
      <w:r w:rsidR="00A25119">
        <w:t xml:space="preserve">leaving </w:t>
      </w:r>
      <w:r w:rsidR="00A60933">
        <w:t>P</w:t>
      </w:r>
      <w:r w:rsidR="00A25119">
        <w:t xml:space="preserve">rison. </w:t>
      </w:r>
    </w:p>
    <w:p w14:paraId="332E3FFF" w14:textId="62A5B042" w:rsidR="00E76457" w:rsidRDefault="005624A1" w:rsidP="00803CFE">
      <w:pPr>
        <w:pStyle w:val="guidelinetext"/>
      </w:pPr>
      <w:r>
        <w:t xml:space="preserve">The Department of </w:t>
      </w:r>
      <w:r w:rsidR="007F5FA1">
        <w:t>Employment and Workplace Relations</w:t>
      </w:r>
      <w:r>
        <w:t xml:space="preserve"> (the Department) assesses Provider performance through ongoing monitoring, formal performance assessments, and assurance activities. </w:t>
      </w:r>
      <w:r w:rsidR="002B2B32">
        <w:t xml:space="preserve">Providers </w:t>
      </w:r>
      <w:r w:rsidR="00313C5B">
        <w:t xml:space="preserve">are </w:t>
      </w:r>
      <w:r w:rsidR="002B2B32">
        <w:t>required to contribute to performance assessments.</w:t>
      </w:r>
      <w:r w:rsidR="00465DBA">
        <w:t xml:space="preserve"> </w:t>
      </w:r>
      <w:r w:rsidR="00C02B8A">
        <w:t>This is an ongoing, iterative process that supports continuous improvement.</w:t>
      </w:r>
    </w:p>
    <w:p w14:paraId="062C950E" w14:textId="4E1C4C96" w:rsidR="003A298B" w:rsidRDefault="00E76457" w:rsidP="00803CFE">
      <w:pPr>
        <w:pStyle w:val="guidelinetext"/>
      </w:pPr>
      <w:r>
        <w:t>Measures used to asses</w:t>
      </w:r>
      <w:r w:rsidR="00D53905">
        <w:t>s</w:t>
      </w:r>
      <w:r>
        <w:t xml:space="preserve"> performance include</w:t>
      </w:r>
      <w:r w:rsidR="002B2B32">
        <w:t>:</w:t>
      </w:r>
    </w:p>
    <w:p w14:paraId="383D25B6" w14:textId="771EF2E2" w:rsidR="002B2B32" w:rsidRDefault="00D53905" w:rsidP="000236D2">
      <w:pPr>
        <w:pStyle w:val="guidelinebullet"/>
        <w:numPr>
          <w:ilvl w:val="0"/>
          <w:numId w:val="12"/>
        </w:numPr>
        <w:ind w:left="1985" w:hanging="567"/>
      </w:pPr>
      <w:r>
        <w:t>p</w:t>
      </w:r>
      <w:r w:rsidR="002B2B32">
        <w:t xml:space="preserve">erformance against the </w:t>
      </w:r>
      <w:r w:rsidR="00465DBA">
        <w:t>Key Performance Indicators (KPIs)</w:t>
      </w:r>
    </w:p>
    <w:p w14:paraId="1F1F4358" w14:textId="4B8EB988" w:rsidR="002B2B32" w:rsidRDefault="00A503F0" w:rsidP="003A298B">
      <w:pPr>
        <w:pStyle w:val="guidelinebullet"/>
        <w:numPr>
          <w:ilvl w:val="0"/>
          <w:numId w:val="12"/>
        </w:numPr>
        <w:ind w:left="1985" w:hanging="567"/>
      </w:pPr>
      <w:r>
        <w:t xml:space="preserve">assessment of </w:t>
      </w:r>
      <w:r w:rsidR="002B2B32">
        <w:t xml:space="preserve">Services delivered in relation to the </w:t>
      </w:r>
      <w:r w:rsidR="00465DBA">
        <w:t>Service Guarantee</w:t>
      </w:r>
    </w:p>
    <w:p w14:paraId="2160940E" w14:textId="6CBFD759" w:rsidR="002B2B32" w:rsidRDefault="00D53905" w:rsidP="003A298B">
      <w:pPr>
        <w:pStyle w:val="guidelinebullet"/>
        <w:numPr>
          <w:ilvl w:val="0"/>
          <w:numId w:val="12"/>
        </w:numPr>
        <w:ind w:left="1985" w:hanging="567"/>
      </w:pPr>
      <w:r>
        <w:t>c</w:t>
      </w:r>
      <w:r w:rsidR="002B2B32">
        <w:t>ompliance with</w:t>
      </w:r>
      <w:r w:rsidR="00803CFE">
        <w:t xml:space="preserve"> the Time to Work Employment Service Deed </w:t>
      </w:r>
      <w:r>
        <w:t>2018</w:t>
      </w:r>
      <w:r w:rsidR="00C02B8A">
        <w:t>–</w:t>
      </w:r>
      <w:r w:rsidR="00460F63">
        <w:t>2023</w:t>
      </w:r>
      <w:r>
        <w:br/>
      </w:r>
      <w:r w:rsidR="00803CFE">
        <w:t>(the Deed)</w:t>
      </w:r>
    </w:p>
    <w:p w14:paraId="27794998" w14:textId="4921A227" w:rsidR="002B2B32" w:rsidRDefault="00465DBA" w:rsidP="003A298B">
      <w:pPr>
        <w:pStyle w:val="guidelinebullet"/>
        <w:numPr>
          <w:ilvl w:val="0"/>
          <w:numId w:val="12"/>
        </w:numPr>
        <w:ind w:left="1985" w:hanging="567"/>
      </w:pPr>
      <w:r>
        <w:t xml:space="preserve">stakeholder feedback (including </w:t>
      </w:r>
      <w:r w:rsidR="00602674">
        <w:t xml:space="preserve">from </w:t>
      </w:r>
      <w:r>
        <w:t>Participants</w:t>
      </w:r>
      <w:r w:rsidR="00602674">
        <w:t xml:space="preserve"> and </w:t>
      </w:r>
      <w:r w:rsidR="00A60933">
        <w:t>P</w:t>
      </w:r>
      <w:r w:rsidR="00602674">
        <w:t>rison officials</w:t>
      </w:r>
      <w:r>
        <w:t xml:space="preserve">) </w:t>
      </w:r>
    </w:p>
    <w:p w14:paraId="7382B208" w14:textId="587375CC" w:rsidR="00A25119" w:rsidRDefault="002B2B32" w:rsidP="003A298B">
      <w:pPr>
        <w:pStyle w:val="guidelinebullet"/>
        <w:numPr>
          <w:ilvl w:val="0"/>
          <w:numId w:val="12"/>
        </w:numPr>
        <w:ind w:left="1985" w:hanging="567"/>
      </w:pPr>
      <w:r>
        <w:t>information gathered through</w:t>
      </w:r>
      <w:r w:rsidR="00E76457">
        <w:t xml:space="preserve"> the</w:t>
      </w:r>
      <w:r>
        <w:t xml:space="preserve"> </w:t>
      </w:r>
      <w:r w:rsidR="008D41F6">
        <w:t>i</w:t>
      </w:r>
      <w:r w:rsidR="00E76457">
        <w:t xml:space="preserve">mplementation </w:t>
      </w:r>
      <w:r w:rsidR="008D41F6">
        <w:t>p</w:t>
      </w:r>
      <w:r w:rsidR="00E76457">
        <w:t xml:space="preserve">lan and regular </w:t>
      </w:r>
      <w:r w:rsidR="00A60933">
        <w:t>P</w:t>
      </w:r>
      <w:r w:rsidR="00E76457">
        <w:t xml:space="preserve">rogress </w:t>
      </w:r>
      <w:r w:rsidR="00A60933">
        <w:t>R</w:t>
      </w:r>
      <w:r w:rsidR="00465DBA">
        <w:t>eport</w:t>
      </w:r>
      <w:r>
        <w:t>s</w:t>
      </w:r>
      <w:r w:rsidR="00803CFE">
        <w:t xml:space="preserve">. </w:t>
      </w:r>
    </w:p>
    <w:p w14:paraId="7394D120" w14:textId="7BF12009" w:rsidR="00861A63" w:rsidRPr="00A432F4" w:rsidRDefault="00861A63" w:rsidP="005772EB">
      <w:pPr>
        <w:pStyle w:val="Heading2"/>
        <w:rPr>
          <w:rFonts w:eastAsia="Times New Roman"/>
        </w:rPr>
      </w:pPr>
      <w:bookmarkStart w:id="4" w:name="_Toc106983025"/>
      <w:r>
        <w:rPr>
          <w:rFonts w:eastAsia="Times New Roman"/>
        </w:rPr>
        <w:t xml:space="preserve">Deed </w:t>
      </w:r>
      <w:r w:rsidR="00313C5B">
        <w:rPr>
          <w:rFonts w:eastAsia="Times New Roman"/>
        </w:rPr>
        <w:t>c</w:t>
      </w:r>
      <w:r>
        <w:rPr>
          <w:rFonts w:eastAsia="Times New Roman"/>
        </w:rPr>
        <w:t>ompliance</w:t>
      </w:r>
      <w:bookmarkEnd w:id="4"/>
    </w:p>
    <w:p w14:paraId="2F279E74" w14:textId="607B0380" w:rsidR="00861A63" w:rsidRDefault="00861A63" w:rsidP="004670DD">
      <w:pPr>
        <w:pStyle w:val="guidelinetext"/>
      </w:pPr>
      <w:r w:rsidRPr="00861A63">
        <w:t xml:space="preserve">The Department </w:t>
      </w:r>
      <w:r w:rsidR="00A503F0">
        <w:t xml:space="preserve">consistently </w:t>
      </w:r>
      <w:r w:rsidRPr="00861A63">
        <w:t xml:space="preserve">monitors compliance </w:t>
      </w:r>
      <w:r w:rsidR="00A503F0">
        <w:t xml:space="preserve">with </w:t>
      </w:r>
      <w:r w:rsidRPr="00861A63">
        <w:t xml:space="preserve">the Deed </w:t>
      </w:r>
      <w:r w:rsidR="00EF10C9">
        <w:t xml:space="preserve">and any relevant Guidelines or reference material </w:t>
      </w:r>
      <w:r w:rsidRPr="00861A63">
        <w:t xml:space="preserve">and </w:t>
      </w:r>
      <w:r w:rsidR="00A503F0">
        <w:t xml:space="preserve">will </w:t>
      </w:r>
      <w:r w:rsidRPr="00861A63">
        <w:t>raise any concerns in a timely manner. These monitoring activities are supported by ongoing review, contract management and discrete Program Assurance Activities</w:t>
      </w:r>
      <w:r>
        <w:t>.</w:t>
      </w:r>
    </w:p>
    <w:p w14:paraId="18D675B0" w14:textId="75DB11FE" w:rsidR="009462F5" w:rsidRPr="00A432F4" w:rsidRDefault="009462F5" w:rsidP="005772EB">
      <w:pPr>
        <w:pStyle w:val="Heading2"/>
        <w:rPr>
          <w:rFonts w:eastAsia="Times New Roman"/>
        </w:rPr>
      </w:pPr>
      <w:bookmarkStart w:id="5" w:name="_Toc412463456"/>
      <w:bookmarkStart w:id="6" w:name="_Toc412801879"/>
      <w:bookmarkStart w:id="7" w:name="_Toc106983026"/>
      <w:r w:rsidRPr="009462F5">
        <w:rPr>
          <w:rFonts w:eastAsia="Times New Roman"/>
        </w:rPr>
        <w:t>Joint Charter of Deed Management</w:t>
      </w:r>
      <w:bookmarkEnd w:id="5"/>
      <w:bookmarkEnd w:id="6"/>
      <w:bookmarkEnd w:id="7"/>
    </w:p>
    <w:p w14:paraId="766D9A41" w14:textId="1F727000" w:rsidR="009462F5" w:rsidRDefault="009462F5" w:rsidP="004670DD">
      <w:pPr>
        <w:pStyle w:val="guidelinetext"/>
      </w:pPr>
      <w:r w:rsidRPr="009462F5">
        <w:t xml:space="preserve">The Joint Charter of Deed Management (Joint Charter) </w:t>
      </w:r>
      <w:r w:rsidR="00E44225">
        <w:t xml:space="preserve">outlines </w:t>
      </w:r>
      <w:r w:rsidR="00FD0EDB">
        <w:t xml:space="preserve">Provider and Department </w:t>
      </w:r>
      <w:r w:rsidRPr="009462F5">
        <w:t>commitments to effective</w:t>
      </w:r>
      <w:r w:rsidR="00E44225">
        <w:t>ly</w:t>
      </w:r>
      <w:r w:rsidRPr="009462F5">
        <w:t xml:space="preserve"> </w:t>
      </w:r>
      <w:r w:rsidR="00E44225">
        <w:t xml:space="preserve">manage </w:t>
      </w:r>
      <w:r w:rsidR="00C85E89">
        <w:t>employment services</w:t>
      </w:r>
      <w:r w:rsidR="00D53905">
        <w:t xml:space="preserve">. It </w:t>
      </w:r>
      <w:r w:rsidRPr="009462F5">
        <w:t xml:space="preserve">sets out the standards for performance and conduct expected in </w:t>
      </w:r>
      <w:r w:rsidR="00E44225">
        <w:t xml:space="preserve">delivering </w:t>
      </w:r>
      <w:r w:rsidRPr="009462F5">
        <w:t xml:space="preserve">services according to </w:t>
      </w:r>
      <w:r w:rsidR="00C85E89">
        <w:t>employment service</w:t>
      </w:r>
      <w:r w:rsidRPr="009462F5">
        <w:t xml:space="preserve"> deed</w:t>
      </w:r>
      <w:r w:rsidR="00C85E89">
        <w:t>s</w:t>
      </w:r>
      <w:r>
        <w:t>.</w:t>
      </w:r>
      <w:r w:rsidR="00811643">
        <w:t xml:space="preserve"> </w:t>
      </w:r>
    </w:p>
    <w:p w14:paraId="6603A99B" w14:textId="4A1C2327" w:rsidR="00811643" w:rsidRDefault="009462F5" w:rsidP="00811643">
      <w:pPr>
        <w:pStyle w:val="guidelinetext"/>
      </w:pPr>
      <w:r w:rsidRPr="009462F5">
        <w:t xml:space="preserve">The Joint Charter </w:t>
      </w:r>
      <w:r w:rsidR="00E44225">
        <w:t xml:space="preserve">applies </w:t>
      </w:r>
      <w:r w:rsidRPr="009462F5">
        <w:t xml:space="preserve">to </w:t>
      </w:r>
      <w:r w:rsidR="00C85E89">
        <w:t xml:space="preserve">Providers, </w:t>
      </w:r>
      <w:r w:rsidR="0095412F">
        <w:t xml:space="preserve">Workforce </w:t>
      </w:r>
      <w:r w:rsidR="0095412F" w:rsidRPr="000D5D8A">
        <w:t>Australia</w:t>
      </w:r>
      <w:r w:rsidR="00DB0090" w:rsidRPr="000D5D8A">
        <w:t xml:space="preserve"> </w:t>
      </w:r>
      <w:r w:rsidR="000D1FFA" w:rsidRPr="000D5D8A">
        <w:t>Employment</w:t>
      </w:r>
      <w:r w:rsidR="000D1FFA">
        <w:t xml:space="preserve"> </w:t>
      </w:r>
      <w:r w:rsidR="00DB0090">
        <w:t>Services</w:t>
      </w:r>
      <w:r w:rsidR="0095412F">
        <w:t xml:space="preserve"> </w:t>
      </w:r>
      <w:r w:rsidRPr="009462F5">
        <w:t xml:space="preserve">Providers, </w:t>
      </w:r>
      <w:r w:rsidR="00137E2A">
        <w:t>and all other Employment Service Providers</w:t>
      </w:r>
      <w:r w:rsidRPr="009462F5">
        <w:t xml:space="preserve">. </w:t>
      </w:r>
      <w:r w:rsidR="00E44225">
        <w:t xml:space="preserve">The Department assesses </w:t>
      </w:r>
      <w:r w:rsidRPr="009462F5">
        <w:t>Provider performance against the Joint Charter as part of ongoing contract management activities and performance assessments</w:t>
      </w:r>
      <w:r w:rsidR="00501EFA">
        <w:t>.</w:t>
      </w:r>
      <w:r w:rsidR="00811643" w:rsidRPr="00811643">
        <w:t xml:space="preserve"> </w:t>
      </w:r>
    </w:p>
    <w:p w14:paraId="58514391" w14:textId="085F7FC3" w:rsidR="008D41F6" w:rsidRDefault="00811643" w:rsidP="00811643">
      <w:pPr>
        <w:pStyle w:val="guidelinetext"/>
      </w:pPr>
      <w:r>
        <w:t xml:space="preserve">The Joint Charter is </w:t>
      </w:r>
      <w:r w:rsidR="00915C05">
        <w:t xml:space="preserve">available </w:t>
      </w:r>
      <w:r>
        <w:t xml:space="preserve">on the </w:t>
      </w:r>
      <w:hyperlink r:id="rId23" w:history="1">
        <w:r w:rsidR="00A60933" w:rsidRPr="00053CC3">
          <w:rPr>
            <w:rStyle w:val="Hyperlink"/>
          </w:rPr>
          <w:t>P</w:t>
        </w:r>
        <w:r w:rsidRPr="00053CC3">
          <w:rPr>
            <w:rStyle w:val="Hyperlink"/>
          </w:rPr>
          <w:t xml:space="preserve">rovider </w:t>
        </w:r>
        <w:r w:rsidR="00A60933" w:rsidRPr="00053CC3">
          <w:rPr>
            <w:rStyle w:val="Hyperlink"/>
          </w:rPr>
          <w:t>P</w:t>
        </w:r>
        <w:r w:rsidRPr="00053CC3">
          <w:rPr>
            <w:rStyle w:val="Hyperlink"/>
          </w:rPr>
          <w:t>ortal</w:t>
        </w:r>
      </w:hyperlink>
      <w:r>
        <w:t>.</w:t>
      </w:r>
    </w:p>
    <w:p w14:paraId="4F64CC61" w14:textId="09298214" w:rsidR="00974F26" w:rsidRDefault="00616F93" w:rsidP="000236D2">
      <w:pPr>
        <w:pStyle w:val="Heading1"/>
        <w:pageBreakBefore/>
        <w:tabs>
          <w:tab w:val="left" w:pos="426"/>
        </w:tabs>
        <w:ind w:left="425" w:hanging="425"/>
      </w:pPr>
      <w:bookmarkStart w:id="8" w:name="_Toc106983027"/>
      <w:r>
        <w:lastRenderedPageBreak/>
        <w:t>2</w:t>
      </w:r>
      <w:r w:rsidR="00974F26">
        <w:t>.</w:t>
      </w:r>
      <w:r w:rsidR="00B22E27">
        <w:tab/>
      </w:r>
      <w:r w:rsidR="00974F26">
        <w:t>Key Performance Indicators</w:t>
      </w:r>
      <w:bookmarkEnd w:id="8"/>
    </w:p>
    <w:p w14:paraId="44D513B2" w14:textId="2F0B4EB5" w:rsidR="002B2B32" w:rsidRDefault="006F0341" w:rsidP="002B2B32">
      <w:pPr>
        <w:pStyle w:val="guidelinetext"/>
      </w:pPr>
      <w:r>
        <w:t>The Department assesses Provider performance against contractual KPIs related to</w:t>
      </w:r>
      <w:r w:rsidR="002B2B32">
        <w:t>:</w:t>
      </w:r>
    </w:p>
    <w:p w14:paraId="3D617239" w14:textId="53F2396C" w:rsidR="002B2B32" w:rsidRPr="004670DD" w:rsidRDefault="002B2B32" w:rsidP="000236D2">
      <w:pPr>
        <w:pStyle w:val="guidelinebullet"/>
        <w:numPr>
          <w:ilvl w:val="0"/>
          <w:numId w:val="12"/>
        </w:numPr>
        <w:ind w:left="1985" w:hanging="567"/>
      </w:pPr>
      <w:r w:rsidRPr="004670DD">
        <w:t>eff</w:t>
      </w:r>
      <w:r w:rsidR="00AB57C7">
        <w:t>ectiveness</w:t>
      </w:r>
    </w:p>
    <w:p w14:paraId="5E67D763" w14:textId="77777777" w:rsidR="002B2B32" w:rsidRPr="004670DD" w:rsidRDefault="002B2B32" w:rsidP="000236D2">
      <w:pPr>
        <w:pStyle w:val="guidelinebullet"/>
        <w:numPr>
          <w:ilvl w:val="0"/>
          <w:numId w:val="12"/>
        </w:numPr>
        <w:ind w:left="1985" w:hanging="567"/>
      </w:pPr>
      <w:r>
        <w:t>engagement</w:t>
      </w:r>
    </w:p>
    <w:p w14:paraId="50BED345" w14:textId="52B50161" w:rsidR="002B2B32" w:rsidRPr="004670DD" w:rsidRDefault="002B2B32" w:rsidP="000236D2">
      <w:pPr>
        <w:pStyle w:val="guidelinebullet"/>
        <w:numPr>
          <w:ilvl w:val="0"/>
          <w:numId w:val="12"/>
        </w:numPr>
        <w:ind w:left="1985" w:hanging="567"/>
      </w:pPr>
      <w:r>
        <w:t xml:space="preserve">satisfaction and </w:t>
      </w:r>
      <w:r w:rsidR="00A60933">
        <w:t>S</w:t>
      </w:r>
      <w:r>
        <w:t>ervice quality.</w:t>
      </w:r>
    </w:p>
    <w:p w14:paraId="569970A4" w14:textId="76BCA185" w:rsidR="00A1061D" w:rsidRDefault="00A1061D" w:rsidP="00A1061D">
      <w:pPr>
        <w:pStyle w:val="Heading2"/>
        <w:spacing w:before="120"/>
      </w:pPr>
      <w:bookmarkStart w:id="9" w:name="_Toc106983028"/>
      <w:r w:rsidRPr="00A1061D">
        <w:t>KPI 1</w:t>
      </w:r>
      <w:r w:rsidR="006F0341">
        <w:t>—</w:t>
      </w:r>
      <w:r w:rsidRPr="00A1061D">
        <w:t>Effectiveness:</w:t>
      </w:r>
      <w:bookmarkEnd w:id="9"/>
      <w:r w:rsidRPr="00A1061D">
        <w:t xml:space="preserve"> </w:t>
      </w:r>
    </w:p>
    <w:p w14:paraId="732A1762" w14:textId="0502C028" w:rsidR="00A1061D" w:rsidRPr="00A1061D" w:rsidRDefault="00A1061D" w:rsidP="00A1061D">
      <w:pPr>
        <w:pStyle w:val="guidelinetext"/>
      </w:pPr>
      <w:r>
        <w:t xml:space="preserve">This indicator focuses on </w:t>
      </w:r>
      <w:r w:rsidR="006F0341">
        <w:t xml:space="preserve">Provider </w:t>
      </w:r>
      <w:r>
        <w:t xml:space="preserve">effectiveness and ability to build trust with Participants to support </w:t>
      </w:r>
      <w:r w:rsidR="006F0341">
        <w:t xml:space="preserve">them to successfully commence </w:t>
      </w:r>
      <w:r>
        <w:t xml:space="preserve">with an </w:t>
      </w:r>
      <w:r w:rsidR="006F0341">
        <w:t>E</w:t>
      </w:r>
      <w:r>
        <w:t xml:space="preserve">mployment </w:t>
      </w:r>
      <w:r w:rsidR="006F0341">
        <w:t>Services P</w:t>
      </w:r>
      <w:r>
        <w:t xml:space="preserve">rovider </w:t>
      </w:r>
      <w:r w:rsidR="006F0341">
        <w:t xml:space="preserve">on </w:t>
      </w:r>
      <w:r>
        <w:t xml:space="preserve">release from </w:t>
      </w:r>
      <w:r w:rsidR="00A60933">
        <w:t>P</w:t>
      </w:r>
      <w:r>
        <w:t>rison.</w:t>
      </w:r>
    </w:p>
    <w:p w14:paraId="6B945848" w14:textId="38EB6F7F" w:rsidR="00A1061D" w:rsidRDefault="00EB2411" w:rsidP="00A1061D">
      <w:pPr>
        <w:pStyle w:val="guidelinetext"/>
      </w:pPr>
      <w:r>
        <w:t xml:space="preserve">The Department </w:t>
      </w:r>
      <w:r w:rsidR="00C333EA">
        <w:t>determine</w:t>
      </w:r>
      <w:r w:rsidR="006F0341">
        <w:t>s</w:t>
      </w:r>
      <w:r>
        <w:t xml:space="preserve"> Provider performance by</w:t>
      </w:r>
      <w:r w:rsidR="00C333EA">
        <w:t xml:space="preserve"> calculating</w:t>
      </w:r>
      <w:r w:rsidR="008D41F6">
        <w:t xml:space="preserve"> the number of Participants who</w:t>
      </w:r>
      <w:r w:rsidR="00A1061D">
        <w:t>:</w:t>
      </w:r>
    </w:p>
    <w:p w14:paraId="738AABF3" w14:textId="3B212D55" w:rsidR="004A7E32" w:rsidRDefault="00A1061D" w:rsidP="000236D2">
      <w:pPr>
        <w:pStyle w:val="guidelinebullet"/>
        <w:numPr>
          <w:ilvl w:val="0"/>
          <w:numId w:val="12"/>
        </w:numPr>
        <w:ind w:left="1985" w:hanging="567"/>
      </w:pPr>
      <w:r w:rsidRPr="00A1061D">
        <w:t xml:space="preserve">receive a Facilitated Transfer </w:t>
      </w:r>
      <w:r w:rsidR="004A7E32">
        <w:t>to</w:t>
      </w:r>
      <w:r w:rsidR="00EB2411">
        <w:t xml:space="preserve"> an Employment Services Provider </w:t>
      </w:r>
    </w:p>
    <w:p w14:paraId="30D0076F" w14:textId="02D4F9B0" w:rsidR="00A1061D" w:rsidRPr="00A1061D" w:rsidRDefault="004A7E32" w:rsidP="000236D2">
      <w:pPr>
        <w:pStyle w:val="guidelinebullet"/>
        <w:numPr>
          <w:ilvl w:val="0"/>
          <w:numId w:val="12"/>
        </w:numPr>
        <w:ind w:left="1985" w:hanging="567"/>
      </w:pPr>
      <w:r>
        <w:t xml:space="preserve">commence with the post-release </w:t>
      </w:r>
      <w:r w:rsidR="00EB2411">
        <w:t>Employment Services Provider</w:t>
      </w:r>
      <w:r w:rsidR="00A1061D" w:rsidRPr="00A1061D">
        <w:t>.</w:t>
      </w:r>
    </w:p>
    <w:p w14:paraId="5E940715" w14:textId="34CE01AA" w:rsidR="00A1061D" w:rsidRDefault="00A1061D" w:rsidP="00A1061D">
      <w:pPr>
        <w:pStyle w:val="Heading2"/>
        <w:spacing w:before="120"/>
      </w:pPr>
      <w:bookmarkStart w:id="10" w:name="_Toc106983029"/>
      <w:r w:rsidRPr="00A1061D">
        <w:t>KPI 2</w:t>
      </w:r>
      <w:r w:rsidR="006F0341">
        <w:t>—</w:t>
      </w:r>
      <w:r w:rsidRPr="00A1061D">
        <w:t>Engagement:</w:t>
      </w:r>
      <w:bookmarkEnd w:id="10"/>
      <w:r w:rsidRPr="00A1061D">
        <w:t xml:space="preserve"> </w:t>
      </w:r>
    </w:p>
    <w:p w14:paraId="37B9F87A" w14:textId="6DFE8A77" w:rsidR="00A1061D" w:rsidRPr="00A1061D" w:rsidRDefault="00A1061D" w:rsidP="00A1061D">
      <w:pPr>
        <w:pStyle w:val="guidelinetext"/>
      </w:pPr>
      <w:r w:rsidRPr="00A1061D">
        <w:t>Th</w:t>
      </w:r>
      <w:r w:rsidR="00C333EA">
        <w:t>is indicator takes into account th</w:t>
      </w:r>
      <w:r w:rsidRPr="00A1061D">
        <w:t>e extent to which Provider</w:t>
      </w:r>
      <w:r w:rsidR="0040336A">
        <w:t>s</w:t>
      </w:r>
      <w:r w:rsidRPr="00A1061D">
        <w:t xml:space="preserve"> </w:t>
      </w:r>
      <w:r w:rsidR="008D41F6">
        <w:t>engage with the Participant</w:t>
      </w:r>
      <w:r w:rsidR="0040336A">
        <w:t>s</w:t>
      </w:r>
      <w:r w:rsidR="008D41F6">
        <w:t xml:space="preserve"> and </w:t>
      </w:r>
      <w:r w:rsidRPr="00A1061D">
        <w:t>develop links with the Prisons and any in-</w:t>
      </w:r>
      <w:r w:rsidR="00A60933">
        <w:t>P</w:t>
      </w:r>
      <w:r w:rsidRPr="00A1061D">
        <w:t xml:space="preserve">rison </w:t>
      </w:r>
      <w:r w:rsidR="00A60933">
        <w:t>S</w:t>
      </w:r>
      <w:r w:rsidRPr="00A1061D">
        <w:t>ervice providers to attract and retain Participants</w:t>
      </w:r>
      <w:r>
        <w:t>.</w:t>
      </w:r>
    </w:p>
    <w:p w14:paraId="747E4146" w14:textId="16712DD0" w:rsidR="00A1061D" w:rsidRPr="00A1061D" w:rsidRDefault="00EB2411" w:rsidP="00EB2411">
      <w:pPr>
        <w:pStyle w:val="guidelinetext"/>
      </w:pPr>
      <w:r w:rsidRPr="00A1061D">
        <w:t>T</w:t>
      </w:r>
      <w:r w:rsidR="00C333EA">
        <w:t>he Department</w:t>
      </w:r>
      <w:r w:rsidRPr="00A1061D">
        <w:t xml:space="preserve"> </w:t>
      </w:r>
      <w:r w:rsidR="00C333EA">
        <w:t>determine</w:t>
      </w:r>
      <w:r w:rsidR="0040336A">
        <w:t>s</w:t>
      </w:r>
      <w:r>
        <w:t xml:space="preserve"> </w:t>
      </w:r>
      <w:r w:rsidRPr="00A1061D">
        <w:t xml:space="preserve">Provider performance </w:t>
      </w:r>
      <w:r>
        <w:t>by</w:t>
      </w:r>
      <w:r w:rsidR="00C333EA">
        <w:t xml:space="preserve"> identifying</w:t>
      </w:r>
      <w:r w:rsidR="008D41F6">
        <w:t xml:space="preserve"> the number of</w:t>
      </w:r>
      <w:r>
        <w:t>:</w:t>
      </w:r>
    </w:p>
    <w:p w14:paraId="2A9B1C48" w14:textId="0EF7490D" w:rsidR="00A1061D" w:rsidRPr="00A1061D" w:rsidRDefault="00A1061D" w:rsidP="000236D2">
      <w:pPr>
        <w:pStyle w:val="guidelinebullet"/>
        <w:numPr>
          <w:ilvl w:val="0"/>
          <w:numId w:val="12"/>
        </w:numPr>
        <w:ind w:left="1985" w:hanging="567"/>
      </w:pPr>
      <w:r w:rsidRPr="00A1061D">
        <w:t xml:space="preserve">Participants </w:t>
      </w:r>
      <w:r w:rsidR="00EB2411">
        <w:t xml:space="preserve">who volunteer to participate </w:t>
      </w:r>
      <w:r w:rsidRPr="00A1061D">
        <w:t>as a percentage of the number of Eligible Prisoners</w:t>
      </w:r>
      <w:r w:rsidR="00EB2411">
        <w:t xml:space="preserve"> in each participating Prison</w:t>
      </w:r>
    </w:p>
    <w:p w14:paraId="1B98C7C1" w14:textId="3FBA2BF3" w:rsidR="00A1061D" w:rsidRPr="00A1061D" w:rsidRDefault="0040336A" w:rsidP="000236D2">
      <w:pPr>
        <w:pStyle w:val="guidelinebullet"/>
        <w:numPr>
          <w:ilvl w:val="0"/>
          <w:numId w:val="12"/>
        </w:numPr>
        <w:ind w:left="1985" w:hanging="567"/>
      </w:pPr>
      <w:r>
        <w:t xml:space="preserve">Participant-approved </w:t>
      </w:r>
      <w:r w:rsidR="00A1061D" w:rsidRPr="00A1061D" w:rsidDel="00BC4E1A">
        <w:t>Transition Plans as a percentage of the number of Participants</w:t>
      </w:r>
      <w:r w:rsidR="00EB2411">
        <w:t xml:space="preserve"> who entered the program</w:t>
      </w:r>
      <w:r w:rsidR="00EB2411" w:rsidRPr="00EB2411">
        <w:t xml:space="preserve"> </w:t>
      </w:r>
      <w:r w:rsidR="00EB2411">
        <w:t>in each participating Prison</w:t>
      </w:r>
      <w:r w:rsidR="00A1061D" w:rsidRPr="00A1061D">
        <w:t>.</w:t>
      </w:r>
    </w:p>
    <w:p w14:paraId="189DA0D3" w14:textId="50478402" w:rsidR="00A1061D" w:rsidRDefault="00A1061D" w:rsidP="00A1061D">
      <w:pPr>
        <w:pStyle w:val="Heading2"/>
        <w:spacing w:before="120"/>
      </w:pPr>
      <w:bookmarkStart w:id="11" w:name="_Toc106983030"/>
      <w:r w:rsidRPr="00A1061D">
        <w:t>KPI 3</w:t>
      </w:r>
      <w:r w:rsidR="0040336A">
        <w:t>—</w:t>
      </w:r>
      <w:r w:rsidRPr="00A1061D">
        <w:t xml:space="preserve">Satisfaction and </w:t>
      </w:r>
      <w:r w:rsidR="0040336A">
        <w:t>s</w:t>
      </w:r>
      <w:r w:rsidRPr="00A1061D">
        <w:t xml:space="preserve">ervice </w:t>
      </w:r>
      <w:r w:rsidR="0040336A">
        <w:t>q</w:t>
      </w:r>
      <w:r w:rsidRPr="00A1061D">
        <w:t>uality:</w:t>
      </w:r>
      <w:bookmarkEnd w:id="11"/>
      <w:r w:rsidRPr="00A1061D">
        <w:t xml:space="preserve"> </w:t>
      </w:r>
    </w:p>
    <w:p w14:paraId="4F340989" w14:textId="5912EC31" w:rsidR="00A1061D" w:rsidRPr="00A1061D" w:rsidRDefault="00A1061D" w:rsidP="00A1061D">
      <w:pPr>
        <w:pStyle w:val="guidelinetext"/>
      </w:pPr>
      <w:r w:rsidRPr="00A1061D">
        <w:t>Th</w:t>
      </w:r>
      <w:r w:rsidR="00C333EA">
        <w:t xml:space="preserve">is indicator looks at </w:t>
      </w:r>
      <w:r w:rsidRPr="00A1061D">
        <w:t xml:space="preserve">Participant and other stakeholder satisfaction with the </w:t>
      </w:r>
      <w:r w:rsidR="0040336A">
        <w:t xml:space="preserve">way </w:t>
      </w:r>
      <w:r w:rsidRPr="00A1061D">
        <w:t>Provider</w:t>
      </w:r>
      <w:r w:rsidR="0040336A">
        <w:t>s</w:t>
      </w:r>
      <w:r w:rsidRPr="00A1061D">
        <w:t xml:space="preserve"> </w:t>
      </w:r>
      <w:r w:rsidR="0040336A">
        <w:t xml:space="preserve">deliver </w:t>
      </w:r>
      <w:r w:rsidRPr="00A1061D">
        <w:t>the Service.</w:t>
      </w:r>
    </w:p>
    <w:p w14:paraId="516AAA21" w14:textId="12F8F1BA" w:rsidR="00A1061D" w:rsidRDefault="00C333EA" w:rsidP="00A1061D">
      <w:pPr>
        <w:pStyle w:val="guidelinetext"/>
      </w:pPr>
      <w:r>
        <w:t xml:space="preserve">The Department </w:t>
      </w:r>
      <w:r w:rsidR="00A40D72">
        <w:t>determine</w:t>
      </w:r>
      <w:r w:rsidR="0040336A">
        <w:t>s</w:t>
      </w:r>
      <w:r>
        <w:t xml:space="preserve"> Provider quality of servicing</w:t>
      </w:r>
      <w:r w:rsidR="00A40D72">
        <w:t xml:space="preserve"> and satisfaction </w:t>
      </w:r>
      <w:r w:rsidR="0040336A">
        <w:t xml:space="preserve">levels </w:t>
      </w:r>
      <w:r w:rsidR="00A40D72">
        <w:t>for</w:t>
      </w:r>
      <w:r w:rsidR="00A1061D" w:rsidRPr="00A1061D">
        <w:t>:</w:t>
      </w:r>
    </w:p>
    <w:p w14:paraId="2DA5AFCE" w14:textId="45FC0278" w:rsidR="00A40D72" w:rsidRDefault="00AB57C7" w:rsidP="000236D2">
      <w:pPr>
        <w:pStyle w:val="guidelinebullet"/>
        <w:numPr>
          <w:ilvl w:val="0"/>
          <w:numId w:val="12"/>
        </w:numPr>
        <w:ind w:left="1985" w:hanging="567"/>
      </w:pPr>
      <w:r>
        <w:t>Participants</w:t>
      </w:r>
      <w:r w:rsidR="0040336A">
        <w:t>—</w:t>
      </w:r>
      <w:r w:rsidR="00A40D72">
        <w:t>based on information collected through the Department’s monitoring surveys</w:t>
      </w:r>
      <w:r w:rsidR="00B65013">
        <w:t xml:space="preserve">, </w:t>
      </w:r>
      <w:r w:rsidR="00D003E2">
        <w:t>m</w:t>
      </w:r>
      <w:r w:rsidR="00B65013">
        <w:t xml:space="preserve">inisterial </w:t>
      </w:r>
      <w:r w:rsidR="00D003E2">
        <w:t>c</w:t>
      </w:r>
      <w:r w:rsidR="00B65013">
        <w:t>orrespondence</w:t>
      </w:r>
      <w:r w:rsidR="001C130E">
        <w:t>,</w:t>
      </w:r>
      <w:r w:rsidR="00B65013">
        <w:t xml:space="preserve"> calls to the National Customer Service Line</w:t>
      </w:r>
      <w:r w:rsidR="001C130E">
        <w:t xml:space="preserve"> and any other </w:t>
      </w:r>
      <w:r w:rsidR="00A60933">
        <w:t>c</w:t>
      </w:r>
      <w:r w:rsidR="001C130E">
        <w:t>ustomer feedback</w:t>
      </w:r>
    </w:p>
    <w:p w14:paraId="1A5E9F1E" w14:textId="08E7343F" w:rsidR="00A1061D" w:rsidRPr="00A1061D" w:rsidRDefault="00A1061D" w:rsidP="000236D2">
      <w:pPr>
        <w:pStyle w:val="guidelinebullet"/>
        <w:numPr>
          <w:ilvl w:val="0"/>
          <w:numId w:val="12"/>
        </w:numPr>
        <w:ind w:left="1985" w:hanging="567"/>
      </w:pPr>
      <w:r w:rsidRPr="00A1061D">
        <w:t>other stakeholders</w:t>
      </w:r>
      <w:r w:rsidR="00AB57C7">
        <w:t xml:space="preserve"> (</w:t>
      </w:r>
      <w:r w:rsidR="001C130E">
        <w:t xml:space="preserve">including but not limited to </w:t>
      </w:r>
      <w:r w:rsidRPr="00A1061D">
        <w:t>Prisons, other in-</w:t>
      </w:r>
      <w:r w:rsidR="00A60933">
        <w:t>P</w:t>
      </w:r>
      <w:r w:rsidRPr="00A1061D">
        <w:t>rison service providers and Employment Service Providers</w:t>
      </w:r>
      <w:r w:rsidR="00AB57C7">
        <w:t>)</w:t>
      </w:r>
      <w:r w:rsidR="0040336A">
        <w:t>—</w:t>
      </w:r>
      <w:r w:rsidR="00B65013">
        <w:t xml:space="preserve">based on Account and Contract Manager discussions or any other </w:t>
      </w:r>
      <w:r w:rsidR="00A60933">
        <w:t>c</w:t>
      </w:r>
      <w:r w:rsidR="001C130E">
        <w:t xml:space="preserve">ustomer </w:t>
      </w:r>
      <w:r w:rsidR="00B65013">
        <w:t>feedback provided to the Department.</w:t>
      </w:r>
    </w:p>
    <w:p w14:paraId="18059932" w14:textId="4E49E48D" w:rsidR="00974F26" w:rsidRDefault="00974F26" w:rsidP="00B65013">
      <w:pPr>
        <w:pStyle w:val="guidelinedeedref"/>
        <w:ind w:left="1418"/>
      </w:pPr>
      <w:r>
        <w:t>(Deed References: Clauses 2.5,</w:t>
      </w:r>
      <w:r w:rsidR="001C130E">
        <w:t xml:space="preserve"> 17,</w:t>
      </w:r>
      <w:r w:rsidR="00B65013">
        <w:t xml:space="preserve"> </w:t>
      </w:r>
      <w:r w:rsidR="001C130E">
        <w:t>42</w:t>
      </w:r>
      <w:r w:rsidR="00B65013">
        <w:t>)</w:t>
      </w:r>
    </w:p>
    <w:p w14:paraId="46A44947" w14:textId="370F6862" w:rsidR="00501EFA" w:rsidRDefault="00616F93" w:rsidP="00332D97">
      <w:pPr>
        <w:pStyle w:val="Heading1"/>
        <w:pageBreakBefore/>
        <w:tabs>
          <w:tab w:val="left" w:pos="426"/>
        </w:tabs>
        <w:ind w:left="425" w:hanging="425"/>
      </w:pPr>
      <w:bookmarkStart w:id="12" w:name="_Toc106983031"/>
      <w:r>
        <w:lastRenderedPageBreak/>
        <w:t>3</w:t>
      </w:r>
      <w:r w:rsidR="00F2665A">
        <w:t>.</w:t>
      </w:r>
      <w:r w:rsidR="00332D97">
        <w:tab/>
      </w:r>
      <w:r w:rsidR="00D320EE">
        <w:t xml:space="preserve">Service Guarantee and </w:t>
      </w:r>
      <w:r w:rsidR="0040336A">
        <w:t xml:space="preserve">providing </w:t>
      </w:r>
      <w:r w:rsidR="00AB57C7">
        <w:t>cultural</w:t>
      </w:r>
      <w:r w:rsidR="00D320EE">
        <w:t xml:space="preserve">ly competent </w:t>
      </w:r>
      <w:r w:rsidR="00AB57C7">
        <w:t>Services</w:t>
      </w:r>
      <w:bookmarkEnd w:id="12"/>
    </w:p>
    <w:p w14:paraId="279C11D8" w14:textId="418B70DB" w:rsidR="00A120F8" w:rsidRDefault="00A120F8" w:rsidP="00E01F27">
      <w:pPr>
        <w:pStyle w:val="Heading2"/>
        <w:spacing w:before="120"/>
      </w:pPr>
      <w:bookmarkStart w:id="13" w:name="_Toc106983032"/>
      <w:r>
        <w:t>Service Guarantee</w:t>
      </w:r>
      <w:bookmarkEnd w:id="13"/>
    </w:p>
    <w:p w14:paraId="2FF82FE0" w14:textId="347D7778" w:rsidR="00A120F8" w:rsidRDefault="00515713" w:rsidP="00465569">
      <w:pPr>
        <w:pStyle w:val="guidelinetext"/>
      </w:pPr>
      <w:r>
        <w:t xml:space="preserve">The Service Guarantee applies </w:t>
      </w:r>
      <w:r w:rsidR="00A120F8">
        <w:t>to all Providers</w:t>
      </w:r>
      <w:r>
        <w:t xml:space="preserve">. It </w:t>
      </w:r>
      <w:r w:rsidR="00A120F8">
        <w:t xml:space="preserve">reflects the </w:t>
      </w:r>
      <w:r w:rsidR="005624A1">
        <w:t xml:space="preserve">Department’s </w:t>
      </w:r>
      <w:r w:rsidR="00A120F8">
        <w:t xml:space="preserve">expectations of how Providers will interact with Participants and specifies the minimum level of </w:t>
      </w:r>
      <w:r w:rsidR="006A1802">
        <w:t xml:space="preserve">culturally sensitive </w:t>
      </w:r>
      <w:r w:rsidR="00A120F8">
        <w:t>servic</w:t>
      </w:r>
      <w:r w:rsidR="00A60933">
        <w:t>ing</w:t>
      </w:r>
      <w:r w:rsidR="00A120F8">
        <w:t xml:space="preserve"> Participant</w:t>
      </w:r>
      <w:r>
        <w:t>s</w:t>
      </w:r>
      <w:r w:rsidR="00A120F8">
        <w:t xml:space="preserve"> can expect to receive, as well as the requirements </w:t>
      </w:r>
      <w:r w:rsidR="00A120F8" w:rsidRPr="00E345BF">
        <w:t>Participant</w:t>
      </w:r>
      <w:r>
        <w:t>s</w:t>
      </w:r>
      <w:r w:rsidR="00A120F8">
        <w:t xml:space="preserve"> </w:t>
      </w:r>
      <w:r w:rsidR="00AF753E">
        <w:t>need</w:t>
      </w:r>
      <w:r w:rsidR="00A120F8">
        <w:t xml:space="preserve"> to meet while </w:t>
      </w:r>
      <w:r w:rsidR="00AF753E">
        <w:t>participating</w:t>
      </w:r>
      <w:r w:rsidR="00A60933">
        <w:t xml:space="preserve"> in the Service</w:t>
      </w:r>
      <w:r w:rsidR="00AF753E">
        <w:t>.</w:t>
      </w:r>
    </w:p>
    <w:p w14:paraId="5F5171ED" w14:textId="5B8C2CE3" w:rsidR="00A120F8" w:rsidRPr="00274131" w:rsidRDefault="00D003E2" w:rsidP="00465569">
      <w:pPr>
        <w:pStyle w:val="guidelinetext"/>
      </w:pPr>
      <w:r>
        <w:t>Provider</w:t>
      </w:r>
      <w:r w:rsidR="00515713">
        <w:t>s</w:t>
      </w:r>
      <w:r>
        <w:t xml:space="preserve"> must make copies of the Service Guarantee available to all Participants, Eligible Prisoners and Prisons. </w:t>
      </w:r>
    </w:p>
    <w:p w14:paraId="6FEC6AFC" w14:textId="76FC34E6" w:rsidR="00A120F8" w:rsidRPr="00C42E48" w:rsidRDefault="00A120F8" w:rsidP="00465569">
      <w:pPr>
        <w:pStyle w:val="guidelinetext"/>
        <w:rPr>
          <w:rFonts w:ascii="Garamond" w:hAnsi="Garamond"/>
          <w:sz w:val="20"/>
        </w:rPr>
      </w:pPr>
      <w:r w:rsidRPr="00C42E48">
        <w:rPr>
          <w:rFonts w:ascii="Garamond" w:hAnsi="Garamond"/>
          <w:sz w:val="20"/>
        </w:rPr>
        <w:t>(Deed Reference</w:t>
      </w:r>
      <w:r w:rsidR="00477E55" w:rsidRPr="00C42E48">
        <w:rPr>
          <w:rFonts w:ascii="Garamond" w:hAnsi="Garamond"/>
          <w:sz w:val="20"/>
        </w:rPr>
        <w:t>s</w:t>
      </w:r>
      <w:r w:rsidRPr="00C42E48">
        <w:rPr>
          <w:rFonts w:ascii="Garamond" w:hAnsi="Garamond"/>
          <w:sz w:val="20"/>
        </w:rPr>
        <w:t xml:space="preserve">: Clauses </w:t>
      </w:r>
      <w:r w:rsidR="0005139D" w:rsidRPr="00C42E48">
        <w:rPr>
          <w:rFonts w:ascii="Garamond" w:hAnsi="Garamond"/>
          <w:sz w:val="20"/>
        </w:rPr>
        <w:t>2.5</w:t>
      </w:r>
      <w:r w:rsidRPr="00C42E48">
        <w:rPr>
          <w:rFonts w:ascii="Garamond" w:hAnsi="Garamond"/>
          <w:sz w:val="20"/>
        </w:rPr>
        <w:t>)</w:t>
      </w:r>
    </w:p>
    <w:p w14:paraId="04BBEB9F" w14:textId="39A15D6A" w:rsidR="00D320EE" w:rsidRDefault="00AD50BF" w:rsidP="00D320EE">
      <w:pPr>
        <w:pStyle w:val="Heading2"/>
        <w:spacing w:before="120"/>
      </w:pPr>
      <w:bookmarkStart w:id="14" w:name="_Toc106983033"/>
      <w:r>
        <w:t>Providers and their organisation must promote and deliver c</w:t>
      </w:r>
      <w:r w:rsidR="00D320EE">
        <w:t>ultural</w:t>
      </w:r>
      <w:r>
        <w:t>ly c</w:t>
      </w:r>
      <w:r w:rsidR="00D320EE">
        <w:t>ompeten</w:t>
      </w:r>
      <w:r>
        <w:t>t service delivery</w:t>
      </w:r>
      <w:bookmarkEnd w:id="14"/>
    </w:p>
    <w:p w14:paraId="35CFC3EB" w14:textId="715B129E" w:rsidR="00D320EE" w:rsidRDefault="00D320EE" w:rsidP="000236D2">
      <w:pPr>
        <w:pStyle w:val="guidelinetext"/>
        <w:rPr>
          <w:rFonts w:ascii="Calibri" w:eastAsia="Times New Roman" w:hAnsi="Calibri" w:cs="Calibri"/>
          <w:color w:val="000000"/>
          <w:lang w:eastAsia="en-AU"/>
        </w:rPr>
      </w:pPr>
      <w:r w:rsidRPr="000236D2">
        <w:t>Providers</w:t>
      </w:r>
      <w:r>
        <w:rPr>
          <w:rFonts w:ascii="Calibri" w:eastAsia="Times New Roman" w:hAnsi="Calibri" w:cs="Calibri"/>
          <w:color w:val="000000"/>
          <w:lang w:eastAsia="en-AU"/>
        </w:rPr>
        <w:t xml:space="preserve"> are expected to have a high level of </w:t>
      </w:r>
      <w:r w:rsidR="00C0138A">
        <w:rPr>
          <w:rFonts w:ascii="Calibri" w:eastAsia="Times New Roman" w:hAnsi="Calibri" w:cs="Calibri"/>
          <w:color w:val="000000"/>
          <w:lang w:eastAsia="en-AU"/>
        </w:rPr>
        <w:t>c</w:t>
      </w:r>
      <w:r>
        <w:rPr>
          <w:rFonts w:ascii="Calibri" w:eastAsia="Times New Roman" w:hAnsi="Calibri" w:cs="Calibri"/>
          <w:color w:val="000000"/>
          <w:lang w:eastAsia="en-AU"/>
        </w:rPr>
        <w:t xml:space="preserve">ultural </w:t>
      </w:r>
      <w:r w:rsidR="00C0138A">
        <w:rPr>
          <w:rFonts w:ascii="Calibri" w:eastAsia="Times New Roman" w:hAnsi="Calibri" w:cs="Calibri"/>
          <w:color w:val="000000"/>
          <w:lang w:eastAsia="en-AU"/>
        </w:rPr>
        <w:t>c</w:t>
      </w:r>
      <w:r>
        <w:rPr>
          <w:rFonts w:ascii="Calibri" w:eastAsia="Times New Roman" w:hAnsi="Calibri" w:cs="Calibri"/>
          <w:color w:val="000000"/>
          <w:lang w:eastAsia="en-AU"/>
        </w:rPr>
        <w:t xml:space="preserve">ompetence. Cultural </w:t>
      </w:r>
      <w:r w:rsidRPr="000236D2">
        <w:t>competence</w:t>
      </w:r>
      <w:r>
        <w:rPr>
          <w:rFonts w:ascii="Calibri" w:eastAsia="Times New Roman" w:hAnsi="Calibri" w:cs="Calibri"/>
          <w:color w:val="000000"/>
          <w:lang w:eastAsia="en-AU"/>
        </w:rPr>
        <w:t xml:space="preserve"> is a continual process that</w:t>
      </w:r>
      <w:r w:rsidR="001C130E">
        <w:rPr>
          <w:rFonts w:ascii="Calibri" w:eastAsia="Times New Roman" w:hAnsi="Calibri" w:cs="Calibri"/>
          <w:color w:val="000000"/>
          <w:lang w:eastAsia="en-AU"/>
        </w:rPr>
        <w:t xml:space="preserve"> should be</w:t>
      </w:r>
      <w:r>
        <w:rPr>
          <w:rFonts w:ascii="Calibri" w:eastAsia="Times New Roman" w:hAnsi="Calibri" w:cs="Calibri"/>
          <w:color w:val="000000"/>
          <w:lang w:eastAsia="en-AU"/>
        </w:rPr>
        <w:t xml:space="preserve"> incorporated into</w:t>
      </w:r>
      <w:r w:rsidR="001C130E">
        <w:rPr>
          <w:rFonts w:ascii="Calibri" w:eastAsia="Times New Roman" w:hAnsi="Calibri" w:cs="Calibri"/>
          <w:color w:val="000000"/>
          <w:lang w:eastAsia="en-AU"/>
        </w:rPr>
        <w:t xml:space="preserve"> Provider organisation</w:t>
      </w:r>
      <w:r w:rsidR="00515713">
        <w:rPr>
          <w:rFonts w:ascii="Calibri" w:eastAsia="Times New Roman" w:hAnsi="Calibri" w:cs="Calibri"/>
          <w:color w:val="000000"/>
          <w:lang w:eastAsia="en-AU"/>
        </w:rPr>
        <w:t xml:space="preserve">s. It </w:t>
      </w:r>
      <w:r w:rsidR="001C130E">
        <w:rPr>
          <w:rFonts w:ascii="Calibri" w:eastAsia="Times New Roman" w:hAnsi="Calibri" w:cs="Calibri"/>
          <w:color w:val="000000"/>
          <w:lang w:eastAsia="en-AU"/>
        </w:rPr>
        <w:t>includes</w:t>
      </w:r>
      <w:r>
        <w:rPr>
          <w:rFonts w:ascii="Calibri" w:eastAsia="Times New Roman" w:hAnsi="Calibri" w:cs="Calibri"/>
          <w:color w:val="000000"/>
          <w:lang w:eastAsia="en-AU"/>
        </w:rPr>
        <w:t xml:space="preserve"> staff training</w:t>
      </w:r>
      <w:r w:rsidR="00515713">
        <w:rPr>
          <w:rFonts w:ascii="Calibri" w:eastAsia="Times New Roman" w:hAnsi="Calibri" w:cs="Calibri"/>
          <w:color w:val="000000"/>
          <w:lang w:eastAsia="en-AU"/>
        </w:rPr>
        <w:t xml:space="preserve"> and</w:t>
      </w:r>
      <w:r>
        <w:rPr>
          <w:rFonts w:ascii="Calibri" w:eastAsia="Times New Roman" w:hAnsi="Calibri" w:cs="Calibri"/>
          <w:color w:val="000000"/>
          <w:lang w:eastAsia="en-AU"/>
        </w:rPr>
        <w:t xml:space="preserve"> organisational policies</w:t>
      </w:r>
      <w:r w:rsidR="00515713">
        <w:rPr>
          <w:rFonts w:ascii="Calibri" w:eastAsia="Times New Roman" w:hAnsi="Calibri" w:cs="Calibri"/>
          <w:color w:val="000000"/>
          <w:lang w:eastAsia="en-AU"/>
        </w:rPr>
        <w:t>,</w:t>
      </w:r>
      <w:r>
        <w:rPr>
          <w:rFonts w:ascii="Calibri" w:eastAsia="Times New Roman" w:hAnsi="Calibri" w:cs="Calibri"/>
          <w:color w:val="000000"/>
          <w:lang w:eastAsia="en-AU"/>
        </w:rPr>
        <w:t xml:space="preserve"> and involves increasing awareness, knowledge and understanding of:</w:t>
      </w:r>
    </w:p>
    <w:p w14:paraId="2C9FBB14" w14:textId="6988D18F" w:rsidR="00D320EE" w:rsidRDefault="00DA4B97" w:rsidP="000236D2">
      <w:pPr>
        <w:pStyle w:val="guidelinebullet"/>
        <w:numPr>
          <w:ilvl w:val="0"/>
          <w:numId w:val="12"/>
        </w:numPr>
        <w:ind w:left="1985" w:hanging="567"/>
      </w:pPr>
      <w:r>
        <w:t>d</w:t>
      </w:r>
      <w:r w:rsidR="00D320EE" w:rsidRPr="00D320EE">
        <w:t>ifferent cultural perspectives</w:t>
      </w:r>
    </w:p>
    <w:p w14:paraId="489FE3A2" w14:textId="68F57352" w:rsidR="00D320EE" w:rsidRDefault="00DA4B97" w:rsidP="000236D2">
      <w:pPr>
        <w:pStyle w:val="guidelinebullet"/>
        <w:numPr>
          <w:ilvl w:val="0"/>
          <w:numId w:val="12"/>
        </w:numPr>
        <w:ind w:left="1985" w:hanging="567"/>
      </w:pPr>
      <w:r>
        <w:t>t</w:t>
      </w:r>
      <w:r w:rsidR="00D320EE">
        <w:t>he unique aspects of Aboriginal and Torres Strait Islander people</w:t>
      </w:r>
      <w:r w:rsidR="00095A23">
        <w:t>s</w:t>
      </w:r>
      <w:r w:rsidR="00D320EE">
        <w:t>, societies and cultures</w:t>
      </w:r>
    </w:p>
    <w:p w14:paraId="3C44497C" w14:textId="44259EA4" w:rsidR="00D320EE" w:rsidRDefault="00D320EE" w:rsidP="000236D2">
      <w:pPr>
        <w:pStyle w:val="guidelinebullet"/>
        <w:numPr>
          <w:ilvl w:val="0"/>
          <w:numId w:val="12"/>
        </w:numPr>
        <w:ind w:left="1985" w:hanging="567"/>
      </w:pPr>
      <w:r>
        <w:t>how the past has shaped and continues to impact the lives of Aboriginal and Torres Strait Islander peoples today</w:t>
      </w:r>
    </w:p>
    <w:p w14:paraId="75F7DA74" w14:textId="7D3A25FF" w:rsidR="00095A23" w:rsidRDefault="00DA4B97" w:rsidP="000236D2">
      <w:pPr>
        <w:pStyle w:val="guidelinebullet"/>
        <w:numPr>
          <w:ilvl w:val="0"/>
          <w:numId w:val="12"/>
        </w:numPr>
        <w:ind w:left="1985" w:hanging="567"/>
      </w:pPr>
      <w:r>
        <w:t>t</w:t>
      </w:r>
      <w:r w:rsidR="00095A23">
        <w:t>he complexities, challenges and opportunities involved in improving and sustaining policy and program outcomes in partnership with Aboriginal and Torres Strait Islander peoples.</w:t>
      </w:r>
    </w:p>
    <w:p w14:paraId="14D5D291" w14:textId="4C5D0A70" w:rsidR="00CC6ED4" w:rsidRPr="00CC6ED4" w:rsidRDefault="00CC6ED4" w:rsidP="000236D2">
      <w:pPr>
        <w:pStyle w:val="guidelinetext"/>
        <w:rPr>
          <w:rFonts w:ascii="Calibri" w:eastAsia="Times New Roman" w:hAnsi="Calibri" w:cs="Calibri"/>
          <w:color w:val="000000"/>
          <w:lang w:eastAsia="en-AU"/>
        </w:rPr>
      </w:pPr>
      <w:r w:rsidRPr="00CC6ED4">
        <w:rPr>
          <w:rFonts w:ascii="Calibri" w:eastAsia="Times New Roman" w:hAnsi="Calibri" w:cs="Calibri"/>
          <w:color w:val="000000"/>
          <w:lang w:eastAsia="en-AU"/>
        </w:rPr>
        <w:t>In addition to cultural competence</w:t>
      </w:r>
      <w:r w:rsidR="00515713">
        <w:rPr>
          <w:rFonts w:ascii="Calibri" w:eastAsia="Times New Roman" w:hAnsi="Calibri" w:cs="Calibri"/>
          <w:color w:val="000000"/>
          <w:lang w:eastAsia="en-AU"/>
        </w:rPr>
        <w:t>,</w:t>
      </w:r>
      <w:r w:rsidRPr="00CC6ED4">
        <w:rPr>
          <w:rFonts w:ascii="Calibri" w:eastAsia="Times New Roman" w:hAnsi="Calibri" w:cs="Calibri"/>
          <w:color w:val="000000"/>
          <w:lang w:eastAsia="en-AU"/>
        </w:rPr>
        <w:t xml:space="preserve"> Providers must </w:t>
      </w:r>
      <w:r>
        <w:rPr>
          <w:rFonts w:ascii="Calibri" w:eastAsia="Times New Roman" w:hAnsi="Calibri" w:cs="Calibri"/>
          <w:color w:val="000000"/>
          <w:lang w:eastAsia="en-AU"/>
        </w:rPr>
        <w:t xml:space="preserve">also </w:t>
      </w:r>
      <w:r w:rsidRPr="00CC6ED4">
        <w:rPr>
          <w:rFonts w:ascii="Calibri" w:eastAsia="Times New Roman" w:hAnsi="Calibri" w:cs="Calibri"/>
          <w:color w:val="000000"/>
          <w:lang w:eastAsia="en-AU"/>
        </w:rPr>
        <w:t>have a solid understanding of the justice system and</w:t>
      </w:r>
      <w:r>
        <w:rPr>
          <w:rFonts w:ascii="Calibri" w:eastAsia="Times New Roman" w:hAnsi="Calibri" w:cs="Calibri"/>
          <w:color w:val="000000"/>
          <w:lang w:eastAsia="en-AU"/>
        </w:rPr>
        <w:t xml:space="preserve"> the</w:t>
      </w:r>
      <w:r w:rsidRPr="00CC6ED4">
        <w:rPr>
          <w:rFonts w:ascii="Calibri" w:eastAsia="Times New Roman" w:hAnsi="Calibri" w:cs="Calibri"/>
          <w:color w:val="000000"/>
          <w:lang w:eastAsia="en-AU"/>
        </w:rPr>
        <w:t xml:space="preserve"> issues Aboriginal and Torres Strait Islander </w:t>
      </w:r>
      <w:r w:rsidR="00A60933">
        <w:rPr>
          <w:rFonts w:ascii="Calibri" w:eastAsia="Times New Roman" w:hAnsi="Calibri" w:cs="Calibri"/>
          <w:color w:val="000000"/>
          <w:lang w:eastAsia="en-AU"/>
        </w:rPr>
        <w:t>P</w:t>
      </w:r>
      <w:r w:rsidR="003B24A9">
        <w:rPr>
          <w:rFonts w:ascii="Calibri" w:eastAsia="Times New Roman" w:hAnsi="Calibri" w:cs="Calibri"/>
          <w:color w:val="000000"/>
          <w:lang w:eastAsia="en-AU"/>
        </w:rPr>
        <w:t>risoners</w:t>
      </w:r>
      <w:r w:rsidR="00602674" w:rsidRPr="00CC6ED4">
        <w:rPr>
          <w:rFonts w:ascii="Calibri" w:eastAsia="Times New Roman" w:hAnsi="Calibri" w:cs="Calibri"/>
          <w:color w:val="000000"/>
          <w:lang w:eastAsia="en-AU"/>
        </w:rPr>
        <w:t xml:space="preserve"> </w:t>
      </w:r>
      <w:r w:rsidRPr="00CC6ED4">
        <w:rPr>
          <w:rFonts w:ascii="Calibri" w:eastAsia="Times New Roman" w:hAnsi="Calibri" w:cs="Calibri"/>
          <w:color w:val="000000"/>
          <w:lang w:eastAsia="en-AU"/>
        </w:rPr>
        <w:t>might face</w:t>
      </w:r>
      <w:r w:rsidR="00515713">
        <w:rPr>
          <w:rFonts w:ascii="Calibri" w:eastAsia="Times New Roman" w:hAnsi="Calibri" w:cs="Calibri"/>
          <w:color w:val="000000"/>
          <w:lang w:eastAsia="en-AU"/>
        </w:rPr>
        <w:t xml:space="preserve">. This includes </w:t>
      </w:r>
      <w:r w:rsidRPr="00CC6ED4">
        <w:rPr>
          <w:rFonts w:ascii="Calibri" w:eastAsia="Times New Roman" w:hAnsi="Calibri" w:cs="Calibri"/>
          <w:color w:val="000000"/>
          <w:lang w:eastAsia="en-AU"/>
        </w:rPr>
        <w:t>specific issues that</w:t>
      </w:r>
      <w:r w:rsidR="001C130E">
        <w:rPr>
          <w:rFonts w:ascii="Calibri" w:eastAsia="Times New Roman" w:hAnsi="Calibri" w:cs="Calibri"/>
          <w:color w:val="000000"/>
          <w:lang w:eastAsia="en-AU"/>
        </w:rPr>
        <w:t xml:space="preserve"> may relate to</w:t>
      </w:r>
      <w:r w:rsidRPr="00CC6ED4">
        <w:rPr>
          <w:rFonts w:ascii="Calibri" w:eastAsia="Times New Roman" w:hAnsi="Calibri" w:cs="Calibri"/>
          <w:color w:val="000000"/>
          <w:lang w:eastAsia="en-AU"/>
        </w:rPr>
        <w:t xml:space="preserve"> Aboriginal and Torres Strait Islander women</w:t>
      </w:r>
      <w:r>
        <w:rPr>
          <w:rFonts w:ascii="Calibri" w:eastAsia="Times New Roman" w:hAnsi="Calibri" w:cs="Calibri"/>
          <w:color w:val="000000"/>
          <w:lang w:eastAsia="en-AU"/>
        </w:rPr>
        <w:t>, while in</w:t>
      </w:r>
      <w:r w:rsidR="00B7194A">
        <w:rPr>
          <w:rFonts w:ascii="Calibri" w:eastAsia="Times New Roman" w:hAnsi="Calibri" w:cs="Calibri"/>
          <w:color w:val="000000"/>
          <w:lang w:eastAsia="en-AU"/>
        </w:rPr>
        <w:t xml:space="preserve"> </w:t>
      </w:r>
      <w:r w:rsidR="00A60933">
        <w:rPr>
          <w:rFonts w:ascii="Calibri" w:eastAsia="Times New Roman" w:hAnsi="Calibri" w:cs="Calibri"/>
          <w:color w:val="000000"/>
          <w:lang w:eastAsia="en-AU"/>
        </w:rPr>
        <w:t>P</w:t>
      </w:r>
      <w:r>
        <w:rPr>
          <w:rFonts w:ascii="Calibri" w:eastAsia="Times New Roman" w:hAnsi="Calibri" w:cs="Calibri"/>
          <w:color w:val="000000"/>
          <w:lang w:eastAsia="en-AU"/>
        </w:rPr>
        <w:t xml:space="preserve">rison and </w:t>
      </w:r>
      <w:r w:rsidR="00515713">
        <w:rPr>
          <w:rFonts w:ascii="Calibri" w:eastAsia="Times New Roman" w:hAnsi="Calibri" w:cs="Calibri"/>
          <w:color w:val="000000"/>
          <w:lang w:eastAsia="en-AU"/>
        </w:rPr>
        <w:t xml:space="preserve">after </w:t>
      </w:r>
      <w:r>
        <w:rPr>
          <w:rFonts w:ascii="Calibri" w:eastAsia="Times New Roman" w:hAnsi="Calibri" w:cs="Calibri"/>
          <w:color w:val="000000"/>
          <w:lang w:eastAsia="en-AU"/>
        </w:rPr>
        <w:t>release</w:t>
      </w:r>
      <w:r w:rsidR="00515713">
        <w:rPr>
          <w:rFonts w:ascii="Calibri" w:eastAsia="Times New Roman" w:hAnsi="Calibri" w:cs="Calibri"/>
          <w:color w:val="000000"/>
          <w:lang w:eastAsia="en-AU"/>
        </w:rPr>
        <w:t xml:space="preserve"> from </w:t>
      </w:r>
      <w:r w:rsidR="00A60933">
        <w:rPr>
          <w:rFonts w:ascii="Calibri" w:eastAsia="Times New Roman" w:hAnsi="Calibri" w:cs="Calibri"/>
          <w:color w:val="000000"/>
          <w:lang w:eastAsia="en-AU"/>
        </w:rPr>
        <w:t>P</w:t>
      </w:r>
      <w:r w:rsidR="00515713">
        <w:rPr>
          <w:rFonts w:ascii="Calibri" w:eastAsia="Times New Roman" w:hAnsi="Calibri" w:cs="Calibri"/>
          <w:color w:val="000000"/>
          <w:lang w:eastAsia="en-AU"/>
        </w:rPr>
        <w:t>rison</w:t>
      </w:r>
      <w:r>
        <w:rPr>
          <w:rFonts w:ascii="Calibri" w:eastAsia="Times New Roman" w:hAnsi="Calibri" w:cs="Calibri"/>
          <w:color w:val="000000"/>
          <w:lang w:eastAsia="en-AU"/>
        </w:rPr>
        <w:t xml:space="preserve">. </w:t>
      </w:r>
    </w:p>
    <w:p w14:paraId="38C9473E" w14:textId="4079358C" w:rsidR="000D4E74" w:rsidRDefault="00515713" w:rsidP="000236D2">
      <w:pPr>
        <w:pStyle w:val="guidelinetext"/>
        <w:rPr>
          <w:rFonts w:ascii="Calibri" w:eastAsia="Times New Roman" w:hAnsi="Calibri" w:cs="Calibri"/>
          <w:color w:val="000000"/>
          <w:lang w:eastAsia="en-AU"/>
        </w:rPr>
      </w:pPr>
      <w:r>
        <w:rPr>
          <w:rFonts w:ascii="Calibri" w:eastAsia="Times New Roman" w:hAnsi="Calibri" w:cs="Calibri"/>
          <w:color w:val="000000"/>
          <w:lang w:eastAsia="en-AU"/>
        </w:rPr>
        <w:t xml:space="preserve">The Department assesses Provider </w:t>
      </w:r>
      <w:r w:rsidR="00095A23">
        <w:rPr>
          <w:rFonts w:ascii="Calibri" w:eastAsia="Times New Roman" w:hAnsi="Calibri" w:cs="Calibri"/>
          <w:color w:val="000000"/>
          <w:lang w:eastAsia="en-AU"/>
        </w:rPr>
        <w:t xml:space="preserve">cultural competence </w:t>
      </w:r>
      <w:r w:rsidR="000D2B21">
        <w:rPr>
          <w:rFonts w:ascii="Calibri" w:eastAsia="Times New Roman" w:hAnsi="Calibri" w:cs="Calibri"/>
          <w:color w:val="000000"/>
          <w:lang w:eastAsia="en-AU"/>
        </w:rPr>
        <w:t xml:space="preserve">in relation to the </w:t>
      </w:r>
      <w:r w:rsidR="00CC6ED4">
        <w:rPr>
          <w:rFonts w:ascii="Calibri" w:eastAsia="Times New Roman" w:hAnsi="Calibri" w:cs="Calibri"/>
          <w:color w:val="000000"/>
          <w:lang w:eastAsia="en-AU"/>
        </w:rPr>
        <w:t xml:space="preserve">Service Guarantee and </w:t>
      </w:r>
      <w:r>
        <w:rPr>
          <w:rFonts w:ascii="Calibri" w:eastAsia="Times New Roman" w:hAnsi="Calibri" w:cs="Calibri"/>
          <w:color w:val="000000"/>
          <w:lang w:eastAsia="en-AU"/>
        </w:rPr>
        <w:t xml:space="preserve">the </w:t>
      </w:r>
      <w:r w:rsidR="000D2B21">
        <w:rPr>
          <w:rFonts w:ascii="Calibri" w:eastAsia="Times New Roman" w:hAnsi="Calibri" w:cs="Calibri"/>
          <w:color w:val="000000"/>
          <w:lang w:eastAsia="en-AU"/>
        </w:rPr>
        <w:t>delivery of Services to Participants</w:t>
      </w:r>
      <w:r w:rsidR="001C130E">
        <w:rPr>
          <w:rFonts w:ascii="Calibri" w:eastAsia="Times New Roman" w:hAnsi="Calibri" w:cs="Calibri"/>
          <w:color w:val="000000"/>
          <w:lang w:eastAsia="en-AU"/>
        </w:rPr>
        <w:t>. T</w:t>
      </w:r>
      <w:r w:rsidR="000D2B21">
        <w:rPr>
          <w:rFonts w:ascii="Calibri" w:eastAsia="Times New Roman" w:hAnsi="Calibri" w:cs="Calibri"/>
          <w:color w:val="000000"/>
          <w:lang w:eastAsia="en-AU"/>
        </w:rPr>
        <w:t>he Department measure</w:t>
      </w:r>
      <w:r>
        <w:rPr>
          <w:rFonts w:ascii="Calibri" w:eastAsia="Times New Roman" w:hAnsi="Calibri" w:cs="Calibri"/>
          <w:color w:val="000000"/>
          <w:lang w:eastAsia="en-AU"/>
        </w:rPr>
        <w:t>s</w:t>
      </w:r>
      <w:r w:rsidR="000D2B21">
        <w:rPr>
          <w:rFonts w:ascii="Calibri" w:eastAsia="Times New Roman" w:hAnsi="Calibri" w:cs="Calibri"/>
          <w:color w:val="000000"/>
          <w:lang w:eastAsia="en-AU"/>
        </w:rPr>
        <w:t xml:space="preserve"> success using Participant and stakeholder feedback</w:t>
      </w:r>
      <w:r w:rsidR="001C130E">
        <w:rPr>
          <w:rFonts w:ascii="Calibri" w:eastAsia="Times New Roman" w:hAnsi="Calibri" w:cs="Calibri"/>
          <w:color w:val="000000"/>
          <w:lang w:eastAsia="en-AU"/>
        </w:rPr>
        <w:t xml:space="preserve"> mechanisms</w:t>
      </w:r>
      <w:r w:rsidR="000D4E74">
        <w:rPr>
          <w:rFonts w:ascii="Calibri" w:eastAsia="Times New Roman" w:hAnsi="Calibri" w:cs="Calibri"/>
          <w:color w:val="000000"/>
          <w:lang w:eastAsia="en-AU"/>
        </w:rPr>
        <w:t xml:space="preserve">, including Aboriginal and Torres Strait Islander </w:t>
      </w:r>
      <w:r w:rsidR="00A60933" w:rsidRPr="004D03E0">
        <w:rPr>
          <w:rFonts w:ascii="Calibri" w:eastAsia="Times New Roman" w:hAnsi="Calibri" w:cs="Calibri"/>
          <w:color w:val="000000"/>
          <w:lang w:eastAsia="en-AU"/>
        </w:rPr>
        <w:t>L</w:t>
      </w:r>
      <w:r w:rsidR="000D4E74" w:rsidRPr="004D03E0">
        <w:rPr>
          <w:rFonts w:ascii="Calibri" w:eastAsia="Times New Roman" w:hAnsi="Calibri" w:cs="Calibri"/>
          <w:color w:val="000000"/>
          <w:lang w:eastAsia="en-AU"/>
        </w:rPr>
        <w:t xml:space="preserve">iaison </w:t>
      </w:r>
      <w:r w:rsidR="00A60933" w:rsidRPr="004D03E0">
        <w:rPr>
          <w:rFonts w:ascii="Calibri" w:eastAsia="Times New Roman" w:hAnsi="Calibri" w:cs="Calibri"/>
          <w:color w:val="000000"/>
          <w:lang w:eastAsia="en-AU"/>
        </w:rPr>
        <w:t>O</w:t>
      </w:r>
      <w:r w:rsidR="000D4E74" w:rsidRPr="004D03E0">
        <w:rPr>
          <w:rFonts w:ascii="Calibri" w:eastAsia="Times New Roman" w:hAnsi="Calibri" w:cs="Calibri"/>
          <w:color w:val="000000"/>
          <w:lang w:eastAsia="en-AU"/>
        </w:rPr>
        <w:t xml:space="preserve">fficers </w:t>
      </w:r>
      <w:r w:rsidR="00A60933">
        <w:rPr>
          <w:rFonts w:ascii="Calibri" w:eastAsia="Times New Roman" w:hAnsi="Calibri" w:cs="Calibri"/>
          <w:color w:val="000000"/>
          <w:lang w:eastAsia="en-AU"/>
        </w:rPr>
        <w:t xml:space="preserve"> </w:t>
      </w:r>
      <w:r w:rsidR="000D4E74">
        <w:rPr>
          <w:rFonts w:ascii="Calibri" w:eastAsia="Times New Roman" w:hAnsi="Calibri" w:cs="Calibri"/>
          <w:color w:val="000000"/>
          <w:lang w:eastAsia="en-AU"/>
        </w:rPr>
        <w:t>and any relevant Aboriginal and Torres Strait Islander based support services</w:t>
      </w:r>
      <w:r w:rsidR="00C0138A">
        <w:rPr>
          <w:rFonts w:ascii="Calibri" w:eastAsia="Times New Roman" w:hAnsi="Calibri" w:cs="Calibri"/>
          <w:color w:val="000000"/>
          <w:lang w:eastAsia="en-AU"/>
        </w:rPr>
        <w:t xml:space="preserve"> (both in-</w:t>
      </w:r>
      <w:r w:rsidR="00A60933">
        <w:rPr>
          <w:rFonts w:ascii="Calibri" w:eastAsia="Times New Roman" w:hAnsi="Calibri" w:cs="Calibri"/>
          <w:color w:val="000000"/>
          <w:lang w:eastAsia="en-AU"/>
        </w:rPr>
        <w:t>P</w:t>
      </w:r>
      <w:r w:rsidR="00C0138A">
        <w:rPr>
          <w:rFonts w:ascii="Calibri" w:eastAsia="Times New Roman" w:hAnsi="Calibri" w:cs="Calibri"/>
          <w:color w:val="000000"/>
          <w:lang w:eastAsia="en-AU"/>
        </w:rPr>
        <w:t>rison and out</w:t>
      </w:r>
      <w:r w:rsidR="00EF6535">
        <w:rPr>
          <w:rFonts w:ascii="Calibri" w:eastAsia="Times New Roman" w:hAnsi="Calibri" w:cs="Calibri"/>
          <w:color w:val="000000"/>
          <w:lang w:eastAsia="en-AU"/>
        </w:rPr>
        <w:t>-</w:t>
      </w:r>
      <w:r w:rsidR="00C0138A">
        <w:rPr>
          <w:rFonts w:ascii="Calibri" w:eastAsia="Times New Roman" w:hAnsi="Calibri" w:cs="Calibri"/>
          <w:color w:val="000000"/>
          <w:lang w:eastAsia="en-AU"/>
        </w:rPr>
        <w:t>of</w:t>
      </w:r>
      <w:r w:rsidR="00EF6535">
        <w:rPr>
          <w:rFonts w:ascii="Calibri" w:eastAsia="Times New Roman" w:hAnsi="Calibri" w:cs="Calibri"/>
          <w:color w:val="000000"/>
          <w:lang w:eastAsia="en-AU"/>
        </w:rPr>
        <w:t>-</w:t>
      </w:r>
      <w:r w:rsidR="00A60933">
        <w:rPr>
          <w:rFonts w:ascii="Calibri" w:eastAsia="Times New Roman" w:hAnsi="Calibri" w:cs="Calibri"/>
          <w:color w:val="000000"/>
          <w:lang w:eastAsia="en-AU"/>
        </w:rPr>
        <w:t>P</w:t>
      </w:r>
      <w:r w:rsidR="00C0138A">
        <w:rPr>
          <w:rFonts w:ascii="Calibri" w:eastAsia="Times New Roman" w:hAnsi="Calibri" w:cs="Calibri"/>
          <w:color w:val="000000"/>
          <w:lang w:eastAsia="en-AU"/>
        </w:rPr>
        <w:t>rison services)</w:t>
      </w:r>
      <w:r w:rsidR="000D4E74">
        <w:rPr>
          <w:rFonts w:ascii="Calibri" w:eastAsia="Times New Roman" w:hAnsi="Calibri" w:cs="Calibri"/>
          <w:color w:val="000000"/>
          <w:lang w:eastAsia="en-AU"/>
        </w:rPr>
        <w:t>.</w:t>
      </w:r>
    </w:p>
    <w:p w14:paraId="2D05BD33" w14:textId="13E46887" w:rsidR="000D4E74" w:rsidRDefault="000D4E74" w:rsidP="000236D2">
      <w:pPr>
        <w:pStyle w:val="guidelinetext"/>
        <w:rPr>
          <w:rFonts w:ascii="Calibri" w:eastAsia="Times New Roman" w:hAnsi="Calibri" w:cs="Calibri"/>
          <w:color w:val="000000"/>
          <w:lang w:eastAsia="en-AU"/>
        </w:rPr>
      </w:pPr>
      <w:r>
        <w:rPr>
          <w:rFonts w:ascii="Calibri" w:eastAsia="Times New Roman" w:hAnsi="Calibri" w:cs="Calibri"/>
          <w:color w:val="000000"/>
          <w:lang w:eastAsia="en-AU"/>
        </w:rPr>
        <w:t>Provider</w:t>
      </w:r>
      <w:r w:rsidR="001C130E">
        <w:rPr>
          <w:rFonts w:ascii="Calibri" w:eastAsia="Times New Roman" w:hAnsi="Calibri" w:cs="Calibri"/>
          <w:color w:val="000000"/>
          <w:lang w:eastAsia="en-AU"/>
        </w:rPr>
        <w:t>s</w:t>
      </w:r>
      <w:r>
        <w:rPr>
          <w:rFonts w:ascii="Calibri" w:eastAsia="Times New Roman" w:hAnsi="Calibri" w:cs="Calibri"/>
          <w:color w:val="000000"/>
          <w:lang w:eastAsia="en-AU"/>
        </w:rPr>
        <w:t xml:space="preserve"> </w:t>
      </w:r>
      <w:r w:rsidR="001C130E">
        <w:rPr>
          <w:rFonts w:ascii="Calibri" w:eastAsia="Times New Roman" w:hAnsi="Calibri" w:cs="Calibri"/>
          <w:color w:val="000000"/>
          <w:lang w:eastAsia="en-AU"/>
        </w:rPr>
        <w:t>must</w:t>
      </w:r>
      <w:r>
        <w:rPr>
          <w:rFonts w:ascii="Calibri" w:eastAsia="Times New Roman" w:hAnsi="Calibri" w:cs="Calibri"/>
          <w:color w:val="000000"/>
          <w:lang w:eastAsia="en-AU"/>
        </w:rPr>
        <w:t xml:space="preserve"> also provide evidence </w:t>
      </w:r>
      <w:r w:rsidR="001C130E">
        <w:rPr>
          <w:rFonts w:ascii="Calibri" w:eastAsia="Times New Roman" w:hAnsi="Calibri" w:cs="Calibri"/>
          <w:color w:val="000000"/>
          <w:lang w:eastAsia="en-AU"/>
        </w:rPr>
        <w:t xml:space="preserve">that their organisation’s </w:t>
      </w:r>
      <w:r>
        <w:rPr>
          <w:rFonts w:ascii="Calibri" w:eastAsia="Times New Roman" w:hAnsi="Calibri" w:cs="Calibri"/>
          <w:color w:val="000000"/>
          <w:lang w:eastAsia="en-AU"/>
        </w:rPr>
        <w:t xml:space="preserve">policies and practices promote and support Aboriginal and Torres Strait Islander peoples, </w:t>
      </w:r>
      <w:r w:rsidR="001C130E">
        <w:rPr>
          <w:rFonts w:ascii="Calibri" w:eastAsia="Times New Roman" w:hAnsi="Calibri" w:cs="Calibri"/>
          <w:color w:val="000000"/>
          <w:lang w:eastAsia="en-AU"/>
        </w:rPr>
        <w:t>such as their</w:t>
      </w:r>
      <w:r>
        <w:rPr>
          <w:rFonts w:ascii="Calibri" w:eastAsia="Times New Roman" w:hAnsi="Calibri" w:cs="Calibri"/>
          <w:color w:val="000000"/>
          <w:lang w:eastAsia="en-AU"/>
        </w:rPr>
        <w:t>:</w:t>
      </w:r>
    </w:p>
    <w:p w14:paraId="22BBE7CC" w14:textId="425EB0E0" w:rsidR="000D4E74" w:rsidRDefault="000D2B21" w:rsidP="000236D2">
      <w:pPr>
        <w:pStyle w:val="guidelinebullet"/>
        <w:numPr>
          <w:ilvl w:val="0"/>
          <w:numId w:val="12"/>
        </w:numPr>
        <w:ind w:left="1985" w:hanging="567"/>
      </w:pPr>
      <w:r w:rsidRPr="000D4E74">
        <w:t>Indigenous Procurement Policy</w:t>
      </w:r>
    </w:p>
    <w:p w14:paraId="20E7A785" w14:textId="4572C6BB" w:rsidR="000D4E74" w:rsidRDefault="000D2B21" w:rsidP="000236D2">
      <w:pPr>
        <w:pStyle w:val="guidelinebullet"/>
        <w:numPr>
          <w:ilvl w:val="0"/>
          <w:numId w:val="12"/>
        </w:numPr>
        <w:ind w:left="1985" w:hanging="567"/>
      </w:pPr>
      <w:r w:rsidRPr="000D4E74">
        <w:t>Indigenous employment strategy</w:t>
      </w:r>
      <w:r w:rsidR="00AD50BF">
        <w:t>, which must encourage and support the recruitment, retention and ongoing career development of Aboriginal and Torres Strait Islander staff</w:t>
      </w:r>
    </w:p>
    <w:p w14:paraId="3397A020" w14:textId="579F96E3" w:rsidR="000D4E74" w:rsidRDefault="000D4E74" w:rsidP="000236D2">
      <w:pPr>
        <w:pStyle w:val="guidelinebullet"/>
        <w:numPr>
          <w:ilvl w:val="0"/>
          <w:numId w:val="12"/>
        </w:numPr>
        <w:ind w:left="1985" w:hanging="567"/>
      </w:pPr>
      <w:r>
        <w:t>staff training and policy</w:t>
      </w:r>
      <w:r w:rsidR="00AD50BF">
        <w:t xml:space="preserve"> development practices </w:t>
      </w:r>
      <w:r w:rsidR="001C130E">
        <w:t>including</w:t>
      </w:r>
      <w:r w:rsidR="00AD50BF">
        <w:t xml:space="preserve"> how they foster and support cultural competency.</w:t>
      </w:r>
    </w:p>
    <w:p w14:paraId="410AF303" w14:textId="1B09F35C" w:rsidR="00721AD4" w:rsidRPr="0087221C" w:rsidRDefault="00721AD4" w:rsidP="00721AD4">
      <w:pPr>
        <w:pStyle w:val="guidelinedeedref"/>
        <w:spacing w:after="480"/>
        <w:ind w:left="1418"/>
      </w:pPr>
      <w:r w:rsidRPr="0087221C">
        <w:t>(Deed Reference</w:t>
      </w:r>
      <w:r>
        <w:t>s</w:t>
      </w:r>
      <w:r w:rsidRPr="0087221C">
        <w:t>: Clauses</w:t>
      </w:r>
      <w:r w:rsidR="0031157B">
        <w:t xml:space="preserve"> </w:t>
      </w:r>
      <w:r>
        <w:t>17.2, 8.1(b), Annexure 4</w:t>
      </w:r>
      <w:r w:rsidRPr="0087221C">
        <w:t xml:space="preserve">) </w:t>
      </w:r>
    </w:p>
    <w:p w14:paraId="5B3E2CE7" w14:textId="6607EEF4" w:rsidR="00B65013" w:rsidRDefault="00616F93" w:rsidP="00332D97">
      <w:pPr>
        <w:pStyle w:val="Heading1"/>
        <w:tabs>
          <w:tab w:val="left" w:pos="426"/>
        </w:tabs>
        <w:ind w:left="426" w:hanging="426"/>
      </w:pPr>
      <w:bookmarkStart w:id="15" w:name="_Toc106983034"/>
      <w:r>
        <w:lastRenderedPageBreak/>
        <w:t>4.</w:t>
      </w:r>
      <w:r w:rsidR="00332D97">
        <w:tab/>
      </w:r>
      <w:r w:rsidR="000236D2">
        <w:t xml:space="preserve">Providing </w:t>
      </w:r>
      <w:r w:rsidR="00332D97">
        <w:t>P</w:t>
      </w:r>
      <w:r w:rsidR="00B65013">
        <w:t xml:space="preserve">rogress </w:t>
      </w:r>
      <w:r w:rsidR="000236D2">
        <w:t>R</w:t>
      </w:r>
      <w:r w:rsidR="00B65013">
        <w:t xml:space="preserve">eports </w:t>
      </w:r>
      <w:r w:rsidR="00214299">
        <w:t xml:space="preserve">to </w:t>
      </w:r>
      <w:r w:rsidR="00B65013">
        <w:t>the Department</w:t>
      </w:r>
      <w:bookmarkEnd w:id="15"/>
    </w:p>
    <w:p w14:paraId="7B4D6D9C" w14:textId="6039774C" w:rsidR="00B65013" w:rsidRDefault="00B65013" w:rsidP="00B65013">
      <w:pPr>
        <w:pStyle w:val="Heading2"/>
      </w:pPr>
      <w:bookmarkStart w:id="16" w:name="_Toc106983035"/>
      <w:r>
        <w:t xml:space="preserve">Providers </w:t>
      </w:r>
      <w:r w:rsidR="000236D2">
        <w:t xml:space="preserve">are </w:t>
      </w:r>
      <w:r>
        <w:t>required to report on service delivery progress</w:t>
      </w:r>
      <w:bookmarkEnd w:id="16"/>
    </w:p>
    <w:p w14:paraId="4285E4FC" w14:textId="43A65CD8" w:rsidR="00B65013" w:rsidRDefault="001A1D47" w:rsidP="000236D2">
      <w:pPr>
        <w:pStyle w:val="guidelinetext"/>
      </w:pPr>
      <w:r w:rsidRPr="000D5D8A">
        <w:t xml:space="preserve">When commencing servicing, </w:t>
      </w:r>
      <w:r w:rsidR="00B65013" w:rsidRPr="000D5D8A">
        <w:t xml:space="preserve">Providers </w:t>
      </w:r>
      <w:r w:rsidR="00721AD4" w:rsidRPr="000D5D8A">
        <w:t xml:space="preserve">must </w:t>
      </w:r>
      <w:r w:rsidRPr="000D5D8A">
        <w:t xml:space="preserve">have </w:t>
      </w:r>
      <w:r w:rsidR="00721AD4" w:rsidRPr="000D5D8A">
        <w:t>develop</w:t>
      </w:r>
      <w:r w:rsidRPr="000D5D8A">
        <w:t>ed</w:t>
      </w:r>
      <w:r w:rsidR="00721AD4" w:rsidRPr="000D5D8A">
        <w:t xml:space="preserve"> </w:t>
      </w:r>
      <w:r w:rsidR="00721AD4" w:rsidRPr="000D5D8A">
        <w:rPr>
          <w:rFonts w:ascii="Calibri" w:eastAsia="Times New Roman" w:hAnsi="Calibri" w:cs="Calibri"/>
          <w:color w:val="000000"/>
          <w:lang w:eastAsia="en-AU"/>
        </w:rPr>
        <w:t>and</w:t>
      </w:r>
      <w:r w:rsidR="00721AD4" w:rsidRPr="000D5D8A">
        <w:t xml:space="preserve"> finalise</w:t>
      </w:r>
      <w:r w:rsidRPr="000D5D8A">
        <w:t>d</w:t>
      </w:r>
      <w:r w:rsidR="00721AD4" w:rsidRPr="000D5D8A">
        <w:t xml:space="preserve"> an Implementation Plan</w:t>
      </w:r>
      <w:r w:rsidR="00214299" w:rsidRPr="000D5D8A">
        <w:t>. T</w:t>
      </w:r>
      <w:r w:rsidR="00B07C72" w:rsidRPr="000D5D8A">
        <w:t xml:space="preserve">his plan </w:t>
      </w:r>
      <w:r w:rsidR="00434B1D" w:rsidRPr="000D5D8A">
        <w:t>outline</w:t>
      </w:r>
      <w:r w:rsidR="000236D2" w:rsidRPr="000D5D8A">
        <w:t>s</w:t>
      </w:r>
      <w:r w:rsidR="00434B1D" w:rsidRPr="000D5D8A">
        <w:t xml:space="preserve"> how Provider</w:t>
      </w:r>
      <w:r w:rsidR="00332D97" w:rsidRPr="000D5D8A">
        <w:t>s</w:t>
      </w:r>
      <w:r w:rsidR="00434B1D" w:rsidRPr="000D5D8A">
        <w:t xml:space="preserve"> organise and </w:t>
      </w:r>
      <w:r w:rsidR="00434B1D">
        <w:t>implement the Service in each Prison</w:t>
      </w:r>
      <w:r w:rsidR="00721AD4">
        <w:t xml:space="preserve">. Providers </w:t>
      </w:r>
      <w:r w:rsidR="00721AD4" w:rsidRPr="000236D2">
        <w:rPr>
          <w:rFonts w:ascii="Calibri" w:eastAsia="Times New Roman" w:hAnsi="Calibri" w:cs="Calibri"/>
          <w:color w:val="000000"/>
          <w:lang w:eastAsia="en-AU"/>
        </w:rPr>
        <w:t>must</w:t>
      </w:r>
      <w:r w:rsidR="00434B1D">
        <w:t xml:space="preserve"> also</w:t>
      </w:r>
      <w:r w:rsidR="00721AD4">
        <w:t xml:space="preserve"> provide </w:t>
      </w:r>
      <w:r w:rsidR="00434B1D">
        <w:t xml:space="preserve">regular </w:t>
      </w:r>
      <w:r w:rsidR="00332D97">
        <w:t>P</w:t>
      </w:r>
      <w:r w:rsidR="00434B1D">
        <w:t>rogress R</w:t>
      </w:r>
      <w:r w:rsidR="00721AD4">
        <w:t xml:space="preserve">eports outlining progress with Participants and the </w:t>
      </w:r>
      <w:r w:rsidR="00A60933">
        <w:t>S</w:t>
      </w:r>
      <w:r w:rsidR="00434B1D">
        <w:t>ervice</w:t>
      </w:r>
      <w:r w:rsidR="00721AD4">
        <w:t>.</w:t>
      </w:r>
      <w:r w:rsidR="00B07C72">
        <w:t xml:space="preserve"> Th</w:t>
      </w:r>
      <w:r w:rsidR="00434B1D">
        <w:t>e Implementation P</w:t>
      </w:r>
      <w:r w:rsidR="00B07C72">
        <w:t xml:space="preserve">lan and </w:t>
      </w:r>
      <w:r w:rsidR="00332D97">
        <w:t>P</w:t>
      </w:r>
      <w:r w:rsidR="00434B1D">
        <w:t>rogress Re</w:t>
      </w:r>
      <w:r w:rsidR="00B07C72">
        <w:t xml:space="preserve">ports assist Account and Contract Managers </w:t>
      </w:r>
      <w:r w:rsidR="000236D2">
        <w:t xml:space="preserve">to assess </w:t>
      </w:r>
      <w:r w:rsidR="00B07C72">
        <w:t>Provider performance.</w:t>
      </w:r>
    </w:p>
    <w:p w14:paraId="7B425B56" w14:textId="0AE24455" w:rsidR="00B65013" w:rsidRPr="000236D2" w:rsidRDefault="00332D97" w:rsidP="000236D2">
      <w:pPr>
        <w:pStyle w:val="guidelinetext"/>
        <w:rPr>
          <w:rFonts w:ascii="Calibri" w:eastAsia="Times New Roman" w:hAnsi="Calibri" w:cs="Calibri"/>
          <w:color w:val="000000"/>
          <w:lang w:eastAsia="en-AU"/>
        </w:rPr>
      </w:pPr>
      <w:r>
        <w:rPr>
          <w:rFonts w:ascii="Calibri" w:eastAsia="Times New Roman" w:hAnsi="Calibri" w:cs="Calibri"/>
          <w:color w:val="000000"/>
          <w:lang w:eastAsia="en-AU"/>
        </w:rPr>
        <w:t xml:space="preserve">Providers must submit </w:t>
      </w:r>
      <w:r w:rsidR="00B07C72" w:rsidRPr="000236D2">
        <w:rPr>
          <w:rFonts w:ascii="Calibri" w:eastAsia="Times New Roman" w:hAnsi="Calibri" w:cs="Calibri"/>
          <w:color w:val="000000"/>
          <w:lang w:eastAsia="en-AU"/>
        </w:rPr>
        <w:t>Progress Reports</w:t>
      </w:r>
      <w:r w:rsidR="00B65013" w:rsidRPr="000236D2">
        <w:rPr>
          <w:rFonts w:ascii="Calibri" w:eastAsia="Times New Roman" w:hAnsi="Calibri" w:cs="Calibri"/>
          <w:color w:val="000000"/>
          <w:lang w:eastAsia="en-AU"/>
        </w:rPr>
        <w:t>:</w:t>
      </w:r>
    </w:p>
    <w:p w14:paraId="25A3CB47" w14:textId="4E129747" w:rsidR="00B65013" w:rsidRDefault="00214299" w:rsidP="000236D2">
      <w:pPr>
        <w:pStyle w:val="guidelinebullet"/>
        <w:numPr>
          <w:ilvl w:val="0"/>
          <w:numId w:val="12"/>
        </w:numPr>
        <w:ind w:left="1985" w:hanging="567"/>
      </w:pPr>
      <w:r>
        <w:t>e</w:t>
      </w:r>
      <w:r w:rsidR="00B65013">
        <w:t xml:space="preserve">very month for the </w:t>
      </w:r>
      <w:r w:rsidR="00B07C72">
        <w:t>initial</w:t>
      </w:r>
      <w:r w:rsidR="00B65013">
        <w:t xml:space="preserve"> six months</w:t>
      </w:r>
      <w:r w:rsidR="00B07C72">
        <w:t xml:space="preserve"> of the </w:t>
      </w:r>
      <w:r w:rsidR="00A60933">
        <w:t>S</w:t>
      </w:r>
      <w:r w:rsidR="00B07C72">
        <w:t>ervice</w:t>
      </w:r>
      <w:r w:rsidR="00B65013">
        <w:t>, and then</w:t>
      </w:r>
    </w:p>
    <w:p w14:paraId="7998CDC5" w14:textId="4886BF89" w:rsidR="00B65013" w:rsidRDefault="00214299" w:rsidP="000236D2">
      <w:pPr>
        <w:pStyle w:val="guidelinebullet"/>
        <w:numPr>
          <w:ilvl w:val="0"/>
          <w:numId w:val="12"/>
        </w:numPr>
        <w:ind w:left="1985" w:hanging="567"/>
      </w:pPr>
      <w:r>
        <w:t>q</w:t>
      </w:r>
      <w:r w:rsidR="00E71C78">
        <w:t>uarterly</w:t>
      </w:r>
      <w:r w:rsidR="005B1D97">
        <w:t xml:space="preserve"> - </w:t>
      </w:r>
      <w:r w:rsidR="001F38A3">
        <w:t>(</w:t>
      </w:r>
      <w:r w:rsidR="00E71C78">
        <w:t>every three months</w:t>
      </w:r>
      <w:r w:rsidR="001F38A3">
        <w:t>)</w:t>
      </w:r>
      <w:r w:rsidR="00E71C78">
        <w:t xml:space="preserve"> </w:t>
      </w:r>
      <w:r w:rsidR="001F38A3">
        <w:t>for the remainder of the Service Period.</w:t>
      </w:r>
    </w:p>
    <w:p w14:paraId="5DDDE1D2" w14:textId="4F18228E" w:rsidR="00B65013" w:rsidRPr="002574A8" w:rsidRDefault="00B65013" w:rsidP="00465569">
      <w:pPr>
        <w:pStyle w:val="docev"/>
        <w:ind w:left="1418" w:hanging="1134"/>
      </w:pPr>
      <w:r w:rsidRPr="002574A8">
        <w:rPr>
          <w:b/>
        </w:rPr>
        <w:t xml:space="preserve">Documentary </w:t>
      </w:r>
      <w:r w:rsidR="00465569">
        <w:rPr>
          <w:b/>
        </w:rPr>
        <w:t>E</w:t>
      </w:r>
      <w:r w:rsidRPr="002574A8">
        <w:rPr>
          <w:b/>
        </w:rPr>
        <w:t>vidence:</w:t>
      </w:r>
      <w:r w:rsidR="00214299" w:rsidRPr="002574A8">
        <w:t xml:space="preserve"> Without limiting any other provisions of the Deed, the Provider</w:t>
      </w:r>
      <w:r w:rsidRPr="002574A8">
        <w:t xml:space="preserve"> must provide, as required by the Department</w:t>
      </w:r>
      <w:r w:rsidR="00332D97" w:rsidRPr="002574A8">
        <w:t>,</w:t>
      </w:r>
      <w:r w:rsidRPr="002574A8">
        <w:t xml:space="preserve"> specific reports on the Services, action taken to address</w:t>
      </w:r>
      <w:r w:rsidR="00DD434E">
        <w:t xml:space="preserve"> service</w:t>
      </w:r>
      <w:r w:rsidRPr="002574A8">
        <w:t xml:space="preserve"> performance issues raised by the Department, and training provided to Personnel and Subcontractors.</w:t>
      </w:r>
    </w:p>
    <w:p w14:paraId="242D2948" w14:textId="08E0190E" w:rsidR="00B65013" w:rsidRPr="0087221C" w:rsidRDefault="00B65013" w:rsidP="00B65013">
      <w:pPr>
        <w:pStyle w:val="guidelinedeedref"/>
        <w:spacing w:after="480"/>
        <w:ind w:left="1418"/>
      </w:pPr>
      <w:r w:rsidRPr="0087221C">
        <w:t>(Deed Reference</w:t>
      </w:r>
      <w:r>
        <w:t>s</w:t>
      </w:r>
      <w:r w:rsidRPr="0087221C">
        <w:t>: Clauses</w:t>
      </w:r>
      <w:r w:rsidR="00B07C72">
        <w:t xml:space="preserve"> 2</w:t>
      </w:r>
      <w:r w:rsidR="001F38A3">
        <w:t>, 26, 30,</w:t>
      </w:r>
      <w:r w:rsidRPr="0087221C">
        <w:t xml:space="preserve"> </w:t>
      </w:r>
      <w:r w:rsidR="00B07C72">
        <w:t>30.1(h)(ii)</w:t>
      </w:r>
      <w:r w:rsidRPr="0087221C">
        <w:t xml:space="preserve">) </w:t>
      </w:r>
    </w:p>
    <w:p w14:paraId="4C03E9E8" w14:textId="5EDFBCF7" w:rsidR="00501EFA" w:rsidRDefault="00616F93" w:rsidP="00332D97">
      <w:pPr>
        <w:pStyle w:val="Heading1"/>
        <w:tabs>
          <w:tab w:val="left" w:pos="426"/>
        </w:tabs>
        <w:ind w:left="426" w:hanging="426"/>
      </w:pPr>
      <w:bookmarkStart w:id="17" w:name="_Toc106983036"/>
      <w:r>
        <w:t>5</w:t>
      </w:r>
      <w:r w:rsidR="00F2665A">
        <w:t>.</w:t>
      </w:r>
      <w:r w:rsidR="00332D97">
        <w:tab/>
        <w:t>Measuring s</w:t>
      </w:r>
      <w:r w:rsidRPr="00616F93">
        <w:t>ervice delivery through formal performance assessments</w:t>
      </w:r>
      <w:bookmarkEnd w:id="17"/>
      <w:r w:rsidRPr="00616F93">
        <w:t xml:space="preserve"> </w:t>
      </w:r>
    </w:p>
    <w:p w14:paraId="4D313CD3" w14:textId="1B54666A" w:rsidR="00A120F8" w:rsidRDefault="00616F93" w:rsidP="00A120F8">
      <w:pPr>
        <w:pStyle w:val="Heading2"/>
      </w:pPr>
      <w:bookmarkStart w:id="18" w:name="_Toc106983037"/>
      <w:r w:rsidRPr="00616F93">
        <w:t xml:space="preserve">Provider performance </w:t>
      </w:r>
      <w:r w:rsidR="002574A8">
        <w:t xml:space="preserve">is </w:t>
      </w:r>
      <w:r>
        <w:t>formally assessed</w:t>
      </w:r>
      <w:bookmarkEnd w:id="18"/>
    </w:p>
    <w:p w14:paraId="74F758CB" w14:textId="2B4AF517" w:rsidR="00A120F8" w:rsidRDefault="00A120F8" w:rsidP="000236D2">
      <w:pPr>
        <w:pStyle w:val="guidelinetext"/>
      </w:pPr>
      <w:r>
        <w:t>The Department provide</w:t>
      </w:r>
      <w:r w:rsidR="002574A8">
        <w:t>s</w:t>
      </w:r>
      <w:r>
        <w:t xml:space="preserve"> timely and regular feedback to Providers regarding their </w:t>
      </w:r>
      <w:r w:rsidRPr="000236D2">
        <w:rPr>
          <w:rFonts w:ascii="Calibri" w:eastAsia="Times New Roman" w:hAnsi="Calibri" w:cs="Calibri"/>
          <w:color w:val="000000"/>
          <w:lang w:eastAsia="en-AU"/>
        </w:rPr>
        <w:t>performance</w:t>
      </w:r>
      <w:r>
        <w:t xml:space="preserve"> and work</w:t>
      </w:r>
      <w:r w:rsidR="002574A8">
        <w:t>s</w:t>
      </w:r>
      <w:r>
        <w:t xml:space="preserve"> proactively with Providers to address performance issues.</w:t>
      </w:r>
    </w:p>
    <w:p w14:paraId="50166466" w14:textId="56016BA8" w:rsidR="00A120F8" w:rsidRDefault="002574A8" w:rsidP="000236D2">
      <w:pPr>
        <w:pStyle w:val="guidelinetext"/>
      </w:pPr>
      <w:r>
        <w:t>The Department provides f</w:t>
      </w:r>
      <w:r w:rsidR="00A120F8">
        <w:t xml:space="preserve">ormal performance feedback at least once every </w:t>
      </w:r>
      <w:r w:rsidR="005624A1">
        <w:br/>
      </w:r>
      <w:r w:rsidR="00A120F8">
        <w:t xml:space="preserve">12 months, but </w:t>
      </w:r>
      <w:r>
        <w:t xml:space="preserve">may provide </w:t>
      </w:r>
      <w:r w:rsidR="00A120F8">
        <w:t xml:space="preserve">feedback </w:t>
      </w:r>
      <w:r w:rsidR="00E47D1C">
        <w:t xml:space="preserve">more frequently </w:t>
      </w:r>
      <w:r w:rsidR="00A120F8">
        <w:t xml:space="preserve">at </w:t>
      </w:r>
      <w:r>
        <w:t xml:space="preserve">its </w:t>
      </w:r>
      <w:r w:rsidR="00A120F8">
        <w:t xml:space="preserve">discretion. This feedback </w:t>
      </w:r>
      <w:r>
        <w:t xml:space="preserve">is </w:t>
      </w:r>
      <w:r w:rsidR="00A120F8">
        <w:t>generally provided in writing but may also include face-to-face discussions.</w:t>
      </w:r>
    </w:p>
    <w:p w14:paraId="2629C8E2" w14:textId="3D6A8C9D" w:rsidR="00A120F8" w:rsidRPr="002574A8" w:rsidRDefault="003C2379" w:rsidP="00F06333">
      <w:pPr>
        <w:pStyle w:val="docev"/>
        <w:ind w:left="1418" w:hanging="1134"/>
      </w:pPr>
      <w:r w:rsidRPr="002574A8">
        <w:rPr>
          <w:b/>
        </w:rPr>
        <w:t>Documentary</w:t>
      </w:r>
      <w:r>
        <w:rPr>
          <w:b/>
        </w:rPr>
        <w:t xml:space="preserve"> </w:t>
      </w:r>
      <w:r w:rsidR="00F06333">
        <w:rPr>
          <w:b/>
        </w:rPr>
        <w:t>E</w:t>
      </w:r>
      <w:r w:rsidRPr="002574A8">
        <w:rPr>
          <w:b/>
        </w:rPr>
        <w:t>vidence:</w:t>
      </w:r>
      <w:r w:rsidRPr="002574A8">
        <w:t xml:space="preserve"> Without limiting any other provisions of th</w:t>
      </w:r>
      <w:r w:rsidR="00DF6EAC" w:rsidRPr="002574A8">
        <w:t>e</w:t>
      </w:r>
      <w:r w:rsidRPr="002574A8">
        <w:t xml:space="preserve"> Deed, </w:t>
      </w:r>
      <w:r w:rsidR="00A120F8" w:rsidRPr="002574A8">
        <w:t>the Provider must provide, as required by the Department</w:t>
      </w:r>
      <w:r w:rsidR="002574A8" w:rsidRPr="002574A8">
        <w:t>,</w:t>
      </w:r>
      <w:r w:rsidR="00A120F8" w:rsidRPr="002574A8">
        <w:t xml:space="preserve"> specific reports on the Services, action taken to address </w:t>
      </w:r>
      <w:r w:rsidR="00DD434E">
        <w:t xml:space="preserve">provider </w:t>
      </w:r>
      <w:r w:rsidR="00A120F8" w:rsidRPr="002574A8">
        <w:t>performance issues raised by the Department, and training provided to Personnel and Subcontractors.</w:t>
      </w:r>
    </w:p>
    <w:p w14:paraId="2C0C5274" w14:textId="74DA9486" w:rsidR="00A120F8" w:rsidRPr="0087221C" w:rsidRDefault="00A120F8" w:rsidP="00EE6E32">
      <w:pPr>
        <w:pStyle w:val="guidelinedeedref"/>
        <w:spacing w:after="480"/>
        <w:ind w:left="1418"/>
      </w:pPr>
      <w:r w:rsidRPr="0087221C">
        <w:t>(Deed Reference</w:t>
      </w:r>
      <w:r w:rsidR="00477E55">
        <w:t>s</w:t>
      </w:r>
      <w:r w:rsidRPr="0087221C">
        <w:t xml:space="preserve">: Clauses </w:t>
      </w:r>
      <w:r w:rsidR="00963868">
        <w:t>41.1</w:t>
      </w:r>
      <w:r w:rsidR="005B1D97">
        <w:t>)</w:t>
      </w:r>
    </w:p>
    <w:p w14:paraId="4BBC97BD" w14:textId="31399B12" w:rsidR="005135DC" w:rsidRPr="00616F93" w:rsidRDefault="00616F93" w:rsidP="00616F93">
      <w:pPr>
        <w:pStyle w:val="Heading1"/>
      </w:pPr>
      <w:bookmarkStart w:id="19" w:name="_Attachment_A:_jobactive"/>
      <w:bookmarkStart w:id="20" w:name="_Attachment_B:_"/>
      <w:bookmarkStart w:id="21" w:name="_Table_1—Quality_Principles"/>
      <w:bookmarkStart w:id="22" w:name="_Table_2—Non-conformance_for"/>
      <w:bookmarkStart w:id="23" w:name="_Attachment_C:_"/>
      <w:bookmarkStart w:id="24" w:name="_Attachment_D:_"/>
      <w:bookmarkStart w:id="25" w:name="_Toc106983038"/>
      <w:bookmarkEnd w:id="19"/>
      <w:bookmarkEnd w:id="20"/>
      <w:bookmarkEnd w:id="21"/>
      <w:bookmarkEnd w:id="22"/>
      <w:bookmarkEnd w:id="23"/>
      <w:bookmarkEnd w:id="24"/>
      <w:r>
        <w:t xml:space="preserve">6. </w:t>
      </w:r>
      <w:r w:rsidR="005135DC" w:rsidRPr="00616F93">
        <w:t>Performance assessment actions</w:t>
      </w:r>
      <w:bookmarkEnd w:id="25"/>
    </w:p>
    <w:p w14:paraId="1D1609D4" w14:textId="17E63787" w:rsidR="005135DC" w:rsidRDefault="002574A8" w:rsidP="005135DC">
      <w:pPr>
        <w:pStyle w:val="guidelinetext"/>
      </w:pPr>
      <w:r>
        <w:t>The Department regularly assesses t</w:t>
      </w:r>
      <w:r w:rsidR="005135DC">
        <w:t>he performance of individual Providers</w:t>
      </w:r>
      <w:r>
        <w:t xml:space="preserve"> and may use </w:t>
      </w:r>
      <w:r w:rsidR="00434B1D">
        <w:t>the results of performance assessments</w:t>
      </w:r>
      <w:r w:rsidR="005135DC">
        <w:t xml:space="preserve"> to </w:t>
      </w:r>
      <w:r w:rsidR="0031157B">
        <w:t>determine Deed extensions and/</w:t>
      </w:r>
      <w:r w:rsidR="005135DC">
        <w:t>or sanctions</w:t>
      </w:r>
      <w:r>
        <w:t>. This may include</w:t>
      </w:r>
      <w:r w:rsidR="005135DC">
        <w:t xml:space="preserve"> adding or removing Prisons in which the Provider is approved to deliver the Services and, if required, </w:t>
      </w:r>
      <w:r w:rsidR="00FF6648">
        <w:t xml:space="preserve">it may include </w:t>
      </w:r>
      <w:r w:rsidR="005135DC">
        <w:t>termination under the Deed.</w:t>
      </w:r>
    </w:p>
    <w:p w14:paraId="7183BE2A" w14:textId="7FE936A9" w:rsidR="005135DC" w:rsidRDefault="005135DC" w:rsidP="005135DC">
      <w:pPr>
        <w:pStyle w:val="guidelinetext"/>
      </w:pPr>
      <w:r w:rsidRPr="00861A63">
        <w:lastRenderedPageBreak/>
        <w:t xml:space="preserve">The Department </w:t>
      </w:r>
      <w:r>
        <w:t>may</w:t>
      </w:r>
      <w:r w:rsidRPr="00861A63">
        <w:t xml:space="preserve"> apply business sanctions for administrative breaches of the Deed or any of its supporting Guidelines. A separate legal framework applies where intent to defraud the Commonwealth is proven</w:t>
      </w:r>
      <w:r>
        <w:t>.</w:t>
      </w:r>
    </w:p>
    <w:p w14:paraId="394C7794" w14:textId="38521CBD" w:rsidR="0047190E" w:rsidRDefault="005135DC" w:rsidP="005135DC">
      <w:pPr>
        <w:pStyle w:val="guidelinedeedref"/>
        <w:spacing w:after="480"/>
        <w:ind w:left="1418"/>
      </w:pPr>
      <w:r w:rsidRPr="0087221C">
        <w:t>(Deed Reference</w:t>
      </w:r>
      <w:r>
        <w:t>s</w:t>
      </w:r>
      <w:r w:rsidRPr="0087221C">
        <w:t>: Clause</w:t>
      </w:r>
      <w:r w:rsidR="0031157B">
        <w:t xml:space="preserve">s </w:t>
      </w:r>
      <w:r>
        <w:t>17.2, 18)</w:t>
      </w:r>
    </w:p>
    <w:p w14:paraId="41255A86" w14:textId="438C0CC5" w:rsidR="00FC02B1" w:rsidRDefault="00FC02B1" w:rsidP="00FC02B1">
      <w:pPr>
        <w:pStyle w:val="Heading1"/>
      </w:pPr>
      <w:bookmarkStart w:id="26" w:name="_Toc475967059"/>
      <w:bookmarkStart w:id="27" w:name="_Toc488317461"/>
      <w:bookmarkStart w:id="28" w:name="_Toc106983039"/>
      <w:r>
        <w:t>Summary of required Documentary Evidence</w:t>
      </w:r>
      <w:bookmarkEnd w:id="26"/>
      <w:bookmarkEnd w:id="27"/>
      <w:bookmarkEnd w:id="28"/>
    </w:p>
    <w:p w14:paraId="491C2297" w14:textId="54089D73" w:rsidR="00DC2C89" w:rsidRDefault="00DC2C89" w:rsidP="00F06333">
      <w:pPr>
        <w:pStyle w:val="docev"/>
        <w:ind w:left="1418" w:hanging="1058"/>
      </w:pPr>
      <w:r w:rsidRPr="002574A8">
        <w:rPr>
          <w:b/>
        </w:rPr>
        <w:t xml:space="preserve">Documentary </w:t>
      </w:r>
      <w:r w:rsidR="00915C05">
        <w:rPr>
          <w:b/>
        </w:rPr>
        <w:t>E</w:t>
      </w:r>
      <w:r w:rsidRPr="002574A8">
        <w:rPr>
          <w:b/>
        </w:rPr>
        <w:t>vidence:</w:t>
      </w:r>
      <w:r w:rsidRPr="002574A8">
        <w:t xml:space="preserve"> </w:t>
      </w:r>
      <w:r w:rsidR="00F15212">
        <w:t>Providing r</w:t>
      </w:r>
      <w:r>
        <w:t>eports to the Department</w:t>
      </w:r>
    </w:p>
    <w:p w14:paraId="52C09812" w14:textId="6D0584BD" w:rsidR="00DC2C89" w:rsidRDefault="00DC2C89" w:rsidP="00F06333">
      <w:pPr>
        <w:pStyle w:val="docev"/>
        <w:numPr>
          <w:ilvl w:val="0"/>
          <w:numId w:val="19"/>
        </w:numPr>
        <w:ind w:left="1418"/>
      </w:pPr>
      <w:r>
        <w:t>T</w:t>
      </w:r>
      <w:r w:rsidRPr="002574A8">
        <w:t>he Provider must provide, as required by the Department, specific reports on the Services, action taken to address performance issues raised by the Department, and training provided to Personnel and Subcontractors.</w:t>
      </w:r>
    </w:p>
    <w:p w14:paraId="11D8F2C5" w14:textId="773B8A64" w:rsidR="00DD434E" w:rsidRPr="0087221C" w:rsidRDefault="00DD434E" w:rsidP="00DD434E">
      <w:pPr>
        <w:pStyle w:val="guidelinedeedref"/>
        <w:spacing w:after="480"/>
        <w:ind w:left="1058" w:firstLine="360"/>
      </w:pPr>
      <w:r w:rsidRPr="0087221C">
        <w:t>(Deed Reference</w:t>
      </w:r>
      <w:r>
        <w:t>s</w:t>
      </w:r>
      <w:r w:rsidRPr="0087221C">
        <w:t>: Clauses</w:t>
      </w:r>
      <w:r>
        <w:t xml:space="preserve"> 2</w:t>
      </w:r>
      <w:r w:rsidR="003467B3">
        <w:t>5</w:t>
      </w:r>
      <w:r>
        <w:t>, 26,</w:t>
      </w:r>
      <w:r w:rsidRPr="0087221C">
        <w:t xml:space="preserve"> </w:t>
      </w:r>
      <w:r>
        <w:t>30, 41.1</w:t>
      </w:r>
      <w:r w:rsidR="00B419B1">
        <w:t>)</w:t>
      </w:r>
      <w:r w:rsidRPr="0087221C">
        <w:t xml:space="preserve"> </w:t>
      </w:r>
    </w:p>
    <w:p w14:paraId="376F24AD" w14:textId="604494DF" w:rsidR="00170201" w:rsidRDefault="00170201"/>
    <w:p w14:paraId="7F770ACE" w14:textId="77777777" w:rsidR="005624A1" w:rsidRDefault="005624A1" w:rsidP="005624A1">
      <w:pPr>
        <w:pStyle w:val="guidelinedeedref"/>
        <w:rPr>
          <w:rFonts w:asciiTheme="minorHAnsi" w:hAnsiTheme="minorHAnsi"/>
          <w:sz w:val="22"/>
        </w:rPr>
      </w:pPr>
    </w:p>
    <w:p w14:paraId="6B4E0001" w14:textId="7E4FAC6C" w:rsidR="005624A1" w:rsidRPr="00DF742A" w:rsidRDefault="005624A1" w:rsidP="005624A1">
      <w:pPr>
        <w:pBdr>
          <w:top w:val="single" w:sz="4" w:space="1" w:color="auto"/>
        </w:pBdr>
        <w:ind w:right="-23"/>
        <w:rPr>
          <w:sz w:val="20"/>
          <w:szCs w:val="20"/>
        </w:rPr>
      </w:pPr>
      <w:r w:rsidRPr="00DF742A">
        <w:rPr>
          <w:sz w:val="20"/>
          <w:szCs w:val="20"/>
        </w:rPr>
        <w:t>All capitalised terms in this Guideline have the same meaning as in the Time to Work Employment Service Deed 2018–</w:t>
      </w:r>
      <w:r w:rsidR="00460F63">
        <w:rPr>
          <w:sz w:val="20"/>
          <w:szCs w:val="20"/>
        </w:rPr>
        <w:t>2023</w:t>
      </w:r>
      <w:r w:rsidRPr="00DF742A">
        <w:rPr>
          <w:sz w:val="20"/>
          <w:szCs w:val="20"/>
        </w:rPr>
        <w:t xml:space="preserve"> (the Deed).</w:t>
      </w:r>
    </w:p>
    <w:p w14:paraId="17FAFEA4" w14:textId="51969F5F" w:rsidR="003E2F94" w:rsidRPr="00DF742A" w:rsidRDefault="005624A1" w:rsidP="006A1802">
      <w:pPr>
        <w:rPr>
          <w:rFonts w:cstheme="minorHAnsi"/>
          <w:sz w:val="20"/>
          <w:szCs w:val="20"/>
        </w:rPr>
      </w:pPr>
      <w:r w:rsidRPr="00DF742A">
        <w:rPr>
          <w:sz w:val="20"/>
          <w:szCs w:val="20"/>
        </w:rPr>
        <w:t xml:space="preserve">This Guideline is not a stand-alone document and does not contain all Provider obligations. It must be read in conjunction with the Deed and any relevant Guidelines or reference material issued by the </w:t>
      </w:r>
      <w:r w:rsidR="00112276">
        <w:rPr>
          <w:sz w:val="20"/>
          <w:szCs w:val="20"/>
        </w:rPr>
        <w:t xml:space="preserve">Department of </w:t>
      </w:r>
      <w:r w:rsidR="007F5FA1">
        <w:rPr>
          <w:sz w:val="20"/>
          <w:szCs w:val="20"/>
        </w:rPr>
        <w:t>Employment and Workplace Relations</w:t>
      </w:r>
      <w:r w:rsidR="00112276">
        <w:rPr>
          <w:sz w:val="20"/>
          <w:szCs w:val="20"/>
        </w:rPr>
        <w:t xml:space="preserve"> </w:t>
      </w:r>
      <w:r w:rsidRPr="00DF742A">
        <w:rPr>
          <w:sz w:val="20"/>
          <w:szCs w:val="20"/>
        </w:rPr>
        <w:t>under or in connection with the Deed.</w:t>
      </w:r>
    </w:p>
    <w:sectPr w:rsidR="003E2F94" w:rsidRPr="00DF742A" w:rsidSect="00E83228">
      <w:headerReference w:type="default" r:id="rId24"/>
      <w:footerReference w:type="default" r:id="rId25"/>
      <w:headerReference w:type="first" r:id="rId26"/>
      <w:footerReference w:type="first" r:id="rId27"/>
      <w:pgSz w:w="11906" w:h="16838" w:code="9"/>
      <w:pgMar w:top="1440" w:right="1440" w:bottom="568" w:left="1440" w:header="708"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418A" w14:textId="77777777" w:rsidR="000236D2" w:rsidRDefault="000236D2" w:rsidP="008A194F">
      <w:pPr>
        <w:spacing w:before="0"/>
      </w:pPr>
      <w:r>
        <w:separator/>
      </w:r>
    </w:p>
  </w:endnote>
  <w:endnote w:type="continuationSeparator" w:id="0">
    <w:p w14:paraId="48AD5C86" w14:textId="77777777" w:rsidR="000236D2" w:rsidRDefault="000236D2" w:rsidP="008A19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136B" w14:textId="77777777" w:rsidR="004C58BF" w:rsidRDefault="004C5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CB00" w14:textId="610553F0" w:rsidR="000236D2" w:rsidRPr="001F19A3" w:rsidRDefault="000236D2" w:rsidP="00E112A1">
    <w:pPr>
      <w:pStyle w:val="Footer"/>
      <w:pBdr>
        <w:top w:val="single" w:sz="4" w:space="1" w:color="767171" w:themeColor="background2" w:themeShade="80"/>
      </w:pBdr>
      <w:rPr>
        <w:sz w:val="20"/>
        <w:szCs w:val="20"/>
      </w:rPr>
    </w:pPr>
    <w:r w:rsidRPr="00D70644">
      <w:rPr>
        <w:sz w:val="20"/>
        <w:szCs w:val="20"/>
      </w:rPr>
      <w:t>Effective from: 1 Jul 17</w:t>
    </w:r>
    <w:r w:rsidRPr="00D70644">
      <w:rPr>
        <w:sz w:val="20"/>
        <w:szCs w:val="20"/>
      </w:rPr>
      <w:tab/>
      <w:t>version 2.0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B1082F">
      <w:rPr>
        <w:noProof/>
        <w:sz w:val="20"/>
        <w:szCs w:val="20"/>
      </w:rPr>
      <w:t>8</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9F60" w14:textId="77777777" w:rsidR="004C58BF" w:rsidRDefault="004C58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262C" w14:textId="77777777" w:rsidR="000236D2" w:rsidRDefault="000236D2">
    <w:pPr>
      <w:pStyle w:val="Footer"/>
    </w:pPr>
  </w:p>
  <w:p w14:paraId="566B33C2" w14:textId="77777777" w:rsidR="000236D2" w:rsidRPr="00BB2459" w:rsidRDefault="000236D2">
    <w:pPr>
      <w:pStyle w:val="Footer"/>
      <w:rPr>
        <w:rFonts w:ascii="Arial" w:hAnsi="Arial" w:cs="Arial"/>
        <w:sz w:val="14"/>
      </w:rPr>
    </w:pPr>
    <w:r w:rsidRPr="00BB2459">
      <w:rPr>
        <w:rFonts w:ascii="Arial" w:hAnsi="Arial" w:cs="Arial"/>
        <w:sz w:val="14"/>
      </w:rPr>
      <w:t>[7031885: 18225387_1]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D825" w14:textId="44280C00" w:rsidR="000236D2" w:rsidRDefault="000236D2" w:rsidP="00E112A1">
    <w:pPr>
      <w:pStyle w:val="Footer"/>
      <w:pBdr>
        <w:top w:val="single" w:sz="4" w:space="1" w:color="767171" w:themeColor="background2" w:themeShade="80"/>
      </w:pBdr>
      <w:rPr>
        <w:sz w:val="20"/>
        <w:szCs w:val="20"/>
      </w:rPr>
    </w:pPr>
    <w:r w:rsidRPr="001F19A3">
      <w:rPr>
        <w:sz w:val="20"/>
        <w:szCs w:val="20"/>
      </w:rPr>
      <w:t xml:space="preserve">Effective from: </w:t>
    </w:r>
    <w:r>
      <w:rPr>
        <w:sz w:val="20"/>
        <w:szCs w:val="20"/>
      </w:rPr>
      <w:t>0</w:t>
    </w:r>
    <w:r w:rsidRPr="00071A92">
      <w:rPr>
        <w:sz w:val="20"/>
        <w:szCs w:val="20"/>
      </w:rPr>
      <w:t xml:space="preserve">1 </w:t>
    </w:r>
    <w:r>
      <w:rPr>
        <w:sz w:val="20"/>
        <w:szCs w:val="20"/>
      </w:rPr>
      <w:t>January 2018</w:t>
    </w:r>
    <w:r w:rsidRPr="001F19A3">
      <w:rPr>
        <w:sz w:val="20"/>
        <w:szCs w:val="20"/>
      </w:rPr>
      <w:tab/>
    </w:r>
    <w:r>
      <w:rPr>
        <w:sz w:val="20"/>
        <w:szCs w:val="20"/>
      </w:rPr>
      <w:t>V</w:t>
    </w:r>
    <w:r w:rsidRPr="001F19A3">
      <w:rPr>
        <w:sz w:val="20"/>
        <w:szCs w:val="20"/>
      </w:rPr>
      <w:t>ersion 1</w:t>
    </w:r>
    <w:r>
      <w:rPr>
        <w:sz w:val="20"/>
        <w:szCs w:val="20"/>
      </w:rPr>
      <w:t>.0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B1082F">
      <w:rPr>
        <w:noProof/>
        <w:sz w:val="20"/>
        <w:szCs w:val="20"/>
      </w:rPr>
      <w:t>8</w:t>
    </w:r>
    <w:r w:rsidRPr="001F19A3">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95D6" w14:textId="5FFFFF27" w:rsidR="000236D2" w:rsidRPr="009F4540" w:rsidRDefault="000236D2" w:rsidP="009F4540">
    <w:pPr>
      <w:pStyle w:val="Footer"/>
      <w:pBdr>
        <w:top w:val="single" w:sz="4" w:space="1" w:color="767171" w:themeColor="background2" w:themeShade="80"/>
      </w:pBdr>
      <w:rPr>
        <w:sz w:val="20"/>
        <w:szCs w:val="20"/>
      </w:rPr>
    </w:pPr>
    <w:r w:rsidRPr="001F19A3">
      <w:rPr>
        <w:sz w:val="20"/>
        <w:szCs w:val="20"/>
      </w:rPr>
      <w:t>Effective from:</w:t>
    </w:r>
    <w:r w:rsidR="00326880">
      <w:rPr>
        <w:sz w:val="20"/>
        <w:szCs w:val="20"/>
      </w:rPr>
      <w:t xml:space="preserve"> 1 July 2022</w:t>
    </w:r>
    <w:r w:rsidRPr="001F19A3">
      <w:rPr>
        <w:sz w:val="20"/>
        <w:szCs w:val="20"/>
      </w:rPr>
      <w:tab/>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B1082F">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B1082F">
      <w:rPr>
        <w:noProof/>
        <w:sz w:val="20"/>
        <w:szCs w:val="20"/>
      </w:rPr>
      <w:t>8</w:t>
    </w:r>
    <w:r w:rsidRPr="001F19A3">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8BBE" w14:textId="00545D19" w:rsidR="000236D2" w:rsidRPr="008A3C21" w:rsidRDefault="000236D2" w:rsidP="008A3C21">
    <w:pPr>
      <w:pStyle w:val="Footer"/>
      <w:pBdr>
        <w:top w:val="single" w:sz="4" w:space="1" w:color="767171" w:themeColor="background2" w:themeShade="80"/>
      </w:pBdr>
      <w:rPr>
        <w:sz w:val="20"/>
        <w:szCs w:val="20"/>
      </w:rPr>
    </w:pPr>
    <w:r w:rsidRPr="00D70644">
      <w:rPr>
        <w:sz w:val="20"/>
        <w:szCs w:val="20"/>
      </w:rPr>
      <w:t xml:space="preserve">Effective from: </w:t>
    </w:r>
    <w:r>
      <w:rPr>
        <w:sz w:val="20"/>
        <w:szCs w:val="20"/>
      </w:rPr>
      <w:t>1 Jan 18</w:t>
    </w:r>
    <w:r w:rsidRPr="00D70644">
      <w:rPr>
        <w:sz w:val="20"/>
        <w:szCs w:val="20"/>
      </w:rPr>
      <w:tab/>
      <w:t>version 2.</w:t>
    </w:r>
    <w:r>
      <w:rPr>
        <w:sz w:val="20"/>
        <w:szCs w:val="20"/>
      </w:rPr>
      <w:t>2</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5</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B1082F">
      <w:rPr>
        <w:noProof/>
        <w:sz w:val="20"/>
        <w:szCs w:val="20"/>
      </w:rPr>
      <w:t>8</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7D63" w14:textId="77777777" w:rsidR="000236D2" w:rsidRDefault="000236D2" w:rsidP="008A194F">
      <w:pPr>
        <w:spacing w:before="0"/>
      </w:pPr>
      <w:r>
        <w:separator/>
      </w:r>
    </w:p>
  </w:footnote>
  <w:footnote w:type="continuationSeparator" w:id="0">
    <w:p w14:paraId="43792C63" w14:textId="77777777" w:rsidR="000236D2" w:rsidRDefault="000236D2" w:rsidP="008A19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550C" w14:textId="77777777" w:rsidR="004C58BF" w:rsidRDefault="004C5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849D" w14:textId="59DD5804" w:rsidR="000236D2" w:rsidRDefault="00C86C90" w:rsidP="00E112A1">
    <w:pPr>
      <w:pStyle w:val="Header"/>
      <w:pBdr>
        <w:bottom w:val="single" w:sz="4" w:space="1" w:color="767171" w:themeColor="background2" w:themeShade="80"/>
      </w:pBdr>
      <w:tabs>
        <w:tab w:val="clear" w:pos="4513"/>
      </w:tabs>
    </w:pPr>
    <w:r>
      <w:t>Time to Work Employment Service</w:t>
    </w:r>
    <w:r w:rsidR="000236D2">
      <w:t xml:space="preserve"> guideline</w:t>
    </w:r>
    <w:r w:rsidR="000236D2">
      <w:tab/>
    </w:r>
    <w:r>
      <w:rPr>
        <w:b/>
      </w:rPr>
      <w:t>Performance Framework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2EBD" w14:textId="0AA2DA69" w:rsidR="00FC428B" w:rsidRDefault="00FC428B" w:rsidP="00FC428B">
    <w:pPr>
      <w:pStyle w:val="Header"/>
      <w:ind w:left="-993"/>
    </w:pPr>
    <w:r>
      <w:rPr>
        <w:noProof/>
        <w:lang w:eastAsia="en-AU"/>
      </w:rPr>
      <w:drawing>
        <wp:inline distT="0" distB="0" distL="0" distR="0" wp14:anchorId="24A1AEB2" wp14:editId="6159F774">
          <wp:extent cx="7248525" cy="1661795"/>
          <wp:effectExtent l="0" t="0" r="9525" b="0"/>
          <wp:docPr id="5" name="Picture 5" descr="Australian Government and Time to Work Employment Services Logo "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0222" cy="167364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CB9C" w14:textId="77777777" w:rsidR="000236D2" w:rsidRPr="008A3C21" w:rsidRDefault="000236D2" w:rsidP="008A3C21">
    <w:pPr>
      <w:pStyle w:val="Header"/>
    </w:pPr>
  </w:p>
  <w:p w14:paraId="47E72B1D" w14:textId="77777777" w:rsidR="000236D2" w:rsidRDefault="000236D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3426" w14:textId="77777777" w:rsidR="000236D2" w:rsidRDefault="000236D2" w:rsidP="00E112A1">
    <w:pPr>
      <w:pStyle w:val="Header"/>
      <w:pBdr>
        <w:bottom w:val="single" w:sz="4" w:space="1" w:color="767171" w:themeColor="background2" w:themeShade="80"/>
      </w:pBdr>
      <w:tabs>
        <w:tab w:val="clear" w:pos="4513"/>
      </w:tabs>
    </w:pPr>
    <w:r>
      <w:t>Guideline</w:t>
    </w:r>
    <w:r>
      <w:tab/>
    </w:r>
    <w:r>
      <w:rPr>
        <w:b/>
      </w:rPr>
      <w:t>Time to Work Employment Service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DC8D" w14:textId="77777777" w:rsidR="000236D2" w:rsidRDefault="000236D2" w:rsidP="00300D2A">
    <w:pPr>
      <w:pStyle w:val="Header"/>
      <w:jc w:val="right"/>
    </w:pPr>
    <w:r w:rsidRPr="00421DB9">
      <w:rPr>
        <w:rFonts w:eastAsia="Calibri" w:cs="Times New Roman"/>
        <w:noProof/>
        <w:lang w:eastAsia="en-AU"/>
      </w:rPr>
      <w:drawing>
        <wp:inline distT="0" distB="0" distL="0" distR="0" wp14:anchorId="24B9DAFC" wp14:editId="6A8ACDFB">
          <wp:extent cx="5731510" cy="1307465"/>
          <wp:effectExtent l="0" t="0" r="2540" b="6985"/>
          <wp:docPr id="6" name="Picture 6" descr="logo - performance framework " title="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2617\AppData\Local\Microsoft\Windows\Temporary Internet Files\Content.Word\EM17-0218 Time to Work Branding_Email Banner_Option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307465"/>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D0AB" w14:textId="7AABE20A" w:rsidR="000236D2" w:rsidRDefault="000236D2" w:rsidP="009F4540">
    <w:pPr>
      <w:pStyle w:val="Header"/>
      <w:pBdr>
        <w:bottom w:val="single" w:sz="4" w:space="1" w:color="767171" w:themeColor="background2" w:themeShade="80"/>
      </w:pBdr>
      <w:tabs>
        <w:tab w:val="clear" w:pos="4513"/>
      </w:tabs>
    </w:pPr>
    <w:r>
      <w:t xml:space="preserve">Time to Work Employment Service </w:t>
    </w:r>
    <w:r w:rsidR="00FF6648">
      <w:t>G</w:t>
    </w:r>
    <w:r>
      <w:t>uideline</w:t>
    </w:r>
    <w:r>
      <w:tab/>
    </w:r>
    <w:r w:rsidRPr="00ED2C5E">
      <w:t>Performance Framework</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4EF0" w14:textId="1EBC516C" w:rsidR="000236D2" w:rsidRDefault="000236D2" w:rsidP="00126FF4">
    <w:pPr>
      <w:pStyle w:val="Header"/>
      <w:pBdr>
        <w:bottom w:val="single" w:sz="4" w:space="1" w:color="767171" w:themeColor="background2" w:themeShade="80"/>
      </w:pBdr>
      <w:tabs>
        <w:tab w:val="clear" w:pos="4513"/>
        <w:tab w:val="left" w:pos="4530"/>
      </w:tabs>
    </w:pPr>
    <w:r>
      <w:t>Time to Work Employment Service guideline</w:t>
    </w:r>
    <w:r>
      <w:tab/>
    </w:r>
    <w:r>
      <w:tab/>
    </w:r>
    <w:r>
      <w:rPr>
        <w:b/>
      </w:rPr>
      <w:t>Performance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EFE"/>
    <w:multiLevelType w:val="hybridMultilevel"/>
    <w:tmpl w:val="EEB06620"/>
    <w:lvl w:ilvl="0" w:tplc="567C3E66">
      <w:start w:val="1"/>
      <w:numFmt w:val="bullet"/>
      <w:lvlText w:val=""/>
      <w:lvlJc w:val="left"/>
      <w:pPr>
        <w:ind w:left="360" w:hanging="360"/>
      </w:pPr>
      <w:rPr>
        <w:rFonts w:ascii="Wingdings" w:hAnsi="Wingdings" w:hint="default"/>
        <w:color w:val="000000" w:themeColor="text1"/>
        <w:sz w:val="28"/>
        <w:szCs w:val="28"/>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6E11E4"/>
    <w:multiLevelType w:val="multilevel"/>
    <w:tmpl w:val="1C02EB18"/>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color w:val="auto"/>
      </w:rPr>
    </w:lvl>
    <w:lvl w:ilvl="3">
      <w:start w:val="1"/>
      <w:numFmt w:val="lowerLetter"/>
      <w:lvlText w:val="%4)"/>
      <w:lvlJc w:val="left"/>
      <w:pPr>
        <w:tabs>
          <w:tab w:val="num" w:pos="2880"/>
        </w:tabs>
        <w:ind w:left="2880" w:hanging="360"/>
      </w:pPr>
      <w:rPr>
        <w:rFonts w:hint="default"/>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 w15:restartNumberingAfterBreak="0">
    <w:nsid w:val="1407724D"/>
    <w:multiLevelType w:val="multilevel"/>
    <w:tmpl w:val="4FF289A8"/>
    <w:lvl w:ilvl="0">
      <w:start w:val="1"/>
      <w:numFmt w:val="bullet"/>
      <w:pStyle w:val="ListBullet"/>
      <w:lvlText w:val=""/>
      <w:lvlJc w:val="left"/>
      <w:pPr>
        <w:tabs>
          <w:tab w:val="num" w:pos="928"/>
        </w:tabs>
        <w:ind w:left="928" w:hanging="360"/>
      </w:pPr>
      <w:rPr>
        <w:rFonts w:ascii="Symbol" w:hAnsi="Symbol" w:hint="default"/>
        <w:sz w:val="22"/>
      </w:rPr>
    </w:lvl>
    <w:lvl w:ilvl="1">
      <w:start w:val="1"/>
      <w:numFmt w:val="bullet"/>
      <w:pStyle w:val="ListBullet2"/>
      <w:lvlText w:val=""/>
      <w:lvlJc w:val="left"/>
      <w:pPr>
        <w:tabs>
          <w:tab w:val="num" w:pos="1440"/>
        </w:tabs>
        <w:ind w:left="1440" w:hanging="360"/>
      </w:pPr>
      <w:rPr>
        <w:rFonts w:ascii="Symbol" w:hAnsi="Symbol" w:hint="default"/>
      </w:rPr>
    </w:lvl>
    <w:lvl w:ilvl="2">
      <w:start w:val="1"/>
      <w:numFmt w:val="bullet"/>
      <w:pStyle w:val="ListBullet3"/>
      <w:lvlText w:val="o"/>
      <w:lvlJc w:val="left"/>
      <w:pPr>
        <w:tabs>
          <w:tab w:val="num" w:pos="2160"/>
        </w:tabs>
        <w:ind w:left="2160" w:hanging="360"/>
      </w:pPr>
      <w:rPr>
        <w:rFonts w:ascii="Courier New" w:hAnsi="Courier New" w:hint="default"/>
        <w:color w:val="auto"/>
      </w:rPr>
    </w:lvl>
    <w:lvl w:ilvl="3">
      <w:start w:val="1"/>
      <w:numFmt w:val="lowerLetter"/>
      <w:lvlText w:val="%4)"/>
      <w:lvlJc w:val="left"/>
      <w:pPr>
        <w:tabs>
          <w:tab w:val="num" w:pos="2880"/>
        </w:tabs>
        <w:ind w:left="2880" w:hanging="360"/>
      </w:pPr>
      <w:rPr>
        <w:rFonts w:hint="default"/>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EA0017"/>
    <w:multiLevelType w:val="multilevel"/>
    <w:tmpl w:val="245E6BCE"/>
    <w:lvl w:ilvl="0">
      <w:start w:val="1"/>
      <w:numFmt w:val="decimal"/>
      <w:pStyle w:val="ListNumber"/>
      <w:lvlText w:val="%1."/>
      <w:lvlJc w:val="left"/>
      <w:pPr>
        <w:tabs>
          <w:tab w:val="num" w:pos="720"/>
        </w:tabs>
        <w:ind w:left="720" w:hanging="360"/>
      </w:pPr>
      <w:rPr>
        <w:rFonts w:ascii="Calibri" w:hAnsi="Calibri" w:hint="default"/>
        <w:sz w:val="22"/>
      </w:rPr>
    </w:lvl>
    <w:lvl w:ilvl="1">
      <w:start w:val="1"/>
      <w:numFmt w:val="lowerLetter"/>
      <w:pStyle w:val="ListNumber2"/>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9E2805"/>
    <w:multiLevelType w:val="hybridMultilevel"/>
    <w:tmpl w:val="E994762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CB3714"/>
    <w:multiLevelType w:val="hybridMultilevel"/>
    <w:tmpl w:val="548048E6"/>
    <w:lvl w:ilvl="0" w:tplc="0C090001">
      <w:start w:val="1"/>
      <w:numFmt w:val="bullet"/>
      <w:lvlText w:val=""/>
      <w:lvlJc w:val="left"/>
      <w:pPr>
        <w:ind w:left="720" w:hanging="360"/>
      </w:pPr>
      <w:rPr>
        <w:rFonts w:ascii="Symbol" w:hAnsi="Symbol"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13BCE"/>
    <w:multiLevelType w:val="hybridMultilevel"/>
    <w:tmpl w:val="373A1DC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15:restartNumberingAfterBreak="0">
    <w:nsid w:val="48983726"/>
    <w:multiLevelType w:val="hybridMultilevel"/>
    <w:tmpl w:val="B4A6DFCC"/>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F512B78"/>
    <w:multiLevelType w:val="multilevel"/>
    <w:tmpl w:val="EFC84C60"/>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clausetext11xxxxx"/>
      <w:lvlText w:val="%1.%2"/>
      <w:lvlJc w:val="left"/>
      <w:pPr>
        <w:tabs>
          <w:tab w:val="num" w:pos="1589"/>
        </w:tabs>
        <w:ind w:left="737" w:hanging="737"/>
      </w:pPr>
      <w:rPr>
        <w:rFonts w:asciiTheme="minorHAnsi" w:hAnsiTheme="minorHAnsi" w:cstheme="minorHAnsi" w:hint="default"/>
        <w:b w:val="0"/>
      </w:rPr>
    </w:lvl>
    <w:lvl w:ilvl="2">
      <w:start w:val="1"/>
      <w:numFmt w:val="lowerLetter"/>
      <w:pStyle w:val="clausetexta"/>
      <w:lvlText w:val="(%3)"/>
      <w:lvlJc w:val="left"/>
      <w:pPr>
        <w:tabs>
          <w:tab w:val="num" w:pos="1220"/>
        </w:tabs>
        <w:ind w:left="1220" w:hanging="510"/>
      </w:pPr>
      <w:rPr>
        <w:rFonts w:ascii="Calibri" w:eastAsia="Times New Roman" w:hAnsi="Calibri"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clausetexti"/>
      <w:lvlText w:val="%4)"/>
      <w:lvlJc w:val="left"/>
      <w:pPr>
        <w:tabs>
          <w:tab w:val="num" w:pos="1758"/>
        </w:tabs>
        <w:ind w:left="1758" w:hanging="454"/>
      </w:pPr>
      <w:rPr>
        <w:rFonts w:ascii="Calibri" w:eastAsia="Times New Roman" w:hAnsi="Calibri" w:cs="Times New Roman"/>
        <w:b w:val="0"/>
      </w:rPr>
    </w:lvl>
    <w:lvl w:ilvl="4">
      <w:start w:val="1"/>
      <w:numFmt w:val="upperLetter"/>
      <w:pStyle w:val="clausetextA0"/>
      <w:lvlText w:val="(%5)"/>
      <w:lvlJc w:val="left"/>
      <w:pPr>
        <w:tabs>
          <w:tab w:val="num" w:pos="2155"/>
        </w:tabs>
        <w:ind w:left="2155" w:hanging="397"/>
      </w:pPr>
      <w:rPr>
        <w:rFonts w:ascii="Calibri" w:eastAsia="Times New Roman" w:hAnsi="Calibri" w:cs="Times New Roman"/>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12" w15:restartNumberingAfterBreak="0">
    <w:nsid w:val="56EC653E"/>
    <w:multiLevelType w:val="multilevel"/>
    <w:tmpl w:val="3CB8DDBA"/>
    <w:lvl w:ilvl="0">
      <w:start w:val="1"/>
      <w:numFmt w:val="bullet"/>
      <w:pStyle w:val="BoxBulletLis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5C57CD"/>
    <w:multiLevelType w:val="hybridMultilevel"/>
    <w:tmpl w:val="5274BC7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5F7A0D54"/>
    <w:multiLevelType w:val="hybridMultilevel"/>
    <w:tmpl w:val="8FE84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E66848"/>
    <w:multiLevelType w:val="multilevel"/>
    <w:tmpl w:val="CB6A4BCE"/>
    <w:styleLink w:val="BulletList1"/>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3CB20D4"/>
    <w:multiLevelType w:val="hybridMultilevel"/>
    <w:tmpl w:val="379EF00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6A254BCB"/>
    <w:multiLevelType w:val="hybridMultilevel"/>
    <w:tmpl w:val="FB3E41E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7"/>
  </w:num>
  <w:num w:numId="3">
    <w:abstractNumId w:val="14"/>
  </w:num>
  <w:num w:numId="4">
    <w:abstractNumId w:val="15"/>
  </w:num>
  <w:num w:numId="5">
    <w:abstractNumId w:val="0"/>
  </w:num>
  <w:num w:numId="6">
    <w:abstractNumId w:val="3"/>
  </w:num>
  <w:num w:numId="7">
    <w:abstractNumId w:val="11"/>
  </w:num>
  <w:num w:numId="8">
    <w:abstractNumId w:val="1"/>
  </w:num>
  <w:num w:numId="9">
    <w:abstractNumId w:val="18"/>
  </w:num>
  <w:num w:numId="10">
    <w:abstractNumId w:val="4"/>
  </w:num>
  <w:num w:numId="11">
    <w:abstractNumId w:val="12"/>
  </w:num>
  <w:num w:numId="12">
    <w:abstractNumId w:val="17"/>
  </w:num>
  <w:num w:numId="13">
    <w:abstractNumId w:val="2"/>
  </w:num>
  <w:num w:numId="14">
    <w:abstractNumId w:val="13"/>
  </w:num>
  <w:num w:numId="15">
    <w:abstractNumId w:val="9"/>
  </w:num>
  <w:num w:numId="16">
    <w:abstractNumId w:val="16"/>
  </w:num>
  <w:num w:numId="17">
    <w:abstractNumId w:val="6"/>
  </w:num>
  <w:num w:numId="18">
    <w:abstractNumId w:val="10"/>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oNotTrackFormatting/>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471b99cf-bef7-480e-b48f-7d8dfdf303f0"/>
    <w:docVar w:name="_AMO_XmlVersion" w:val="Empty"/>
  </w:docVars>
  <w:rsids>
    <w:rsidRoot w:val="0087795B"/>
    <w:rsid w:val="00001A3B"/>
    <w:rsid w:val="00002DA2"/>
    <w:rsid w:val="00005C67"/>
    <w:rsid w:val="0000615D"/>
    <w:rsid w:val="000062F2"/>
    <w:rsid w:val="00006926"/>
    <w:rsid w:val="00007AC4"/>
    <w:rsid w:val="00007F89"/>
    <w:rsid w:val="000122CD"/>
    <w:rsid w:val="00013E17"/>
    <w:rsid w:val="000178AC"/>
    <w:rsid w:val="000207F8"/>
    <w:rsid w:val="00020BA1"/>
    <w:rsid w:val="000219A4"/>
    <w:rsid w:val="000230B1"/>
    <w:rsid w:val="000236D2"/>
    <w:rsid w:val="00026F3D"/>
    <w:rsid w:val="000366CA"/>
    <w:rsid w:val="00042E43"/>
    <w:rsid w:val="00044066"/>
    <w:rsid w:val="000475FF"/>
    <w:rsid w:val="0005139D"/>
    <w:rsid w:val="000539CD"/>
    <w:rsid w:val="00053A49"/>
    <w:rsid w:val="00053B7F"/>
    <w:rsid w:val="00053CC3"/>
    <w:rsid w:val="00061D58"/>
    <w:rsid w:val="0006471E"/>
    <w:rsid w:val="0007064B"/>
    <w:rsid w:val="00070ECE"/>
    <w:rsid w:val="00071499"/>
    <w:rsid w:val="00072B6D"/>
    <w:rsid w:val="00073819"/>
    <w:rsid w:val="00073C5D"/>
    <w:rsid w:val="00073ECD"/>
    <w:rsid w:val="00080993"/>
    <w:rsid w:val="00080BC4"/>
    <w:rsid w:val="000819FB"/>
    <w:rsid w:val="00082080"/>
    <w:rsid w:val="000859D7"/>
    <w:rsid w:val="00087584"/>
    <w:rsid w:val="000878C8"/>
    <w:rsid w:val="000879B2"/>
    <w:rsid w:val="00087F9A"/>
    <w:rsid w:val="000901E3"/>
    <w:rsid w:val="00090D34"/>
    <w:rsid w:val="00093795"/>
    <w:rsid w:val="00095A23"/>
    <w:rsid w:val="000A194B"/>
    <w:rsid w:val="000A596E"/>
    <w:rsid w:val="000A5BEB"/>
    <w:rsid w:val="000A7C63"/>
    <w:rsid w:val="000B0340"/>
    <w:rsid w:val="000B3C8E"/>
    <w:rsid w:val="000B6C62"/>
    <w:rsid w:val="000C0218"/>
    <w:rsid w:val="000C284F"/>
    <w:rsid w:val="000C516A"/>
    <w:rsid w:val="000C7942"/>
    <w:rsid w:val="000C7D5C"/>
    <w:rsid w:val="000D178C"/>
    <w:rsid w:val="000D1FFA"/>
    <w:rsid w:val="000D2B21"/>
    <w:rsid w:val="000D2CDC"/>
    <w:rsid w:val="000D32A4"/>
    <w:rsid w:val="000D4E74"/>
    <w:rsid w:val="000D50B6"/>
    <w:rsid w:val="000D5960"/>
    <w:rsid w:val="000D5D8A"/>
    <w:rsid w:val="000D7B7E"/>
    <w:rsid w:val="000D7D6F"/>
    <w:rsid w:val="000E2164"/>
    <w:rsid w:val="000F1E83"/>
    <w:rsid w:val="000F2893"/>
    <w:rsid w:val="000F49CB"/>
    <w:rsid w:val="000F55CF"/>
    <w:rsid w:val="00101FC4"/>
    <w:rsid w:val="0010386C"/>
    <w:rsid w:val="00106217"/>
    <w:rsid w:val="00110014"/>
    <w:rsid w:val="00111789"/>
    <w:rsid w:val="00112276"/>
    <w:rsid w:val="00114C63"/>
    <w:rsid w:val="001158FC"/>
    <w:rsid w:val="0011596A"/>
    <w:rsid w:val="00116EF2"/>
    <w:rsid w:val="00117DA8"/>
    <w:rsid w:val="001202E9"/>
    <w:rsid w:val="001209A7"/>
    <w:rsid w:val="001237B8"/>
    <w:rsid w:val="00126FF4"/>
    <w:rsid w:val="00127056"/>
    <w:rsid w:val="00130B0F"/>
    <w:rsid w:val="00131209"/>
    <w:rsid w:val="001342BC"/>
    <w:rsid w:val="00137E2A"/>
    <w:rsid w:val="00140973"/>
    <w:rsid w:val="00140D7B"/>
    <w:rsid w:val="00145FE4"/>
    <w:rsid w:val="00146FF3"/>
    <w:rsid w:val="00153645"/>
    <w:rsid w:val="00153AFD"/>
    <w:rsid w:val="00160E1D"/>
    <w:rsid w:val="00161530"/>
    <w:rsid w:val="00161B00"/>
    <w:rsid w:val="00163D41"/>
    <w:rsid w:val="00170201"/>
    <w:rsid w:val="001738A7"/>
    <w:rsid w:val="00174A9B"/>
    <w:rsid w:val="00174BC1"/>
    <w:rsid w:val="00176C3C"/>
    <w:rsid w:val="00180437"/>
    <w:rsid w:val="00181408"/>
    <w:rsid w:val="00183BCA"/>
    <w:rsid w:val="001846C2"/>
    <w:rsid w:val="00184729"/>
    <w:rsid w:val="00184AF8"/>
    <w:rsid w:val="00185502"/>
    <w:rsid w:val="00185942"/>
    <w:rsid w:val="00186A06"/>
    <w:rsid w:val="0018763E"/>
    <w:rsid w:val="00187A05"/>
    <w:rsid w:val="001914AE"/>
    <w:rsid w:val="00192BB1"/>
    <w:rsid w:val="0019586C"/>
    <w:rsid w:val="00196EE0"/>
    <w:rsid w:val="001A1D47"/>
    <w:rsid w:val="001A2288"/>
    <w:rsid w:val="001A25BB"/>
    <w:rsid w:val="001A2DC0"/>
    <w:rsid w:val="001A4341"/>
    <w:rsid w:val="001A4DA9"/>
    <w:rsid w:val="001A6438"/>
    <w:rsid w:val="001A6C44"/>
    <w:rsid w:val="001B04E7"/>
    <w:rsid w:val="001B1726"/>
    <w:rsid w:val="001B5544"/>
    <w:rsid w:val="001B6370"/>
    <w:rsid w:val="001B69AE"/>
    <w:rsid w:val="001B6A4C"/>
    <w:rsid w:val="001B71BD"/>
    <w:rsid w:val="001C130E"/>
    <w:rsid w:val="001C7D07"/>
    <w:rsid w:val="001D0CF1"/>
    <w:rsid w:val="001D1181"/>
    <w:rsid w:val="001D15D4"/>
    <w:rsid w:val="001D4333"/>
    <w:rsid w:val="001D47D1"/>
    <w:rsid w:val="001D6608"/>
    <w:rsid w:val="001E1634"/>
    <w:rsid w:val="001E1D66"/>
    <w:rsid w:val="001E1E7A"/>
    <w:rsid w:val="001E39E3"/>
    <w:rsid w:val="001E40F6"/>
    <w:rsid w:val="001F19A3"/>
    <w:rsid w:val="001F2B46"/>
    <w:rsid w:val="001F2B92"/>
    <w:rsid w:val="001F38A3"/>
    <w:rsid w:val="001F5710"/>
    <w:rsid w:val="001F7507"/>
    <w:rsid w:val="00200EFC"/>
    <w:rsid w:val="0020314A"/>
    <w:rsid w:val="00205CCC"/>
    <w:rsid w:val="00207611"/>
    <w:rsid w:val="00210852"/>
    <w:rsid w:val="00212892"/>
    <w:rsid w:val="002136AD"/>
    <w:rsid w:val="00213BD7"/>
    <w:rsid w:val="00214299"/>
    <w:rsid w:val="00217612"/>
    <w:rsid w:val="0021796A"/>
    <w:rsid w:val="00227A4F"/>
    <w:rsid w:val="00230D4E"/>
    <w:rsid w:val="00231C34"/>
    <w:rsid w:val="00233B03"/>
    <w:rsid w:val="00236375"/>
    <w:rsid w:val="002423D3"/>
    <w:rsid w:val="002450E1"/>
    <w:rsid w:val="00251808"/>
    <w:rsid w:val="0025425C"/>
    <w:rsid w:val="00254ADC"/>
    <w:rsid w:val="0025679D"/>
    <w:rsid w:val="002574A8"/>
    <w:rsid w:val="00260893"/>
    <w:rsid w:val="00261781"/>
    <w:rsid w:val="0026196D"/>
    <w:rsid w:val="00264C60"/>
    <w:rsid w:val="00265D6C"/>
    <w:rsid w:val="00275873"/>
    <w:rsid w:val="0027592B"/>
    <w:rsid w:val="002765CE"/>
    <w:rsid w:val="00277B31"/>
    <w:rsid w:val="00280BFE"/>
    <w:rsid w:val="00286C42"/>
    <w:rsid w:val="00286EAE"/>
    <w:rsid w:val="00286F47"/>
    <w:rsid w:val="00290EE3"/>
    <w:rsid w:val="00291E9C"/>
    <w:rsid w:val="00295F2F"/>
    <w:rsid w:val="00296123"/>
    <w:rsid w:val="00297914"/>
    <w:rsid w:val="002A29A1"/>
    <w:rsid w:val="002A6F4F"/>
    <w:rsid w:val="002B0877"/>
    <w:rsid w:val="002B2563"/>
    <w:rsid w:val="002B26A1"/>
    <w:rsid w:val="002B27B8"/>
    <w:rsid w:val="002B2818"/>
    <w:rsid w:val="002B2B32"/>
    <w:rsid w:val="002B4B2B"/>
    <w:rsid w:val="002B56CF"/>
    <w:rsid w:val="002B5948"/>
    <w:rsid w:val="002B6D73"/>
    <w:rsid w:val="002B7A1D"/>
    <w:rsid w:val="002C14C9"/>
    <w:rsid w:val="002C44AB"/>
    <w:rsid w:val="002C71E2"/>
    <w:rsid w:val="002D1607"/>
    <w:rsid w:val="002D5CA5"/>
    <w:rsid w:val="002D774A"/>
    <w:rsid w:val="002D78AA"/>
    <w:rsid w:val="002E03D2"/>
    <w:rsid w:val="002E44A6"/>
    <w:rsid w:val="002E6FDB"/>
    <w:rsid w:val="002F0758"/>
    <w:rsid w:val="00300D2A"/>
    <w:rsid w:val="003018B3"/>
    <w:rsid w:val="00301B7D"/>
    <w:rsid w:val="00304932"/>
    <w:rsid w:val="003074C2"/>
    <w:rsid w:val="0031157B"/>
    <w:rsid w:val="00313C5B"/>
    <w:rsid w:val="003160EA"/>
    <w:rsid w:val="003164F4"/>
    <w:rsid w:val="0032027D"/>
    <w:rsid w:val="00320FE1"/>
    <w:rsid w:val="00323183"/>
    <w:rsid w:val="0032377C"/>
    <w:rsid w:val="003252CB"/>
    <w:rsid w:val="00326880"/>
    <w:rsid w:val="00330FA7"/>
    <w:rsid w:val="003318B5"/>
    <w:rsid w:val="003329A7"/>
    <w:rsid w:val="00332D97"/>
    <w:rsid w:val="00336545"/>
    <w:rsid w:val="003408C2"/>
    <w:rsid w:val="00344D6F"/>
    <w:rsid w:val="003467B3"/>
    <w:rsid w:val="003501DD"/>
    <w:rsid w:val="00351611"/>
    <w:rsid w:val="003578D0"/>
    <w:rsid w:val="00364D37"/>
    <w:rsid w:val="00371262"/>
    <w:rsid w:val="00372205"/>
    <w:rsid w:val="00377EFE"/>
    <w:rsid w:val="00381C14"/>
    <w:rsid w:val="0038206E"/>
    <w:rsid w:val="003826F2"/>
    <w:rsid w:val="0038644D"/>
    <w:rsid w:val="00387E5F"/>
    <w:rsid w:val="003943AC"/>
    <w:rsid w:val="00394D83"/>
    <w:rsid w:val="003A0AAA"/>
    <w:rsid w:val="003A298B"/>
    <w:rsid w:val="003A58D1"/>
    <w:rsid w:val="003A5D25"/>
    <w:rsid w:val="003B24A9"/>
    <w:rsid w:val="003B265C"/>
    <w:rsid w:val="003B46F4"/>
    <w:rsid w:val="003B4FC5"/>
    <w:rsid w:val="003B4FD1"/>
    <w:rsid w:val="003C0BFF"/>
    <w:rsid w:val="003C2379"/>
    <w:rsid w:val="003C2A73"/>
    <w:rsid w:val="003C41A0"/>
    <w:rsid w:val="003C4396"/>
    <w:rsid w:val="003C5D59"/>
    <w:rsid w:val="003C72BC"/>
    <w:rsid w:val="003C7FBC"/>
    <w:rsid w:val="003D101A"/>
    <w:rsid w:val="003D1179"/>
    <w:rsid w:val="003D2F27"/>
    <w:rsid w:val="003D547F"/>
    <w:rsid w:val="003D72DD"/>
    <w:rsid w:val="003E2F94"/>
    <w:rsid w:val="003E309B"/>
    <w:rsid w:val="003E376D"/>
    <w:rsid w:val="003E43C0"/>
    <w:rsid w:val="003E55CA"/>
    <w:rsid w:val="003E75AF"/>
    <w:rsid w:val="003F0262"/>
    <w:rsid w:val="003F12DC"/>
    <w:rsid w:val="003F3472"/>
    <w:rsid w:val="003F3648"/>
    <w:rsid w:val="003F3A57"/>
    <w:rsid w:val="00401056"/>
    <w:rsid w:val="0040336A"/>
    <w:rsid w:val="00413752"/>
    <w:rsid w:val="004143C3"/>
    <w:rsid w:val="00415B35"/>
    <w:rsid w:val="00416064"/>
    <w:rsid w:val="00416F1C"/>
    <w:rsid w:val="00433192"/>
    <w:rsid w:val="00434B1D"/>
    <w:rsid w:val="00436DF0"/>
    <w:rsid w:val="00453862"/>
    <w:rsid w:val="004556A4"/>
    <w:rsid w:val="00455C1A"/>
    <w:rsid w:val="004607C0"/>
    <w:rsid w:val="00460F63"/>
    <w:rsid w:val="00465569"/>
    <w:rsid w:val="00465DBA"/>
    <w:rsid w:val="004670DD"/>
    <w:rsid w:val="00470383"/>
    <w:rsid w:val="0047190E"/>
    <w:rsid w:val="00475617"/>
    <w:rsid w:val="00475CFD"/>
    <w:rsid w:val="00476EE0"/>
    <w:rsid w:val="00477E55"/>
    <w:rsid w:val="00484238"/>
    <w:rsid w:val="004850AB"/>
    <w:rsid w:val="004861DC"/>
    <w:rsid w:val="004862E5"/>
    <w:rsid w:val="00487DBF"/>
    <w:rsid w:val="00496D3A"/>
    <w:rsid w:val="004977FF"/>
    <w:rsid w:val="004A02BE"/>
    <w:rsid w:val="004A0889"/>
    <w:rsid w:val="004A0C9A"/>
    <w:rsid w:val="004A3580"/>
    <w:rsid w:val="004A63F4"/>
    <w:rsid w:val="004A70EF"/>
    <w:rsid w:val="004A7E32"/>
    <w:rsid w:val="004B18C0"/>
    <w:rsid w:val="004B1972"/>
    <w:rsid w:val="004B1F49"/>
    <w:rsid w:val="004B4C16"/>
    <w:rsid w:val="004B5F7D"/>
    <w:rsid w:val="004B7969"/>
    <w:rsid w:val="004C2861"/>
    <w:rsid w:val="004C2A37"/>
    <w:rsid w:val="004C5158"/>
    <w:rsid w:val="004C58BF"/>
    <w:rsid w:val="004C7C23"/>
    <w:rsid w:val="004D03E0"/>
    <w:rsid w:val="004D18E4"/>
    <w:rsid w:val="004D26EB"/>
    <w:rsid w:val="004D4811"/>
    <w:rsid w:val="004D4E41"/>
    <w:rsid w:val="004D4F2E"/>
    <w:rsid w:val="004E2215"/>
    <w:rsid w:val="004E2622"/>
    <w:rsid w:val="004E38DE"/>
    <w:rsid w:val="004E4AC7"/>
    <w:rsid w:val="004E4ECC"/>
    <w:rsid w:val="004E5D35"/>
    <w:rsid w:val="004F0D84"/>
    <w:rsid w:val="004F1037"/>
    <w:rsid w:val="004F11B2"/>
    <w:rsid w:val="004F3C32"/>
    <w:rsid w:val="004F5CAF"/>
    <w:rsid w:val="004F7E54"/>
    <w:rsid w:val="005000C1"/>
    <w:rsid w:val="00501EFA"/>
    <w:rsid w:val="00505353"/>
    <w:rsid w:val="005135DC"/>
    <w:rsid w:val="00514F16"/>
    <w:rsid w:val="00515713"/>
    <w:rsid w:val="0052035C"/>
    <w:rsid w:val="00521E73"/>
    <w:rsid w:val="00524441"/>
    <w:rsid w:val="00530543"/>
    <w:rsid w:val="00536510"/>
    <w:rsid w:val="00536E5B"/>
    <w:rsid w:val="00537C06"/>
    <w:rsid w:val="00540FC8"/>
    <w:rsid w:val="00543FB5"/>
    <w:rsid w:val="00544659"/>
    <w:rsid w:val="005451CE"/>
    <w:rsid w:val="00545336"/>
    <w:rsid w:val="00550BA1"/>
    <w:rsid w:val="00551CF8"/>
    <w:rsid w:val="00552542"/>
    <w:rsid w:val="005547FD"/>
    <w:rsid w:val="005557C5"/>
    <w:rsid w:val="00556813"/>
    <w:rsid w:val="00557643"/>
    <w:rsid w:val="0056105F"/>
    <w:rsid w:val="00561A33"/>
    <w:rsid w:val="005624A1"/>
    <w:rsid w:val="005632B8"/>
    <w:rsid w:val="00564499"/>
    <w:rsid w:val="005671B4"/>
    <w:rsid w:val="00570420"/>
    <w:rsid w:val="00571EBC"/>
    <w:rsid w:val="00573CAD"/>
    <w:rsid w:val="005741B7"/>
    <w:rsid w:val="005744D1"/>
    <w:rsid w:val="005772EB"/>
    <w:rsid w:val="00580616"/>
    <w:rsid w:val="00581EF2"/>
    <w:rsid w:val="00582F5B"/>
    <w:rsid w:val="00583422"/>
    <w:rsid w:val="00584D83"/>
    <w:rsid w:val="00584E17"/>
    <w:rsid w:val="00584FFF"/>
    <w:rsid w:val="0058684F"/>
    <w:rsid w:val="005879DE"/>
    <w:rsid w:val="0059087A"/>
    <w:rsid w:val="005922DC"/>
    <w:rsid w:val="0059781F"/>
    <w:rsid w:val="00597A49"/>
    <w:rsid w:val="005A0323"/>
    <w:rsid w:val="005A177D"/>
    <w:rsid w:val="005A679A"/>
    <w:rsid w:val="005A69D1"/>
    <w:rsid w:val="005A7C29"/>
    <w:rsid w:val="005B1D97"/>
    <w:rsid w:val="005B3D76"/>
    <w:rsid w:val="005C16D9"/>
    <w:rsid w:val="005C2254"/>
    <w:rsid w:val="005C32AA"/>
    <w:rsid w:val="005C4571"/>
    <w:rsid w:val="005C4B6F"/>
    <w:rsid w:val="005C607B"/>
    <w:rsid w:val="005C69E7"/>
    <w:rsid w:val="005C6E5A"/>
    <w:rsid w:val="005D1598"/>
    <w:rsid w:val="005D6D96"/>
    <w:rsid w:val="005D72CD"/>
    <w:rsid w:val="005E0483"/>
    <w:rsid w:val="005E2126"/>
    <w:rsid w:val="005E29A9"/>
    <w:rsid w:val="005E34CC"/>
    <w:rsid w:val="005E3856"/>
    <w:rsid w:val="005F0A2E"/>
    <w:rsid w:val="005F2722"/>
    <w:rsid w:val="005F30BD"/>
    <w:rsid w:val="005F426E"/>
    <w:rsid w:val="005F5A6C"/>
    <w:rsid w:val="005F71C6"/>
    <w:rsid w:val="005F7F7E"/>
    <w:rsid w:val="00602674"/>
    <w:rsid w:val="00603FD8"/>
    <w:rsid w:val="00604B19"/>
    <w:rsid w:val="006058EB"/>
    <w:rsid w:val="00606506"/>
    <w:rsid w:val="00610FC8"/>
    <w:rsid w:val="006123C7"/>
    <w:rsid w:val="006155DB"/>
    <w:rsid w:val="00616F93"/>
    <w:rsid w:val="00623B85"/>
    <w:rsid w:val="006243FB"/>
    <w:rsid w:val="00625789"/>
    <w:rsid w:val="006262E7"/>
    <w:rsid w:val="006267AA"/>
    <w:rsid w:val="00626A0A"/>
    <w:rsid w:val="00636F63"/>
    <w:rsid w:val="00643FBA"/>
    <w:rsid w:val="00646346"/>
    <w:rsid w:val="006566C1"/>
    <w:rsid w:val="006606E3"/>
    <w:rsid w:val="00662574"/>
    <w:rsid w:val="00663119"/>
    <w:rsid w:val="006639A6"/>
    <w:rsid w:val="00663C26"/>
    <w:rsid w:val="00664E50"/>
    <w:rsid w:val="0066514C"/>
    <w:rsid w:val="0066587B"/>
    <w:rsid w:val="00673EAA"/>
    <w:rsid w:val="006764CB"/>
    <w:rsid w:val="00680E7E"/>
    <w:rsid w:val="0068109D"/>
    <w:rsid w:val="0068244A"/>
    <w:rsid w:val="006826AA"/>
    <w:rsid w:val="0068370E"/>
    <w:rsid w:val="00683E8B"/>
    <w:rsid w:val="0068629D"/>
    <w:rsid w:val="006906F2"/>
    <w:rsid w:val="006915F7"/>
    <w:rsid w:val="00692942"/>
    <w:rsid w:val="006943EE"/>
    <w:rsid w:val="00696DDD"/>
    <w:rsid w:val="006974F1"/>
    <w:rsid w:val="00697D58"/>
    <w:rsid w:val="006A1089"/>
    <w:rsid w:val="006A1802"/>
    <w:rsid w:val="006A3A0A"/>
    <w:rsid w:val="006A5326"/>
    <w:rsid w:val="006B2807"/>
    <w:rsid w:val="006B406E"/>
    <w:rsid w:val="006B4824"/>
    <w:rsid w:val="006B662A"/>
    <w:rsid w:val="006B7424"/>
    <w:rsid w:val="006C0BCF"/>
    <w:rsid w:val="006D082B"/>
    <w:rsid w:val="006D12DC"/>
    <w:rsid w:val="006D1E9E"/>
    <w:rsid w:val="006D220B"/>
    <w:rsid w:val="006D327E"/>
    <w:rsid w:val="006D33C8"/>
    <w:rsid w:val="006D4251"/>
    <w:rsid w:val="006D4F8B"/>
    <w:rsid w:val="006D72EA"/>
    <w:rsid w:val="006D73B9"/>
    <w:rsid w:val="006D7FD0"/>
    <w:rsid w:val="006E1BEC"/>
    <w:rsid w:val="006E477B"/>
    <w:rsid w:val="006E6AD6"/>
    <w:rsid w:val="006E6D79"/>
    <w:rsid w:val="006F0341"/>
    <w:rsid w:val="006F1085"/>
    <w:rsid w:val="006F63C9"/>
    <w:rsid w:val="006F7CC2"/>
    <w:rsid w:val="007025BD"/>
    <w:rsid w:val="00703305"/>
    <w:rsid w:val="00704D10"/>
    <w:rsid w:val="0070592C"/>
    <w:rsid w:val="00705E06"/>
    <w:rsid w:val="0070798A"/>
    <w:rsid w:val="0071244D"/>
    <w:rsid w:val="0071498F"/>
    <w:rsid w:val="00714A0C"/>
    <w:rsid w:val="00714CF9"/>
    <w:rsid w:val="007155DA"/>
    <w:rsid w:val="00716185"/>
    <w:rsid w:val="00721AD4"/>
    <w:rsid w:val="00722021"/>
    <w:rsid w:val="00722601"/>
    <w:rsid w:val="0072411F"/>
    <w:rsid w:val="00724E54"/>
    <w:rsid w:val="007278B0"/>
    <w:rsid w:val="00730E1F"/>
    <w:rsid w:val="007334B5"/>
    <w:rsid w:val="00733501"/>
    <w:rsid w:val="00735F81"/>
    <w:rsid w:val="007469B5"/>
    <w:rsid w:val="007479A6"/>
    <w:rsid w:val="00751470"/>
    <w:rsid w:val="0075274C"/>
    <w:rsid w:val="00752BB4"/>
    <w:rsid w:val="0075743B"/>
    <w:rsid w:val="00762B6C"/>
    <w:rsid w:val="00764F10"/>
    <w:rsid w:val="00770509"/>
    <w:rsid w:val="007724D3"/>
    <w:rsid w:val="0077319F"/>
    <w:rsid w:val="007753B1"/>
    <w:rsid w:val="0077669D"/>
    <w:rsid w:val="007776B4"/>
    <w:rsid w:val="00780DD1"/>
    <w:rsid w:val="00781E95"/>
    <w:rsid w:val="007824FB"/>
    <w:rsid w:val="00785C0F"/>
    <w:rsid w:val="00785E76"/>
    <w:rsid w:val="007863BA"/>
    <w:rsid w:val="0078670F"/>
    <w:rsid w:val="007868BE"/>
    <w:rsid w:val="00792A7A"/>
    <w:rsid w:val="00793AA5"/>
    <w:rsid w:val="00794846"/>
    <w:rsid w:val="007949CA"/>
    <w:rsid w:val="007A3405"/>
    <w:rsid w:val="007A3C65"/>
    <w:rsid w:val="007A48FB"/>
    <w:rsid w:val="007A5388"/>
    <w:rsid w:val="007A5A30"/>
    <w:rsid w:val="007A5E08"/>
    <w:rsid w:val="007A61DB"/>
    <w:rsid w:val="007B25E2"/>
    <w:rsid w:val="007B5E2A"/>
    <w:rsid w:val="007B7951"/>
    <w:rsid w:val="007C09C3"/>
    <w:rsid w:val="007C2150"/>
    <w:rsid w:val="007C3CAE"/>
    <w:rsid w:val="007C496E"/>
    <w:rsid w:val="007C4E11"/>
    <w:rsid w:val="007C4E25"/>
    <w:rsid w:val="007C5162"/>
    <w:rsid w:val="007D013B"/>
    <w:rsid w:val="007D0B6F"/>
    <w:rsid w:val="007D1029"/>
    <w:rsid w:val="007D2B38"/>
    <w:rsid w:val="007D323D"/>
    <w:rsid w:val="007D4324"/>
    <w:rsid w:val="007D742F"/>
    <w:rsid w:val="007E04B6"/>
    <w:rsid w:val="007F045A"/>
    <w:rsid w:val="007F411F"/>
    <w:rsid w:val="007F5624"/>
    <w:rsid w:val="007F5FA1"/>
    <w:rsid w:val="007F7D9F"/>
    <w:rsid w:val="00802FD8"/>
    <w:rsid w:val="00803CFE"/>
    <w:rsid w:val="00804663"/>
    <w:rsid w:val="0080679F"/>
    <w:rsid w:val="00807C15"/>
    <w:rsid w:val="00811643"/>
    <w:rsid w:val="00814A51"/>
    <w:rsid w:val="00814D2A"/>
    <w:rsid w:val="00815EAE"/>
    <w:rsid w:val="0081675D"/>
    <w:rsid w:val="00820052"/>
    <w:rsid w:val="00823AAF"/>
    <w:rsid w:val="00824034"/>
    <w:rsid w:val="0082451B"/>
    <w:rsid w:val="008273C5"/>
    <w:rsid w:val="00827653"/>
    <w:rsid w:val="008302A9"/>
    <w:rsid w:val="00830572"/>
    <w:rsid w:val="00830DA6"/>
    <w:rsid w:val="008316A7"/>
    <w:rsid w:val="0083402D"/>
    <w:rsid w:val="00837E53"/>
    <w:rsid w:val="00845AD0"/>
    <w:rsid w:val="008526BC"/>
    <w:rsid w:val="00853087"/>
    <w:rsid w:val="00856013"/>
    <w:rsid w:val="008569A8"/>
    <w:rsid w:val="008570A4"/>
    <w:rsid w:val="00857DB0"/>
    <w:rsid w:val="00861A63"/>
    <w:rsid w:val="008637E6"/>
    <w:rsid w:val="008659E5"/>
    <w:rsid w:val="00866698"/>
    <w:rsid w:val="00866EBE"/>
    <w:rsid w:val="0087795B"/>
    <w:rsid w:val="00881182"/>
    <w:rsid w:val="00882FB6"/>
    <w:rsid w:val="00885748"/>
    <w:rsid w:val="0088737A"/>
    <w:rsid w:val="00892566"/>
    <w:rsid w:val="00893AB8"/>
    <w:rsid w:val="00894CC5"/>
    <w:rsid w:val="008A0145"/>
    <w:rsid w:val="008A0DFE"/>
    <w:rsid w:val="008A1550"/>
    <w:rsid w:val="008A155A"/>
    <w:rsid w:val="008A194F"/>
    <w:rsid w:val="008A224E"/>
    <w:rsid w:val="008A2B8D"/>
    <w:rsid w:val="008A2F0C"/>
    <w:rsid w:val="008A3381"/>
    <w:rsid w:val="008A3C21"/>
    <w:rsid w:val="008A3E50"/>
    <w:rsid w:val="008A3FAA"/>
    <w:rsid w:val="008A5AF4"/>
    <w:rsid w:val="008A6720"/>
    <w:rsid w:val="008A72D8"/>
    <w:rsid w:val="008B19D1"/>
    <w:rsid w:val="008B2F14"/>
    <w:rsid w:val="008B7C92"/>
    <w:rsid w:val="008C4991"/>
    <w:rsid w:val="008D0777"/>
    <w:rsid w:val="008D2BC2"/>
    <w:rsid w:val="008D324B"/>
    <w:rsid w:val="008D41F6"/>
    <w:rsid w:val="008D7B83"/>
    <w:rsid w:val="008E06D0"/>
    <w:rsid w:val="008E2093"/>
    <w:rsid w:val="008E52E4"/>
    <w:rsid w:val="008E57E9"/>
    <w:rsid w:val="008F1E58"/>
    <w:rsid w:val="008F4DFB"/>
    <w:rsid w:val="008F62D1"/>
    <w:rsid w:val="008F7587"/>
    <w:rsid w:val="008F75DC"/>
    <w:rsid w:val="008F7BDF"/>
    <w:rsid w:val="00902596"/>
    <w:rsid w:val="00903AA8"/>
    <w:rsid w:val="00905759"/>
    <w:rsid w:val="00905E4F"/>
    <w:rsid w:val="00910881"/>
    <w:rsid w:val="009139B6"/>
    <w:rsid w:val="00915186"/>
    <w:rsid w:val="00915C05"/>
    <w:rsid w:val="00916433"/>
    <w:rsid w:val="0091676C"/>
    <w:rsid w:val="009173C0"/>
    <w:rsid w:val="009230AD"/>
    <w:rsid w:val="00926F21"/>
    <w:rsid w:val="00931F89"/>
    <w:rsid w:val="00932931"/>
    <w:rsid w:val="00935E2C"/>
    <w:rsid w:val="00942001"/>
    <w:rsid w:val="00943FB7"/>
    <w:rsid w:val="009462F5"/>
    <w:rsid w:val="0094674F"/>
    <w:rsid w:val="00947C07"/>
    <w:rsid w:val="00951928"/>
    <w:rsid w:val="0095412F"/>
    <w:rsid w:val="0095526B"/>
    <w:rsid w:val="00955884"/>
    <w:rsid w:val="009626B1"/>
    <w:rsid w:val="009627AF"/>
    <w:rsid w:val="0096332B"/>
    <w:rsid w:val="00963868"/>
    <w:rsid w:val="00971A89"/>
    <w:rsid w:val="00973DAC"/>
    <w:rsid w:val="00974F26"/>
    <w:rsid w:val="00982CA8"/>
    <w:rsid w:val="009834E6"/>
    <w:rsid w:val="009848D0"/>
    <w:rsid w:val="009875ED"/>
    <w:rsid w:val="009901B8"/>
    <w:rsid w:val="00993ED1"/>
    <w:rsid w:val="009948B6"/>
    <w:rsid w:val="009950FF"/>
    <w:rsid w:val="009962DD"/>
    <w:rsid w:val="00996D36"/>
    <w:rsid w:val="009A1261"/>
    <w:rsid w:val="009A3CA0"/>
    <w:rsid w:val="009B1AB9"/>
    <w:rsid w:val="009B462B"/>
    <w:rsid w:val="009C02DE"/>
    <w:rsid w:val="009C464C"/>
    <w:rsid w:val="009D2ABB"/>
    <w:rsid w:val="009D37C2"/>
    <w:rsid w:val="009E01F1"/>
    <w:rsid w:val="009E0328"/>
    <w:rsid w:val="009E03E1"/>
    <w:rsid w:val="009E1B80"/>
    <w:rsid w:val="009E7A00"/>
    <w:rsid w:val="009F39A1"/>
    <w:rsid w:val="009F4540"/>
    <w:rsid w:val="009F574B"/>
    <w:rsid w:val="009F75EC"/>
    <w:rsid w:val="00A001DC"/>
    <w:rsid w:val="00A06FFE"/>
    <w:rsid w:val="00A07932"/>
    <w:rsid w:val="00A1061D"/>
    <w:rsid w:val="00A120F8"/>
    <w:rsid w:val="00A14133"/>
    <w:rsid w:val="00A159C7"/>
    <w:rsid w:val="00A23103"/>
    <w:rsid w:val="00A242AC"/>
    <w:rsid w:val="00A24F63"/>
    <w:rsid w:val="00A25119"/>
    <w:rsid w:val="00A31049"/>
    <w:rsid w:val="00A31C99"/>
    <w:rsid w:val="00A31DF2"/>
    <w:rsid w:val="00A32B18"/>
    <w:rsid w:val="00A334DC"/>
    <w:rsid w:val="00A33E67"/>
    <w:rsid w:val="00A40D72"/>
    <w:rsid w:val="00A418F8"/>
    <w:rsid w:val="00A432F4"/>
    <w:rsid w:val="00A45DD1"/>
    <w:rsid w:val="00A4678D"/>
    <w:rsid w:val="00A503F0"/>
    <w:rsid w:val="00A51152"/>
    <w:rsid w:val="00A54885"/>
    <w:rsid w:val="00A552CD"/>
    <w:rsid w:val="00A561B1"/>
    <w:rsid w:val="00A567FB"/>
    <w:rsid w:val="00A60933"/>
    <w:rsid w:val="00A60F40"/>
    <w:rsid w:val="00A61AFB"/>
    <w:rsid w:val="00A641E6"/>
    <w:rsid w:val="00A71F33"/>
    <w:rsid w:val="00A738B0"/>
    <w:rsid w:val="00A73AEA"/>
    <w:rsid w:val="00A76946"/>
    <w:rsid w:val="00A808C4"/>
    <w:rsid w:val="00A81C67"/>
    <w:rsid w:val="00A84E03"/>
    <w:rsid w:val="00A85960"/>
    <w:rsid w:val="00A85C0C"/>
    <w:rsid w:val="00A86F3D"/>
    <w:rsid w:val="00A877C3"/>
    <w:rsid w:val="00A90846"/>
    <w:rsid w:val="00A9085C"/>
    <w:rsid w:val="00A90C6B"/>
    <w:rsid w:val="00A90E25"/>
    <w:rsid w:val="00A95198"/>
    <w:rsid w:val="00A97BC9"/>
    <w:rsid w:val="00AA2BD5"/>
    <w:rsid w:val="00AA2DD3"/>
    <w:rsid w:val="00AA456B"/>
    <w:rsid w:val="00AA4DCA"/>
    <w:rsid w:val="00AA5388"/>
    <w:rsid w:val="00AA5485"/>
    <w:rsid w:val="00AA6B4E"/>
    <w:rsid w:val="00AB19C8"/>
    <w:rsid w:val="00AB28D3"/>
    <w:rsid w:val="00AB3F16"/>
    <w:rsid w:val="00AB4EE4"/>
    <w:rsid w:val="00AB57C7"/>
    <w:rsid w:val="00AC3C78"/>
    <w:rsid w:val="00AC60AD"/>
    <w:rsid w:val="00AC7412"/>
    <w:rsid w:val="00AD0F21"/>
    <w:rsid w:val="00AD4692"/>
    <w:rsid w:val="00AD50BF"/>
    <w:rsid w:val="00AD5B42"/>
    <w:rsid w:val="00AD63F6"/>
    <w:rsid w:val="00AD76A8"/>
    <w:rsid w:val="00AE09FB"/>
    <w:rsid w:val="00AE2001"/>
    <w:rsid w:val="00AF1379"/>
    <w:rsid w:val="00AF2D71"/>
    <w:rsid w:val="00AF57E5"/>
    <w:rsid w:val="00AF69B8"/>
    <w:rsid w:val="00AF753E"/>
    <w:rsid w:val="00B00C12"/>
    <w:rsid w:val="00B00ECA"/>
    <w:rsid w:val="00B01246"/>
    <w:rsid w:val="00B07C72"/>
    <w:rsid w:val="00B100A2"/>
    <w:rsid w:val="00B1082F"/>
    <w:rsid w:val="00B12A72"/>
    <w:rsid w:val="00B20B58"/>
    <w:rsid w:val="00B22E27"/>
    <w:rsid w:val="00B31F32"/>
    <w:rsid w:val="00B3273F"/>
    <w:rsid w:val="00B327EF"/>
    <w:rsid w:val="00B35CC3"/>
    <w:rsid w:val="00B4072F"/>
    <w:rsid w:val="00B4118E"/>
    <w:rsid w:val="00B419B1"/>
    <w:rsid w:val="00B44BFA"/>
    <w:rsid w:val="00B44DB3"/>
    <w:rsid w:val="00B52217"/>
    <w:rsid w:val="00B55A3B"/>
    <w:rsid w:val="00B57C38"/>
    <w:rsid w:val="00B61385"/>
    <w:rsid w:val="00B617C5"/>
    <w:rsid w:val="00B65013"/>
    <w:rsid w:val="00B65A09"/>
    <w:rsid w:val="00B666CE"/>
    <w:rsid w:val="00B712E3"/>
    <w:rsid w:val="00B7194A"/>
    <w:rsid w:val="00B71D30"/>
    <w:rsid w:val="00B76C80"/>
    <w:rsid w:val="00B770ED"/>
    <w:rsid w:val="00B800E0"/>
    <w:rsid w:val="00B85C57"/>
    <w:rsid w:val="00B94A62"/>
    <w:rsid w:val="00B95E9D"/>
    <w:rsid w:val="00BA0FC6"/>
    <w:rsid w:val="00BA4630"/>
    <w:rsid w:val="00BA68AA"/>
    <w:rsid w:val="00BA68B9"/>
    <w:rsid w:val="00BB1B15"/>
    <w:rsid w:val="00BB2254"/>
    <w:rsid w:val="00BB4715"/>
    <w:rsid w:val="00BB5BC0"/>
    <w:rsid w:val="00BC063B"/>
    <w:rsid w:val="00BC0A3A"/>
    <w:rsid w:val="00BC0C84"/>
    <w:rsid w:val="00BC0E76"/>
    <w:rsid w:val="00BC438B"/>
    <w:rsid w:val="00BC6087"/>
    <w:rsid w:val="00BC7815"/>
    <w:rsid w:val="00BD0769"/>
    <w:rsid w:val="00BD6385"/>
    <w:rsid w:val="00BE1EE8"/>
    <w:rsid w:val="00BE4CE2"/>
    <w:rsid w:val="00BF2D45"/>
    <w:rsid w:val="00BF4202"/>
    <w:rsid w:val="00BF5016"/>
    <w:rsid w:val="00BF7505"/>
    <w:rsid w:val="00C00D61"/>
    <w:rsid w:val="00C0138A"/>
    <w:rsid w:val="00C02B8A"/>
    <w:rsid w:val="00C054E7"/>
    <w:rsid w:val="00C07619"/>
    <w:rsid w:val="00C10B82"/>
    <w:rsid w:val="00C1213E"/>
    <w:rsid w:val="00C20AA5"/>
    <w:rsid w:val="00C21AE4"/>
    <w:rsid w:val="00C23100"/>
    <w:rsid w:val="00C23461"/>
    <w:rsid w:val="00C238DD"/>
    <w:rsid w:val="00C238F9"/>
    <w:rsid w:val="00C253D9"/>
    <w:rsid w:val="00C25B23"/>
    <w:rsid w:val="00C32B95"/>
    <w:rsid w:val="00C333EA"/>
    <w:rsid w:val="00C34858"/>
    <w:rsid w:val="00C34C83"/>
    <w:rsid w:val="00C356A4"/>
    <w:rsid w:val="00C35FE8"/>
    <w:rsid w:val="00C407B2"/>
    <w:rsid w:val="00C407FF"/>
    <w:rsid w:val="00C422BE"/>
    <w:rsid w:val="00C42E48"/>
    <w:rsid w:val="00C47625"/>
    <w:rsid w:val="00C479B1"/>
    <w:rsid w:val="00C545B2"/>
    <w:rsid w:val="00C611D0"/>
    <w:rsid w:val="00C65487"/>
    <w:rsid w:val="00C67EED"/>
    <w:rsid w:val="00C71069"/>
    <w:rsid w:val="00C710BA"/>
    <w:rsid w:val="00C71C06"/>
    <w:rsid w:val="00C72048"/>
    <w:rsid w:val="00C76F70"/>
    <w:rsid w:val="00C770E3"/>
    <w:rsid w:val="00C80436"/>
    <w:rsid w:val="00C80E09"/>
    <w:rsid w:val="00C8106D"/>
    <w:rsid w:val="00C837C1"/>
    <w:rsid w:val="00C85907"/>
    <w:rsid w:val="00C85E89"/>
    <w:rsid w:val="00C86C90"/>
    <w:rsid w:val="00C87062"/>
    <w:rsid w:val="00C925FE"/>
    <w:rsid w:val="00C94A97"/>
    <w:rsid w:val="00C9745E"/>
    <w:rsid w:val="00CA101A"/>
    <w:rsid w:val="00CA1832"/>
    <w:rsid w:val="00CA6D58"/>
    <w:rsid w:val="00CA72A0"/>
    <w:rsid w:val="00CB1E81"/>
    <w:rsid w:val="00CB3F5B"/>
    <w:rsid w:val="00CB716D"/>
    <w:rsid w:val="00CC087B"/>
    <w:rsid w:val="00CC2F78"/>
    <w:rsid w:val="00CC6ED4"/>
    <w:rsid w:val="00CC72AB"/>
    <w:rsid w:val="00CD551F"/>
    <w:rsid w:val="00CD62FC"/>
    <w:rsid w:val="00CD7FD4"/>
    <w:rsid w:val="00CE2C68"/>
    <w:rsid w:val="00CE3A77"/>
    <w:rsid w:val="00CE4A54"/>
    <w:rsid w:val="00CE57D1"/>
    <w:rsid w:val="00CE5F2E"/>
    <w:rsid w:val="00CE646A"/>
    <w:rsid w:val="00CF26B4"/>
    <w:rsid w:val="00CF377B"/>
    <w:rsid w:val="00CF50F4"/>
    <w:rsid w:val="00CF57D1"/>
    <w:rsid w:val="00CF68BC"/>
    <w:rsid w:val="00CF726F"/>
    <w:rsid w:val="00CF7530"/>
    <w:rsid w:val="00D003E2"/>
    <w:rsid w:val="00D00C5D"/>
    <w:rsid w:val="00D01356"/>
    <w:rsid w:val="00D07EBB"/>
    <w:rsid w:val="00D11A0E"/>
    <w:rsid w:val="00D1310A"/>
    <w:rsid w:val="00D13BDE"/>
    <w:rsid w:val="00D16C60"/>
    <w:rsid w:val="00D20708"/>
    <w:rsid w:val="00D215AF"/>
    <w:rsid w:val="00D223D8"/>
    <w:rsid w:val="00D24D0F"/>
    <w:rsid w:val="00D2510C"/>
    <w:rsid w:val="00D25C94"/>
    <w:rsid w:val="00D26605"/>
    <w:rsid w:val="00D270A9"/>
    <w:rsid w:val="00D27715"/>
    <w:rsid w:val="00D30094"/>
    <w:rsid w:val="00D320EE"/>
    <w:rsid w:val="00D33034"/>
    <w:rsid w:val="00D37D96"/>
    <w:rsid w:val="00D45BD4"/>
    <w:rsid w:val="00D46429"/>
    <w:rsid w:val="00D47711"/>
    <w:rsid w:val="00D47BEC"/>
    <w:rsid w:val="00D50B8F"/>
    <w:rsid w:val="00D532D4"/>
    <w:rsid w:val="00D53905"/>
    <w:rsid w:val="00D5461A"/>
    <w:rsid w:val="00D616B4"/>
    <w:rsid w:val="00D618A5"/>
    <w:rsid w:val="00D65784"/>
    <w:rsid w:val="00D714B5"/>
    <w:rsid w:val="00D76755"/>
    <w:rsid w:val="00D76984"/>
    <w:rsid w:val="00D76DB4"/>
    <w:rsid w:val="00D77F76"/>
    <w:rsid w:val="00D8172A"/>
    <w:rsid w:val="00D829F1"/>
    <w:rsid w:val="00D8373F"/>
    <w:rsid w:val="00D870D0"/>
    <w:rsid w:val="00D90C39"/>
    <w:rsid w:val="00D911DD"/>
    <w:rsid w:val="00D91EC5"/>
    <w:rsid w:val="00D9266F"/>
    <w:rsid w:val="00D9355E"/>
    <w:rsid w:val="00D93908"/>
    <w:rsid w:val="00D94002"/>
    <w:rsid w:val="00D97FAD"/>
    <w:rsid w:val="00DA0796"/>
    <w:rsid w:val="00DA3D75"/>
    <w:rsid w:val="00DA4B97"/>
    <w:rsid w:val="00DA7435"/>
    <w:rsid w:val="00DA7692"/>
    <w:rsid w:val="00DB0090"/>
    <w:rsid w:val="00DB3A8D"/>
    <w:rsid w:val="00DB5B84"/>
    <w:rsid w:val="00DB5DAE"/>
    <w:rsid w:val="00DB70DC"/>
    <w:rsid w:val="00DC2309"/>
    <w:rsid w:val="00DC2C89"/>
    <w:rsid w:val="00DC4E8C"/>
    <w:rsid w:val="00DC7056"/>
    <w:rsid w:val="00DD091D"/>
    <w:rsid w:val="00DD227C"/>
    <w:rsid w:val="00DD434E"/>
    <w:rsid w:val="00DD51BE"/>
    <w:rsid w:val="00DE0111"/>
    <w:rsid w:val="00DE1FE6"/>
    <w:rsid w:val="00DE205B"/>
    <w:rsid w:val="00DE3B50"/>
    <w:rsid w:val="00DE688E"/>
    <w:rsid w:val="00DE6EB2"/>
    <w:rsid w:val="00DE752D"/>
    <w:rsid w:val="00DF418F"/>
    <w:rsid w:val="00DF6EAC"/>
    <w:rsid w:val="00DF70F2"/>
    <w:rsid w:val="00DF742A"/>
    <w:rsid w:val="00E01F27"/>
    <w:rsid w:val="00E058A8"/>
    <w:rsid w:val="00E078C3"/>
    <w:rsid w:val="00E112A1"/>
    <w:rsid w:val="00E121E2"/>
    <w:rsid w:val="00E122B7"/>
    <w:rsid w:val="00E12AFD"/>
    <w:rsid w:val="00E13333"/>
    <w:rsid w:val="00E13391"/>
    <w:rsid w:val="00E137C4"/>
    <w:rsid w:val="00E14EFF"/>
    <w:rsid w:val="00E17D50"/>
    <w:rsid w:val="00E2087E"/>
    <w:rsid w:val="00E22343"/>
    <w:rsid w:val="00E23BFF"/>
    <w:rsid w:val="00E25B78"/>
    <w:rsid w:val="00E30F2D"/>
    <w:rsid w:val="00E32955"/>
    <w:rsid w:val="00E43679"/>
    <w:rsid w:val="00E44225"/>
    <w:rsid w:val="00E442F8"/>
    <w:rsid w:val="00E4546C"/>
    <w:rsid w:val="00E47944"/>
    <w:rsid w:val="00E47D1C"/>
    <w:rsid w:val="00E51304"/>
    <w:rsid w:val="00E5221E"/>
    <w:rsid w:val="00E534B6"/>
    <w:rsid w:val="00E53724"/>
    <w:rsid w:val="00E55160"/>
    <w:rsid w:val="00E61DEC"/>
    <w:rsid w:val="00E61F87"/>
    <w:rsid w:val="00E62ADE"/>
    <w:rsid w:val="00E630E3"/>
    <w:rsid w:val="00E630FA"/>
    <w:rsid w:val="00E659FA"/>
    <w:rsid w:val="00E705D1"/>
    <w:rsid w:val="00E71C78"/>
    <w:rsid w:val="00E76457"/>
    <w:rsid w:val="00E811CD"/>
    <w:rsid w:val="00E83228"/>
    <w:rsid w:val="00E83429"/>
    <w:rsid w:val="00E83E4C"/>
    <w:rsid w:val="00E84B95"/>
    <w:rsid w:val="00E87501"/>
    <w:rsid w:val="00E9171E"/>
    <w:rsid w:val="00E94C12"/>
    <w:rsid w:val="00E9685F"/>
    <w:rsid w:val="00E97CD8"/>
    <w:rsid w:val="00EA1998"/>
    <w:rsid w:val="00EA22F1"/>
    <w:rsid w:val="00EA5F7A"/>
    <w:rsid w:val="00EB2411"/>
    <w:rsid w:val="00EB37B3"/>
    <w:rsid w:val="00EB53A1"/>
    <w:rsid w:val="00EB5715"/>
    <w:rsid w:val="00EC4BEA"/>
    <w:rsid w:val="00EC70E6"/>
    <w:rsid w:val="00ED1A8E"/>
    <w:rsid w:val="00ED23AF"/>
    <w:rsid w:val="00ED2A35"/>
    <w:rsid w:val="00ED2C5E"/>
    <w:rsid w:val="00ED492E"/>
    <w:rsid w:val="00EE1825"/>
    <w:rsid w:val="00EE1DE4"/>
    <w:rsid w:val="00EE4337"/>
    <w:rsid w:val="00EE6E32"/>
    <w:rsid w:val="00EF10C9"/>
    <w:rsid w:val="00EF3DD1"/>
    <w:rsid w:val="00EF6535"/>
    <w:rsid w:val="00EF75BD"/>
    <w:rsid w:val="00F06333"/>
    <w:rsid w:val="00F07FCD"/>
    <w:rsid w:val="00F1185E"/>
    <w:rsid w:val="00F11A21"/>
    <w:rsid w:val="00F14245"/>
    <w:rsid w:val="00F15212"/>
    <w:rsid w:val="00F15882"/>
    <w:rsid w:val="00F20A5D"/>
    <w:rsid w:val="00F211DC"/>
    <w:rsid w:val="00F22FF6"/>
    <w:rsid w:val="00F24D71"/>
    <w:rsid w:val="00F252C3"/>
    <w:rsid w:val="00F263C3"/>
    <w:rsid w:val="00F2665A"/>
    <w:rsid w:val="00F26C74"/>
    <w:rsid w:val="00F30295"/>
    <w:rsid w:val="00F30318"/>
    <w:rsid w:val="00F312B6"/>
    <w:rsid w:val="00F31575"/>
    <w:rsid w:val="00F32C7B"/>
    <w:rsid w:val="00F3313C"/>
    <w:rsid w:val="00F33935"/>
    <w:rsid w:val="00F34229"/>
    <w:rsid w:val="00F35591"/>
    <w:rsid w:val="00F35B4E"/>
    <w:rsid w:val="00F36A89"/>
    <w:rsid w:val="00F36AB5"/>
    <w:rsid w:val="00F36CBB"/>
    <w:rsid w:val="00F46AEF"/>
    <w:rsid w:val="00F4745A"/>
    <w:rsid w:val="00F5243F"/>
    <w:rsid w:val="00F60A5F"/>
    <w:rsid w:val="00F60E85"/>
    <w:rsid w:val="00F64D50"/>
    <w:rsid w:val="00F65312"/>
    <w:rsid w:val="00F66856"/>
    <w:rsid w:val="00F672B1"/>
    <w:rsid w:val="00F67786"/>
    <w:rsid w:val="00F70B57"/>
    <w:rsid w:val="00F715DD"/>
    <w:rsid w:val="00F73543"/>
    <w:rsid w:val="00F76133"/>
    <w:rsid w:val="00F767CE"/>
    <w:rsid w:val="00F84F41"/>
    <w:rsid w:val="00F902B2"/>
    <w:rsid w:val="00F923A5"/>
    <w:rsid w:val="00FA15D5"/>
    <w:rsid w:val="00FA4754"/>
    <w:rsid w:val="00FA49EB"/>
    <w:rsid w:val="00FA4B4D"/>
    <w:rsid w:val="00FA4B67"/>
    <w:rsid w:val="00FA5612"/>
    <w:rsid w:val="00FA6C02"/>
    <w:rsid w:val="00FB2E1C"/>
    <w:rsid w:val="00FB4558"/>
    <w:rsid w:val="00FB6FAA"/>
    <w:rsid w:val="00FB7DB9"/>
    <w:rsid w:val="00FC02B1"/>
    <w:rsid w:val="00FC0563"/>
    <w:rsid w:val="00FC428B"/>
    <w:rsid w:val="00FC7678"/>
    <w:rsid w:val="00FC7DE2"/>
    <w:rsid w:val="00FD0EDB"/>
    <w:rsid w:val="00FD1631"/>
    <w:rsid w:val="00FD7312"/>
    <w:rsid w:val="00FD7AC9"/>
    <w:rsid w:val="00FE00B5"/>
    <w:rsid w:val="00FE07F0"/>
    <w:rsid w:val="00FE1167"/>
    <w:rsid w:val="00FF0867"/>
    <w:rsid w:val="00FF090C"/>
    <w:rsid w:val="00FF6648"/>
    <w:rsid w:val="00FF6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3310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15"/>
  </w:style>
  <w:style w:type="paragraph" w:styleId="Heading1">
    <w:name w:val="heading 1"/>
    <w:basedOn w:val="Normal"/>
    <w:next w:val="Normal"/>
    <w:link w:val="Heading1Char"/>
    <w:qFormat/>
    <w:rsid w:val="0027592B"/>
    <w:pPr>
      <w:keepNext/>
      <w:keepLines/>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C14C9"/>
    <w:pPr>
      <w:keepNext/>
      <w:keepLines/>
      <w:spacing w:before="240" w:after="12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06E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6606E3"/>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rsid w:val="006606E3"/>
    <w:pPr>
      <w:tabs>
        <w:tab w:val="num" w:pos="2286"/>
      </w:tabs>
      <w:spacing w:before="240" w:after="60"/>
      <w:ind w:left="2286"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rsid w:val="006606E3"/>
    <w:pPr>
      <w:tabs>
        <w:tab w:val="num" w:pos="2430"/>
      </w:tabs>
      <w:spacing w:before="240" w:after="60"/>
      <w:ind w:left="2430" w:hanging="1296"/>
      <w:outlineLvl w:val="6"/>
    </w:pPr>
    <w:rPr>
      <w:rFonts w:ascii="Arial" w:eastAsia="Times New Roman" w:hAnsi="Arial" w:cs="Times New Roman"/>
      <w:sz w:val="20"/>
      <w:szCs w:val="20"/>
    </w:rPr>
  </w:style>
  <w:style w:type="paragraph" w:styleId="Heading8">
    <w:name w:val="heading 8"/>
    <w:basedOn w:val="Normal"/>
    <w:next w:val="Normal"/>
    <w:link w:val="Heading8Char"/>
    <w:rsid w:val="006606E3"/>
    <w:pPr>
      <w:tabs>
        <w:tab w:val="num" w:pos="2574"/>
      </w:tabs>
      <w:spacing w:before="240" w:after="60"/>
      <w:ind w:left="2574" w:hanging="1440"/>
      <w:outlineLvl w:val="7"/>
    </w:pPr>
    <w:rPr>
      <w:rFonts w:ascii="Arial" w:eastAsia="Times New Roman" w:hAnsi="Arial" w:cs="Times New Roman"/>
      <w:i/>
      <w:sz w:val="20"/>
      <w:szCs w:val="20"/>
    </w:rPr>
  </w:style>
  <w:style w:type="paragraph" w:styleId="Heading9">
    <w:name w:val="heading 9"/>
    <w:basedOn w:val="Normal"/>
    <w:next w:val="Normal"/>
    <w:link w:val="Heading9Char"/>
    <w:rsid w:val="006606E3"/>
    <w:pPr>
      <w:tabs>
        <w:tab w:val="num" w:pos="2718"/>
      </w:tabs>
      <w:spacing w:before="240" w:after="60"/>
      <w:ind w:left="2718"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81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2C14C9"/>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261781"/>
    <w:pPr>
      <w:spacing w:before="240" w:after="120"/>
    </w:pPr>
    <w:rPr>
      <w:b/>
      <w:bCs/>
      <w:sz w:val="20"/>
      <w:szCs w:val="20"/>
    </w:rPr>
  </w:style>
  <w:style w:type="paragraph" w:styleId="TOC3">
    <w:name w:val="toc 3"/>
    <w:basedOn w:val="Normal"/>
    <w:next w:val="Normal"/>
    <w:autoRedefine/>
    <w:uiPriority w:val="39"/>
    <w:unhideWhenUsed/>
    <w:rsid w:val="00733501"/>
    <w:pPr>
      <w:spacing w:before="0"/>
      <w:ind w:left="440"/>
    </w:pPr>
    <w:rPr>
      <w:sz w:val="20"/>
      <w:szCs w:val="20"/>
    </w:rPr>
  </w:style>
  <w:style w:type="paragraph" w:styleId="TOC2">
    <w:name w:val="toc 2"/>
    <w:basedOn w:val="Normal"/>
    <w:next w:val="Normal"/>
    <w:autoRedefine/>
    <w:uiPriority w:val="39"/>
    <w:unhideWhenUsed/>
    <w:rsid w:val="002B2818"/>
    <w:pPr>
      <w:tabs>
        <w:tab w:val="right" w:pos="9016"/>
      </w:tabs>
    </w:pPr>
    <w:rPr>
      <w:i/>
      <w:iCs/>
      <w:sz w:val="20"/>
      <w:szCs w:val="20"/>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spacing w:before="60"/>
      <w:ind w:left="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rsid w:val="00780DD1"/>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AF57E5"/>
    <w:pPr>
      <w:ind w:left="0"/>
    </w:pPr>
  </w:style>
  <w:style w:type="table" w:styleId="TableGrid">
    <w:name w:val="Table Grid"/>
    <w:basedOn w:val="TableNormal"/>
    <w:uiPriority w:val="5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unhideWhenUsed/>
    <w:rsid w:val="002E6FDB"/>
    <w:rPr>
      <w:b/>
      <w:bCs/>
    </w:rPr>
  </w:style>
  <w:style w:type="character" w:customStyle="1" w:styleId="CommentSubjectChar">
    <w:name w:val="Comment Subject Char"/>
    <w:basedOn w:val="CommentTextChar"/>
    <w:link w:val="CommentSubject"/>
    <w:uiPriority w:val="99"/>
    <w:rsid w:val="002E6FDB"/>
    <w:rPr>
      <w:b/>
      <w:bCs/>
      <w:sz w:val="20"/>
      <w:szCs w:val="20"/>
    </w:rPr>
  </w:style>
  <w:style w:type="paragraph" w:styleId="BalloonText">
    <w:name w:val="Balloon Text"/>
    <w:basedOn w:val="Normal"/>
    <w:link w:val="BalloonTextChar"/>
    <w:uiPriority w:val="99"/>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rsid w:val="002E6FDB"/>
    <w:rPr>
      <w:rFonts w:ascii="Segoe UI" w:hAnsi="Segoe UI" w:cs="Segoe UI"/>
      <w:sz w:val="18"/>
      <w:szCs w:val="18"/>
    </w:rPr>
  </w:style>
  <w:style w:type="paragraph" w:customStyle="1" w:styleId="docev">
    <w:name w:val="doc ev"/>
    <w:basedOn w:val="guidelinetext"/>
    <w:link w:val="docevChar"/>
    <w:qFormat/>
    <w:rsid w:val="00AF57E5"/>
    <w:pPr>
      <w:numPr>
        <w:numId w:val="1"/>
      </w:numPr>
    </w:pPr>
  </w:style>
  <w:style w:type="paragraph" w:customStyle="1" w:styleId="WHS">
    <w:name w:val="WHS"/>
    <w:basedOn w:val="guidelinetext"/>
    <w:link w:val="WHSChar"/>
    <w:qFormat/>
    <w:rsid w:val="00AF57E5"/>
    <w:pPr>
      <w:numPr>
        <w:numId w:val="2"/>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customStyle="1" w:styleId="TableText0">
    <w:name w:val="Table Text"/>
    <w:basedOn w:val="Normal"/>
    <w:qFormat/>
    <w:rsid w:val="007A5E08"/>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NormalBold">
    <w:name w:val="Normal Bold"/>
    <w:basedOn w:val="Normal"/>
    <w:link w:val="NormalBoldChar"/>
    <w:rsid w:val="008D2BC2"/>
    <w:pPr>
      <w:tabs>
        <w:tab w:val="left" w:pos="0"/>
      </w:tabs>
    </w:pPr>
    <w:rPr>
      <w:rFonts w:ascii="Calibri" w:eastAsia="Times New Roman" w:hAnsi="Calibri" w:cs="Times New Roman"/>
      <w:b/>
      <w:szCs w:val="24"/>
      <w:lang w:eastAsia="en-AU"/>
    </w:rPr>
  </w:style>
  <w:style w:type="character" w:customStyle="1" w:styleId="NormalBoldChar">
    <w:name w:val="Normal Bold Char"/>
    <w:basedOn w:val="DefaultParagraphFont"/>
    <w:link w:val="NormalBold"/>
    <w:rsid w:val="008D2BC2"/>
    <w:rPr>
      <w:rFonts w:ascii="Calibri" w:eastAsia="Times New Roman" w:hAnsi="Calibri" w:cs="Times New Roman"/>
      <w:b/>
      <w:szCs w:val="24"/>
      <w:lang w:eastAsia="en-AU"/>
    </w:rPr>
  </w:style>
  <w:style w:type="paragraph" w:customStyle="1" w:styleId="ms-rteelement-p1">
    <w:name w:val="ms-rteelement-p1"/>
    <w:basedOn w:val="Normal"/>
    <w:rsid w:val="004556A4"/>
    <w:pPr>
      <w:spacing w:before="100" w:beforeAutospacing="1" w:after="100" w:afterAutospacing="1"/>
    </w:pPr>
    <w:rPr>
      <w:rFonts w:ascii="Times New Roman" w:eastAsia="Times New Roman" w:hAnsi="Times New Roman" w:cs="Times New Roman"/>
      <w:color w:val="576170"/>
      <w:sz w:val="24"/>
      <w:szCs w:val="24"/>
      <w:lang w:eastAsia="en-AU"/>
    </w:rPr>
  </w:style>
  <w:style w:type="paragraph" w:customStyle="1" w:styleId="Default">
    <w:name w:val="Default"/>
    <w:rsid w:val="00DB3A8D"/>
    <w:pPr>
      <w:autoSpaceDE w:val="0"/>
      <w:autoSpaceDN w:val="0"/>
      <w:adjustRightInd w:val="0"/>
      <w:spacing w:before="0"/>
    </w:pPr>
    <w:rPr>
      <w:rFonts w:ascii="Calibri" w:eastAsia="Times New Roman" w:hAnsi="Calibri" w:cs="Calibri"/>
      <w:sz w:val="24"/>
      <w:szCs w:val="24"/>
      <w:lang w:eastAsia="en-AU"/>
    </w:rPr>
  </w:style>
  <w:style w:type="character" w:styleId="Strong">
    <w:name w:val="Strong"/>
    <w:basedOn w:val="DefaultParagraphFont"/>
    <w:qFormat/>
    <w:rsid w:val="00EE1DE4"/>
    <w:rPr>
      <w:b/>
      <w:bCs/>
    </w:rPr>
  </w:style>
  <w:style w:type="character" w:styleId="Emphasis">
    <w:name w:val="Emphasis"/>
    <w:basedOn w:val="DefaultParagraphFont"/>
    <w:qFormat/>
    <w:rsid w:val="00EE1DE4"/>
    <w:rPr>
      <w:i/>
      <w:iCs/>
    </w:rPr>
  </w:style>
  <w:style w:type="character" w:styleId="FollowedHyperlink">
    <w:name w:val="FollowedHyperlink"/>
    <w:basedOn w:val="DefaultParagraphFont"/>
    <w:uiPriority w:val="99"/>
    <w:unhideWhenUsed/>
    <w:rsid w:val="00C407FF"/>
    <w:rPr>
      <w:color w:val="954F72" w:themeColor="followedHyperlink"/>
      <w:u w:val="single"/>
    </w:rPr>
  </w:style>
  <w:style w:type="paragraph" w:styleId="Revision">
    <w:name w:val="Revision"/>
    <w:hidden/>
    <w:uiPriority w:val="99"/>
    <w:semiHidden/>
    <w:rsid w:val="00A432F4"/>
    <w:pPr>
      <w:spacing w:before="0"/>
    </w:pPr>
  </w:style>
  <w:style w:type="paragraph" w:customStyle="1" w:styleId="Frontpagesub-heading">
    <w:name w:val="Front page sub-heading"/>
    <w:basedOn w:val="Heading2"/>
    <w:link w:val="Frontpagesub-headingChar"/>
    <w:qFormat/>
    <w:rsid w:val="00286C42"/>
    <w:rPr>
      <w:b/>
      <w:color w:val="000000" w:themeColor="text1"/>
      <w:sz w:val="20"/>
    </w:rPr>
  </w:style>
  <w:style w:type="character" w:customStyle="1" w:styleId="Frontpagesub-headingChar">
    <w:name w:val="Front page sub-heading Char"/>
    <w:basedOn w:val="Heading3Char"/>
    <w:link w:val="Frontpagesub-heading"/>
    <w:rsid w:val="00286C42"/>
    <w:rPr>
      <w:rFonts w:asciiTheme="majorHAnsi" w:eastAsiaTheme="majorEastAsia" w:hAnsiTheme="majorHAnsi" w:cstheme="majorBidi"/>
      <w:b/>
      <w:color w:val="000000" w:themeColor="text1"/>
      <w:sz w:val="20"/>
      <w:szCs w:val="26"/>
    </w:rPr>
  </w:style>
  <w:style w:type="table" w:customStyle="1" w:styleId="MediumShading1-Accent11">
    <w:name w:val="Medium Shading 1 - Accent 11"/>
    <w:basedOn w:val="TableNormal"/>
    <w:uiPriority w:val="63"/>
    <w:rsid w:val="00735F81"/>
    <w:pPr>
      <w:spacing w:before="240" w:after="240"/>
    </w:pPr>
    <w:rPr>
      <w:rFonts w:ascii="Calibri" w:eastAsia="Times New Roman" w:hAnsi="Calibri" w:cs="Times New Roman"/>
      <w:sz w:val="20"/>
      <w:szCs w:val="20"/>
      <w:lang w:eastAsia="en-AU"/>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TableGrid2">
    <w:name w:val="Table Grid2"/>
    <w:basedOn w:val="TableNormal"/>
    <w:next w:val="TableGrid"/>
    <w:rsid w:val="00735F81"/>
    <w:pPr>
      <w:spacing w:before="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List1">
    <w:name w:val="Bullet List1"/>
    <w:basedOn w:val="NoList"/>
    <w:rsid w:val="00735F81"/>
    <w:pPr>
      <w:numPr>
        <w:numId w:val="4"/>
      </w:numPr>
    </w:pPr>
  </w:style>
  <w:style w:type="paragraph" w:styleId="TOC4">
    <w:name w:val="toc 4"/>
    <w:basedOn w:val="Normal"/>
    <w:next w:val="Normal"/>
    <w:autoRedefine/>
    <w:uiPriority w:val="39"/>
    <w:unhideWhenUsed/>
    <w:rsid w:val="00BC6087"/>
    <w:pPr>
      <w:spacing w:before="0"/>
      <w:ind w:left="660"/>
    </w:pPr>
    <w:rPr>
      <w:sz w:val="20"/>
      <w:szCs w:val="20"/>
    </w:rPr>
  </w:style>
  <w:style w:type="paragraph" w:styleId="TOC5">
    <w:name w:val="toc 5"/>
    <w:basedOn w:val="Normal"/>
    <w:next w:val="Normal"/>
    <w:autoRedefine/>
    <w:uiPriority w:val="39"/>
    <w:unhideWhenUsed/>
    <w:rsid w:val="00BC6087"/>
    <w:pPr>
      <w:spacing w:before="0"/>
      <w:ind w:left="880"/>
    </w:pPr>
    <w:rPr>
      <w:sz w:val="20"/>
      <w:szCs w:val="20"/>
    </w:rPr>
  </w:style>
  <w:style w:type="paragraph" w:styleId="TOC6">
    <w:name w:val="toc 6"/>
    <w:basedOn w:val="Normal"/>
    <w:next w:val="Normal"/>
    <w:autoRedefine/>
    <w:uiPriority w:val="39"/>
    <w:unhideWhenUsed/>
    <w:rsid w:val="00BC6087"/>
    <w:pPr>
      <w:spacing w:before="0"/>
      <w:ind w:left="1100"/>
    </w:pPr>
    <w:rPr>
      <w:sz w:val="20"/>
      <w:szCs w:val="20"/>
    </w:rPr>
  </w:style>
  <w:style w:type="paragraph" w:styleId="TOC7">
    <w:name w:val="toc 7"/>
    <w:basedOn w:val="Normal"/>
    <w:next w:val="Normal"/>
    <w:autoRedefine/>
    <w:uiPriority w:val="39"/>
    <w:unhideWhenUsed/>
    <w:rsid w:val="00BC6087"/>
    <w:pPr>
      <w:spacing w:before="0"/>
      <w:ind w:left="1320"/>
    </w:pPr>
    <w:rPr>
      <w:sz w:val="20"/>
      <w:szCs w:val="20"/>
    </w:rPr>
  </w:style>
  <w:style w:type="paragraph" w:styleId="TOC8">
    <w:name w:val="toc 8"/>
    <w:basedOn w:val="Normal"/>
    <w:next w:val="Normal"/>
    <w:autoRedefine/>
    <w:uiPriority w:val="39"/>
    <w:unhideWhenUsed/>
    <w:rsid w:val="00BC6087"/>
    <w:pPr>
      <w:spacing w:before="0"/>
      <w:ind w:left="1540"/>
    </w:pPr>
    <w:rPr>
      <w:sz w:val="20"/>
      <w:szCs w:val="20"/>
    </w:rPr>
  </w:style>
  <w:style w:type="paragraph" w:styleId="TOC9">
    <w:name w:val="toc 9"/>
    <w:basedOn w:val="Normal"/>
    <w:next w:val="Normal"/>
    <w:autoRedefine/>
    <w:uiPriority w:val="39"/>
    <w:unhideWhenUsed/>
    <w:rsid w:val="00BC6087"/>
    <w:pPr>
      <w:spacing w:before="0"/>
      <w:ind w:left="1760"/>
    </w:pPr>
    <w:rPr>
      <w:sz w:val="20"/>
      <w:szCs w:val="20"/>
    </w:rPr>
  </w:style>
  <w:style w:type="paragraph" w:styleId="FootnoteText">
    <w:name w:val="footnote text"/>
    <w:basedOn w:val="Normal"/>
    <w:link w:val="FootnoteTextChar"/>
    <w:uiPriority w:val="99"/>
    <w:unhideWhenUsed/>
    <w:rsid w:val="008E2093"/>
    <w:pPr>
      <w:spacing w:before="0"/>
    </w:pPr>
    <w:rPr>
      <w:rFonts w:ascii="Arial" w:eastAsia="Times New Roman" w:hAnsi="Arial" w:cs="Times New Roman"/>
      <w:sz w:val="20"/>
      <w:szCs w:val="20"/>
      <w:lang w:eastAsia="en-AU"/>
    </w:rPr>
  </w:style>
  <w:style w:type="character" w:customStyle="1" w:styleId="FootnoteTextChar">
    <w:name w:val="Footnote Text Char"/>
    <w:basedOn w:val="DefaultParagraphFont"/>
    <w:link w:val="FootnoteText"/>
    <w:uiPriority w:val="99"/>
    <w:rsid w:val="008E2093"/>
    <w:rPr>
      <w:rFonts w:ascii="Arial" w:eastAsia="Times New Roman" w:hAnsi="Arial" w:cs="Times New Roman"/>
      <w:sz w:val="20"/>
      <w:szCs w:val="20"/>
      <w:lang w:eastAsia="en-AU"/>
    </w:rPr>
  </w:style>
  <w:style w:type="character" w:styleId="FootnoteReference">
    <w:name w:val="footnote reference"/>
    <w:basedOn w:val="DefaultParagraphFont"/>
    <w:unhideWhenUsed/>
    <w:rsid w:val="008E2093"/>
    <w:rPr>
      <w:vertAlign w:val="superscript"/>
    </w:rPr>
  </w:style>
  <w:style w:type="table" w:customStyle="1" w:styleId="TableGrid5">
    <w:name w:val="Table Grid5"/>
    <w:basedOn w:val="TableNormal"/>
    <w:rsid w:val="008E2093"/>
    <w:pPr>
      <w:spacing w:befor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606E3"/>
    <w:rPr>
      <w:rFonts w:asciiTheme="majorHAnsi" w:eastAsiaTheme="majorEastAsia" w:hAnsiTheme="majorHAnsi" w:cstheme="majorBidi"/>
      <w:b/>
      <w:bCs/>
      <w:i/>
      <w:iCs/>
    </w:rPr>
  </w:style>
  <w:style w:type="character" w:customStyle="1" w:styleId="Heading5Char">
    <w:name w:val="Heading 5 Char"/>
    <w:basedOn w:val="DefaultParagraphFont"/>
    <w:link w:val="Heading5"/>
    <w:rsid w:val="006606E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6606E3"/>
    <w:rPr>
      <w:rFonts w:ascii="Times New Roman" w:eastAsia="Times New Roman" w:hAnsi="Times New Roman" w:cs="Times New Roman"/>
      <w:i/>
      <w:szCs w:val="20"/>
    </w:rPr>
  </w:style>
  <w:style w:type="character" w:customStyle="1" w:styleId="Heading7Char">
    <w:name w:val="Heading 7 Char"/>
    <w:basedOn w:val="DefaultParagraphFont"/>
    <w:link w:val="Heading7"/>
    <w:rsid w:val="006606E3"/>
    <w:rPr>
      <w:rFonts w:ascii="Arial" w:eastAsia="Times New Roman" w:hAnsi="Arial" w:cs="Times New Roman"/>
      <w:sz w:val="20"/>
      <w:szCs w:val="20"/>
    </w:rPr>
  </w:style>
  <w:style w:type="character" w:customStyle="1" w:styleId="Heading8Char">
    <w:name w:val="Heading 8 Char"/>
    <w:basedOn w:val="DefaultParagraphFont"/>
    <w:link w:val="Heading8"/>
    <w:rsid w:val="006606E3"/>
    <w:rPr>
      <w:rFonts w:ascii="Arial" w:eastAsia="Times New Roman" w:hAnsi="Arial" w:cs="Times New Roman"/>
      <w:i/>
      <w:sz w:val="20"/>
      <w:szCs w:val="20"/>
    </w:rPr>
  </w:style>
  <w:style w:type="character" w:customStyle="1" w:styleId="Heading9Char">
    <w:name w:val="Heading 9 Char"/>
    <w:basedOn w:val="DefaultParagraphFont"/>
    <w:link w:val="Heading9"/>
    <w:rsid w:val="006606E3"/>
    <w:rPr>
      <w:rFonts w:ascii="Arial" w:eastAsia="Times New Roman" w:hAnsi="Arial" w:cs="Times New Roman"/>
      <w:b/>
      <w:i/>
      <w:sz w:val="18"/>
      <w:szCs w:val="20"/>
    </w:rPr>
  </w:style>
  <w:style w:type="paragraph" w:styleId="ListBullet">
    <w:name w:val="List Bullet"/>
    <w:basedOn w:val="Normal"/>
    <w:rsid w:val="006606E3"/>
    <w:pPr>
      <w:numPr>
        <w:numId w:val="6"/>
      </w:numPr>
      <w:spacing w:before="0"/>
      <w:contextualSpacing/>
    </w:pPr>
    <w:rPr>
      <w:rFonts w:ascii="Calibri" w:eastAsia="Times New Roman" w:hAnsi="Calibri" w:cs="Times New Roman"/>
      <w:szCs w:val="24"/>
      <w:lang w:eastAsia="en-AU"/>
    </w:rPr>
  </w:style>
  <w:style w:type="paragraph" w:styleId="ListBullet2">
    <w:name w:val="List Bullet 2"/>
    <w:basedOn w:val="Normal"/>
    <w:rsid w:val="006606E3"/>
    <w:pPr>
      <w:numPr>
        <w:ilvl w:val="1"/>
        <w:numId w:val="6"/>
      </w:numPr>
      <w:spacing w:before="0"/>
      <w:contextualSpacing/>
    </w:pPr>
    <w:rPr>
      <w:rFonts w:ascii="Calibri" w:eastAsia="Times New Roman" w:hAnsi="Calibri" w:cs="Times New Roman"/>
      <w:szCs w:val="24"/>
      <w:lang w:eastAsia="en-AU"/>
    </w:rPr>
  </w:style>
  <w:style w:type="paragraph" w:styleId="ListBullet3">
    <w:name w:val="List Bullet 3"/>
    <w:basedOn w:val="Normal"/>
    <w:rsid w:val="006606E3"/>
    <w:pPr>
      <w:numPr>
        <w:ilvl w:val="2"/>
        <w:numId w:val="6"/>
      </w:numPr>
      <w:spacing w:before="0"/>
      <w:contextualSpacing/>
    </w:pPr>
    <w:rPr>
      <w:rFonts w:ascii="Calibri" w:eastAsia="Times New Roman" w:hAnsi="Calibri" w:cs="Times New Roman"/>
      <w:szCs w:val="24"/>
      <w:lang w:eastAsia="en-AU"/>
    </w:rPr>
  </w:style>
  <w:style w:type="table" w:customStyle="1" w:styleId="TableGrid1">
    <w:name w:val="Table Grid1"/>
    <w:basedOn w:val="TableNormal"/>
    <w:next w:val="TableGrid"/>
    <w:uiPriority w:val="59"/>
    <w:rsid w:val="006606E3"/>
    <w:pPr>
      <w:spacing w:before="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auseHeadings1xxxx">
    <w:name w:val="Clause Headings (1. xxxx)"/>
    <w:basedOn w:val="Normal"/>
    <w:uiPriority w:val="99"/>
    <w:qFormat/>
    <w:rsid w:val="006606E3"/>
    <w:pPr>
      <w:keepNext/>
      <w:keepLines/>
      <w:numPr>
        <w:numId w:val="7"/>
      </w:numPr>
      <w:suppressAutoHyphens/>
      <w:spacing w:before="240" w:after="120" w:line="264" w:lineRule="auto"/>
      <w:outlineLvl w:val="0"/>
    </w:pPr>
    <w:rPr>
      <w:rFonts w:ascii="Calibri" w:eastAsia="Times New Roman" w:hAnsi="Calibri" w:cs="Times New Roman"/>
      <w:b/>
      <w:szCs w:val="20"/>
    </w:rPr>
  </w:style>
  <w:style w:type="paragraph" w:customStyle="1" w:styleId="clausetext11xxxxx">
    <w:name w:val="clause text (1.1 xxxxx)"/>
    <w:basedOn w:val="Normal"/>
    <w:uiPriority w:val="99"/>
    <w:qFormat/>
    <w:rsid w:val="006606E3"/>
    <w:pPr>
      <w:keepLines/>
      <w:numPr>
        <w:ilvl w:val="1"/>
        <w:numId w:val="7"/>
      </w:numPr>
      <w:tabs>
        <w:tab w:val="clear" w:pos="1589"/>
        <w:tab w:val="num" w:pos="360"/>
      </w:tabs>
      <w:suppressAutoHyphens/>
      <w:spacing w:after="120" w:line="264" w:lineRule="auto"/>
      <w:ind w:left="0" w:firstLine="0"/>
      <w:outlineLvl w:val="1"/>
    </w:pPr>
    <w:rPr>
      <w:rFonts w:ascii="Calibri" w:eastAsia="Times New Roman" w:hAnsi="Calibri" w:cs="Times New Roman"/>
      <w:color w:val="000000"/>
      <w:szCs w:val="20"/>
      <w:lang w:eastAsia="en-AU"/>
    </w:rPr>
  </w:style>
  <w:style w:type="paragraph" w:customStyle="1" w:styleId="clausetexta">
    <w:name w:val="clause text (a)"/>
    <w:basedOn w:val="Normal"/>
    <w:link w:val="clausetextaChar"/>
    <w:uiPriority w:val="99"/>
    <w:qFormat/>
    <w:rsid w:val="006606E3"/>
    <w:pPr>
      <w:keepLines/>
      <w:numPr>
        <w:ilvl w:val="2"/>
        <w:numId w:val="7"/>
      </w:numPr>
      <w:suppressAutoHyphens/>
      <w:spacing w:after="120" w:line="264" w:lineRule="auto"/>
    </w:pPr>
    <w:rPr>
      <w:rFonts w:ascii="Calibri" w:eastAsia="Times New Roman" w:hAnsi="Calibri" w:cs="Times New Roman"/>
      <w:color w:val="000000"/>
      <w:szCs w:val="20"/>
      <w:lang w:eastAsia="en-AU"/>
    </w:rPr>
  </w:style>
  <w:style w:type="paragraph" w:customStyle="1" w:styleId="clausetexti">
    <w:name w:val="clause text (i)"/>
    <w:basedOn w:val="clausetexta"/>
    <w:uiPriority w:val="99"/>
    <w:qFormat/>
    <w:rsid w:val="006606E3"/>
    <w:pPr>
      <w:numPr>
        <w:ilvl w:val="3"/>
      </w:numPr>
    </w:pPr>
  </w:style>
  <w:style w:type="character" w:customStyle="1" w:styleId="clausetextaChar">
    <w:name w:val="clause text (a) Char"/>
    <w:basedOn w:val="DefaultParagraphFont"/>
    <w:link w:val="clausetexta"/>
    <w:uiPriority w:val="99"/>
    <w:rsid w:val="006606E3"/>
    <w:rPr>
      <w:rFonts w:ascii="Calibri" w:eastAsia="Times New Roman" w:hAnsi="Calibri" w:cs="Times New Roman"/>
      <w:color w:val="000000"/>
      <w:szCs w:val="20"/>
      <w:lang w:eastAsia="en-AU"/>
    </w:rPr>
  </w:style>
  <w:style w:type="paragraph" w:customStyle="1" w:styleId="clausetextA0">
    <w:name w:val="clause text (A)"/>
    <w:basedOn w:val="clausetexti"/>
    <w:link w:val="clausetextAChar0"/>
    <w:uiPriority w:val="99"/>
    <w:qFormat/>
    <w:rsid w:val="006606E3"/>
    <w:pPr>
      <w:numPr>
        <w:ilvl w:val="4"/>
      </w:numPr>
    </w:pPr>
  </w:style>
  <w:style w:type="character" w:customStyle="1" w:styleId="clausetextAChar0">
    <w:name w:val="clause text (A) Char"/>
    <w:basedOn w:val="DefaultParagraphFont"/>
    <w:link w:val="clausetextA0"/>
    <w:uiPriority w:val="99"/>
    <w:rsid w:val="006606E3"/>
    <w:rPr>
      <w:rFonts w:ascii="Calibri" w:eastAsia="Times New Roman" w:hAnsi="Calibri" w:cs="Times New Roman"/>
      <w:color w:val="000000"/>
      <w:szCs w:val="20"/>
      <w:lang w:eastAsia="en-AU"/>
    </w:rPr>
  </w:style>
  <w:style w:type="table" w:customStyle="1" w:styleId="TableGrid3">
    <w:name w:val="Table Grid3"/>
    <w:basedOn w:val="TableNormal"/>
    <w:next w:val="TableGrid"/>
    <w:rsid w:val="006606E3"/>
    <w:pPr>
      <w:spacing w:before="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606E3"/>
    <w:pPr>
      <w:spacing w:before="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6606E3"/>
    <w:pPr>
      <w:spacing w:before="0"/>
    </w:pPr>
    <w:rPr>
      <w:rFonts w:ascii="Calibri" w:eastAsia="Times New Roman" w:hAnsi="Calibri" w:cs="Times New Roman"/>
      <w:sz w:val="20"/>
      <w:szCs w:val="20"/>
      <w:lang w:eastAsia="en-AU"/>
    </w:rPr>
  </w:style>
  <w:style w:type="character" w:customStyle="1" w:styleId="EndnoteTextChar">
    <w:name w:val="Endnote Text Char"/>
    <w:basedOn w:val="DefaultParagraphFont"/>
    <w:link w:val="EndnoteText"/>
    <w:uiPriority w:val="99"/>
    <w:semiHidden/>
    <w:rsid w:val="006606E3"/>
    <w:rPr>
      <w:rFonts w:ascii="Calibri" w:eastAsia="Times New Roman" w:hAnsi="Calibri" w:cs="Times New Roman"/>
      <w:sz w:val="20"/>
      <w:szCs w:val="20"/>
      <w:lang w:eastAsia="en-AU"/>
    </w:rPr>
  </w:style>
  <w:style w:type="character" w:styleId="EndnoteReference">
    <w:name w:val="endnote reference"/>
    <w:basedOn w:val="DefaultParagraphFont"/>
    <w:uiPriority w:val="99"/>
    <w:semiHidden/>
    <w:rsid w:val="006606E3"/>
    <w:rPr>
      <w:vertAlign w:val="superscript"/>
    </w:rPr>
  </w:style>
  <w:style w:type="character" w:styleId="PageNumber">
    <w:name w:val="page number"/>
    <w:basedOn w:val="DefaultParagraphFont"/>
    <w:rsid w:val="006606E3"/>
  </w:style>
  <w:style w:type="paragraph" w:customStyle="1" w:styleId="Footercentred">
    <w:name w:val="Footer centred"/>
    <w:basedOn w:val="Footer"/>
    <w:rsid w:val="006606E3"/>
    <w:pPr>
      <w:tabs>
        <w:tab w:val="clear" w:pos="4513"/>
        <w:tab w:val="clear" w:pos="9026"/>
        <w:tab w:val="center" w:pos="4153"/>
        <w:tab w:val="right" w:pos="8306"/>
      </w:tabs>
      <w:spacing w:before="0"/>
      <w:jc w:val="center"/>
    </w:pPr>
    <w:rPr>
      <w:rFonts w:ascii="Calibri" w:eastAsia="Times New Roman" w:hAnsi="Calibri" w:cs="Arial"/>
      <w:color w:val="808080"/>
      <w:sz w:val="20"/>
      <w:szCs w:val="28"/>
    </w:rPr>
  </w:style>
  <w:style w:type="paragraph" w:customStyle="1" w:styleId="TableTextCentred">
    <w:name w:val="Table Text Centred"/>
    <w:basedOn w:val="Normal"/>
    <w:rsid w:val="006606E3"/>
    <w:pPr>
      <w:spacing w:after="120"/>
      <w:jc w:val="center"/>
    </w:pPr>
    <w:rPr>
      <w:rFonts w:ascii="Calibri" w:eastAsia="Times New Roman" w:hAnsi="Calibri" w:cs="Arial"/>
      <w:sz w:val="20"/>
      <w:szCs w:val="20"/>
      <w:lang w:eastAsia="en-AU"/>
    </w:rPr>
  </w:style>
  <w:style w:type="numbering" w:customStyle="1" w:styleId="BulletList">
    <w:name w:val="Bullet List"/>
    <w:basedOn w:val="NoList"/>
    <w:rsid w:val="006606E3"/>
    <w:pPr>
      <w:numPr>
        <w:numId w:val="8"/>
      </w:numPr>
    </w:pPr>
  </w:style>
  <w:style w:type="paragraph" w:customStyle="1" w:styleId="DCHHeading">
    <w:name w:val="DCH Heading"/>
    <w:link w:val="DCHHeadingCharChar"/>
    <w:rsid w:val="006606E3"/>
    <w:pPr>
      <w:spacing w:before="0"/>
    </w:pPr>
    <w:rPr>
      <w:rFonts w:ascii="Calibri" w:eastAsia="Times New Roman" w:hAnsi="Calibri" w:cs="Arial"/>
      <w:b/>
      <w:color w:val="333399"/>
      <w:sz w:val="24"/>
      <w:szCs w:val="28"/>
    </w:rPr>
  </w:style>
  <w:style w:type="paragraph" w:customStyle="1" w:styleId="FooterRightAligned">
    <w:name w:val="Footer Right Aligned"/>
    <w:basedOn w:val="Footer"/>
    <w:rsid w:val="006606E3"/>
    <w:pPr>
      <w:tabs>
        <w:tab w:val="clear" w:pos="4513"/>
        <w:tab w:val="clear" w:pos="9026"/>
        <w:tab w:val="center" w:pos="4153"/>
        <w:tab w:val="right" w:pos="8306"/>
      </w:tabs>
      <w:spacing w:before="0"/>
      <w:jc w:val="right"/>
    </w:pPr>
    <w:rPr>
      <w:rFonts w:ascii="Calibri" w:eastAsia="Times New Roman" w:hAnsi="Calibri" w:cs="Arial"/>
      <w:color w:val="808080"/>
      <w:sz w:val="20"/>
      <w:szCs w:val="28"/>
    </w:rPr>
  </w:style>
  <w:style w:type="numbering" w:customStyle="1" w:styleId="NumberedList">
    <w:name w:val="Numbered List"/>
    <w:basedOn w:val="NoList"/>
    <w:rsid w:val="006606E3"/>
    <w:pPr>
      <w:numPr>
        <w:numId w:val="9"/>
      </w:numPr>
    </w:pPr>
  </w:style>
  <w:style w:type="paragraph" w:customStyle="1" w:styleId="Version">
    <w:name w:val="Version"/>
    <w:basedOn w:val="Heading1"/>
    <w:rsid w:val="006606E3"/>
    <w:pPr>
      <w:keepNext w:val="0"/>
      <w:keepLines w:val="0"/>
      <w:pBdr>
        <w:top w:val="none" w:sz="0" w:space="0" w:color="auto"/>
      </w:pBdr>
      <w:spacing w:before="0" w:after="120"/>
      <w:contextualSpacing/>
      <w:jc w:val="center"/>
    </w:pPr>
    <w:rPr>
      <w:rFonts w:ascii="Calibri" w:eastAsia="Times New Roman" w:hAnsi="Calibri" w:cs="Times New Roman"/>
      <w:b/>
      <w:color w:val="333399"/>
      <w:lang w:eastAsia="en-AU"/>
    </w:rPr>
  </w:style>
  <w:style w:type="character" w:customStyle="1" w:styleId="Donotuse">
    <w:name w:val="Do not use"/>
    <w:rsid w:val="006606E3"/>
    <w:rPr>
      <w:color w:val="808080"/>
      <w:sz w:val="22"/>
    </w:rPr>
  </w:style>
  <w:style w:type="paragraph" w:customStyle="1" w:styleId="DisclaimerText">
    <w:name w:val="Disclaimer Text"/>
    <w:basedOn w:val="Normal"/>
    <w:rsid w:val="006606E3"/>
    <w:pPr>
      <w:autoSpaceDE w:val="0"/>
      <w:autoSpaceDN w:val="0"/>
      <w:adjustRightInd w:val="0"/>
      <w:spacing w:before="0"/>
    </w:pPr>
    <w:rPr>
      <w:rFonts w:ascii="Calibri" w:eastAsia="Times New Roman" w:hAnsi="Calibri" w:cs="Arial"/>
      <w:bCs/>
      <w:sz w:val="20"/>
      <w:szCs w:val="24"/>
      <w:lang w:eastAsia="en-AU"/>
    </w:rPr>
  </w:style>
  <w:style w:type="paragraph" w:customStyle="1" w:styleId="Disclaimer">
    <w:name w:val="Disclaimer"/>
    <w:basedOn w:val="DisclaimerText"/>
    <w:link w:val="DisclaimerChar"/>
    <w:rsid w:val="006606E3"/>
    <w:pPr>
      <w:autoSpaceDE/>
      <w:autoSpaceDN/>
      <w:adjustRightInd/>
      <w:spacing w:before="5040"/>
    </w:pPr>
    <w:rPr>
      <w:rFonts w:cs="Times New Roman"/>
      <w:bCs w:val="0"/>
      <w:szCs w:val="20"/>
    </w:rPr>
  </w:style>
  <w:style w:type="character" w:customStyle="1" w:styleId="DisclaimerChar">
    <w:name w:val="Disclaimer Char"/>
    <w:basedOn w:val="DefaultParagraphFont"/>
    <w:link w:val="Disclaimer"/>
    <w:rsid w:val="006606E3"/>
    <w:rPr>
      <w:rFonts w:ascii="Calibri" w:eastAsia="Times New Roman" w:hAnsi="Calibri" w:cs="Times New Roman"/>
      <w:sz w:val="20"/>
      <w:szCs w:val="20"/>
      <w:lang w:eastAsia="en-AU"/>
    </w:rPr>
  </w:style>
  <w:style w:type="paragraph" w:customStyle="1" w:styleId="FlowChartText">
    <w:name w:val="Flow Chart Text"/>
    <w:basedOn w:val="Normal"/>
    <w:rsid w:val="006606E3"/>
    <w:pPr>
      <w:spacing w:before="0"/>
      <w:jc w:val="center"/>
    </w:pPr>
    <w:rPr>
      <w:rFonts w:ascii="Calibri" w:eastAsia="Times New Roman" w:hAnsi="Calibri" w:cs="Times New Roman"/>
      <w:b/>
      <w:sz w:val="20"/>
      <w:szCs w:val="20"/>
      <w:lang w:eastAsia="en-AU"/>
    </w:rPr>
  </w:style>
  <w:style w:type="paragraph" w:customStyle="1" w:styleId="TableTextRightAligned">
    <w:name w:val="Table Text Right Aligned"/>
    <w:basedOn w:val="Normal"/>
    <w:rsid w:val="006606E3"/>
    <w:pPr>
      <w:autoSpaceDE w:val="0"/>
      <w:autoSpaceDN w:val="0"/>
      <w:adjustRightInd w:val="0"/>
      <w:spacing w:before="60" w:after="60"/>
      <w:contextualSpacing/>
      <w:jc w:val="right"/>
    </w:pPr>
    <w:rPr>
      <w:rFonts w:ascii="Calibri" w:eastAsia="Times New Roman" w:hAnsi="Calibri" w:cs="Times New Roman"/>
      <w:sz w:val="20"/>
      <w:szCs w:val="24"/>
      <w:lang w:eastAsia="en-AU"/>
    </w:rPr>
  </w:style>
  <w:style w:type="paragraph" w:customStyle="1" w:styleId="TableNumberedleftbold">
    <w:name w:val="Table Numbered left bold"/>
    <w:basedOn w:val="Normal"/>
    <w:qFormat/>
    <w:rsid w:val="006606E3"/>
    <w:pPr>
      <w:spacing w:before="0"/>
    </w:pPr>
    <w:rPr>
      <w:rFonts w:ascii="Calibri" w:eastAsia="Times New Roman" w:hAnsi="Calibri" w:cs="Arial"/>
      <w:b/>
      <w:bCs/>
      <w:lang w:eastAsia="en-AU"/>
    </w:rPr>
  </w:style>
  <w:style w:type="paragraph" w:customStyle="1" w:styleId="TableBlackHeading">
    <w:name w:val="Table Black Heading"/>
    <w:basedOn w:val="Normal"/>
    <w:link w:val="TableBlackHeadingChar"/>
    <w:qFormat/>
    <w:rsid w:val="006606E3"/>
    <w:pPr>
      <w:spacing w:before="0"/>
    </w:pPr>
    <w:rPr>
      <w:rFonts w:ascii="Calibri" w:eastAsia="Times New Roman" w:hAnsi="Calibri" w:cs="Arial"/>
      <w:b/>
      <w:sz w:val="24"/>
      <w:szCs w:val="28"/>
    </w:rPr>
  </w:style>
  <w:style w:type="character" w:customStyle="1" w:styleId="TableBlackHeadingChar">
    <w:name w:val="Table Black Heading Char"/>
    <w:basedOn w:val="DefaultParagraphFont"/>
    <w:link w:val="TableBlackHeading"/>
    <w:rsid w:val="006606E3"/>
    <w:rPr>
      <w:rFonts w:ascii="Calibri" w:eastAsia="Times New Roman" w:hAnsi="Calibri" w:cs="Arial"/>
      <w:b/>
      <w:sz w:val="24"/>
      <w:szCs w:val="28"/>
    </w:rPr>
  </w:style>
  <w:style w:type="character" w:customStyle="1" w:styleId="DCHHeadingCharChar">
    <w:name w:val="DCH Heading Char Char"/>
    <w:basedOn w:val="DefaultParagraphFont"/>
    <w:link w:val="DCHHeading"/>
    <w:rsid w:val="006606E3"/>
    <w:rPr>
      <w:rFonts w:ascii="Calibri" w:eastAsia="Times New Roman" w:hAnsi="Calibri" w:cs="Arial"/>
      <w:b/>
      <w:color w:val="333399"/>
      <w:sz w:val="24"/>
      <w:szCs w:val="28"/>
    </w:rPr>
  </w:style>
  <w:style w:type="paragraph" w:customStyle="1" w:styleId="NormalItalic">
    <w:name w:val="Normal Italic"/>
    <w:basedOn w:val="Normal"/>
    <w:link w:val="NormalItalicChar"/>
    <w:rsid w:val="006606E3"/>
    <w:pPr>
      <w:spacing w:before="0"/>
    </w:pPr>
    <w:rPr>
      <w:rFonts w:ascii="Calibri" w:eastAsia="Times New Roman" w:hAnsi="Calibri" w:cs="Times New Roman"/>
      <w:i/>
      <w:szCs w:val="24"/>
      <w:lang w:eastAsia="en-AU"/>
    </w:rPr>
  </w:style>
  <w:style w:type="character" w:customStyle="1" w:styleId="NormalItalicChar">
    <w:name w:val="Normal Italic Char"/>
    <w:basedOn w:val="DefaultParagraphFont"/>
    <w:link w:val="NormalItalic"/>
    <w:rsid w:val="006606E3"/>
    <w:rPr>
      <w:rFonts w:ascii="Calibri" w:eastAsia="Times New Roman" w:hAnsi="Calibri" w:cs="Times New Roman"/>
      <w:i/>
      <w:szCs w:val="24"/>
      <w:lang w:eastAsia="en-AU"/>
    </w:rPr>
  </w:style>
  <w:style w:type="paragraph" w:customStyle="1" w:styleId="Boxtextbold">
    <w:name w:val="Box text bold"/>
    <w:basedOn w:val="Normal"/>
    <w:rsid w:val="006606E3"/>
    <w:pPr>
      <w:spacing w:before="0"/>
    </w:pPr>
    <w:rPr>
      <w:rFonts w:ascii="Calibri" w:eastAsia="Times New Roman" w:hAnsi="Calibri" w:cs="Times New Roman"/>
      <w:b/>
      <w:sz w:val="20"/>
      <w:szCs w:val="24"/>
      <w:lang w:eastAsia="en-AU"/>
    </w:rPr>
  </w:style>
  <w:style w:type="paragraph" w:customStyle="1" w:styleId="BoxBulletList">
    <w:name w:val="Box Bullet List"/>
    <w:basedOn w:val="Normal"/>
    <w:rsid w:val="006606E3"/>
    <w:pPr>
      <w:numPr>
        <w:numId w:val="11"/>
      </w:numPr>
      <w:spacing w:before="0"/>
    </w:pPr>
    <w:rPr>
      <w:rFonts w:ascii="Calibri" w:eastAsia="Times New Roman" w:hAnsi="Calibri" w:cs="Times New Roman"/>
      <w:color w:val="000000"/>
      <w:sz w:val="18"/>
      <w:szCs w:val="18"/>
      <w:lang w:eastAsia="en-AU"/>
    </w:rPr>
  </w:style>
  <w:style w:type="paragraph" w:styleId="ListNumber">
    <w:name w:val="List Number"/>
    <w:basedOn w:val="Normal"/>
    <w:rsid w:val="006606E3"/>
    <w:pPr>
      <w:numPr>
        <w:numId w:val="10"/>
      </w:numPr>
      <w:spacing w:before="0"/>
      <w:contextualSpacing/>
    </w:pPr>
    <w:rPr>
      <w:rFonts w:ascii="Calibri" w:eastAsia="Times New Roman" w:hAnsi="Calibri" w:cs="Times New Roman"/>
      <w:szCs w:val="24"/>
      <w:lang w:eastAsia="en-AU"/>
    </w:rPr>
  </w:style>
  <w:style w:type="paragraph" w:styleId="ListNumber2">
    <w:name w:val="List Number 2"/>
    <w:basedOn w:val="Normal"/>
    <w:rsid w:val="006606E3"/>
    <w:pPr>
      <w:numPr>
        <w:ilvl w:val="1"/>
        <w:numId w:val="10"/>
      </w:numPr>
      <w:spacing w:before="0"/>
      <w:contextualSpacing/>
    </w:pPr>
    <w:rPr>
      <w:rFonts w:ascii="Calibri" w:eastAsia="Times New Roman" w:hAnsi="Calibri" w:cs="Times New Roman"/>
      <w:szCs w:val="24"/>
      <w:lang w:eastAsia="en-AU"/>
    </w:rPr>
  </w:style>
  <w:style w:type="paragraph" w:styleId="Subtitle">
    <w:name w:val="Subtitle"/>
    <w:basedOn w:val="Normal"/>
    <w:next w:val="Normal"/>
    <w:link w:val="SubtitleChar"/>
    <w:uiPriority w:val="11"/>
    <w:qFormat/>
    <w:rsid w:val="006606E3"/>
    <w:pPr>
      <w:numPr>
        <w:ilvl w:val="1"/>
      </w:numPr>
      <w:spacing w:after="120"/>
    </w:pPr>
    <w:rPr>
      <w:rFonts w:eastAsiaTheme="majorEastAsia" w:cstheme="majorBidi"/>
      <w:iCs/>
      <w:color w:val="2F5496" w:themeColor="accent5" w:themeShade="BF"/>
      <w:spacing w:val="15"/>
      <w:sz w:val="26"/>
      <w:szCs w:val="20"/>
      <w:lang w:eastAsia="en-AU"/>
    </w:rPr>
  </w:style>
  <w:style w:type="character" w:customStyle="1" w:styleId="SubtitleChar">
    <w:name w:val="Subtitle Char"/>
    <w:basedOn w:val="DefaultParagraphFont"/>
    <w:link w:val="Subtitle"/>
    <w:uiPriority w:val="11"/>
    <w:rsid w:val="006606E3"/>
    <w:rPr>
      <w:rFonts w:eastAsiaTheme="majorEastAsia" w:cstheme="majorBidi"/>
      <w:iCs/>
      <w:color w:val="2F5496" w:themeColor="accent5" w:themeShade="BF"/>
      <w:spacing w:val="15"/>
      <w:sz w:val="26"/>
      <w:szCs w:val="20"/>
      <w:lang w:eastAsia="en-AU"/>
    </w:rPr>
  </w:style>
  <w:style w:type="paragraph" w:styleId="NormalWeb">
    <w:name w:val="Normal (Web)"/>
    <w:basedOn w:val="Normal"/>
    <w:uiPriority w:val="99"/>
    <w:semiHidden/>
    <w:unhideWhenUsed/>
    <w:rsid w:val="006606E3"/>
    <w:pPr>
      <w:spacing w:before="100" w:beforeAutospacing="1" w:after="100" w:afterAutospacing="1"/>
    </w:pPr>
    <w:rPr>
      <w:rFonts w:ascii="Times New Roman" w:eastAsiaTheme="minorEastAsia" w:hAnsi="Times New Roman" w:cs="Times New Roman"/>
      <w:sz w:val="24"/>
      <w:szCs w:val="24"/>
      <w:lang w:eastAsia="en-AU"/>
    </w:rPr>
  </w:style>
  <w:style w:type="numbering" w:customStyle="1" w:styleId="NoList1">
    <w:name w:val="No List1"/>
    <w:next w:val="NoList"/>
    <w:uiPriority w:val="99"/>
    <w:semiHidden/>
    <w:unhideWhenUsed/>
    <w:rsid w:val="006606E3"/>
  </w:style>
  <w:style w:type="numbering" w:customStyle="1" w:styleId="NoList11">
    <w:name w:val="No List11"/>
    <w:next w:val="NoList"/>
    <w:uiPriority w:val="99"/>
    <w:semiHidden/>
    <w:unhideWhenUsed/>
    <w:rsid w:val="006606E3"/>
  </w:style>
  <w:style w:type="paragraph" w:styleId="BodyText">
    <w:name w:val="Body Text"/>
    <w:basedOn w:val="Normal"/>
    <w:link w:val="BodyTextChar"/>
    <w:rsid w:val="006606E3"/>
    <w:pPr>
      <w:spacing w:before="0"/>
    </w:pPr>
    <w:rPr>
      <w:rFonts w:ascii="Tahoma" w:eastAsia="Times New Roman" w:hAnsi="Tahoma" w:cs="Times New Roman"/>
      <w:sz w:val="18"/>
      <w:szCs w:val="19"/>
      <w:lang w:val="en-US"/>
    </w:rPr>
  </w:style>
  <w:style w:type="character" w:customStyle="1" w:styleId="BodyTextChar">
    <w:name w:val="Body Text Char"/>
    <w:basedOn w:val="DefaultParagraphFont"/>
    <w:link w:val="BodyText"/>
    <w:rsid w:val="006606E3"/>
    <w:rPr>
      <w:rFonts w:ascii="Tahoma" w:eastAsia="Times New Roman" w:hAnsi="Tahoma" w:cs="Times New Roman"/>
      <w:sz w:val="18"/>
      <w:szCs w:val="19"/>
      <w:lang w:val="en-US"/>
    </w:rPr>
  </w:style>
  <w:style w:type="paragraph" w:customStyle="1" w:styleId="StyleBottomSinglesolidlineAuto15ptLinewidth">
    <w:name w:val="Style Bottom: (Single solid line Auto  1.5 pt Line width)"/>
    <w:basedOn w:val="Normal"/>
    <w:rsid w:val="006606E3"/>
    <w:pPr>
      <w:pBdr>
        <w:bottom w:val="single" w:sz="4" w:space="1" w:color="808080"/>
      </w:pBdr>
      <w:spacing w:before="0"/>
    </w:pPr>
    <w:rPr>
      <w:rFonts w:ascii="Tahoma" w:eastAsia="Times New Roman" w:hAnsi="Tahoma" w:cs="Times New Roman"/>
      <w:sz w:val="18"/>
      <w:szCs w:val="20"/>
      <w:lang w:val="en-US"/>
    </w:rPr>
  </w:style>
  <w:style w:type="paragraph" w:customStyle="1" w:styleId="FieldText">
    <w:name w:val="Field Text"/>
    <w:basedOn w:val="BodyText"/>
    <w:link w:val="FieldTextChar"/>
    <w:rsid w:val="006606E3"/>
    <w:rPr>
      <w:b/>
    </w:rPr>
  </w:style>
  <w:style w:type="character" w:customStyle="1" w:styleId="FieldTextChar">
    <w:name w:val="Field Text Char"/>
    <w:basedOn w:val="BodyTextChar"/>
    <w:link w:val="FieldText"/>
    <w:rsid w:val="006606E3"/>
    <w:rPr>
      <w:rFonts w:ascii="Tahoma" w:eastAsia="Times New Roman" w:hAnsi="Tahoma" w:cs="Times New Roman"/>
      <w:b/>
      <w:sz w:val="18"/>
      <w:szCs w:val="19"/>
      <w:lang w:val="en-US"/>
    </w:rPr>
  </w:style>
  <w:style w:type="paragraph" w:customStyle="1" w:styleId="Pa4">
    <w:name w:val="Pa4"/>
    <w:basedOn w:val="Normal"/>
    <w:next w:val="Normal"/>
    <w:uiPriority w:val="99"/>
    <w:rsid w:val="006606E3"/>
    <w:pPr>
      <w:autoSpaceDE w:val="0"/>
      <w:autoSpaceDN w:val="0"/>
      <w:adjustRightInd w:val="0"/>
      <w:spacing w:before="0" w:line="191" w:lineRule="atLeast"/>
    </w:pPr>
    <w:rPr>
      <w:rFonts w:ascii="Univers 45 Light" w:eastAsia="Times New Roman" w:hAnsi="Univers 45 Light" w:cs="Times New Roman"/>
      <w:sz w:val="24"/>
      <w:szCs w:val="24"/>
      <w:lang w:eastAsia="en-AU"/>
    </w:rPr>
  </w:style>
  <w:style w:type="character" w:styleId="PlaceholderText">
    <w:name w:val="Placeholder Text"/>
    <w:basedOn w:val="DefaultParagraphFont"/>
    <w:uiPriority w:val="99"/>
    <w:semiHidden/>
    <w:rsid w:val="006606E3"/>
    <w:rPr>
      <w:color w:val="808080"/>
    </w:rPr>
  </w:style>
  <w:style w:type="paragraph" w:customStyle="1" w:styleId="Body">
    <w:name w:val="Body"/>
    <w:basedOn w:val="Normal"/>
    <w:link w:val="BodyChar"/>
    <w:qFormat/>
    <w:rsid w:val="006606E3"/>
    <w:pPr>
      <w:spacing w:before="240" w:after="240" w:line="276" w:lineRule="auto"/>
    </w:pPr>
    <w:rPr>
      <w:rFonts w:eastAsiaTheme="minorEastAsia"/>
      <w:lang w:eastAsia="en-AU"/>
    </w:rPr>
  </w:style>
  <w:style w:type="character" w:customStyle="1" w:styleId="BodyChar">
    <w:name w:val="Body Char"/>
    <w:basedOn w:val="DefaultParagraphFont"/>
    <w:link w:val="Body"/>
    <w:rsid w:val="006606E3"/>
    <w:rPr>
      <w:rFonts w:eastAsiaTheme="minorEastAsia"/>
      <w:lang w:eastAsia="en-AU"/>
    </w:rPr>
  </w:style>
  <w:style w:type="character" w:customStyle="1" w:styleId="st1">
    <w:name w:val="st1"/>
    <w:basedOn w:val="DefaultParagraphFont"/>
    <w:rsid w:val="006606E3"/>
  </w:style>
  <w:style w:type="character" w:customStyle="1" w:styleId="escbc-div2">
    <w:name w:val="escbc-div2"/>
    <w:basedOn w:val="DefaultParagraphFont"/>
    <w:rsid w:val="006606E3"/>
  </w:style>
  <w:style w:type="character" w:customStyle="1" w:styleId="GDV5-Orange">
    <w:name w:val="GDV 5 - Orange"/>
    <w:basedOn w:val="DefaultParagraphFont"/>
    <w:uiPriority w:val="1"/>
    <w:qFormat/>
    <w:rsid w:val="006606E3"/>
    <w:rPr>
      <w:rFonts w:ascii="Calibri" w:hAnsi="Calibri"/>
      <w:color w:val="538135" w:themeColor="accent6" w:themeShade="BF"/>
      <w:sz w:val="22"/>
    </w:rPr>
  </w:style>
  <w:style w:type="paragraph" w:customStyle="1" w:styleId="MELegal1">
    <w:name w:val="ME Legal 1"/>
    <w:aliases w:val="l1,ME Legal 11"/>
    <w:basedOn w:val="Normal"/>
    <w:locked/>
    <w:rsid w:val="00A1061D"/>
    <w:pPr>
      <w:numPr>
        <w:numId w:val="13"/>
      </w:numPr>
      <w:spacing w:before="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locked/>
    <w:rsid w:val="00A1061D"/>
    <w:pPr>
      <w:numPr>
        <w:ilvl w:val="1"/>
        <w:numId w:val="13"/>
      </w:numPr>
      <w:spacing w:before="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ocked/>
    <w:rsid w:val="00A1061D"/>
    <w:pPr>
      <w:numPr>
        <w:ilvl w:val="2"/>
        <w:numId w:val="13"/>
      </w:numPr>
      <w:spacing w:before="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locked/>
    <w:rsid w:val="00A1061D"/>
    <w:pPr>
      <w:numPr>
        <w:ilvl w:val="3"/>
        <w:numId w:val="13"/>
      </w:numPr>
      <w:spacing w:before="0" w:after="240" w:line="280" w:lineRule="atLeast"/>
      <w:outlineLvl w:val="3"/>
    </w:pPr>
    <w:rPr>
      <w:rFonts w:ascii="Calibri" w:eastAsia="Times New Roman" w:hAnsi="Calibri" w:cs="Angsana New"/>
      <w:lang w:eastAsia="zh-CN" w:bidi="th-TH"/>
    </w:rPr>
  </w:style>
  <w:style w:type="paragraph" w:customStyle="1" w:styleId="6ClsA">
    <w:name w:val="6. Cls (A)"/>
    <w:basedOn w:val="Normal"/>
    <w:qFormat/>
    <w:rsid w:val="00A1061D"/>
    <w:pPr>
      <w:numPr>
        <w:ilvl w:val="4"/>
        <w:numId w:val="13"/>
      </w:numPr>
      <w:spacing w:before="0" w:after="240" w:line="280" w:lineRule="atLeast"/>
      <w:outlineLvl w:val="4"/>
    </w:pPr>
    <w:rPr>
      <w:rFonts w:eastAsia="Times New Roman" w:cs="Angsana New"/>
      <w:lang w:eastAsia="zh-CN" w:bidi="th-TH"/>
    </w:rPr>
  </w:style>
  <w:style w:type="paragraph" w:customStyle="1" w:styleId="MELegal6">
    <w:name w:val="ME Legal 6"/>
    <w:basedOn w:val="Normal"/>
    <w:locked/>
    <w:rsid w:val="00A1061D"/>
    <w:pPr>
      <w:numPr>
        <w:ilvl w:val="5"/>
        <w:numId w:val="13"/>
      </w:numPr>
      <w:spacing w:before="0" w:after="240" w:line="280" w:lineRule="atLeast"/>
      <w:outlineLvl w:val="5"/>
    </w:pPr>
    <w:rPr>
      <w:rFonts w:ascii="Calibri" w:eastAsia="Times New Roman" w:hAnsi="Calibri" w:cs="Angsana New"/>
      <w:lang w:eastAsia="zh-CN" w:bidi="th-TH"/>
    </w:rPr>
  </w:style>
  <w:style w:type="character" w:styleId="UnresolvedMention">
    <w:name w:val="Unresolved Mention"/>
    <w:basedOn w:val="DefaultParagraphFont"/>
    <w:uiPriority w:val="99"/>
    <w:semiHidden/>
    <w:unhideWhenUsed/>
    <w:rsid w:val="00053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1006447511">
      <w:bodyDiv w:val="1"/>
      <w:marLeft w:val="0"/>
      <w:marRight w:val="0"/>
      <w:marTop w:val="0"/>
      <w:marBottom w:val="0"/>
      <w:divBdr>
        <w:top w:val="none" w:sz="0" w:space="0" w:color="auto"/>
        <w:left w:val="none" w:sz="0" w:space="0" w:color="auto"/>
        <w:bottom w:val="none" w:sz="0" w:space="0" w:color="auto"/>
        <w:right w:val="none" w:sz="0" w:space="0" w:color="auto"/>
      </w:divBdr>
    </w:div>
    <w:div w:id="1145051606">
      <w:bodyDiv w:val="1"/>
      <w:marLeft w:val="0"/>
      <w:marRight w:val="0"/>
      <w:marTop w:val="0"/>
      <w:marBottom w:val="0"/>
      <w:divBdr>
        <w:top w:val="none" w:sz="0" w:space="0" w:color="auto"/>
        <w:left w:val="none" w:sz="0" w:space="0" w:color="auto"/>
        <w:bottom w:val="none" w:sz="0" w:space="0" w:color="auto"/>
        <w:right w:val="none" w:sz="0" w:space="0" w:color="auto"/>
      </w:divBdr>
    </w:div>
    <w:div w:id="1302467578">
      <w:bodyDiv w:val="1"/>
      <w:marLeft w:val="0"/>
      <w:marRight w:val="0"/>
      <w:marTop w:val="0"/>
      <w:marBottom w:val="0"/>
      <w:divBdr>
        <w:top w:val="none" w:sz="0" w:space="0" w:color="auto"/>
        <w:left w:val="none" w:sz="0" w:space="0" w:color="auto"/>
        <w:bottom w:val="none" w:sz="0" w:space="0" w:color="auto"/>
        <w:right w:val="none" w:sz="0" w:space="0" w:color="auto"/>
      </w:divBdr>
    </w:div>
    <w:div w:id="20196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ynamic.reports.employment.gov.au/bi/hub/stream/bf7cb396-cbdf-4add-95de-b621d68f2e8c"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eports.employment.gov.au/PORTAL/"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learningcentre.employment.gov.au/" TargetMode="Externa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ecsnaccessintranet.hosts.application.enet/ProviderPortal/TWES/Guidelines/pages/Default.aspx" TargetMode="External"/><Relationship Id="rId23" Type="http://schemas.openxmlformats.org/officeDocument/2006/relationships/hyperlink" Target="https://ecsnaccess.gov.au/ProviderPortal/TWES/ContractualInformation/pages/Default.asp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customXml" Target="../customXml/item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7A8BB11CF5612B4C917CB29342CE1011" ma:contentTypeVersion="47" ma:contentTypeDescription="Secure Site content type template for recording metadata for documents." ma:contentTypeScope="" ma:versionID="c23b106d55f3e3c9a6dbcb9e26ac4314">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473e2a7134c52a66c49d30b7908b9c5"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contains detailed information on the performance framework for delivering Services under the Time to Work Employment Service Deed 2018–2023 (the Deed), and assessing Provider performance. </ESCSSDescription>
    <ESCSSContentAuthorBranch xmlns="d4ed92f1-b901-42a9-bcc3-7b24959a6f87">335</ESCSSContentAuthorBranch>
    <ESCSSLocation xmlns="a232d271-55e7-4aa6-9ab7-ccc10e765e65">TWES/Guidelines/pages/Default.aspx</ESCSSLocation>
    <ESCSSEffectiveStartDate xmlns="d4ed92f1-b901-42a9-bcc3-7b24959a6f87">2022-08-23T14:00:00+00:00</ESCSSEffectiveStartDate>
    <ESCSSTopic xmlns="d4ed92f1-b901-42a9-bcc3-7b24959a6f87">472</ESCSSTopic>
    <ESCSSContentStatus xmlns="d4ed92f1-b901-42a9-bcc3-7b24959a6f87">Current</ESCSSContentStatus>
    <ESCSSSummaryOfUpdate xmlns="d4ed92f1-b901-42a9-bcc3-7b24959a6f87">General editing to reflect the additional 12 month extension to the Time to Work Employment Service Deed 2018–2023 and general editing intended to improve readability and reflect the replacement of jobactive with Workforce Australia Services.</ESCSSSummaryOfUpdate>
    <ESCSSKeywords xmlns="d4ed92f1-b901-42a9-bcc3-7b24959a6f87">Time to Work Performance Framework Guideline</ESCSSKeywords>
    <ESCSSSubject xmlns="d4ed92f1-b901-42a9-bcc3-7b24959a6f87">20220517-155521100107</ESCSSSubject>
    <ESCSSSiteGroup xmlns="d4ed92f1-b901-42a9-bcc3-7b24959a6f87">
      <Value>6</Value>
    </ESCSSSiteGroup>
    <ESCSSIncludeInNewsletter xmlns="d4ed92f1-b901-42a9-bcc3-7b24959a6f87">false</ESCSSIncludeInNewsletter>
    <ESCSSPublishingInstructions xmlns="d4ed92f1-b901-42a9-bcc3-7b24959a6f87">For updating PDF and DOCX the "Performance Framework Guideline" under the subheading "Guidelines" in: Program&gt;Operational Material&gt;TWES Guidelines under the Guidelines’ sub-heading. </ESCSSPublishingInstructions>
    <ESCSSIncludeInLatestUpdates xmlns="d4ed92f1-b901-42a9-bcc3-7b24959a6f87">false</ESCSSIncludeInLatestUpdates>
    <ESCSSContentAuthorTeam xmlns="d4ed92f1-b901-42a9-bcc3-7b24959a6f87">260</ESCSSContentAuthorTeam>
    <ESCSSContentApprover xmlns="d4ed92f1-b901-42a9-bcc3-7b24959a6f87">3481</ESCSSContentApprover>
    <ESCSSContentAuthor xmlns="d4ed92f1-b901-42a9-bcc3-7b24959a6f87">1194</ESCSSContentAuthor>
    <ESCSSPublishingContentAuthorEmail xmlns="d4ed92f1-b901-42a9-bcc3-7b24959a6f87">angus.yeates@dese.gov.au</ESCSSPublishingContentAuthorEmail>
    <ESCSSPublishingAuthorisingBranchHead xmlns="d4ed92f1-b901-42a9-bcc3-7b24959a6f87">3513</ESCSSPublishingAuthorisingBranchHead>
    <ESCSSDocumentId xmlns="d4ed92f1-b901-42a9-bcc3-7b24959a6f87">D22/562984 Clean D22/562985 Tracked</ESCSSDocumentId>
    <ESCSSReviewDate xmlns="d4ed92f1-b901-42a9-bcc3-7b24959a6f87" xsi:nil="true"/>
  </documentManagement>
</p:properties>
</file>

<file path=customXml/itemProps1.xml><?xml version="1.0" encoding="utf-8"?>
<ds:datastoreItem xmlns:ds="http://schemas.openxmlformats.org/officeDocument/2006/customXml" ds:itemID="{079E849A-57C2-4166-B9EF-CF0FA7791BDD}">
  <ds:schemaRefs>
    <ds:schemaRef ds:uri="http://schemas.openxmlformats.org/officeDocument/2006/bibliography"/>
  </ds:schemaRefs>
</ds:datastoreItem>
</file>

<file path=customXml/itemProps2.xml><?xml version="1.0" encoding="utf-8"?>
<ds:datastoreItem xmlns:ds="http://schemas.openxmlformats.org/officeDocument/2006/customXml" ds:itemID="{20D124AF-6DFB-4100-AD2B-29A7EC8E29D6}"/>
</file>

<file path=customXml/itemProps3.xml><?xml version="1.0" encoding="utf-8"?>
<ds:datastoreItem xmlns:ds="http://schemas.openxmlformats.org/officeDocument/2006/customXml" ds:itemID="{4765CD88-F1DE-4626-919B-2290984368F0}"/>
</file>

<file path=customXml/itemProps4.xml><?xml version="1.0" encoding="utf-8"?>
<ds:datastoreItem xmlns:ds="http://schemas.openxmlformats.org/officeDocument/2006/customXml" ds:itemID="{9478B753-D586-439A-9FB3-47D1DAB23086}"/>
</file>

<file path=docProps/app.xml><?xml version="1.0" encoding="utf-8"?>
<Properties xmlns="http://schemas.openxmlformats.org/officeDocument/2006/extended-properties" xmlns:vt="http://schemas.openxmlformats.org/officeDocument/2006/docPropsVTypes">
  <Template>Normal.dotm</Template>
  <TotalTime>0</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Framework Guideline V1.2</dc:title>
  <dc:creator/>
  <cp:lastModifiedBy/>
  <cp:revision>1</cp:revision>
  <dcterms:created xsi:type="dcterms:W3CDTF">2022-06-27T00:20:00Z</dcterms:created>
  <dcterms:modified xsi:type="dcterms:W3CDTF">2022-06-27T00:22:00Z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2022-06-24T07:08:16Z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43940e3e-5f69-4951-8589-8794ab8dc9fd</vt:lpwstr>
  </property>
  <property fmtid="{D5CDD505-2E9C-101B-9397-08002B2CF9AE}" pid="8" name="MSIP_Label_79d889eb-932f-4752-8739-64d25806ef64_ContentBits">
    <vt:lpwstr>0</vt:lpwstr>
  </property>
  <property fmtid="{D5CDD505-2E9C-101B-9397-08002B2CF9AE}" pid="9" name="ContentTypeId">
    <vt:lpwstr>0x0101001FFFC1AF147C4F5C9369E689092D514B007A8BB11CF5612B4C917CB29342CE1011</vt:lpwstr>
  </property>
</Properties>
</file>