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87BF" w14:textId="555F3FB7" w:rsidR="00CB4C94" w:rsidRDefault="00880A9B" w:rsidP="00CB4C94">
      <w:pPr>
        <w:spacing w:before="0"/>
      </w:pPr>
      <w:r w:rsidRPr="005476C6">
        <w:rPr>
          <w:noProof/>
          <w:sz w:val="24"/>
          <w:szCs w:val="24"/>
          <w:lang w:eastAsia="en-AU"/>
        </w:rPr>
        <w:drawing>
          <wp:inline distT="0" distB="0" distL="0" distR="0" wp14:anchorId="421C208E" wp14:editId="2271913C">
            <wp:extent cx="2200910" cy="674472"/>
            <wp:effectExtent l="0" t="0" r="889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00910" cy="674472"/>
                    </a:xfrm>
                    <a:prstGeom prst="rect">
                      <a:avLst/>
                    </a:prstGeom>
                    <a:noFill/>
                    <a:ln>
                      <a:noFill/>
                    </a:ln>
                  </pic:spPr>
                </pic:pic>
              </a:graphicData>
            </a:graphic>
          </wp:inline>
        </w:drawing>
      </w:r>
    </w:p>
    <w:p w14:paraId="47861ED6" w14:textId="6D476C75" w:rsidR="000F7631" w:rsidRDefault="00880A9B" w:rsidP="00780991">
      <w:pPr>
        <w:pStyle w:val="Title"/>
        <w:spacing w:before="720"/>
      </w:pPr>
      <w:r>
        <w:t>Records Management</w:t>
      </w:r>
      <w:r w:rsidR="008B10EF">
        <w:t xml:space="preserve">, Privacy </w:t>
      </w:r>
      <w:r>
        <w:t>and E</w:t>
      </w:r>
      <w:r w:rsidR="002E0DC1">
        <w:t xml:space="preserve">xternal Systems Assurance Framework </w:t>
      </w:r>
      <w:r w:rsidR="000F7631">
        <w:t>Guideline</w:t>
      </w:r>
      <w:r w:rsidR="00556104">
        <w:t>s</w:t>
      </w:r>
    </w:p>
    <w:p w14:paraId="31B4D7FE" w14:textId="77777777" w:rsidR="00A62596" w:rsidRDefault="00A62596" w:rsidP="00613A55">
      <w:pPr>
        <w:pStyle w:val="FrontPageHeading"/>
      </w:pPr>
      <w:r>
        <w:t>Disclaimer</w:t>
      </w:r>
    </w:p>
    <w:p w14:paraId="01CEF48F" w14:textId="440BEB18" w:rsidR="00A62596" w:rsidRDefault="00A62596" w:rsidP="006449F1">
      <w:r>
        <w:t xml:space="preserve">This </w:t>
      </w:r>
      <w:r w:rsidRPr="006449F1">
        <w:rPr>
          <w:rStyle w:val="1AllTextUnderline"/>
          <w:bCs w:val="0"/>
          <w:iCs w:val="0"/>
          <w:u w:val="none"/>
        </w:rPr>
        <w:t>Guideline</w:t>
      </w:r>
      <w:r>
        <w:t xml:space="preserve"> is not a stand-alone document and does not contain the entirety of Provider obligations. It must be read in conjunction </w:t>
      </w:r>
      <w:r w:rsidRPr="00D91D7D">
        <w:rPr>
          <w:rStyle w:val="1AllTextNormalCharacter"/>
        </w:rPr>
        <w:t xml:space="preserve">with </w:t>
      </w:r>
      <w:r w:rsidR="0022696A" w:rsidRPr="00D91D7D">
        <w:rPr>
          <w:rStyle w:val="1AllTextNormalCharacter"/>
        </w:rPr>
        <w:t>the</w:t>
      </w:r>
      <w:r w:rsidR="003C0F90" w:rsidRPr="00D91D7D">
        <w:rPr>
          <w:rStyle w:val="1AllTextNormalCharacter"/>
        </w:rPr>
        <w:t xml:space="preserve"> </w:t>
      </w:r>
      <w:r w:rsidR="0022696A" w:rsidRPr="00D91D7D">
        <w:rPr>
          <w:rStyle w:val="1AllTextNormalCharacter"/>
        </w:rPr>
        <w:t xml:space="preserve">employment services </w:t>
      </w:r>
      <w:r w:rsidRPr="00D91D7D">
        <w:rPr>
          <w:rStyle w:val="1AllTextNormalCharacter"/>
        </w:rPr>
        <w:t>Deed</w:t>
      </w:r>
      <w:r w:rsidR="001238B1" w:rsidRPr="00D91D7D">
        <w:rPr>
          <w:rStyle w:val="1AllTextNormalCharacter"/>
        </w:rPr>
        <w:t>(s)</w:t>
      </w:r>
      <w:r w:rsidR="0022696A" w:rsidRPr="00D91D7D">
        <w:rPr>
          <w:rStyle w:val="1AllTextNormalCharacter"/>
        </w:rPr>
        <w:t xml:space="preserve"> relevant to your organisation</w:t>
      </w:r>
      <w:r w:rsidRPr="00D91D7D">
        <w:rPr>
          <w:rStyle w:val="1AllTextNormalCharacter"/>
        </w:rPr>
        <w:t xml:space="preserve"> (the</w:t>
      </w:r>
      <w:r>
        <w:t xml:space="preserve"> </w:t>
      </w:r>
      <w:r w:rsidRPr="007C394A">
        <w:rPr>
          <w:rStyle w:val="1AllTextBold"/>
        </w:rPr>
        <w:t>Deed</w:t>
      </w:r>
      <w:r>
        <w:t>)</w:t>
      </w:r>
      <w:r w:rsidR="006449F1">
        <w:t xml:space="preserve">, including </w:t>
      </w:r>
      <w:r>
        <w:t xml:space="preserve">any relevant Guidelines </w:t>
      </w:r>
      <w:r w:rsidR="006449F1">
        <w:t>and</w:t>
      </w:r>
      <w:r>
        <w:t xml:space="preserve"> reference material issued by </w:t>
      </w:r>
      <w:r w:rsidR="00402A1A">
        <w:t xml:space="preserve">the </w:t>
      </w:r>
      <w:r>
        <w:t xml:space="preserve">Department of </w:t>
      </w:r>
      <w:r w:rsidR="00CB4C94">
        <w:t>Employment and Workplace Relations</w:t>
      </w:r>
      <w:r>
        <w:t xml:space="preserve"> under or in connection with the Deed</w:t>
      </w:r>
      <w:r w:rsidR="001238B1">
        <w:t>(s)</w:t>
      </w:r>
      <w:r>
        <w:t>.</w:t>
      </w:r>
      <w:r w:rsidR="005E4E28" w:rsidRPr="005E4E28">
        <w:t xml:space="preserve"> </w:t>
      </w:r>
    </w:p>
    <w:p w14:paraId="45629902" w14:textId="1EB47738" w:rsidR="00372EB7" w:rsidRPr="006449F1" w:rsidRDefault="006449F1" w:rsidP="006449F1">
      <w:r w:rsidRPr="006449F1">
        <w:t xml:space="preserve">This Guideline </w:t>
      </w:r>
      <w:r w:rsidRPr="006449F1">
        <w:rPr>
          <w:rStyle w:val="1AllTextNormalCharacter"/>
        </w:rPr>
        <w:t>is not legal advice</w:t>
      </w:r>
      <w:r w:rsidRPr="006449F1">
        <w:t xml:space="preserve"> </w:t>
      </w:r>
      <w:r w:rsidRPr="00D91D7D">
        <w:rPr>
          <w:rStyle w:val="1AllTextNormalCharacter"/>
        </w:rPr>
        <w:t>and the Commonwealth accepts no liability for any action purportedly taken in reliance upon it</w:t>
      </w:r>
      <w:r w:rsidR="001238B1" w:rsidRPr="00D91D7D">
        <w:rPr>
          <w:rStyle w:val="1AllTextNormalCharacter"/>
        </w:rPr>
        <w:t xml:space="preserve"> and assumes no responsibility for the delivery of the Services</w:t>
      </w:r>
      <w:r w:rsidRPr="00D91D7D">
        <w:rPr>
          <w:rStyle w:val="1AllTextNormalCharacter"/>
        </w:rPr>
        <w:t>. This Guideline does not reduce the obligation of Providers to comply with their relevant legal</w:t>
      </w:r>
      <w:r w:rsidRPr="006449F1">
        <w:t xml:space="preserve"> obligations and, to the extent </w:t>
      </w:r>
      <w:r w:rsidR="001238B1">
        <w:t xml:space="preserve">that </w:t>
      </w:r>
      <w:r w:rsidRPr="006449F1">
        <w:t>this Guideline is inconsistent with obligations under the Privacy Act, Social Security Law</w:t>
      </w:r>
      <w:r w:rsidR="001238B1">
        <w:t>, the WHS Laws</w:t>
      </w:r>
      <w:r w:rsidRPr="006449F1">
        <w:t xml:space="preserve"> or any other legislation or laws relevant to the respective jurisdictions in which Providers operate, the relevant legislation </w:t>
      </w:r>
      <w:r w:rsidR="001238B1">
        <w:t xml:space="preserve">or laws </w:t>
      </w:r>
      <w:r w:rsidRPr="006449F1">
        <w:t xml:space="preserve">will prevail. </w:t>
      </w:r>
    </w:p>
    <w:p w14:paraId="1CD6CA13" w14:textId="49620509" w:rsidR="000F7631" w:rsidRDefault="000F7631" w:rsidP="00613A55">
      <w:pPr>
        <w:pStyle w:val="FrontPageHeading"/>
      </w:pPr>
      <w:r>
        <w:t>Version History</w:t>
      </w:r>
    </w:p>
    <w:p w14:paraId="316E8938" w14:textId="32594891" w:rsidR="00CA41FB" w:rsidRDefault="00CA41FB" w:rsidP="00CA41FB">
      <w:pPr>
        <w:tabs>
          <w:tab w:val="left" w:pos="2268"/>
          <w:tab w:val="left" w:pos="5812"/>
        </w:tabs>
      </w:pPr>
      <w:r w:rsidRPr="00307884">
        <w:rPr>
          <w:rStyle w:val="1AllTextBold"/>
        </w:rPr>
        <w:t xml:space="preserve">Version </w:t>
      </w:r>
      <w:r w:rsidR="00237C79">
        <w:rPr>
          <w:rStyle w:val="1AllTextBold"/>
        </w:rPr>
        <w:t>2</w:t>
      </w:r>
      <w:r w:rsidR="00E23E1A">
        <w:rPr>
          <w:rStyle w:val="1AllTextBold"/>
        </w:rPr>
        <w:t>.</w:t>
      </w:r>
      <w:r w:rsidR="00DF178C">
        <w:rPr>
          <w:rStyle w:val="1AllTextBold"/>
        </w:rPr>
        <w:t>3</w:t>
      </w:r>
      <w:r>
        <w:rPr>
          <w:rStyle w:val="1AllTextBold"/>
        </w:rPr>
        <w:tab/>
      </w:r>
      <w:r w:rsidRPr="00307884">
        <w:rPr>
          <w:rStyle w:val="1AllTextBold"/>
        </w:rPr>
        <w:t>Published</w:t>
      </w:r>
      <w:r>
        <w:rPr>
          <w:rStyle w:val="1AllTextBold"/>
        </w:rPr>
        <w:t xml:space="preserve"> on</w:t>
      </w:r>
      <w:r w:rsidRPr="00307884">
        <w:rPr>
          <w:rStyle w:val="1AllTextBold"/>
        </w:rPr>
        <w:t>:</w:t>
      </w:r>
      <w:r w:rsidR="007D00F2">
        <w:rPr>
          <w:rStyle w:val="1AllTextBold"/>
        </w:rPr>
        <w:t xml:space="preserve"> </w:t>
      </w:r>
      <w:r w:rsidR="00C958D5" w:rsidRPr="0026230D">
        <w:rPr>
          <w:rStyle w:val="1AllTextBold"/>
          <w:b w:val="0"/>
          <w:bCs w:val="0"/>
        </w:rPr>
        <w:t>8</w:t>
      </w:r>
      <w:r w:rsidR="009E7F86" w:rsidRPr="0026230D">
        <w:rPr>
          <w:rStyle w:val="1AllTextBold"/>
          <w:b w:val="0"/>
          <w:bCs w:val="0"/>
        </w:rPr>
        <w:t xml:space="preserve"> </w:t>
      </w:r>
      <w:r w:rsidR="00C575A5" w:rsidRPr="00C575A5">
        <w:rPr>
          <w:rStyle w:val="1AllTextBold"/>
          <w:b w:val="0"/>
          <w:bCs w:val="0"/>
        </w:rPr>
        <w:t>March</w:t>
      </w:r>
      <w:r w:rsidR="00C575A5" w:rsidRPr="00C958D5">
        <w:rPr>
          <w:rStyle w:val="1AllTextBold"/>
          <w:b w:val="0"/>
          <w:bCs w:val="0"/>
        </w:rPr>
        <w:t xml:space="preserve"> </w:t>
      </w:r>
      <w:r w:rsidR="00237C79" w:rsidRPr="0058665C">
        <w:rPr>
          <w:rStyle w:val="1AllTextBold"/>
          <w:b w:val="0"/>
          <w:bCs w:val="0"/>
        </w:rPr>
        <w:t>202</w:t>
      </w:r>
      <w:r w:rsidR="00DF178C">
        <w:rPr>
          <w:rStyle w:val="1AllTextBold"/>
          <w:b w:val="0"/>
          <w:bCs w:val="0"/>
        </w:rPr>
        <w:t>4</w:t>
      </w:r>
      <w:r>
        <w:rPr>
          <w:rStyle w:val="1AllTextBold"/>
        </w:rPr>
        <w:tab/>
      </w:r>
      <w:r w:rsidRPr="00307884">
        <w:rPr>
          <w:rStyle w:val="1AllTextBold"/>
        </w:rPr>
        <w:t>Effective</w:t>
      </w:r>
      <w:r>
        <w:rPr>
          <w:rStyle w:val="1AllTextBold"/>
        </w:rPr>
        <w:t xml:space="preserve"> from</w:t>
      </w:r>
      <w:r w:rsidRPr="00307884">
        <w:rPr>
          <w:rStyle w:val="1AllTextBold"/>
        </w:rPr>
        <w:t>:</w:t>
      </w:r>
      <w:r>
        <w:t xml:space="preserve"> </w:t>
      </w:r>
      <w:r w:rsidR="000F098F">
        <w:t xml:space="preserve">1 </w:t>
      </w:r>
      <w:r w:rsidR="00DF178C">
        <w:t xml:space="preserve">April </w:t>
      </w:r>
      <w:r w:rsidR="000F098F">
        <w:t>202</w:t>
      </w:r>
      <w:r w:rsidR="003279EF">
        <w:t>4</w:t>
      </w:r>
    </w:p>
    <w:p w14:paraId="57D70940" w14:textId="77777777" w:rsidR="00C958D5" w:rsidRDefault="002724C4" w:rsidP="003A68DF">
      <w:r>
        <w:t>In this version of the Guideline</w:t>
      </w:r>
      <w:r w:rsidR="00240209">
        <w:t xml:space="preserve"> </w:t>
      </w:r>
      <w:r w:rsidR="000F098F">
        <w:t>the</w:t>
      </w:r>
      <w:r w:rsidR="00C958D5">
        <w:t xml:space="preserve"> following Chapters have been updated:</w:t>
      </w:r>
    </w:p>
    <w:p w14:paraId="3D9B1F3A" w14:textId="77777777" w:rsidR="00C958D5" w:rsidRDefault="00C958D5" w:rsidP="00C958D5">
      <w:pPr>
        <w:pStyle w:val="ListParagraph"/>
        <w:numPr>
          <w:ilvl w:val="0"/>
          <w:numId w:val="39"/>
        </w:numPr>
      </w:pPr>
      <w:r>
        <w:t>Records Management Instructions</w:t>
      </w:r>
    </w:p>
    <w:p w14:paraId="21D584A7" w14:textId="2CB81DF1" w:rsidR="002724C4" w:rsidRDefault="00C958D5" w:rsidP="00C958D5">
      <w:pPr>
        <w:pStyle w:val="ListParagraph"/>
        <w:numPr>
          <w:ilvl w:val="0"/>
          <w:numId w:val="39"/>
        </w:numPr>
      </w:pPr>
      <w:r>
        <w:t>Privacy</w:t>
      </w:r>
    </w:p>
    <w:p w14:paraId="6EEC44D3" w14:textId="1C0D739A" w:rsidR="005A37E8" w:rsidRPr="002724C4" w:rsidRDefault="005A37E8" w:rsidP="00C958D5">
      <w:pPr>
        <w:pStyle w:val="ListParagraph"/>
        <w:numPr>
          <w:ilvl w:val="0"/>
          <w:numId w:val="39"/>
        </w:numPr>
      </w:pPr>
      <w:r>
        <w:t>External Systems Assurance Framework</w:t>
      </w:r>
    </w:p>
    <w:p w14:paraId="0812877A" w14:textId="02662AC5" w:rsidR="007A16DB" w:rsidRPr="00DE1744" w:rsidRDefault="000F7631" w:rsidP="000F7631">
      <w:pPr>
        <w:rPr>
          <w:rStyle w:val="1AllTextHighlight"/>
        </w:rPr>
      </w:pPr>
      <w:r>
        <w:t>A full version history of this Guideline can be found</w:t>
      </w:r>
      <w:r w:rsidR="00322353">
        <w:rPr>
          <w:rStyle w:val="1AllTextNormalCharacter"/>
        </w:rPr>
        <w:t xml:space="preserve"> on the relevant </w:t>
      </w:r>
      <w:hyperlink r:id="rId12" w:history="1">
        <w:r w:rsidR="00322353" w:rsidRPr="00322353">
          <w:rPr>
            <w:rStyle w:val="Hyperlink"/>
          </w:rPr>
          <w:t>Archived Guidelines page on the Provider Portal</w:t>
        </w:r>
      </w:hyperlink>
      <w:r w:rsidR="00322353">
        <w:rPr>
          <w:rStyle w:val="1AllTextNormalCharacter"/>
        </w:rPr>
        <w:t xml:space="preserve"> for each program.</w:t>
      </w:r>
      <w:r w:rsidR="007A16DB" w:rsidRPr="00DE1744">
        <w:rPr>
          <w:rStyle w:val="1AllTextHighlight"/>
        </w:rPr>
        <w:br w:type="page"/>
      </w:r>
    </w:p>
    <w:p w14:paraId="7A6F1491" w14:textId="77777777" w:rsidR="005746CF" w:rsidRPr="00DE1744" w:rsidRDefault="005746CF" w:rsidP="000F7631">
      <w:pPr>
        <w:rPr>
          <w:rStyle w:val="1AllTextHighlight"/>
        </w:rPr>
        <w:sectPr w:rsidR="005746CF" w:rsidRPr="00DE1744" w:rsidSect="00687616">
          <w:footerReference w:type="default" r:id="rId13"/>
          <w:pgSz w:w="11906" w:h="16838"/>
          <w:pgMar w:top="993" w:right="1440" w:bottom="1440" w:left="1440" w:header="708" w:footer="709" w:gutter="0"/>
          <w:cols w:space="708"/>
          <w:docGrid w:linePitch="360"/>
        </w:sectPr>
      </w:pPr>
    </w:p>
    <w:sdt>
      <w:sdtPr>
        <w:rPr>
          <w:rFonts w:asciiTheme="minorHAnsi" w:eastAsiaTheme="minorHAnsi" w:hAnsiTheme="minorHAnsi" w:cstheme="minorBidi"/>
          <w:b w:val="0"/>
          <w:bCs w:val="0"/>
          <w:color w:val="auto"/>
          <w:sz w:val="22"/>
          <w:szCs w:val="22"/>
          <w:shd w:val="clear" w:color="auto" w:fill="FFFF00"/>
          <w:lang w:val="en-GB"/>
        </w:rPr>
        <w:id w:val="-627009309"/>
        <w:docPartObj>
          <w:docPartGallery w:val="Table of Contents"/>
          <w:docPartUnique/>
        </w:docPartObj>
      </w:sdtPr>
      <w:sdtEndPr/>
      <w:sdtContent>
        <w:p w14:paraId="06F51886" w14:textId="77777777" w:rsidR="000F7631" w:rsidRDefault="000F7631" w:rsidP="00C23B82">
          <w:pPr>
            <w:pStyle w:val="FrontPageHeading"/>
          </w:pPr>
          <w:r>
            <w:t>Contents</w:t>
          </w:r>
        </w:p>
        <w:p w14:paraId="61EE26DE" w14:textId="14278A27" w:rsidR="004B392A" w:rsidRDefault="00D94A07">
          <w:pPr>
            <w:pStyle w:val="TOC1"/>
            <w:rPr>
              <w:rFonts w:eastAsiaTheme="minorEastAsia" w:cstheme="minorBidi"/>
              <w:b w:val="0"/>
              <w:bCs w:val="0"/>
              <w:noProof/>
              <w:szCs w:val="22"/>
              <w:lang w:eastAsia="en-AU"/>
            </w:rPr>
          </w:pPr>
          <w:r>
            <w:rPr>
              <w:b w:val="0"/>
              <w:bCs w:val="0"/>
              <w:noProof/>
            </w:rPr>
            <w:fldChar w:fldCharType="begin"/>
          </w:r>
          <w:r>
            <w:rPr>
              <w:b w:val="0"/>
              <w:bCs w:val="0"/>
              <w:noProof/>
            </w:rPr>
            <w:instrText xml:space="preserve"> TOC \h \z \t "Heading 1,1,Table of Contents,1,Glossary Heading,1" </w:instrText>
          </w:r>
          <w:r>
            <w:rPr>
              <w:b w:val="0"/>
              <w:bCs w:val="0"/>
              <w:noProof/>
            </w:rPr>
            <w:fldChar w:fldCharType="separate"/>
          </w:r>
          <w:hyperlink w:anchor="_Toc125971053" w:history="1">
            <w:r w:rsidR="004B392A" w:rsidRPr="00AA795C">
              <w:rPr>
                <w:rStyle w:val="Hyperlink"/>
                <w:noProof/>
              </w:rPr>
              <w:t>Guideline Interpretation and Glossary</w:t>
            </w:r>
            <w:r w:rsidR="004B392A">
              <w:rPr>
                <w:noProof/>
                <w:webHidden/>
              </w:rPr>
              <w:tab/>
            </w:r>
            <w:r w:rsidR="004B392A">
              <w:rPr>
                <w:noProof/>
                <w:webHidden/>
              </w:rPr>
              <w:fldChar w:fldCharType="begin"/>
            </w:r>
            <w:r w:rsidR="004B392A">
              <w:rPr>
                <w:noProof/>
                <w:webHidden/>
              </w:rPr>
              <w:instrText xml:space="preserve"> PAGEREF _Toc125971053 \h </w:instrText>
            </w:r>
            <w:r w:rsidR="004B392A">
              <w:rPr>
                <w:noProof/>
                <w:webHidden/>
              </w:rPr>
            </w:r>
            <w:r w:rsidR="004B392A">
              <w:rPr>
                <w:noProof/>
                <w:webHidden/>
              </w:rPr>
              <w:fldChar w:fldCharType="separate"/>
            </w:r>
            <w:r w:rsidR="00833EA6">
              <w:rPr>
                <w:noProof/>
                <w:webHidden/>
              </w:rPr>
              <w:t>3</w:t>
            </w:r>
            <w:r w:rsidR="004B392A">
              <w:rPr>
                <w:noProof/>
                <w:webHidden/>
              </w:rPr>
              <w:fldChar w:fldCharType="end"/>
            </w:r>
          </w:hyperlink>
        </w:p>
        <w:p w14:paraId="08560BF6" w14:textId="4513D263" w:rsidR="004B392A" w:rsidRDefault="00833EA6">
          <w:pPr>
            <w:pStyle w:val="TOC1"/>
            <w:rPr>
              <w:rFonts w:eastAsiaTheme="minorEastAsia" w:cstheme="minorBidi"/>
              <w:b w:val="0"/>
              <w:bCs w:val="0"/>
              <w:noProof/>
              <w:szCs w:val="22"/>
              <w:lang w:eastAsia="en-AU"/>
            </w:rPr>
          </w:pPr>
          <w:hyperlink w:anchor="_Toc125971054" w:history="1">
            <w:r w:rsidR="004B392A" w:rsidRPr="00AA795C">
              <w:rPr>
                <w:rStyle w:val="Hyperlink"/>
                <w:noProof/>
              </w:rPr>
              <w:t>Chapter 1.</w:t>
            </w:r>
            <w:r w:rsidR="004B392A">
              <w:rPr>
                <w:rFonts w:eastAsiaTheme="minorEastAsia" w:cstheme="minorBidi"/>
                <w:b w:val="0"/>
                <w:bCs w:val="0"/>
                <w:noProof/>
                <w:szCs w:val="22"/>
                <w:lang w:eastAsia="en-AU"/>
              </w:rPr>
              <w:tab/>
            </w:r>
            <w:r w:rsidR="004B392A" w:rsidRPr="00AA795C">
              <w:rPr>
                <w:rStyle w:val="Hyperlink"/>
                <w:noProof/>
              </w:rPr>
              <w:t>Records Management Instructions</w:t>
            </w:r>
            <w:r w:rsidR="004B392A">
              <w:rPr>
                <w:noProof/>
                <w:webHidden/>
              </w:rPr>
              <w:tab/>
            </w:r>
            <w:r w:rsidR="004B392A">
              <w:rPr>
                <w:noProof/>
                <w:webHidden/>
              </w:rPr>
              <w:fldChar w:fldCharType="begin"/>
            </w:r>
            <w:r w:rsidR="004B392A">
              <w:rPr>
                <w:noProof/>
                <w:webHidden/>
              </w:rPr>
              <w:instrText xml:space="preserve"> PAGEREF _Toc125971054 \h </w:instrText>
            </w:r>
            <w:r w:rsidR="004B392A">
              <w:rPr>
                <w:noProof/>
                <w:webHidden/>
              </w:rPr>
            </w:r>
            <w:r w:rsidR="004B392A">
              <w:rPr>
                <w:noProof/>
                <w:webHidden/>
              </w:rPr>
              <w:fldChar w:fldCharType="separate"/>
            </w:r>
            <w:r>
              <w:rPr>
                <w:noProof/>
                <w:webHidden/>
              </w:rPr>
              <w:t>4</w:t>
            </w:r>
            <w:r w:rsidR="004B392A">
              <w:rPr>
                <w:noProof/>
                <w:webHidden/>
              </w:rPr>
              <w:fldChar w:fldCharType="end"/>
            </w:r>
          </w:hyperlink>
        </w:p>
        <w:p w14:paraId="681592C3" w14:textId="1DC27A84" w:rsidR="004B392A" w:rsidRDefault="00833EA6">
          <w:pPr>
            <w:pStyle w:val="TOC1"/>
            <w:rPr>
              <w:rFonts w:eastAsiaTheme="minorEastAsia" w:cstheme="minorBidi"/>
              <w:b w:val="0"/>
              <w:bCs w:val="0"/>
              <w:noProof/>
              <w:szCs w:val="22"/>
              <w:lang w:eastAsia="en-AU"/>
            </w:rPr>
          </w:pPr>
          <w:hyperlink w:anchor="_Toc125971055" w:history="1">
            <w:r w:rsidR="004B392A" w:rsidRPr="00AA795C">
              <w:rPr>
                <w:rStyle w:val="Hyperlink"/>
                <w:noProof/>
              </w:rPr>
              <w:t>Chapter 2.</w:t>
            </w:r>
            <w:r w:rsidR="004B392A">
              <w:rPr>
                <w:rFonts w:eastAsiaTheme="minorEastAsia" w:cstheme="minorBidi"/>
                <w:b w:val="0"/>
                <w:bCs w:val="0"/>
                <w:noProof/>
                <w:szCs w:val="22"/>
                <w:lang w:eastAsia="en-AU"/>
              </w:rPr>
              <w:tab/>
            </w:r>
            <w:r w:rsidR="004B392A" w:rsidRPr="00AA795C">
              <w:rPr>
                <w:rStyle w:val="Hyperlink"/>
                <w:noProof/>
              </w:rPr>
              <w:t>Privacy</w:t>
            </w:r>
            <w:r w:rsidR="004B392A">
              <w:rPr>
                <w:noProof/>
                <w:webHidden/>
              </w:rPr>
              <w:tab/>
            </w:r>
            <w:r w:rsidR="004B392A">
              <w:rPr>
                <w:noProof/>
                <w:webHidden/>
              </w:rPr>
              <w:fldChar w:fldCharType="begin"/>
            </w:r>
            <w:r w:rsidR="004B392A">
              <w:rPr>
                <w:noProof/>
                <w:webHidden/>
              </w:rPr>
              <w:instrText xml:space="preserve"> PAGEREF _Toc125971055 \h </w:instrText>
            </w:r>
            <w:r w:rsidR="004B392A">
              <w:rPr>
                <w:noProof/>
                <w:webHidden/>
              </w:rPr>
            </w:r>
            <w:r w:rsidR="004B392A">
              <w:rPr>
                <w:noProof/>
                <w:webHidden/>
              </w:rPr>
              <w:fldChar w:fldCharType="separate"/>
            </w:r>
            <w:r>
              <w:rPr>
                <w:noProof/>
                <w:webHidden/>
              </w:rPr>
              <w:t>14</w:t>
            </w:r>
            <w:r w:rsidR="004B392A">
              <w:rPr>
                <w:noProof/>
                <w:webHidden/>
              </w:rPr>
              <w:fldChar w:fldCharType="end"/>
            </w:r>
          </w:hyperlink>
        </w:p>
        <w:p w14:paraId="1EAC3E19" w14:textId="44DDADDC" w:rsidR="004B392A" w:rsidRDefault="00833EA6">
          <w:pPr>
            <w:pStyle w:val="TOC1"/>
            <w:rPr>
              <w:rFonts w:eastAsiaTheme="minorEastAsia" w:cstheme="minorBidi"/>
              <w:b w:val="0"/>
              <w:bCs w:val="0"/>
              <w:noProof/>
              <w:szCs w:val="22"/>
              <w:lang w:eastAsia="en-AU"/>
            </w:rPr>
          </w:pPr>
          <w:hyperlink w:anchor="_Toc125971056" w:history="1">
            <w:r w:rsidR="004B392A" w:rsidRPr="00AA795C">
              <w:rPr>
                <w:rStyle w:val="Hyperlink"/>
                <w:noProof/>
              </w:rPr>
              <w:t>Chapter 3.</w:t>
            </w:r>
            <w:r w:rsidR="004B392A">
              <w:rPr>
                <w:rFonts w:eastAsiaTheme="minorEastAsia" w:cstheme="minorBidi"/>
                <w:b w:val="0"/>
                <w:bCs w:val="0"/>
                <w:noProof/>
                <w:szCs w:val="22"/>
                <w:lang w:eastAsia="en-AU"/>
              </w:rPr>
              <w:tab/>
            </w:r>
            <w:r w:rsidR="004B392A" w:rsidRPr="00AA795C">
              <w:rPr>
                <w:rStyle w:val="Hyperlink"/>
                <w:noProof/>
              </w:rPr>
              <w:t>External Systems Assurance Framework (ESAF)</w:t>
            </w:r>
            <w:r w:rsidR="004B392A">
              <w:rPr>
                <w:noProof/>
                <w:webHidden/>
              </w:rPr>
              <w:tab/>
            </w:r>
            <w:r w:rsidR="004B392A">
              <w:rPr>
                <w:noProof/>
                <w:webHidden/>
              </w:rPr>
              <w:fldChar w:fldCharType="begin"/>
            </w:r>
            <w:r w:rsidR="004B392A">
              <w:rPr>
                <w:noProof/>
                <w:webHidden/>
              </w:rPr>
              <w:instrText xml:space="preserve"> PAGEREF _Toc125971056 \h </w:instrText>
            </w:r>
            <w:r w:rsidR="004B392A">
              <w:rPr>
                <w:noProof/>
                <w:webHidden/>
              </w:rPr>
            </w:r>
            <w:r w:rsidR="004B392A">
              <w:rPr>
                <w:noProof/>
                <w:webHidden/>
              </w:rPr>
              <w:fldChar w:fldCharType="separate"/>
            </w:r>
            <w:r>
              <w:rPr>
                <w:noProof/>
                <w:webHidden/>
              </w:rPr>
              <w:t>28</w:t>
            </w:r>
            <w:r w:rsidR="004B392A">
              <w:rPr>
                <w:noProof/>
                <w:webHidden/>
              </w:rPr>
              <w:fldChar w:fldCharType="end"/>
            </w:r>
          </w:hyperlink>
        </w:p>
        <w:p w14:paraId="41C47952" w14:textId="50D71734" w:rsidR="000F7631" w:rsidRDefault="00D94A07" w:rsidP="000F7631">
          <w:r>
            <w:rPr>
              <w:rFonts w:cstheme="minorHAnsi"/>
              <w:b/>
              <w:bCs/>
              <w:noProof/>
              <w:sz w:val="20"/>
              <w:szCs w:val="20"/>
            </w:rPr>
            <w:fldChar w:fldCharType="end"/>
          </w:r>
        </w:p>
      </w:sdtContent>
    </w:sdt>
    <w:p w14:paraId="29EAE53F" w14:textId="649AA0A0" w:rsidR="00CA3C48" w:rsidRDefault="00CA3C48" w:rsidP="000F7631">
      <w:r>
        <w:br w:type="page"/>
      </w:r>
    </w:p>
    <w:p w14:paraId="28579BCD" w14:textId="5B2E8CBD" w:rsidR="009460E9" w:rsidRDefault="009460E9" w:rsidP="009460E9">
      <w:pPr>
        <w:pStyle w:val="GlossaryHeading"/>
      </w:pPr>
      <w:bookmarkStart w:id="0" w:name="_Toc125971053"/>
      <w:bookmarkStart w:id="1" w:name="_Hlk97198839"/>
      <w:bookmarkStart w:id="2" w:name="_Toc85207573"/>
      <w:r>
        <w:lastRenderedPageBreak/>
        <w:t>Guideline Interpretation and Glossary</w:t>
      </w:r>
      <w:bookmarkEnd w:id="0"/>
    </w:p>
    <w:p w14:paraId="0DDA9876" w14:textId="77777777" w:rsidR="00CD6B60" w:rsidRDefault="00CD6B60" w:rsidP="00CD6B60">
      <w:pPr>
        <w:pStyle w:val="GlossarySub-Heading"/>
      </w:pPr>
      <w:r>
        <w:t>Reading Notes</w:t>
      </w:r>
    </w:p>
    <w:p w14:paraId="1617AD27" w14:textId="4508C246" w:rsidR="00CD6B60" w:rsidRPr="00D24136" w:rsidRDefault="00CD6B60" w:rsidP="00CD6B60">
      <w:pPr>
        <w:rPr>
          <w:rStyle w:val="1AllTextNormalCharacter"/>
        </w:rPr>
      </w:pPr>
      <w:bookmarkStart w:id="3" w:name="_Hlk106955907"/>
      <w:r w:rsidRPr="00D24136">
        <w:rPr>
          <w:rStyle w:val="1AllTextNormalCharacter"/>
        </w:rPr>
        <w:t xml:space="preserve">In this Guideline, ‘must’ means </w:t>
      </w:r>
      <w:r w:rsidR="001238B1" w:rsidRPr="00D24136">
        <w:rPr>
          <w:rStyle w:val="1AllTextNormalCharacter"/>
        </w:rPr>
        <w:t xml:space="preserve">that </w:t>
      </w:r>
      <w:r w:rsidRPr="00D24136">
        <w:rPr>
          <w:rStyle w:val="1AllTextNormalCharacter"/>
        </w:rPr>
        <w:t xml:space="preserve">compliance is mandatory and ‘should’ means </w:t>
      </w:r>
      <w:r w:rsidR="001238B1" w:rsidRPr="00D24136">
        <w:rPr>
          <w:rStyle w:val="1AllTextNormalCharacter"/>
        </w:rPr>
        <w:t xml:space="preserve">that </w:t>
      </w:r>
      <w:r w:rsidRPr="00D24136">
        <w:rPr>
          <w:rStyle w:val="1AllTextNormalCharacter"/>
        </w:rPr>
        <w:t>compliance represents best practice for Providers</w:t>
      </w:r>
      <w:r w:rsidR="001238B1" w:rsidRPr="00D24136">
        <w:rPr>
          <w:rStyle w:val="1AllTextNormalCharacter"/>
        </w:rPr>
        <w:t xml:space="preserve"> and is expected </w:t>
      </w:r>
      <w:r w:rsidR="004668CC" w:rsidRPr="00D24136">
        <w:rPr>
          <w:rStyle w:val="1AllTextNormalCharacter"/>
        </w:rPr>
        <w:t>by the Department</w:t>
      </w:r>
      <w:r w:rsidRPr="00D24136">
        <w:rPr>
          <w:rStyle w:val="1AllTextNormalCharacter"/>
        </w:rPr>
        <w:t>.</w:t>
      </w:r>
    </w:p>
    <w:bookmarkEnd w:id="1"/>
    <w:bookmarkEnd w:id="3"/>
    <w:p w14:paraId="2D99D083" w14:textId="7A9A4C00" w:rsidR="008468B8" w:rsidRPr="00D91D7D" w:rsidRDefault="008468B8" w:rsidP="00322353">
      <w:pPr>
        <w:rPr>
          <w:rStyle w:val="1AllTextNormalCharacter"/>
        </w:rPr>
      </w:pPr>
      <w:r>
        <w:rPr>
          <w:rStyle w:val="1AllTextNormalCharacter"/>
        </w:rPr>
        <w:t xml:space="preserve">Some links in this document are program-specific and may not be accessible by all Providers. </w:t>
      </w:r>
      <w:r w:rsidR="0061024D">
        <w:rPr>
          <w:rStyle w:val="1AllTextNormalCharacter"/>
        </w:rPr>
        <w:t>Providers should note that this Guideline has been developed to align with Workforce Australia requirements where possible, however, some requirements in this Guideline differ.</w:t>
      </w:r>
    </w:p>
    <w:p w14:paraId="255A732F" w14:textId="77777777" w:rsidR="00CD6B60" w:rsidRDefault="00CD6B60" w:rsidP="00CD6B60">
      <w:r>
        <w:t>While reading this document, please note the following Icons and their meaning:</w:t>
      </w:r>
    </w:p>
    <w:p w14:paraId="1A018687" w14:textId="40365442" w:rsidR="00CD6B60" w:rsidRPr="00597587" w:rsidRDefault="00CD6B60" w:rsidP="00CD6B60">
      <w:pPr>
        <w:pStyle w:val="Systemstep"/>
      </w:pPr>
      <w:r w:rsidRPr="00597587">
        <w:t xml:space="preserve">This icon represents </w:t>
      </w:r>
      <w:r w:rsidR="00D027CB">
        <w:t>'</w:t>
      </w:r>
      <w:r w:rsidRPr="00597587">
        <w:t>System Steps</w:t>
      </w:r>
      <w:r w:rsidR="00D027CB">
        <w:t>'</w:t>
      </w:r>
      <w:r w:rsidRPr="00597587">
        <w:t xml:space="preserve"> – information contained under this dot point will relate to usage of the Department’s IT Systems</w:t>
      </w:r>
      <w:r>
        <w:t>.</w:t>
      </w:r>
    </w:p>
    <w:p w14:paraId="4792A237" w14:textId="03FAEE2E" w:rsidR="00CD6B60" w:rsidRPr="00597587" w:rsidRDefault="00CD6B60" w:rsidP="00CD6B60">
      <w:pPr>
        <w:pStyle w:val="WHS"/>
      </w:pPr>
      <w:r w:rsidRPr="00597587">
        <w:t xml:space="preserve">This icon represents </w:t>
      </w:r>
      <w:r w:rsidR="00D027CB">
        <w:t>'</w:t>
      </w:r>
      <w:r w:rsidRPr="00597587">
        <w:t>Work, Health and Safety Steps</w:t>
      </w:r>
      <w:r w:rsidR="00D027CB">
        <w:t>'</w:t>
      </w:r>
      <w:r w:rsidRPr="00597587">
        <w:t xml:space="preserve"> – information contained under this dot point will relate to matters of Work, Health and Safety</w:t>
      </w:r>
      <w:r>
        <w:t>.</w:t>
      </w:r>
    </w:p>
    <w:p w14:paraId="5F65E228" w14:textId="2181044C" w:rsidR="00CD6B60" w:rsidRPr="00597587" w:rsidRDefault="00CD6B60" w:rsidP="00CD6B60">
      <w:pPr>
        <w:pStyle w:val="DocumentaryEvidencePoint"/>
      </w:pPr>
      <w:r w:rsidRPr="00597587">
        <w:t xml:space="preserve">This icon </w:t>
      </w:r>
      <w:r w:rsidRPr="00735467">
        <w:t>represents</w:t>
      </w:r>
      <w:r w:rsidRPr="00597587">
        <w:t xml:space="preserve"> </w:t>
      </w:r>
      <w:r w:rsidR="00D027CB">
        <w:t>'</w:t>
      </w:r>
      <w:r w:rsidRPr="00597587">
        <w:t>Documentary Evidence</w:t>
      </w:r>
      <w:r w:rsidR="00D027CB">
        <w:t>'</w:t>
      </w:r>
      <w:r w:rsidRPr="00597587">
        <w:t xml:space="preserve"> – information contained under this dot point will relate to matters of </w:t>
      </w:r>
      <w:r w:rsidR="00190F19">
        <w:t>D</w:t>
      </w:r>
      <w:r w:rsidRPr="00597587">
        <w:t xml:space="preserve">ocumentary </w:t>
      </w:r>
      <w:r w:rsidR="00190F19">
        <w:t>E</w:t>
      </w:r>
      <w:r w:rsidRPr="00597587">
        <w:t>vidence</w:t>
      </w:r>
      <w:r>
        <w:t>.</w:t>
      </w:r>
    </w:p>
    <w:p w14:paraId="73EEA0B8" w14:textId="28F0FE96" w:rsidR="00CA3C48" w:rsidRDefault="00CA3C48" w:rsidP="003C0F90">
      <w:pPr>
        <w:pStyle w:val="GlossarySub-Heading"/>
      </w:pPr>
      <w:r>
        <w:t>Glossary</w:t>
      </w:r>
      <w:bookmarkEnd w:id="2"/>
      <w:r w:rsidR="00C72786">
        <w:t xml:space="preserve"> </w:t>
      </w:r>
    </w:p>
    <w:p w14:paraId="2498ADA7" w14:textId="68857E8E" w:rsidR="00CA3C48" w:rsidRDefault="00CA3C48" w:rsidP="006449F1">
      <w:r w:rsidRPr="00FF33D5">
        <w:rPr>
          <w:rStyle w:val="1AllTextNormalCharacter"/>
        </w:rPr>
        <w:t>All capitalised</w:t>
      </w:r>
      <w:r>
        <w:t xml:space="preserve"> terms in this Guideline have the same meaning as in the Deed unless otherwise defined below. </w:t>
      </w:r>
    </w:p>
    <w:p w14:paraId="7886767C" w14:textId="1B61BF6F" w:rsidR="0061316E" w:rsidRDefault="0061316E" w:rsidP="0061316E">
      <w:r w:rsidRPr="0061316E">
        <w:rPr>
          <w:rStyle w:val="1AllTextBold"/>
        </w:rPr>
        <w:t>‘Archives Act’</w:t>
      </w:r>
      <w:r w:rsidRPr="0061316E">
        <w:t xml:space="preserve"> </w:t>
      </w:r>
      <w:r>
        <w:t>means</w:t>
      </w:r>
      <w:r w:rsidR="009C66C9">
        <w:t xml:space="preserve"> the</w:t>
      </w:r>
      <w:r>
        <w:t xml:space="preserve"> </w:t>
      </w:r>
      <w:r w:rsidRPr="009C66C9">
        <w:rPr>
          <w:rStyle w:val="1AllTextItalics"/>
        </w:rPr>
        <w:t>Archives Act 1983</w:t>
      </w:r>
      <w:r w:rsidR="009C66C9">
        <w:t xml:space="preserve"> (Cth)</w:t>
      </w:r>
      <w:r>
        <w:t xml:space="preserve">. </w:t>
      </w:r>
    </w:p>
    <w:p w14:paraId="597C70A0" w14:textId="064FE925" w:rsidR="0061316E" w:rsidRPr="005B0E9B" w:rsidRDefault="0061316E" w:rsidP="0061316E">
      <w:r w:rsidRPr="0061316E">
        <w:rPr>
          <w:rStyle w:val="1AllTextBold"/>
        </w:rPr>
        <w:t>‘APP entity’</w:t>
      </w:r>
      <w:r w:rsidRPr="0061316E">
        <w:t xml:space="preserve"> </w:t>
      </w:r>
      <w:r w:rsidRPr="005B0E9B">
        <w:t>has the same meaning as in section 6 of the Privacy Act</w:t>
      </w:r>
      <w:r w:rsidR="009C66C9">
        <w:t>.</w:t>
      </w:r>
    </w:p>
    <w:p w14:paraId="22C0CFF4" w14:textId="77777777" w:rsidR="0061316E" w:rsidRDefault="0061316E" w:rsidP="0061316E">
      <w:r w:rsidRPr="00397D2F">
        <w:rPr>
          <w:rStyle w:val="1AllTextBold"/>
        </w:rPr>
        <w:t>‘Deed’</w:t>
      </w:r>
      <w:r>
        <w:t xml:space="preserve"> means any Deed or contract administered by the Department that refers to this Guideline. </w:t>
      </w:r>
    </w:p>
    <w:p w14:paraId="49BA8187" w14:textId="4A5242C1" w:rsidR="0061316E" w:rsidRDefault="0061316E" w:rsidP="0061316E">
      <w:r w:rsidRPr="009C66C9">
        <w:rPr>
          <w:rStyle w:val="1AllTextBold"/>
        </w:rPr>
        <w:t>‘FOI Act’</w:t>
      </w:r>
      <w:r>
        <w:t xml:space="preserve"> means</w:t>
      </w:r>
      <w:r w:rsidR="009C66C9">
        <w:t xml:space="preserve"> the</w:t>
      </w:r>
      <w:r>
        <w:t xml:space="preserve"> </w:t>
      </w:r>
      <w:r w:rsidRPr="009C66C9">
        <w:rPr>
          <w:rStyle w:val="1AllTextItalics"/>
        </w:rPr>
        <w:t>Freedom of Information Act 1982</w:t>
      </w:r>
      <w:r w:rsidR="009C66C9">
        <w:t xml:space="preserve"> (Cth)</w:t>
      </w:r>
      <w:r>
        <w:t xml:space="preserve">. </w:t>
      </w:r>
    </w:p>
    <w:p w14:paraId="3591BD59" w14:textId="37F2E82D" w:rsidR="0061316E" w:rsidRDefault="0061316E" w:rsidP="0061316E">
      <w:r w:rsidRPr="00397D2F">
        <w:rPr>
          <w:rStyle w:val="1AllTextBold"/>
        </w:rPr>
        <w:t>‘Inactive Records’</w:t>
      </w:r>
      <w:r>
        <w:t xml:space="preserve"> </w:t>
      </w:r>
      <w:r w:rsidR="0094588D">
        <w:t>are</w:t>
      </w:r>
      <w:r w:rsidDel="001555DA">
        <w:t xml:space="preserve"> </w:t>
      </w:r>
      <w:r>
        <w:t>Records created under previous contractual arrangements with the</w:t>
      </w:r>
      <w:r w:rsidDel="4CE3FF67">
        <w:t xml:space="preserve"> </w:t>
      </w:r>
      <w:r>
        <w:t xml:space="preserve">Department.  </w:t>
      </w:r>
    </w:p>
    <w:p w14:paraId="57C399F5" w14:textId="77777777" w:rsidR="00240418" w:rsidRDefault="0061316E" w:rsidP="0061316E">
      <w:r w:rsidRPr="00397D2F">
        <w:rPr>
          <w:rStyle w:val="1AllTextBold"/>
        </w:rPr>
        <w:t xml:space="preserve">'Protected Information' </w:t>
      </w:r>
      <w:r w:rsidRPr="00F74196">
        <w:t xml:space="preserve">has the same meaning as in </w:t>
      </w:r>
      <w:r>
        <w:t>its</w:t>
      </w:r>
      <w:r w:rsidRPr="00F74196">
        <w:t xml:space="preserve"> decapitalised form under section 23 of the </w:t>
      </w:r>
      <w:r w:rsidRPr="007D5304">
        <w:rPr>
          <w:rStyle w:val="1AllTextItalics"/>
        </w:rPr>
        <w:t>Social Security Act 1991 (Cth)</w:t>
      </w:r>
      <w:r w:rsidRPr="00F74196">
        <w:t>.</w:t>
      </w:r>
    </w:p>
    <w:p w14:paraId="048C7F22" w14:textId="77777777" w:rsidR="0061316E" w:rsidRPr="00F74196" w:rsidRDefault="0061316E" w:rsidP="0061316E">
      <w:r w:rsidRPr="00397D2F">
        <w:rPr>
          <w:rStyle w:val="1AllTextBold"/>
        </w:rPr>
        <w:t>'Social Security Law'</w:t>
      </w:r>
      <w:r w:rsidRPr="00F74196">
        <w:t xml:space="preserve"> means the </w:t>
      </w:r>
      <w:r w:rsidRPr="00397D2F">
        <w:rPr>
          <w:rStyle w:val="1AllTextItalics"/>
        </w:rPr>
        <w:t>Social Security Act 1991</w:t>
      </w:r>
      <w:r w:rsidRPr="00F74196">
        <w:t xml:space="preserve"> </w:t>
      </w:r>
      <w:r w:rsidRPr="00B86845">
        <w:rPr>
          <w:rStyle w:val="1AllTextItalics"/>
          <w:i w:val="0"/>
          <w:iCs/>
        </w:rPr>
        <w:t>(Cth)</w:t>
      </w:r>
      <w:r w:rsidRPr="00547D02">
        <w:rPr>
          <w:rStyle w:val="1AllTextItalics"/>
        </w:rPr>
        <w:t xml:space="preserve"> </w:t>
      </w:r>
      <w:r>
        <w:t>and</w:t>
      </w:r>
      <w:r w:rsidRPr="00F74196">
        <w:t xml:space="preserve"> </w:t>
      </w:r>
      <w:r w:rsidRPr="00397D2F">
        <w:rPr>
          <w:rStyle w:val="1AllTextItalics"/>
        </w:rPr>
        <w:t>the Social Security (Administration) Act</w:t>
      </w:r>
      <w:r w:rsidRPr="0061316E">
        <w:t xml:space="preserve"> </w:t>
      </w:r>
      <w:r w:rsidRPr="00547D02">
        <w:rPr>
          <w:rStyle w:val="1AllTextItalics"/>
        </w:rPr>
        <w:t xml:space="preserve">1999 </w:t>
      </w:r>
      <w:r w:rsidRPr="00B86845">
        <w:rPr>
          <w:rStyle w:val="1AllTextItalics"/>
          <w:i w:val="0"/>
          <w:iCs/>
        </w:rPr>
        <w:t>(Cth),</w:t>
      </w:r>
      <w:r w:rsidRPr="00F74196">
        <w:t xml:space="preserve"> and includes all relevant subordinate legislation </w:t>
      </w:r>
      <w:r>
        <w:t xml:space="preserve">and instruments, </w:t>
      </w:r>
      <w:r w:rsidRPr="00F74196">
        <w:t>and the Guide to Social Security Law.</w:t>
      </w:r>
      <w:r>
        <w:t xml:space="preserve"> </w:t>
      </w:r>
    </w:p>
    <w:p w14:paraId="778CA41B" w14:textId="1217ED4B" w:rsidR="00AA3427" w:rsidRDefault="0061316E" w:rsidP="00F13591">
      <w:pPr>
        <w:sectPr w:rsidR="00AA3427" w:rsidSect="00687616">
          <w:headerReference w:type="default" r:id="rId14"/>
          <w:pgSz w:w="11906" w:h="16838"/>
          <w:pgMar w:top="567" w:right="991" w:bottom="1440" w:left="1440" w:header="708" w:footer="709" w:gutter="0"/>
          <w:cols w:space="708"/>
          <w:docGrid w:linePitch="360"/>
        </w:sectPr>
      </w:pPr>
      <w:r w:rsidRPr="00397D2F">
        <w:rPr>
          <w:rStyle w:val="1AllTextBold"/>
        </w:rPr>
        <w:t>‘Unauthorised Access’</w:t>
      </w:r>
      <w:r w:rsidRPr="0061316E">
        <w:t xml:space="preserve"> </w:t>
      </w:r>
      <w:r w:rsidR="009C66C9">
        <w:t>is the</w:t>
      </w:r>
      <w:r>
        <w:t xml:space="preserve"> intentional or unintentional</w:t>
      </w:r>
      <w:r w:rsidR="009C66C9">
        <w:t xml:space="preserve"> action by an entity to</w:t>
      </w:r>
      <w:r>
        <w:t xml:space="preserve"> make personal information accessible or visible to others outside the entity and </w:t>
      </w:r>
      <w:r w:rsidR="009C66C9">
        <w:t xml:space="preserve">which </w:t>
      </w:r>
      <w:r>
        <w:t xml:space="preserve">releases that information from its effective control in a way that is not permitted by the </w:t>
      </w:r>
      <w:r w:rsidR="00281207" w:rsidRPr="00281207">
        <w:rPr>
          <w:rStyle w:val="1AllTextItalics"/>
          <w:i w:val="0"/>
        </w:rPr>
        <w:t>Privacy Act</w:t>
      </w:r>
      <w:r>
        <w:t>. This includes an unauthorised disclosure by an employee of the entity.</w:t>
      </w:r>
    </w:p>
    <w:p w14:paraId="69809EF6" w14:textId="77777777" w:rsidR="007D2A28" w:rsidRPr="002A0F9B" w:rsidRDefault="007D2A28" w:rsidP="007D2A28">
      <w:pPr>
        <w:pStyle w:val="Heading1"/>
      </w:pPr>
      <w:bookmarkStart w:id="4" w:name="_Toc95896748"/>
      <w:bookmarkStart w:id="5" w:name="_Toc125971054"/>
      <w:bookmarkStart w:id="6" w:name="_Toc96000554"/>
      <w:r w:rsidRPr="00AD58AA">
        <w:lastRenderedPageBreak/>
        <w:t>Records</w:t>
      </w:r>
      <w:r>
        <w:t xml:space="preserve"> Management Instructions</w:t>
      </w:r>
      <w:bookmarkEnd w:id="4"/>
      <w:bookmarkEnd w:id="5"/>
    </w:p>
    <w:bookmarkEnd w:id="6"/>
    <w:p w14:paraId="065F26A7" w14:textId="77777777" w:rsidR="007D2A28" w:rsidRPr="00527E8C" w:rsidRDefault="007D2A28" w:rsidP="007D2A28">
      <w:pPr>
        <w:pStyle w:val="SupportingDocumentHeading"/>
      </w:pPr>
      <w:r w:rsidRPr="00527E8C">
        <w:t>Supporting Documents for this Chapter:</w:t>
      </w:r>
      <w:bookmarkStart w:id="7" w:name="_Toc81495382"/>
    </w:p>
    <w:p w14:paraId="0B5A7BA2" w14:textId="28F51E95" w:rsidR="007D2A28" w:rsidRPr="00322353" w:rsidRDefault="00833EA6" w:rsidP="007D2A28">
      <w:pPr>
        <w:pStyle w:val="SupportingDocumentBulletList"/>
        <w:rPr>
          <w:rStyle w:val="Hyperlink"/>
        </w:rPr>
      </w:pPr>
      <w:hyperlink r:id="rId15" w:history="1">
        <w:r w:rsidR="007D2A28" w:rsidRPr="00322353">
          <w:rPr>
            <w:rStyle w:val="Hyperlink"/>
          </w:rPr>
          <w:t>Employment Services Records Disposal Authority 2003/00330307</w:t>
        </w:r>
      </w:hyperlink>
      <w:r w:rsidR="007D2A28" w:rsidRPr="00322353">
        <w:rPr>
          <w:rStyle w:val="Hyperlink"/>
        </w:rPr>
        <w:t xml:space="preserve"> </w:t>
      </w:r>
    </w:p>
    <w:p w14:paraId="2945BAB6" w14:textId="243540FF" w:rsidR="007D2A28" w:rsidRPr="00322353" w:rsidRDefault="00833EA6" w:rsidP="007D2A28">
      <w:pPr>
        <w:pStyle w:val="SupportingDocumentBulletList"/>
        <w:rPr>
          <w:rStyle w:val="Hyperlink"/>
        </w:rPr>
      </w:pPr>
      <w:hyperlink r:id="rId16" w:history="1">
        <w:r w:rsidR="007D2A28" w:rsidRPr="00322353">
          <w:rPr>
            <w:rStyle w:val="Hyperlink"/>
          </w:rPr>
          <w:t>Employment Services Records Authority 2009/0017920</w:t>
        </w:r>
      </w:hyperlink>
      <w:r w:rsidR="007D2A28" w:rsidRPr="00322353">
        <w:rPr>
          <w:rStyle w:val="Hyperlink"/>
        </w:rPr>
        <w:t xml:space="preserve"> </w:t>
      </w:r>
    </w:p>
    <w:p w14:paraId="7318AF2E" w14:textId="2A0B392D" w:rsidR="007D2A28" w:rsidRPr="00A95B47" w:rsidRDefault="00A95B47" w:rsidP="007D2A28">
      <w:pPr>
        <w:pStyle w:val="SupportingDocumentBulletList"/>
        <w:rPr>
          <w:rStyle w:val="Hyperlink"/>
        </w:rPr>
      </w:pPr>
      <w:r>
        <w:fldChar w:fldCharType="begin"/>
      </w:r>
      <w:r>
        <w:instrText xml:space="preserve"> HYPERLINK "https://www.naa.gov.au/information-management/records-authorities/types-records-authorities/general-records-authority-31" </w:instrText>
      </w:r>
      <w:r>
        <w:fldChar w:fldCharType="separate"/>
      </w:r>
      <w:r w:rsidR="007D2A28" w:rsidRPr="00A95B47">
        <w:rPr>
          <w:rStyle w:val="Hyperlink"/>
        </w:rPr>
        <w:t xml:space="preserve">General Records Authority 31 – Destruction of source or original Records after digitisation, conversion or migration  </w:t>
      </w:r>
    </w:p>
    <w:p w14:paraId="15057A77" w14:textId="6C07F0C7" w:rsidR="007D2A28" w:rsidRPr="00A95B47" w:rsidDel="00EC40F5" w:rsidRDefault="00A95B47" w:rsidP="007D2A28">
      <w:pPr>
        <w:pStyle w:val="SupportingDocumentBulletList"/>
        <w:rPr>
          <w:rStyle w:val="Hyperlink"/>
        </w:rPr>
      </w:pPr>
      <w:r>
        <w:fldChar w:fldCharType="end"/>
      </w:r>
      <w:r>
        <w:fldChar w:fldCharType="begin"/>
      </w:r>
      <w:r>
        <w:instrText xml:space="preserve"> HYPERLINK "https://www.naa.gov.au/information-management/records-authorities/types-records-authorities/general-records-authority-33" </w:instrText>
      </w:r>
      <w:r>
        <w:fldChar w:fldCharType="separate"/>
      </w:r>
      <w:r w:rsidR="007D2A28" w:rsidRPr="00A95B47">
        <w:rPr>
          <w:rStyle w:val="Hyperlink"/>
        </w:rPr>
        <w:t>General Records Authority 33 – Accredited Training</w:t>
      </w:r>
    </w:p>
    <w:p w14:paraId="0E37D95C" w14:textId="3845B0EE" w:rsidR="007D2A28" w:rsidRPr="00523805" w:rsidRDefault="00A95B47" w:rsidP="007D2A28">
      <w:pPr>
        <w:pStyle w:val="SupportingDocumentBulletList"/>
        <w:rPr>
          <w:shd w:val="clear" w:color="auto" w:fill="FFFF00"/>
          <w:lang w:val="en-GB"/>
        </w:rPr>
      </w:pPr>
      <w:r>
        <w:fldChar w:fldCharType="end"/>
      </w:r>
      <w:hyperlink r:id="rId17" w:history="1">
        <w:r w:rsidR="00523805" w:rsidRPr="000112EC">
          <w:rPr>
            <w:rStyle w:val="Hyperlink"/>
          </w:rPr>
          <w:t>Return of Records Process Supporting Document</w:t>
        </w:r>
      </w:hyperlink>
    </w:p>
    <w:p w14:paraId="2A2124F4" w14:textId="461C1896" w:rsidR="00523805" w:rsidRPr="00523805" w:rsidRDefault="00833EA6" w:rsidP="007D2A28">
      <w:pPr>
        <w:pStyle w:val="SupportingDocumentBulletList"/>
        <w:rPr>
          <w:shd w:val="clear" w:color="auto" w:fill="FFFF00"/>
          <w:lang w:val="en-GB"/>
        </w:rPr>
      </w:pPr>
      <w:hyperlink r:id="rId18" w:history="1">
        <w:r w:rsidR="00523805" w:rsidRPr="000112EC">
          <w:rPr>
            <w:rStyle w:val="Hyperlink"/>
          </w:rPr>
          <w:t>Records Register for Provider Returns Spreadsheet</w:t>
        </w:r>
      </w:hyperlink>
    </w:p>
    <w:p w14:paraId="261936B3" w14:textId="0F4EC34D" w:rsidR="00523805" w:rsidRPr="00523805" w:rsidRDefault="00833EA6" w:rsidP="007D2A28">
      <w:pPr>
        <w:pStyle w:val="SupportingDocumentBulletList"/>
        <w:rPr>
          <w:rStyle w:val="1AllTextHighlight"/>
        </w:rPr>
      </w:pPr>
      <w:hyperlink r:id="rId19" w:history="1">
        <w:r w:rsidR="00523805" w:rsidRPr="000112EC">
          <w:rPr>
            <w:rStyle w:val="Hyperlink"/>
          </w:rPr>
          <w:t>Records Retention Periods Supporting Document</w:t>
        </w:r>
      </w:hyperlink>
      <w:r w:rsidR="00523805">
        <w:t xml:space="preserve"> </w:t>
      </w:r>
    </w:p>
    <w:bookmarkEnd w:id="7"/>
    <w:p w14:paraId="313E73F5" w14:textId="77777777" w:rsidR="007D2A28" w:rsidRDefault="007D2A28" w:rsidP="007D2A28">
      <w:pPr>
        <w:pStyle w:val="SupportingDocumentBulletList"/>
      </w:pPr>
      <w:r>
        <w:fldChar w:fldCharType="begin"/>
      </w:r>
      <w:r>
        <w:instrText xml:space="preserve"> HYPERLINK "https://www.naa.gov.au/search?search_api_fulltext=records+management" </w:instrText>
      </w:r>
      <w:r>
        <w:fldChar w:fldCharType="separate"/>
      </w:r>
      <w:r w:rsidRPr="00743496">
        <w:rPr>
          <w:rStyle w:val="Hyperlink"/>
        </w:rPr>
        <w:t>General advice on management of Records</w:t>
      </w:r>
      <w:r>
        <w:fldChar w:fldCharType="end"/>
      </w:r>
    </w:p>
    <w:p w14:paraId="43F3457C" w14:textId="77777777" w:rsidR="007D2A28" w:rsidRPr="00F122F9" w:rsidRDefault="00833EA6" w:rsidP="007D2A28">
      <w:pPr>
        <w:pStyle w:val="SupportingDocumentBulletList"/>
      </w:pPr>
      <w:hyperlink r:id="rId20" w:history="1">
        <w:r w:rsidR="007D2A28" w:rsidRPr="0052079C">
          <w:rPr>
            <w:rStyle w:val="Hyperlink"/>
          </w:rPr>
          <w:t>The Office of the Australian Information Commissioner Guide to securing personal information</w:t>
        </w:r>
      </w:hyperlink>
    </w:p>
    <w:p w14:paraId="66BD8AD3" w14:textId="77777777" w:rsidR="007D2A28" w:rsidRPr="00F122F9" w:rsidRDefault="00833EA6" w:rsidP="007D2A28">
      <w:pPr>
        <w:pStyle w:val="SupportingDocumentBulletList"/>
      </w:pPr>
      <w:hyperlink r:id="rId21" w:history="1">
        <w:r w:rsidR="007D2A28" w:rsidRPr="004B360E">
          <w:rPr>
            <w:rStyle w:val="Hyperlink"/>
          </w:rPr>
          <w:t>Privacy Incident Report</w:t>
        </w:r>
      </w:hyperlink>
    </w:p>
    <w:p w14:paraId="1083A642" w14:textId="77777777" w:rsidR="007D2A28" w:rsidRPr="00440C4B" w:rsidRDefault="007D2A28" w:rsidP="007D2A28">
      <w:pPr>
        <w:pStyle w:val="Heading2"/>
      </w:pPr>
      <w:bookmarkStart w:id="8" w:name="_Toc96000555"/>
      <w:bookmarkStart w:id="9" w:name="_Toc95896749"/>
      <w:r w:rsidRPr="005D78D2">
        <w:t>Chapter Overview</w:t>
      </w:r>
      <w:bookmarkEnd w:id="8"/>
      <w:bookmarkEnd w:id="9"/>
    </w:p>
    <w:p w14:paraId="258DF125" w14:textId="77777777" w:rsidR="007D2A28" w:rsidRDefault="007D2A28" w:rsidP="007D2A28">
      <w:pPr>
        <w:pStyle w:val="1AllTextNormalParagraph"/>
      </w:pPr>
      <w:r>
        <w:t xml:space="preserve">This Chapter outlines Provider obligations with regards to the creation, management, retention, storage, transfer and disposal of Records </w:t>
      </w:r>
      <w:r w:rsidRPr="005E3E10">
        <w:t xml:space="preserve">created or used by </w:t>
      </w:r>
      <w:r>
        <w:t xml:space="preserve">Providers </w:t>
      </w:r>
      <w:r w:rsidRPr="005E3E10">
        <w:t xml:space="preserve">under </w:t>
      </w:r>
      <w:r>
        <w:t xml:space="preserve">the relevant Deed, and access to those Records by its Personnel and Subcontractors, in accordance with the Records management provisions in the relevant Deed. Providers must create and maintain true, complete and accurate Records in the connection with the delivery of its obligations under and in accordance with the relevant Deed and these Records Management Instructions. </w:t>
      </w:r>
    </w:p>
    <w:p w14:paraId="5168D0A3" w14:textId="77777777" w:rsidR="007D2A28" w:rsidRDefault="007D2A28" w:rsidP="007D2A28">
      <w:pPr>
        <w:pStyle w:val="1AllTextNormalParagraph"/>
      </w:pPr>
      <w:r w:rsidRPr="00724A6A">
        <w:t>G</w:t>
      </w:r>
      <w:r>
        <w:t>e</w:t>
      </w:r>
      <w:r w:rsidRPr="00724A6A">
        <w:t xml:space="preserve">neral advice on the management and storage of </w:t>
      </w:r>
      <w:r>
        <w:t xml:space="preserve">records, information and data </w:t>
      </w:r>
      <w:r w:rsidRPr="00724A6A">
        <w:t xml:space="preserve">is available on the </w:t>
      </w:r>
      <w:hyperlink r:id="rId22" w:history="1">
        <w:r w:rsidRPr="0096296A">
          <w:rPr>
            <w:rStyle w:val="Hyperlink"/>
          </w:rPr>
          <w:t>National Archives of Australia (NAA)</w:t>
        </w:r>
      </w:hyperlink>
      <w:r w:rsidRPr="003B137D">
        <w:t xml:space="preserve"> website</w:t>
      </w:r>
      <w:r w:rsidRPr="00724A6A">
        <w:t xml:space="preserve">. </w:t>
      </w:r>
    </w:p>
    <w:p w14:paraId="3D18DFE5" w14:textId="77777777" w:rsidR="007D2A28" w:rsidRDefault="007D2A28" w:rsidP="007D2A28">
      <w:pPr>
        <w:pStyle w:val="Heading2"/>
      </w:pPr>
      <w:bookmarkStart w:id="10" w:name="_Toc95896750"/>
      <w:bookmarkStart w:id="11" w:name="_Toc96000556"/>
      <w:bookmarkStart w:id="12" w:name="_Toc89956263"/>
      <w:bookmarkStart w:id="13" w:name="_Toc89959020"/>
      <w:r>
        <w:t>Records</w:t>
      </w:r>
      <w:bookmarkEnd w:id="10"/>
      <w:r>
        <w:t xml:space="preserve"> Framework</w:t>
      </w:r>
      <w:bookmarkEnd w:id="11"/>
    </w:p>
    <w:p w14:paraId="7E52367E" w14:textId="77777777" w:rsidR="007D2A28" w:rsidRPr="00E76E13" w:rsidRDefault="007D2A28" w:rsidP="007D2A28">
      <w:pPr>
        <w:pStyle w:val="1AllTextNormalParagraph"/>
      </w:pPr>
      <w:r>
        <w:t>Under the relevant Deed, ‘</w:t>
      </w:r>
      <w:r w:rsidRPr="003B636A">
        <w:t xml:space="preserve">Records’ </w:t>
      </w:r>
      <w:r>
        <w:t xml:space="preserve">means documents, information and data stored by any means and all copies and extracts of the same. </w:t>
      </w:r>
      <w:r w:rsidRPr="00E76E13">
        <w:t xml:space="preserve">Records </w:t>
      </w:r>
      <w:r>
        <w:t>includes 3 categories</w:t>
      </w:r>
      <w:r w:rsidRPr="00E76E13">
        <w:t>:</w:t>
      </w:r>
    </w:p>
    <w:p w14:paraId="33018BF7" w14:textId="77777777" w:rsidR="007D2A28" w:rsidRPr="005679AC" w:rsidRDefault="007D2A28" w:rsidP="007D2A28">
      <w:pPr>
        <w:pStyle w:val="BulletLevel1"/>
      </w:pPr>
      <w:r w:rsidRPr="00EF7B2D">
        <w:rPr>
          <w:b/>
          <w:bCs/>
        </w:rPr>
        <w:t>Commonwealth Records</w:t>
      </w:r>
      <w:r w:rsidRPr="005679AC">
        <w:t xml:space="preserve"> </w:t>
      </w:r>
      <w:r>
        <w:t xml:space="preserve">are </w:t>
      </w:r>
      <w:r w:rsidRPr="00EF7B2D">
        <w:t xml:space="preserve">Records provided by the Department to Providers </w:t>
      </w:r>
      <w:r w:rsidRPr="005679AC">
        <w:t>for the purposes of the relevant Deed and includes Records which are copied or derived from Records so provided.</w:t>
      </w:r>
    </w:p>
    <w:p w14:paraId="5D6356E0" w14:textId="77777777" w:rsidR="007D2A28" w:rsidRPr="005679AC" w:rsidRDefault="007D2A28" w:rsidP="007D2A28">
      <w:pPr>
        <w:pStyle w:val="BulletLevel1"/>
      </w:pPr>
      <w:r w:rsidRPr="00EF7B2D">
        <w:rPr>
          <w:b/>
          <w:bCs/>
        </w:rPr>
        <w:t>Deed Records</w:t>
      </w:r>
      <w:r w:rsidRPr="005679AC">
        <w:t xml:space="preserve"> </w:t>
      </w:r>
      <w:r>
        <w:t xml:space="preserve">are </w:t>
      </w:r>
      <w:r w:rsidRPr="005679AC">
        <w:t xml:space="preserve">all Records: </w:t>
      </w:r>
    </w:p>
    <w:p w14:paraId="4708A88A" w14:textId="77777777" w:rsidR="007D2A28" w:rsidRPr="00E76E13" w:rsidRDefault="007D2A28" w:rsidP="007D2A28">
      <w:pPr>
        <w:pStyle w:val="BulletLevel2"/>
      </w:pPr>
      <w:r w:rsidRPr="00E76E13">
        <w:t xml:space="preserve">developed or created or required to be developed or created as part of or for the purpose of performing </w:t>
      </w:r>
      <w:r>
        <w:t>the relevant</w:t>
      </w:r>
      <w:r w:rsidRPr="00E76E13">
        <w:t xml:space="preserve"> Deed</w:t>
      </w:r>
    </w:p>
    <w:p w14:paraId="323695D1" w14:textId="77777777" w:rsidR="007D2A28" w:rsidRPr="00E76E13" w:rsidRDefault="007D2A28" w:rsidP="007D2A28">
      <w:pPr>
        <w:pStyle w:val="BulletLevel2"/>
      </w:pPr>
      <w:r w:rsidRPr="00E76E13">
        <w:t xml:space="preserve">incorporated in, supplied or required to be supplied along with the Records referred to in </w:t>
      </w:r>
      <w:r>
        <w:t xml:space="preserve">the point </w:t>
      </w:r>
      <w:r w:rsidRPr="00E76E13">
        <w:t>above</w:t>
      </w:r>
      <w:r>
        <w:t xml:space="preserve">, </w:t>
      </w:r>
      <w:r w:rsidRPr="00E76E13">
        <w:t xml:space="preserve">or </w:t>
      </w:r>
    </w:p>
    <w:p w14:paraId="731E4B0A" w14:textId="77777777" w:rsidR="007D2A28" w:rsidRDefault="007D2A28" w:rsidP="007D2A28">
      <w:pPr>
        <w:pStyle w:val="BulletLevel2"/>
      </w:pPr>
      <w:r w:rsidRPr="00E76E13">
        <w:t>copied or derived from Records referred to</w:t>
      </w:r>
      <w:r>
        <w:t xml:space="preserve"> in the above points,</w:t>
      </w:r>
      <w:r w:rsidRPr="00E76E13">
        <w:t xml:space="preserve"> and </w:t>
      </w:r>
    </w:p>
    <w:p w14:paraId="6C31AFD9" w14:textId="77777777" w:rsidR="007D2A28" w:rsidRPr="00E76E13" w:rsidRDefault="007D2A28" w:rsidP="007D2A28">
      <w:pPr>
        <w:pStyle w:val="BulletLevel2"/>
      </w:pPr>
      <w:r w:rsidRPr="00E76E13">
        <w:t>includes all Reports.</w:t>
      </w:r>
    </w:p>
    <w:p w14:paraId="4934035B" w14:textId="77777777" w:rsidR="007D2A28" w:rsidRPr="005679AC" w:rsidRDefault="007D2A28" w:rsidP="007D2A28">
      <w:pPr>
        <w:pStyle w:val="BulletLevel1"/>
      </w:pPr>
      <w:r w:rsidRPr="00EF7B2D">
        <w:rPr>
          <w:b/>
          <w:bCs/>
        </w:rPr>
        <w:t>Provider Records</w:t>
      </w:r>
      <w:r>
        <w:t xml:space="preserve"> are </w:t>
      </w:r>
      <w:r w:rsidRPr="005679AC">
        <w:t>all Records, except Commonwealth Records, in existence prior to the relevant Deed Commencement Date:</w:t>
      </w:r>
    </w:p>
    <w:p w14:paraId="6B7186B5" w14:textId="77777777" w:rsidR="007D2A28" w:rsidRPr="005679AC" w:rsidRDefault="007D2A28" w:rsidP="007D2A28">
      <w:pPr>
        <w:pStyle w:val="BulletLevel2"/>
      </w:pPr>
      <w:r w:rsidRPr="005679AC">
        <w:t>incorporated in</w:t>
      </w:r>
    </w:p>
    <w:p w14:paraId="7D49C6FC" w14:textId="77777777" w:rsidR="007D2A28" w:rsidRPr="00B93B7C" w:rsidRDefault="007D2A28" w:rsidP="007D2A28">
      <w:pPr>
        <w:pStyle w:val="BulletLevel2"/>
      </w:pPr>
      <w:r w:rsidRPr="00B93B7C">
        <w:t>supplied with, or as part of</w:t>
      </w:r>
      <w:r>
        <w:t xml:space="preserve">, </w:t>
      </w:r>
      <w:r w:rsidRPr="00B93B7C">
        <w:t>or</w:t>
      </w:r>
    </w:p>
    <w:p w14:paraId="1263ADDB" w14:textId="77777777" w:rsidR="007D2A28" w:rsidRDefault="007D2A28" w:rsidP="007D2A28">
      <w:pPr>
        <w:pStyle w:val="BulletLevel2"/>
      </w:pPr>
      <w:r w:rsidRPr="00B93B7C">
        <w:t>required to be supplied with, or as part of</w:t>
      </w:r>
      <w:r>
        <w:t>,</w:t>
      </w:r>
    </w:p>
    <w:p w14:paraId="15116B3A" w14:textId="77777777" w:rsidR="007D2A28" w:rsidRDefault="007D2A28" w:rsidP="00322353">
      <w:pPr>
        <w:pStyle w:val="1AllTextNormalParagraph"/>
        <w:ind w:firstLine="720"/>
      </w:pPr>
      <w:r w:rsidRPr="00B93B7C">
        <w:t>the Deed Records.</w:t>
      </w:r>
    </w:p>
    <w:p w14:paraId="584B3A2E" w14:textId="77777777" w:rsidR="007D2A28" w:rsidRPr="00B7692B" w:rsidRDefault="007D2A28" w:rsidP="007D2A28">
      <w:pPr>
        <w:pStyle w:val="1AllTextNormalParagraph"/>
        <w:rPr>
          <w:rStyle w:val="1AllTextNormalCharacter"/>
        </w:rPr>
      </w:pPr>
      <w:r w:rsidRPr="00B7692B">
        <w:rPr>
          <w:rStyle w:val="1AllTextNormalCharacter"/>
        </w:rPr>
        <w:lastRenderedPageBreak/>
        <w:t xml:space="preserve">To the extent that Records contain personal information for the purposes of the Privacy Act, Providers must also take </w:t>
      </w:r>
      <w:r>
        <w:rPr>
          <w:rStyle w:val="1AllTextNormalCharacter"/>
        </w:rPr>
        <w:t>reasonable</w:t>
      </w:r>
      <w:r w:rsidRPr="00B7692B">
        <w:rPr>
          <w:rStyle w:val="1AllTextNormalCharacter"/>
        </w:rPr>
        <w:t xml:space="preserve"> steps (if any) in the circumstances to ensure that the personal information that the Provider:</w:t>
      </w:r>
    </w:p>
    <w:p w14:paraId="5903D3B2" w14:textId="77777777" w:rsidR="007D2A28" w:rsidRPr="00B7692B" w:rsidRDefault="007D2A28" w:rsidP="007D2A28">
      <w:pPr>
        <w:pStyle w:val="BulletLevel1"/>
      </w:pPr>
      <w:r w:rsidRPr="00B7692B">
        <w:t>collects is accurate, up</w:t>
      </w:r>
      <w:r>
        <w:t>-</w:t>
      </w:r>
      <w:r w:rsidRPr="00B7692B">
        <w:t>to</w:t>
      </w:r>
      <w:r>
        <w:t>-</w:t>
      </w:r>
      <w:r w:rsidRPr="00B7692B">
        <w:t>date and complete</w:t>
      </w:r>
      <w:r>
        <w:t>,</w:t>
      </w:r>
      <w:r w:rsidRPr="00B7692B">
        <w:t xml:space="preserve"> and</w:t>
      </w:r>
    </w:p>
    <w:p w14:paraId="02DD3D78" w14:textId="77777777" w:rsidR="007D2A28" w:rsidRPr="00202E8D" w:rsidRDefault="007D2A28" w:rsidP="007D2A28">
      <w:pPr>
        <w:pStyle w:val="BulletLevel1"/>
      </w:pPr>
      <w:r w:rsidRPr="00F54DF9">
        <w:t>uses or discloses is, having regard to the purpose of the u</w:t>
      </w:r>
      <w:r w:rsidRPr="00594351">
        <w:t>se or disclosure</w:t>
      </w:r>
      <w:r w:rsidRPr="00A55049">
        <w:t>, accurate, up</w:t>
      </w:r>
      <w:r>
        <w:t>-</w:t>
      </w:r>
      <w:r w:rsidRPr="00A55049">
        <w:t>to</w:t>
      </w:r>
      <w:r>
        <w:t>-</w:t>
      </w:r>
      <w:r w:rsidRPr="00A55049">
        <w:t>date, compl</w:t>
      </w:r>
      <w:r w:rsidRPr="00202E8D">
        <w:t>ete and relevant.</w:t>
      </w:r>
    </w:p>
    <w:p w14:paraId="7C8BC3FC" w14:textId="77777777" w:rsidR="007D2A28" w:rsidRPr="003B137D" w:rsidRDefault="007D2A28" w:rsidP="007D2A28">
      <w:pPr>
        <w:pStyle w:val="Heading3"/>
        <w:rPr>
          <w:rStyle w:val="1AllTextNormalCharacter"/>
        </w:rPr>
      </w:pPr>
      <w:r w:rsidRPr="003B137D">
        <w:rPr>
          <w:rStyle w:val="1AllTextNormalCharacter"/>
        </w:rPr>
        <w:t>General Records Authority 40</w:t>
      </w:r>
    </w:p>
    <w:p w14:paraId="18EA9EE0" w14:textId="77777777" w:rsidR="007D2A28" w:rsidRPr="000C303A" w:rsidRDefault="007D2A28" w:rsidP="007D2A28">
      <w:pPr>
        <w:pStyle w:val="1AllTextNormalParagraph"/>
      </w:pPr>
      <w:r>
        <w:t xml:space="preserve">The General Records Authority 40 (GRA 40) </w:t>
      </w:r>
      <w:r w:rsidRPr="00DA0EC2">
        <w:t>set</w:t>
      </w:r>
      <w:r>
        <w:t>s</w:t>
      </w:r>
      <w:r w:rsidRPr="00DA0EC2">
        <w:t xml:space="preserve"> out the requirements for the transfer of custody of Commonwealth </w:t>
      </w:r>
      <w:r>
        <w:t>R</w:t>
      </w:r>
      <w:r w:rsidRPr="00DA0EC2">
        <w:t>ecords to contractors providing services under outsourcing arrangements, either on behalf of or to the Australian Government.</w:t>
      </w:r>
      <w:r>
        <w:t xml:space="preserve"> The GRA 40 </w:t>
      </w:r>
      <w:r w:rsidRPr="002F35B4">
        <w:t xml:space="preserve">provides </w:t>
      </w:r>
      <w:r>
        <w:t xml:space="preserve">that, notwithstanding </w:t>
      </w:r>
      <w:r w:rsidRPr="002F35B4">
        <w:t xml:space="preserve">custody of </w:t>
      </w:r>
      <w:r>
        <w:t>R</w:t>
      </w:r>
      <w:r w:rsidRPr="002F35B4">
        <w:t xml:space="preserve">ecords </w:t>
      </w:r>
      <w:r>
        <w:t xml:space="preserve">that </w:t>
      </w:r>
      <w:r w:rsidRPr="002F35B4">
        <w:t>temporarily reside</w:t>
      </w:r>
      <w:r>
        <w:t>s</w:t>
      </w:r>
      <w:r w:rsidRPr="002F35B4">
        <w:t xml:space="preserve"> with the Provider, ownership of the </w:t>
      </w:r>
      <w:r>
        <w:t xml:space="preserve">relevant </w:t>
      </w:r>
      <w:r w:rsidRPr="002F35B4">
        <w:t xml:space="preserve">records remain with the Australian Government.  </w:t>
      </w:r>
    </w:p>
    <w:p w14:paraId="7BDDB962" w14:textId="77777777" w:rsidR="007D2A28" w:rsidRPr="000C303A" w:rsidRDefault="007D2A28" w:rsidP="007D2A28">
      <w:pPr>
        <w:pStyle w:val="1AllTextNormalParagraph"/>
      </w:pPr>
      <w:r w:rsidRPr="6B0BCD97">
        <w:t xml:space="preserve">Further </w:t>
      </w:r>
      <w:r>
        <w:t>information</w:t>
      </w:r>
      <w:r w:rsidRPr="6B0BCD97">
        <w:t xml:space="preserve"> </w:t>
      </w:r>
      <w:r>
        <w:t>on</w:t>
      </w:r>
      <w:r w:rsidRPr="6B0BCD97">
        <w:t xml:space="preserve"> </w:t>
      </w:r>
      <w:r>
        <w:t xml:space="preserve">relevant application and conditions of </w:t>
      </w:r>
      <w:r w:rsidRPr="6B0BCD97">
        <w:t xml:space="preserve">the </w:t>
      </w:r>
      <w:r w:rsidRPr="00140F2F">
        <w:t>GRA 40</w:t>
      </w:r>
      <w:r w:rsidRPr="6B0BCD97">
        <w:t xml:space="preserve"> is provided on the </w:t>
      </w:r>
      <w:hyperlink r:id="rId23" w:history="1">
        <w:r w:rsidRPr="003C4CED">
          <w:rPr>
            <w:rStyle w:val="Hyperlink"/>
          </w:rPr>
          <w:t>NAA</w:t>
        </w:r>
        <w:r w:rsidRPr="003C4CED" w:rsidDel="00F85B76">
          <w:rPr>
            <w:rStyle w:val="Hyperlink"/>
          </w:rPr>
          <w:t xml:space="preserve"> </w:t>
        </w:r>
        <w:r w:rsidRPr="003C4CED">
          <w:rPr>
            <w:rStyle w:val="Hyperlink"/>
          </w:rPr>
          <w:t>website</w:t>
        </w:r>
      </w:hyperlink>
      <w:r>
        <w:t xml:space="preserve">. </w:t>
      </w:r>
    </w:p>
    <w:p w14:paraId="041DE5C8" w14:textId="77777777" w:rsidR="007D2A28" w:rsidRDefault="007D2A28" w:rsidP="007D2A28">
      <w:pPr>
        <w:pStyle w:val="Heading2"/>
      </w:pPr>
      <w:bookmarkStart w:id="14" w:name="_Toc96000557"/>
      <w:r>
        <w:t>Management of Records</w:t>
      </w:r>
      <w:bookmarkEnd w:id="14"/>
    </w:p>
    <w:p w14:paraId="5E91A09A" w14:textId="443FD2AD" w:rsidR="008B10EF" w:rsidRDefault="007D2A28" w:rsidP="007D2A28">
      <w:pPr>
        <w:pStyle w:val="1AllTextNormalParagraph"/>
      </w:pPr>
      <w:r>
        <w:t xml:space="preserve">In accordance with the "digital by default" approach set out in the Australian Government's </w:t>
      </w:r>
      <w:r w:rsidRPr="001965FA">
        <w:rPr>
          <w:rStyle w:val="Emphasis"/>
        </w:rPr>
        <w:t>Building trust in the public record: managing information and data for government and community</w:t>
      </w:r>
      <w:r w:rsidRPr="001965FA">
        <w:t> policy</w:t>
      </w:r>
      <w:r>
        <w:t xml:space="preserve">, Providers must, wherever possible and consistent with the Deed and other applicable legal requirements, </w:t>
      </w:r>
      <w:r w:rsidR="0053330C">
        <w:t>create</w:t>
      </w:r>
      <w:r>
        <w:t xml:space="preserve"> and manage Records in a digital format. </w:t>
      </w:r>
      <w:bookmarkEnd w:id="12"/>
      <w:bookmarkEnd w:id="13"/>
      <w:r w:rsidR="00ED0F6C">
        <w:t xml:space="preserve">Physical </w:t>
      </w:r>
      <w:r w:rsidR="0053330C">
        <w:t>Records</w:t>
      </w:r>
      <w:r w:rsidR="00ED0F6C">
        <w:t xml:space="preserve"> created before 1 </w:t>
      </w:r>
      <w:r w:rsidR="00A17501">
        <w:t>July</w:t>
      </w:r>
      <w:r w:rsidR="00ED0F6C">
        <w:t xml:space="preserve"> 2023 can be retained</w:t>
      </w:r>
      <w:r w:rsidR="00B06773">
        <w:t xml:space="preserve"> in </w:t>
      </w:r>
      <w:r w:rsidR="0053330C">
        <w:t xml:space="preserve">a </w:t>
      </w:r>
      <w:r w:rsidR="00B06773">
        <w:t>physical format</w:t>
      </w:r>
      <w:r w:rsidR="0053330C">
        <w:t>,</w:t>
      </w:r>
      <w:r w:rsidR="00B06773">
        <w:t xml:space="preserve"> unless otherwise specified by the Department</w:t>
      </w:r>
      <w:r w:rsidR="00DC3906">
        <w:t xml:space="preserve">, </w:t>
      </w:r>
      <w:r w:rsidR="00B06773">
        <w:t xml:space="preserve">any </w:t>
      </w:r>
      <w:r w:rsidR="00962575">
        <w:t xml:space="preserve">Deeds or </w:t>
      </w:r>
      <w:r w:rsidR="00B06773">
        <w:t>Guidelines</w:t>
      </w:r>
      <w:r w:rsidR="00962575">
        <w:t xml:space="preserve"> and legal requirements</w:t>
      </w:r>
      <w:r w:rsidR="00B06773">
        <w:t>.</w:t>
      </w:r>
    </w:p>
    <w:p w14:paraId="787EA931" w14:textId="114002DD" w:rsidR="007D2A28" w:rsidRPr="008D20BD" w:rsidRDefault="007D2A28" w:rsidP="007D2A28">
      <w:pPr>
        <w:pStyle w:val="1AllTextNormalParagraph"/>
      </w:pPr>
      <w:r w:rsidRPr="008D20BD">
        <w:t xml:space="preserve">Providers must ensure that any digital Record is created, stored and operated in accordance with the Deed requirements (particularly the requirements in relation to Provider IT Systems and other applicable legislative provisions, including the </w:t>
      </w:r>
      <w:hyperlink r:id="rId24" w:history="1">
        <w:r w:rsidRPr="008262F6">
          <w:rPr>
            <w:rStyle w:val="Hyperlink"/>
          </w:rPr>
          <w:t>Electronic Transactions Act 1999</w:t>
        </w:r>
      </w:hyperlink>
      <w:r w:rsidRPr="008D20BD">
        <w:t xml:space="preserve"> </w:t>
      </w:r>
      <w:r w:rsidRPr="003F73FB">
        <w:rPr>
          <w:rStyle w:val="1AllTextItalics"/>
        </w:rPr>
        <w:t>(Cth</w:t>
      </w:r>
      <w:r w:rsidRPr="008D20BD">
        <w:t>)</w:t>
      </w:r>
      <w:r w:rsidR="008B10EF">
        <w:t>)</w:t>
      </w:r>
      <w:r w:rsidRPr="008D20BD">
        <w:t xml:space="preserve">. </w:t>
      </w:r>
    </w:p>
    <w:p w14:paraId="2E2DB643" w14:textId="77777777" w:rsidR="007D2A28" w:rsidRDefault="007D2A28" w:rsidP="007D2A28">
      <w:pPr>
        <w:pStyle w:val="1AllTextNormalParagraph"/>
      </w:pPr>
      <w:r>
        <w:t>Digital</w:t>
      </w:r>
      <w:r w:rsidRPr="008D666E">
        <w:t xml:space="preserve"> </w:t>
      </w:r>
      <w:r w:rsidRPr="0066738C">
        <w:t xml:space="preserve">Records containing sensitive information as defined in the </w:t>
      </w:r>
      <w:r w:rsidRPr="00281207">
        <w:rPr>
          <w:rStyle w:val="1AllTextItalics"/>
          <w:i w:val="0"/>
        </w:rPr>
        <w:t>Privacy Act</w:t>
      </w:r>
      <w:r w:rsidRPr="0066738C">
        <w:t xml:space="preserve"> must be kept secure</w:t>
      </w:r>
      <w:r>
        <w:t>ly</w:t>
      </w:r>
      <w:r w:rsidRPr="0066738C">
        <w:t>.</w:t>
      </w:r>
      <w:r>
        <w:t xml:space="preserve"> The </w:t>
      </w:r>
      <w:hyperlink r:id="rId25" w:history="1">
        <w:r w:rsidRPr="00A938BF">
          <w:rPr>
            <w:rStyle w:val="Hyperlink"/>
          </w:rPr>
          <w:t>Office of Australian Information Commissioner</w:t>
        </w:r>
      </w:hyperlink>
      <w:r>
        <w:t xml:space="preserve"> (OAIC) website provides information on keeping personal identifying information secure. </w:t>
      </w:r>
    </w:p>
    <w:p w14:paraId="2AB5ECC0" w14:textId="77777777" w:rsidR="007D2A28" w:rsidRPr="00CD50DE" w:rsidRDefault="007D2A28" w:rsidP="007D2A28">
      <w:r w:rsidRPr="00CD50DE">
        <w:t>The Provider must ensure that its:</w:t>
      </w:r>
    </w:p>
    <w:p w14:paraId="2048555F" w14:textId="77777777" w:rsidR="007D2A28" w:rsidRPr="00CD50DE" w:rsidRDefault="007D2A28" w:rsidP="007D2A28">
      <w:pPr>
        <w:pStyle w:val="BulletLevel1"/>
      </w:pPr>
      <w:r w:rsidRPr="00CD50DE">
        <w:t>Personnel and Subcontractors do not access, copy, disclose or use any:</w:t>
      </w:r>
    </w:p>
    <w:p w14:paraId="11FFEC44" w14:textId="77777777" w:rsidR="007D2A28" w:rsidRPr="00CD50DE" w:rsidRDefault="007D2A28" w:rsidP="007D2A28">
      <w:pPr>
        <w:pStyle w:val="BulletLevel2"/>
      </w:pPr>
      <w:r w:rsidRPr="00CD50DE">
        <w:t>Record containing any information about any participant in any employment services program</w:t>
      </w:r>
      <w:r>
        <w:t>,</w:t>
      </w:r>
      <w:r w:rsidRPr="00CD50DE">
        <w:t xml:space="preserve"> or</w:t>
      </w:r>
    </w:p>
    <w:p w14:paraId="22179C82" w14:textId="77777777" w:rsidR="007D2A28" w:rsidRPr="00CD50DE" w:rsidRDefault="007D2A28" w:rsidP="007D2A28">
      <w:pPr>
        <w:pStyle w:val="BulletLevel2"/>
      </w:pPr>
      <w:r w:rsidRPr="00CD50DE">
        <w:t>Record in the Department's IT Systems containing any information about any individual (including individuals who are not participants in any employment services program),</w:t>
      </w:r>
    </w:p>
    <w:p w14:paraId="7EDBFCB7" w14:textId="77777777" w:rsidR="007D2A28" w:rsidRPr="00CD50DE" w:rsidRDefault="007D2A28" w:rsidP="007D2A28">
      <w:pPr>
        <w:pStyle w:val="BulletLevel1"/>
        <w:numPr>
          <w:ilvl w:val="0"/>
          <w:numId w:val="0"/>
        </w:numPr>
        <w:ind w:left="709"/>
      </w:pPr>
      <w:r w:rsidRPr="00CD50DE">
        <w:t>unless such access, copying, disclosure or use is for the purpose of:</w:t>
      </w:r>
    </w:p>
    <w:p w14:paraId="587B0259" w14:textId="77777777" w:rsidR="007D2A28" w:rsidRPr="00CD50DE" w:rsidRDefault="007D2A28" w:rsidP="007D2A28">
      <w:pPr>
        <w:pStyle w:val="BulletLevel2"/>
      </w:pPr>
      <w:r w:rsidRPr="00CD50DE">
        <w:t xml:space="preserve">providing Services to </w:t>
      </w:r>
      <w:r>
        <w:t>a</w:t>
      </w:r>
      <w:r w:rsidRPr="00CD50DE">
        <w:t xml:space="preserve"> participant under the </w:t>
      </w:r>
      <w:r>
        <w:t>relevant</w:t>
      </w:r>
      <w:r w:rsidRPr="00CD50DE">
        <w:t xml:space="preserve"> Deed</w:t>
      </w:r>
      <w:r>
        <w:t>,</w:t>
      </w:r>
      <w:r w:rsidRPr="00CD50DE">
        <w:t xml:space="preserve"> or</w:t>
      </w:r>
    </w:p>
    <w:p w14:paraId="0215F291" w14:textId="77777777" w:rsidR="007D2A28" w:rsidRPr="00CD50DE" w:rsidRDefault="007D2A28" w:rsidP="007D2A28">
      <w:pPr>
        <w:pStyle w:val="BulletLevel2"/>
      </w:pPr>
      <w:r w:rsidRPr="00CD50DE">
        <w:t>otherwise complying with th</w:t>
      </w:r>
      <w:r>
        <w:t>e</w:t>
      </w:r>
      <w:r w:rsidRPr="00CD50DE">
        <w:t xml:space="preserve"> Deed</w:t>
      </w:r>
      <w:r>
        <w:t>,</w:t>
      </w:r>
      <w:r w:rsidRPr="00CD50DE">
        <w:t xml:space="preserve"> and</w:t>
      </w:r>
    </w:p>
    <w:p w14:paraId="1F075D2D" w14:textId="77777777" w:rsidR="007D2A28" w:rsidRPr="00BF120E" w:rsidRDefault="007D2A28" w:rsidP="007D2A28">
      <w:pPr>
        <w:pStyle w:val="BulletLevel1"/>
      </w:pPr>
      <w:r w:rsidRPr="00CD50DE">
        <w:t>Third Party IT Vendors do not access, copy, disclose or use any electronic Record unless such access, c</w:t>
      </w:r>
      <w:r w:rsidRPr="00C01B7C">
        <w:t>opying, disclosure or use is for the purpose of assisting the Provider to comply with th</w:t>
      </w:r>
      <w:r w:rsidRPr="000D6231">
        <w:t>e relevant</w:t>
      </w:r>
      <w:r w:rsidRPr="00BF120E">
        <w:t xml:space="preserve"> Deed.</w:t>
      </w:r>
    </w:p>
    <w:p w14:paraId="788E392D" w14:textId="77777777" w:rsidR="007D2A28" w:rsidRPr="005F25A2" w:rsidRDefault="007D2A28" w:rsidP="007D2A28">
      <w:pPr>
        <w:pStyle w:val="BulletLevel1"/>
        <w:numPr>
          <w:ilvl w:val="0"/>
          <w:numId w:val="0"/>
        </w:numPr>
        <w:ind w:left="284"/>
        <w:rPr>
          <w:rStyle w:val="1AllTextNormalCharacter"/>
        </w:rPr>
      </w:pPr>
      <w:r w:rsidRPr="005F25A2">
        <w:rPr>
          <w:rStyle w:val="1AllTextNormalCharacter"/>
        </w:rPr>
        <w:lastRenderedPageBreak/>
        <w:t xml:space="preserve">Records held by a Provider which were created under a previous Deed (e.g. under the jobactive Deed 2015-2022) must be managed in accordance with the Records management requirements of that previous Deed.  </w:t>
      </w:r>
    </w:p>
    <w:p w14:paraId="03345C2D" w14:textId="77777777" w:rsidR="007D2A28" w:rsidRPr="00BF120E" w:rsidRDefault="007D2A28" w:rsidP="007D2A28">
      <w:pPr>
        <w:pStyle w:val="BulletLevel1"/>
        <w:numPr>
          <w:ilvl w:val="0"/>
          <w:numId w:val="0"/>
        </w:numPr>
        <w:ind w:left="709"/>
      </w:pPr>
    </w:p>
    <w:p w14:paraId="0AC0E253" w14:textId="77777777" w:rsidR="007D2A28" w:rsidRPr="00C934DA" w:rsidRDefault="007D2A28" w:rsidP="007D2A28">
      <w:pPr>
        <w:pStyle w:val="Heading3"/>
      </w:pPr>
      <w:bookmarkStart w:id="15" w:name="_Toc95896751"/>
      <w:r w:rsidRPr="00B7692B">
        <w:t>Storage</w:t>
      </w:r>
      <w:r>
        <w:t xml:space="preserve"> requirements </w:t>
      </w:r>
      <w:bookmarkEnd w:id="15"/>
    </w:p>
    <w:p w14:paraId="24B73192" w14:textId="77777777" w:rsidR="007D2A28" w:rsidRDefault="007D2A28" w:rsidP="007D2A28">
      <w:pPr>
        <w:pStyle w:val="1AllTextNormalParagraph"/>
      </w:pPr>
      <w:r w:rsidRPr="00224C7B">
        <w:t>The Provider must store all Records in accordance with the</w:t>
      </w:r>
      <w:r>
        <w:t>se</w:t>
      </w:r>
      <w:r w:rsidRPr="00224C7B">
        <w:t xml:space="preserve"> Records Management Instructions</w:t>
      </w:r>
      <w:r>
        <w:t>,</w:t>
      </w:r>
      <w:r w:rsidRPr="00224C7B">
        <w:t xml:space="preserve"> the Department’s Security Policies, and where relevant, its </w:t>
      </w:r>
      <w:r w:rsidRPr="00281207">
        <w:rPr>
          <w:rStyle w:val="1AllTextItalics"/>
          <w:i w:val="0"/>
        </w:rPr>
        <w:t>Privacy Act</w:t>
      </w:r>
      <w:r w:rsidRPr="00224C7B">
        <w:t xml:space="preserve"> obligations.</w:t>
      </w:r>
    </w:p>
    <w:p w14:paraId="22F566FA" w14:textId="77777777" w:rsidR="007D2A28" w:rsidRDefault="007D2A28" w:rsidP="007D2A28">
      <w:pPr>
        <w:pStyle w:val="1AllTextNormalParagraph"/>
      </w:pPr>
      <w:r w:rsidRPr="0016353F">
        <w:t>Providers must store Records securely either on their own premises or off-site using a records storage facility in compliance with legislation covering the management of Commonwealth/Deed Records</w:t>
      </w:r>
      <w:r>
        <w:t xml:space="preserve">, including the </w:t>
      </w:r>
      <w:r w:rsidRPr="00281207">
        <w:rPr>
          <w:rStyle w:val="1AllTextItalics"/>
          <w:i w:val="0"/>
        </w:rPr>
        <w:t>Privacy Act</w:t>
      </w:r>
      <w:r w:rsidRPr="0016353F">
        <w:t>.</w:t>
      </w:r>
    </w:p>
    <w:p w14:paraId="3B7C5136" w14:textId="77777777" w:rsidR="007D2A28" w:rsidRDefault="007D2A28" w:rsidP="007D2A28">
      <w:pPr>
        <w:pStyle w:val="1AllTextNormalParagraph"/>
      </w:pPr>
      <w:r>
        <w:t xml:space="preserve">For Records that contain personal information for the purposes of the </w:t>
      </w:r>
      <w:r w:rsidRPr="00281207">
        <w:rPr>
          <w:rStyle w:val="1AllTextItalics"/>
          <w:i w:val="0"/>
        </w:rPr>
        <w:t>Privacy Act</w:t>
      </w:r>
      <w:r>
        <w:t xml:space="preserve">, in accordance with Australian Privacy Principle 11 as set out in Schedule 1 of the </w:t>
      </w:r>
      <w:r w:rsidRPr="00281207">
        <w:rPr>
          <w:rStyle w:val="1AllTextItalics"/>
          <w:i w:val="0"/>
        </w:rPr>
        <w:t>Privacy Act</w:t>
      </w:r>
      <w:r>
        <w:t xml:space="preserve">, the Provider must take such steps that are reasonable in the circumstances to protect the information from misuse, interference and loss, and from unauthorised access, modification or disclosure. The guide to securing personal information can be found on the </w:t>
      </w:r>
      <w:hyperlink r:id="rId26" w:history="1">
        <w:r w:rsidRPr="005D2BD0">
          <w:rPr>
            <w:rStyle w:val="Hyperlink"/>
          </w:rPr>
          <w:t>OAIC website</w:t>
        </w:r>
      </w:hyperlink>
      <w:r>
        <w:t xml:space="preserve"> and </w:t>
      </w:r>
      <w:r w:rsidRPr="00122F20">
        <w:t>provides</w:t>
      </w:r>
      <w:r>
        <w:t xml:space="preserve"> </w:t>
      </w:r>
      <w:r w:rsidRPr="00122F20">
        <w:t>guidance</w:t>
      </w:r>
      <w:r>
        <w:t xml:space="preserve"> </w:t>
      </w:r>
      <w:r w:rsidRPr="00122F20">
        <w:t>on</w:t>
      </w:r>
      <w:r>
        <w:t xml:space="preserve"> </w:t>
      </w:r>
      <w:r w:rsidRPr="00122F20">
        <w:t>the</w:t>
      </w:r>
      <w:r>
        <w:t xml:space="preserve"> </w:t>
      </w:r>
      <w:r w:rsidRPr="00122F20">
        <w:t>reasonable</w:t>
      </w:r>
      <w:r>
        <w:t xml:space="preserve"> </w:t>
      </w:r>
      <w:r w:rsidRPr="00122F20">
        <w:t>steps</w:t>
      </w:r>
      <w:r>
        <w:t xml:space="preserve"> </w:t>
      </w:r>
      <w:r w:rsidRPr="00122F20">
        <w:t>entities</w:t>
      </w:r>
      <w:r>
        <w:t xml:space="preserve"> </w:t>
      </w:r>
      <w:r w:rsidRPr="00122F20">
        <w:t>are</w:t>
      </w:r>
      <w:r>
        <w:t xml:space="preserve"> </w:t>
      </w:r>
      <w:r w:rsidRPr="00122F20">
        <w:t>required</w:t>
      </w:r>
      <w:r>
        <w:t xml:space="preserve"> </w:t>
      </w:r>
      <w:r w:rsidRPr="00122F20">
        <w:t>to</w:t>
      </w:r>
      <w:r>
        <w:t xml:space="preserve"> </w:t>
      </w:r>
      <w:r w:rsidRPr="00122F20">
        <w:t>take</w:t>
      </w:r>
      <w:r>
        <w:t xml:space="preserve"> </w:t>
      </w:r>
      <w:r w:rsidRPr="00122F20">
        <w:t>under</w:t>
      </w:r>
      <w:r>
        <w:t xml:space="preserve"> </w:t>
      </w:r>
      <w:r w:rsidRPr="00122F20">
        <w:t>the</w:t>
      </w:r>
      <w:r>
        <w:t xml:space="preserve"> </w:t>
      </w:r>
      <w:r w:rsidRPr="00281207">
        <w:rPr>
          <w:rStyle w:val="1AllTextItalics"/>
          <w:i w:val="0"/>
        </w:rPr>
        <w:t>Privacy Act</w:t>
      </w:r>
      <w:r w:rsidRPr="00C5210F">
        <w:t xml:space="preserve"> </w:t>
      </w:r>
      <w:r w:rsidRPr="00122F20">
        <w:t>to</w:t>
      </w:r>
      <w:r>
        <w:t xml:space="preserve"> </w:t>
      </w:r>
      <w:r w:rsidRPr="00122F20">
        <w:t>protect</w:t>
      </w:r>
      <w:r>
        <w:t xml:space="preserve"> </w:t>
      </w:r>
      <w:r w:rsidRPr="00122F20">
        <w:t>the</w:t>
      </w:r>
      <w:r>
        <w:t xml:space="preserve"> P</w:t>
      </w:r>
      <w:r w:rsidRPr="00122F20">
        <w:t>ersonal</w:t>
      </w:r>
      <w:r>
        <w:t xml:space="preserve"> I</w:t>
      </w:r>
      <w:r w:rsidRPr="00122F20">
        <w:t>nformation</w:t>
      </w:r>
      <w:r>
        <w:t xml:space="preserve"> </w:t>
      </w:r>
      <w:r w:rsidRPr="00122F20">
        <w:t>they</w:t>
      </w:r>
      <w:r>
        <w:t xml:space="preserve"> </w:t>
      </w:r>
      <w:r w:rsidRPr="00122F20">
        <w:t>hold</w:t>
      </w:r>
      <w:r>
        <w:t xml:space="preserve"> </w:t>
      </w:r>
      <w:r w:rsidRPr="00122F20">
        <w:t>from</w:t>
      </w:r>
      <w:r>
        <w:t xml:space="preserve"> </w:t>
      </w:r>
      <w:r w:rsidRPr="00122F20">
        <w:t>misuse,</w:t>
      </w:r>
      <w:r>
        <w:t xml:space="preserve"> </w:t>
      </w:r>
      <w:r w:rsidRPr="00122F20">
        <w:t>interference,</w:t>
      </w:r>
      <w:r>
        <w:t xml:space="preserve"> </w:t>
      </w:r>
      <w:r w:rsidRPr="00122F20">
        <w:t>loss,</w:t>
      </w:r>
      <w:r>
        <w:t xml:space="preserve"> </w:t>
      </w:r>
      <w:r w:rsidRPr="00122F20">
        <w:t>and</w:t>
      </w:r>
      <w:r>
        <w:t xml:space="preserve"> </w:t>
      </w:r>
      <w:r w:rsidRPr="00122F20">
        <w:t>from</w:t>
      </w:r>
      <w:r>
        <w:t xml:space="preserve"> </w:t>
      </w:r>
      <w:r w:rsidRPr="00122F20">
        <w:t>unauthorised</w:t>
      </w:r>
      <w:r>
        <w:t xml:space="preserve"> </w:t>
      </w:r>
      <w:r w:rsidRPr="00122F20">
        <w:t>access,</w:t>
      </w:r>
      <w:r>
        <w:t xml:space="preserve"> </w:t>
      </w:r>
      <w:r w:rsidRPr="00122F20">
        <w:t>modification</w:t>
      </w:r>
      <w:r>
        <w:t xml:space="preserve"> </w:t>
      </w:r>
      <w:r w:rsidRPr="00122F20">
        <w:t>or</w:t>
      </w:r>
      <w:r>
        <w:t xml:space="preserve"> </w:t>
      </w:r>
      <w:r w:rsidRPr="00122F20">
        <w:t>disclosure.</w:t>
      </w:r>
    </w:p>
    <w:p w14:paraId="2B445248" w14:textId="77777777" w:rsidR="007D2A28" w:rsidRDefault="007D2A28" w:rsidP="007D2A28">
      <w:pPr>
        <w:pStyle w:val="1AllTextNormalParagraph"/>
      </w:pPr>
      <w:r>
        <w:t>P</w:t>
      </w:r>
      <w:r w:rsidRPr="0016353F">
        <w:t xml:space="preserve">roviders must ensure that the Department can access Records </w:t>
      </w:r>
      <w:r w:rsidRPr="004C39E5">
        <w:t>by retrieving the Record (including</w:t>
      </w:r>
      <w:r>
        <w:t>,</w:t>
      </w:r>
      <w:r w:rsidRPr="004C39E5">
        <w:t xml:space="preserve"> if stored digitally</w:t>
      </w:r>
      <w:r>
        <w:t>,</w:t>
      </w:r>
      <w:r w:rsidRPr="004C39E5">
        <w:t xml:space="preserve"> by retrieving the digital copy and if relevant printing it) and providing it to the Department</w:t>
      </w:r>
      <w:r>
        <w:t xml:space="preserve"> upon request</w:t>
      </w:r>
      <w:r w:rsidRPr="0016353F">
        <w:t xml:space="preserve">. </w:t>
      </w:r>
    </w:p>
    <w:p w14:paraId="7715653A" w14:textId="77777777" w:rsidR="007D2A28" w:rsidRDefault="007D2A28" w:rsidP="007D2A28">
      <w:pPr>
        <w:pStyle w:val="1AllTextNormalParagraph"/>
      </w:pPr>
      <w:r w:rsidRPr="001969CD">
        <w:t>Providers</w:t>
      </w:r>
      <w:r>
        <w:t xml:space="preserve"> </w:t>
      </w:r>
      <w:r w:rsidRPr="001969CD">
        <w:t>are</w:t>
      </w:r>
      <w:r>
        <w:t xml:space="preserve"> </w:t>
      </w:r>
      <w:r w:rsidRPr="001969CD">
        <w:t>required</w:t>
      </w:r>
      <w:r>
        <w:t xml:space="preserve"> </w:t>
      </w:r>
      <w:r w:rsidRPr="001969CD">
        <w:t>to</w:t>
      </w:r>
      <w:r>
        <w:t xml:space="preserve"> </w:t>
      </w:r>
      <w:r w:rsidRPr="001969CD">
        <w:t>store</w:t>
      </w:r>
      <w:r>
        <w:t xml:space="preserve"> digital </w:t>
      </w:r>
      <w:r w:rsidRPr="001969CD">
        <w:t>Records</w:t>
      </w:r>
      <w:r>
        <w:t xml:space="preserve"> </w:t>
      </w:r>
      <w:r w:rsidRPr="001969CD">
        <w:t>in</w:t>
      </w:r>
      <w:r>
        <w:t xml:space="preserve"> </w:t>
      </w:r>
      <w:r w:rsidRPr="001969CD">
        <w:t>accordance</w:t>
      </w:r>
      <w:r>
        <w:t xml:space="preserve"> </w:t>
      </w:r>
      <w:r w:rsidRPr="00A51DD0">
        <w:t>with</w:t>
      </w:r>
      <w:r>
        <w:t xml:space="preserve"> </w:t>
      </w:r>
      <w:r w:rsidRPr="00A51DD0">
        <w:t>the</w:t>
      </w:r>
      <w:r>
        <w:t xml:space="preserve"> </w:t>
      </w:r>
      <w:r w:rsidRPr="00027A53">
        <w:t>Department’s</w:t>
      </w:r>
      <w:r>
        <w:t xml:space="preserve"> </w:t>
      </w:r>
      <w:r w:rsidRPr="00027A53">
        <w:t>Security</w:t>
      </w:r>
      <w:r>
        <w:t xml:space="preserve"> </w:t>
      </w:r>
      <w:r w:rsidRPr="00027A53">
        <w:t>Policies</w:t>
      </w:r>
      <w:r>
        <w:t xml:space="preserve">, </w:t>
      </w:r>
      <w:r w:rsidRPr="00027A53">
        <w:t>including</w:t>
      </w:r>
      <w:r>
        <w:t xml:space="preserve"> </w:t>
      </w:r>
      <w:r w:rsidRPr="00027A53">
        <w:t>the</w:t>
      </w:r>
      <w:r>
        <w:t xml:space="preserve"> </w:t>
      </w:r>
      <w:r w:rsidRPr="00027A53">
        <w:t>Security</w:t>
      </w:r>
      <w:r>
        <w:t xml:space="preserve"> </w:t>
      </w:r>
      <w:r w:rsidRPr="00027A53">
        <w:t>Policy</w:t>
      </w:r>
      <w:r>
        <w:t xml:space="preserve"> f</w:t>
      </w:r>
      <w:r w:rsidRPr="00027A53">
        <w:t>or</w:t>
      </w:r>
      <w:r>
        <w:t xml:space="preserve"> </w:t>
      </w:r>
      <w:r w:rsidRPr="00027A53">
        <w:t>External</w:t>
      </w:r>
      <w:r>
        <w:t xml:space="preserve"> Employment </w:t>
      </w:r>
      <w:r w:rsidRPr="00027A53">
        <w:t>Service</w:t>
      </w:r>
      <w:r>
        <w:t xml:space="preserve"> </w:t>
      </w:r>
      <w:r w:rsidRPr="00027A53">
        <w:t>Providers</w:t>
      </w:r>
      <w:r>
        <w:t xml:space="preserve"> </w:t>
      </w:r>
      <w:r w:rsidRPr="00027A53">
        <w:t>and</w:t>
      </w:r>
      <w:r>
        <w:t xml:space="preserve"> </w:t>
      </w:r>
      <w:r w:rsidRPr="00027A53">
        <w:t>Users</w:t>
      </w:r>
      <w:r>
        <w:t xml:space="preserve"> </w:t>
      </w:r>
      <w:r w:rsidRPr="00027A53">
        <w:t>available</w:t>
      </w:r>
      <w:r>
        <w:t xml:space="preserve"> </w:t>
      </w:r>
      <w:r w:rsidRPr="00027A53">
        <w:t>on</w:t>
      </w:r>
      <w:r>
        <w:t xml:space="preserve"> </w:t>
      </w:r>
      <w:r w:rsidRPr="00027A53">
        <w:t>the</w:t>
      </w:r>
      <w:r>
        <w:t xml:space="preserve"> </w:t>
      </w:r>
      <w:hyperlink r:id="rId27" w:history="1">
        <w:r w:rsidRPr="009B12E6">
          <w:rPr>
            <w:rStyle w:val="Hyperlink"/>
          </w:rPr>
          <w:t>Provider Portal</w:t>
        </w:r>
      </w:hyperlink>
      <w:r w:rsidRPr="00A51DD0">
        <w:t>.</w:t>
      </w:r>
      <w:r>
        <w:t xml:space="preserve"> </w:t>
      </w:r>
    </w:p>
    <w:p w14:paraId="4DEFC7F5" w14:textId="22E1BF15" w:rsidR="007D2A28" w:rsidRPr="0016353F" w:rsidRDefault="007D2A28" w:rsidP="007D2A28">
      <w:pPr>
        <w:pStyle w:val="1AllTextNormalParagraph"/>
      </w:pPr>
      <w:r w:rsidRPr="001969CD">
        <w:t>General</w:t>
      </w:r>
      <w:r>
        <w:t xml:space="preserve"> </w:t>
      </w:r>
      <w:r w:rsidRPr="001969CD">
        <w:t>advice</w:t>
      </w:r>
      <w:r>
        <w:t xml:space="preserve"> </w:t>
      </w:r>
      <w:r w:rsidRPr="001969CD">
        <w:t>on</w:t>
      </w:r>
      <w:r>
        <w:t xml:space="preserve"> </w:t>
      </w:r>
      <w:r w:rsidRPr="001969CD">
        <w:t>the</w:t>
      </w:r>
      <w:r>
        <w:t xml:space="preserve"> </w:t>
      </w:r>
      <w:r w:rsidRPr="001969CD">
        <w:t>management</w:t>
      </w:r>
      <w:r>
        <w:t xml:space="preserve"> </w:t>
      </w:r>
      <w:r w:rsidRPr="001969CD">
        <w:t>and</w:t>
      </w:r>
      <w:r>
        <w:t xml:space="preserve"> </w:t>
      </w:r>
      <w:r w:rsidRPr="001969CD">
        <w:t>storage</w:t>
      </w:r>
      <w:r>
        <w:t xml:space="preserve"> </w:t>
      </w:r>
      <w:r w:rsidRPr="001969CD">
        <w:t>of</w:t>
      </w:r>
      <w:r>
        <w:t xml:space="preserve"> Records </w:t>
      </w:r>
      <w:r w:rsidRPr="001969CD">
        <w:t>is</w:t>
      </w:r>
      <w:r>
        <w:t xml:space="preserve"> </w:t>
      </w:r>
      <w:r w:rsidRPr="001969CD">
        <w:t>available</w:t>
      </w:r>
      <w:r>
        <w:t xml:space="preserve"> </w:t>
      </w:r>
      <w:r w:rsidRPr="001969CD">
        <w:t>on</w:t>
      </w:r>
      <w:r>
        <w:t xml:space="preserve"> </w:t>
      </w:r>
      <w:r w:rsidRPr="001969CD">
        <w:t>the</w:t>
      </w:r>
      <w:r>
        <w:t xml:space="preserve"> </w:t>
      </w:r>
      <w:hyperlink r:id="rId28" w:history="1">
        <w:r w:rsidRPr="003E1E1C">
          <w:rPr>
            <w:rStyle w:val="Hyperlink"/>
          </w:rPr>
          <w:t>NAA website</w:t>
        </w:r>
      </w:hyperlink>
      <w:r>
        <w:t>.</w:t>
      </w:r>
      <w:r w:rsidRPr="00A17501">
        <w:rPr>
          <w:rStyle w:val="1AllTextNormalCharacter"/>
        </w:rPr>
        <w:t xml:space="preserve"> </w:t>
      </w:r>
      <w:r w:rsidRPr="0016353F">
        <w:t xml:space="preserve">Providers must ensure </w:t>
      </w:r>
      <w:r>
        <w:t xml:space="preserve">physical </w:t>
      </w:r>
      <w:r w:rsidRPr="0016353F">
        <w:t>Records are protected from:</w:t>
      </w:r>
    </w:p>
    <w:p w14:paraId="02D6D1BB" w14:textId="77777777" w:rsidR="007D2A28" w:rsidRPr="0016353F" w:rsidRDefault="007D2A28" w:rsidP="007D2A28">
      <w:pPr>
        <w:pStyle w:val="BulletLevel1"/>
      </w:pPr>
      <w:r w:rsidRPr="0016353F">
        <w:t xml:space="preserve">storage environment damage (e.g. for paper Records, damp from a cement floor </w:t>
      </w:r>
      <w:r>
        <w:t>or</w:t>
      </w:r>
      <w:r w:rsidRPr="0016353F" w:rsidDel="00390577">
        <w:t xml:space="preserve"> </w:t>
      </w:r>
      <w:r w:rsidRPr="0016353F">
        <w:t>fire</w:t>
      </w:r>
      <w:r>
        <w:t xml:space="preserve"> damage</w:t>
      </w:r>
      <w:r w:rsidRPr="0016353F">
        <w:t>)</w:t>
      </w:r>
    </w:p>
    <w:p w14:paraId="0638B09A" w14:textId="77777777" w:rsidR="007D2A28" w:rsidRPr="0016353F" w:rsidRDefault="007D2A28" w:rsidP="007D2A28">
      <w:pPr>
        <w:pStyle w:val="BulletLevel1"/>
      </w:pPr>
      <w:r w:rsidRPr="0016353F">
        <w:t xml:space="preserve">unauthorised </w:t>
      </w:r>
      <w:r>
        <w:t xml:space="preserve">addition, </w:t>
      </w:r>
      <w:r w:rsidRPr="0016353F">
        <w:t>alteration</w:t>
      </w:r>
      <w:r>
        <w:t xml:space="preserve">, </w:t>
      </w:r>
      <w:r w:rsidRPr="0016353F">
        <w:t>removal</w:t>
      </w:r>
      <w:r>
        <w:t xml:space="preserve"> or destruction</w:t>
      </w:r>
    </w:p>
    <w:p w14:paraId="47DBCA3B" w14:textId="77777777" w:rsidR="007D2A28" w:rsidRPr="0016353F" w:rsidRDefault="007D2A28" w:rsidP="007D2A28">
      <w:pPr>
        <w:pStyle w:val="BulletLevel1"/>
      </w:pPr>
      <w:r w:rsidRPr="0016353F">
        <w:t>use outside the terms of the relevant Deed</w:t>
      </w:r>
    </w:p>
    <w:p w14:paraId="55EA1270" w14:textId="09B091A6" w:rsidR="007D2A28" w:rsidRPr="0016353F" w:rsidRDefault="007D2A28" w:rsidP="007D2A28">
      <w:pPr>
        <w:pStyle w:val="BulletLevel1"/>
      </w:pPr>
      <w:r>
        <w:t xml:space="preserve">for </w:t>
      </w:r>
      <w:r w:rsidRPr="00B15E1F">
        <w:t xml:space="preserve">Records containing </w:t>
      </w:r>
      <w:r>
        <w:t>P</w:t>
      </w:r>
      <w:r w:rsidRPr="00B15E1F">
        <w:t xml:space="preserve">ersonal </w:t>
      </w:r>
      <w:r>
        <w:t>I</w:t>
      </w:r>
      <w:r w:rsidRPr="00B15E1F">
        <w:t>nformation</w:t>
      </w:r>
      <w:r>
        <w:t>, incidents</w:t>
      </w:r>
      <w:r w:rsidRPr="00B15E1F">
        <w:t xml:space="preserve"> of privacy</w:t>
      </w:r>
      <w:r w:rsidR="00636CDB">
        <w:t xml:space="preserve"> breach</w:t>
      </w:r>
      <w:r>
        <w:t>,</w:t>
      </w:r>
      <w:r w:rsidRPr="00B15E1F">
        <w:t xml:space="preserve"> and</w:t>
      </w:r>
    </w:p>
    <w:p w14:paraId="0FD23B84" w14:textId="77777777" w:rsidR="007D2A28" w:rsidRPr="0016353F" w:rsidRDefault="007D2A28" w:rsidP="007D2A28">
      <w:pPr>
        <w:pStyle w:val="BulletLevel1"/>
      </w:pPr>
      <w:r w:rsidRPr="0016353F">
        <w:t xml:space="preserve">unauthorised access including inappropriate ‘browsing’ of Records </w:t>
      </w:r>
    </w:p>
    <w:p w14:paraId="0F41EEDA" w14:textId="77777777" w:rsidR="007D2A28" w:rsidRDefault="007D2A28" w:rsidP="007D2A28">
      <w:pPr>
        <w:pStyle w:val="1AllTextNormalParagraph"/>
      </w:pPr>
      <w:r>
        <w:t xml:space="preserve">Physical </w:t>
      </w:r>
      <w:r w:rsidRPr="0016353F">
        <w:t>Records containing sensitive information</w:t>
      </w:r>
      <w:r>
        <w:t>,</w:t>
      </w:r>
      <w:r w:rsidRPr="0016353F">
        <w:t xml:space="preserve"> as defined in the </w:t>
      </w:r>
      <w:r w:rsidRPr="00281207">
        <w:rPr>
          <w:rStyle w:val="1AllTextItalics"/>
          <w:i w:val="0"/>
        </w:rPr>
        <w:t>Privacy Act</w:t>
      </w:r>
      <w:r>
        <w:t xml:space="preserve">, </w:t>
      </w:r>
      <w:r w:rsidRPr="0016353F">
        <w:t xml:space="preserve">must be kept in lockable cabinets. </w:t>
      </w:r>
    </w:p>
    <w:p w14:paraId="6F74E800" w14:textId="77777777" w:rsidR="007D2A28" w:rsidRPr="0016353F" w:rsidRDefault="007D2A28" w:rsidP="007D2A28">
      <w:pPr>
        <w:pStyle w:val="Heading3"/>
      </w:pPr>
      <w:bookmarkStart w:id="16" w:name="_Control_of_Records_1"/>
      <w:bookmarkStart w:id="17" w:name="_Toc95896752"/>
      <w:bookmarkEnd w:id="16"/>
      <w:r w:rsidRPr="0016353F">
        <w:t xml:space="preserve">Control of </w:t>
      </w:r>
      <w:r w:rsidRPr="008675F0">
        <w:t>Records</w:t>
      </w:r>
      <w:bookmarkEnd w:id="17"/>
    </w:p>
    <w:p w14:paraId="72F53ACA" w14:textId="7803A983" w:rsidR="007D2A28" w:rsidRDefault="007D2A28" w:rsidP="007D2A28">
      <w:pPr>
        <w:pStyle w:val="1AllTextNormalParagraph"/>
      </w:pPr>
      <w:r w:rsidRPr="0016353F">
        <w:t>Providers must be able to locate and retrieve Records</w:t>
      </w:r>
      <w:r>
        <w:t xml:space="preserve"> </w:t>
      </w:r>
      <w:r w:rsidRPr="0016353F">
        <w:t>about a Participant if requested.</w:t>
      </w:r>
      <w:r>
        <w:t xml:space="preserve"> </w:t>
      </w:r>
      <w:r w:rsidRPr="0016353F">
        <w:t xml:space="preserve">Providers must inform their </w:t>
      </w:r>
      <w:r w:rsidR="008D6555">
        <w:t>Provider Lead</w:t>
      </w:r>
      <w:r w:rsidRPr="0016353F">
        <w:t xml:space="preserve"> if they become party to legal action </w:t>
      </w:r>
      <w:r>
        <w:t xml:space="preserve">in relation to their previous or current delivery of Services, </w:t>
      </w:r>
      <w:r w:rsidRPr="0016353F">
        <w:t xml:space="preserve">so </w:t>
      </w:r>
      <w:r>
        <w:t xml:space="preserve">that </w:t>
      </w:r>
      <w:r w:rsidRPr="0016353F">
        <w:t>arrangements for the appropriate retention of Records</w:t>
      </w:r>
      <w:r>
        <w:t xml:space="preserve"> </w:t>
      </w:r>
      <w:r w:rsidRPr="0016353F">
        <w:t>can be organised.</w:t>
      </w:r>
    </w:p>
    <w:p w14:paraId="44DD3BB6" w14:textId="77777777" w:rsidR="007D2A28" w:rsidRDefault="007D2A28" w:rsidP="000E6A13">
      <w:pPr>
        <w:pStyle w:val="1AllTextNormalParagraph"/>
      </w:pPr>
      <w:r w:rsidRPr="003C17C9">
        <w:t>Providers must store Records i</w:t>
      </w:r>
      <w:r>
        <w:t>n</w:t>
      </w:r>
      <w:r w:rsidRPr="003C17C9">
        <w:t xml:space="preserve"> such a way that all Records relevant to a request under the </w:t>
      </w:r>
      <w:hyperlink r:id="rId29" w:history="1">
        <w:r w:rsidRPr="006E6AFD">
          <w:rPr>
            <w:rStyle w:val="Hyperlink"/>
            <w:i/>
          </w:rPr>
          <w:t>Freedom of Information Act 1982</w:t>
        </w:r>
      </w:hyperlink>
      <w:r w:rsidRPr="009F1B87">
        <w:rPr>
          <w:rStyle w:val="1AllTextItalics"/>
        </w:rPr>
        <w:t xml:space="preserve"> </w:t>
      </w:r>
      <w:r w:rsidRPr="00010E72">
        <w:rPr>
          <w:rStyle w:val="1AllTextItalics"/>
          <w:bCs w:val="0"/>
          <w:i w:val="0"/>
        </w:rPr>
        <w:t>(Cth)</w:t>
      </w:r>
      <w:r w:rsidRPr="009F1B87">
        <w:rPr>
          <w:rStyle w:val="1AllTextItalics"/>
        </w:rPr>
        <w:t xml:space="preserve"> </w:t>
      </w:r>
      <w:r>
        <w:t xml:space="preserve">(the </w:t>
      </w:r>
      <w:hyperlink r:id="rId30" w:history="1">
        <w:r w:rsidRPr="003609DB">
          <w:rPr>
            <w:rStyle w:val="1AllTextItalics"/>
          </w:rPr>
          <w:t>FOI Act</w:t>
        </w:r>
      </w:hyperlink>
      <w:r w:rsidRPr="003609DB">
        <w:rPr>
          <w:rStyle w:val="1AllTextItalics"/>
        </w:rPr>
        <w:t>)</w:t>
      </w:r>
      <w:r w:rsidRPr="003C17C9">
        <w:t xml:space="preserve"> </w:t>
      </w:r>
      <w:r w:rsidRPr="00FC093C">
        <w:t xml:space="preserve">are able to be located and retrieved efficiently. This includes </w:t>
      </w:r>
      <w:r w:rsidRPr="00FC093C">
        <w:lastRenderedPageBreak/>
        <w:t>being able to retrieve email Records and Records created by, or sent to, individuals who have ceased working for Providers.</w:t>
      </w:r>
      <w:r w:rsidRPr="003C17C9">
        <w:t xml:space="preserve"> </w:t>
      </w:r>
    </w:p>
    <w:p w14:paraId="76489758" w14:textId="77777777" w:rsidR="007D2A28" w:rsidRPr="0016353F" w:rsidRDefault="007D2A28" w:rsidP="007D2A28">
      <w:pPr>
        <w:pStyle w:val="Heading4"/>
      </w:pPr>
      <w:r w:rsidRPr="0016353F">
        <w:t xml:space="preserve">Records </w:t>
      </w:r>
      <w:r>
        <w:t>Register</w:t>
      </w:r>
    </w:p>
    <w:p w14:paraId="59E31031" w14:textId="77777777" w:rsidR="007D2A28" w:rsidRDefault="007D2A28" w:rsidP="007D2A28">
      <w:pPr>
        <w:pStyle w:val="1AllTextNormalParagraph"/>
      </w:pPr>
      <w:r>
        <w:t>The Provider must maintain an up-to-date register of the Records (digital and physical) held by the Provider and any Third Party IT Vendor and make this register available to the Department upon request. The register should contain sufficient information to clearly identify the content and location of a Record.</w:t>
      </w:r>
    </w:p>
    <w:p w14:paraId="76F10023" w14:textId="77777777" w:rsidR="007D2A28" w:rsidRPr="0016353F" w:rsidRDefault="007D2A28" w:rsidP="007D2A28">
      <w:pPr>
        <w:pStyle w:val="1AllTextNormalParagraph"/>
      </w:pPr>
      <w:r>
        <w:t xml:space="preserve">The Records register </w:t>
      </w:r>
      <w:r w:rsidRPr="0016353F">
        <w:t>must be created and managed in a digital format (ideally Microsoft Excel or equivalent or a comma or tab limited format) that the Department’s IT Systems can read.</w:t>
      </w:r>
      <w:r>
        <w:t xml:space="preserve"> </w:t>
      </w:r>
      <w:r w:rsidRPr="0016353F">
        <w:t xml:space="preserve">Providers may wish to identify on the Records </w:t>
      </w:r>
      <w:r>
        <w:t>register</w:t>
      </w:r>
      <w:r w:rsidRPr="0016353F">
        <w:t xml:space="preserve"> whether Records are:</w:t>
      </w:r>
    </w:p>
    <w:p w14:paraId="169F44D7" w14:textId="77777777" w:rsidR="007D2A28" w:rsidRPr="0016353F" w:rsidRDefault="007D2A28" w:rsidP="007D2A28">
      <w:pPr>
        <w:pStyle w:val="BulletLevel1"/>
      </w:pPr>
      <w:r w:rsidRPr="0016353F">
        <w:t xml:space="preserve">Priority – pertaining to current or </w:t>
      </w:r>
      <w:r>
        <w:t>pending</w:t>
      </w:r>
      <w:r w:rsidRPr="0016353F">
        <w:t xml:space="preserve"> legal action</w:t>
      </w:r>
      <w:r>
        <w:t>, Complaint, injury or possible claim for compensation</w:t>
      </w:r>
    </w:p>
    <w:p w14:paraId="7720A4F9" w14:textId="77777777" w:rsidR="007D2A28" w:rsidRPr="0016353F" w:rsidRDefault="007D2A28" w:rsidP="007D2A28">
      <w:pPr>
        <w:pStyle w:val="BulletLevel1"/>
      </w:pPr>
      <w:r w:rsidRPr="0016353F">
        <w:t>Active – current Participants</w:t>
      </w:r>
    </w:p>
    <w:p w14:paraId="3A65DF7D" w14:textId="77777777" w:rsidR="007D2A28" w:rsidRPr="0016353F" w:rsidRDefault="007D2A28" w:rsidP="007D2A28">
      <w:pPr>
        <w:pStyle w:val="BulletLevel1"/>
      </w:pPr>
      <w:r w:rsidRPr="0016353F">
        <w:t>Inactive – former Participants</w:t>
      </w:r>
    </w:p>
    <w:p w14:paraId="713BA223" w14:textId="77777777" w:rsidR="007D2A28" w:rsidRPr="0016353F" w:rsidDel="009C1ECC" w:rsidRDefault="007D2A28" w:rsidP="007D2A28">
      <w:pPr>
        <w:pStyle w:val="BulletLevel1"/>
      </w:pPr>
      <w:r w:rsidRPr="0016353F" w:rsidDel="009C1ECC">
        <w:t>Damaged – e.g. paper Record affected by water</w:t>
      </w:r>
    </w:p>
    <w:p w14:paraId="17C80FDB" w14:textId="77777777" w:rsidR="007D2A28" w:rsidRPr="0016353F" w:rsidDel="009C1ECC" w:rsidRDefault="007D2A28" w:rsidP="007D2A28">
      <w:pPr>
        <w:pStyle w:val="BulletLevel1"/>
      </w:pPr>
      <w:r w:rsidRPr="0016353F" w:rsidDel="009C1ECC">
        <w:t>Destroyed (whether authorised or accidental) – e.g. paper Record burnt</w:t>
      </w:r>
    </w:p>
    <w:p w14:paraId="7114F0D7" w14:textId="77777777" w:rsidR="007D2A28" w:rsidRPr="0016353F" w:rsidRDefault="007D2A28" w:rsidP="007D2A28">
      <w:pPr>
        <w:pStyle w:val="BulletLevel1"/>
      </w:pPr>
      <w:r w:rsidRPr="0016353F">
        <w:t>Transferred – Participant and Record transferred to another Provider</w:t>
      </w:r>
    </w:p>
    <w:p w14:paraId="4B684F5B" w14:textId="77777777" w:rsidR="007D2A28" w:rsidRPr="002F65B0" w:rsidRDefault="007D2A28" w:rsidP="007D2A28">
      <w:pPr>
        <w:pStyle w:val="BulletLevel1"/>
      </w:pPr>
      <w:r w:rsidRPr="0016353F">
        <w:t>Returned –</w:t>
      </w:r>
      <w:r>
        <w:t xml:space="preserve"> </w:t>
      </w:r>
      <w:r w:rsidRPr="0016353F">
        <w:t>have been returned to the Department.</w:t>
      </w:r>
    </w:p>
    <w:p w14:paraId="7BB93B95" w14:textId="77777777" w:rsidR="007D2A28" w:rsidRPr="0016353F" w:rsidRDefault="007D2A28" w:rsidP="007D2A28">
      <w:pPr>
        <w:pStyle w:val="Heading2"/>
      </w:pPr>
      <w:bookmarkStart w:id="18" w:name="_Toc95896753"/>
      <w:r>
        <w:t>Movement</w:t>
      </w:r>
      <w:r w:rsidRPr="0016353F">
        <w:t xml:space="preserve"> of Records</w:t>
      </w:r>
      <w:bookmarkEnd w:id="18"/>
    </w:p>
    <w:p w14:paraId="0C2FC80E" w14:textId="77777777" w:rsidR="007D2A28" w:rsidRPr="00A800E1" w:rsidRDefault="007D2A28" w:rsidP="007D2A28">
      <w:pPr>
        <w:pStyle w:val="1AllTextNormalParagraph"/>
        <w:rPr>
          <w:b/>
          <w:i/>
        </w:rPr>
      </w:pPr>
      <w:r w:rsidRPr="00A800E1">
        <w:t>The Provider must not, and must ensure that its Personnel do not:</w:t>
      </w:r>
    </w:p>
    <w:p w14:paraId="201A7D8E" w14:textId="77777777" w:rsidR="007D2A28" w:rsidRPr="005248BD" w:rsidRDefault="007D2A28" w:rsidP="007D2A28">
      <w:pPr>
        <w:pStyle w:val="BulletLevel1"/>
        <w:rPr>
          <w:rStyle w:val="1AllTextHighlight"/>
          <w:shd w:val="clear" w:color="auto" w:fill="auto"/>
          <w:lang w:val="en-AU"/>
        </w:rPr>
      </w:pPr>
      <w:r w:rsidRPr="005248BD">
        <w:rPr>
          <w:rStyle w:val="1AllTextHighlight"/>
          <w:shd w:val="clear" w:color="auto" w:fill="auto"/>
          <w:lang w:val="en-AU"/>
        </w:rPr>
        <w:t>remove any Records relating to the Services, or allow any Records relating to the Services to be removed, from the Provider's premises, except to the extent necessary to enable the delivery of the Services, or</w:t>
      </w:r>
    </w:p>
    <w:p w14:paraId="334F7A77" w14:textId="77777777" w:rsidR="007D2A28" w:rsidRPr="005248BD" w:rsidRDefault="007D2A28" w:rsidP="007D2A28">
      <w:pPr>
        <w:pStyle w:val="BulletLevel1"/>
        <w:rPr>
          <w:rStyle w:val="1AllTextHighlight"/>
          <w:shd w:val="clear" w:color="auto" w:fill="auto"/>
          <w:lang w:val="en-AU"/>
        </w:rPr>
      </w:pPr>
      <w:r w:rsidRPr="005248BD">
        <w:rPr>
          <w:rStyle w:val="1AllTextHighlight"/>
          <w:shd w:val="clear" w:color="auto" w:fill="auto"/>
          <w:lang w:val="en-AU"/>
        </w:rPr>
        <w:t>take, transfer, transmit or disclose any Records relating to the Services, or allow any Records relating to the Services to be taken, transferred, transmitted, accessed or disclosed, outside of Australia</w:t>
      </w:r>
    </w:p>
    <w:p w14:paraId="0B1A04D2" w14:textId="77777777" w:rsidR="007D2A28" w:rsidRPr="005B712E" w:rsidRDefault="007D2A28" w:rsidP="007D2A28">
      <w:pPr>
        <w:pStyle w:val="1AllTextNormalParagraph"/>
      </w:pPr>
      <w:r w:rsidRPr="005B712E">
        <w:t>without the Department's prior written consent.</w:t>
      </w:r>
    </w:p>
    <w:p w14:paraId="00379AC0" w14:textId="77777777" w:rsidR="007D2A28" w:rsidRPr="005B712E" w:rsidRDefault="007D2A28" w:rsidP="007D2A28">
      <w:pPr>
        <w:pStyle w:val="1AllTextNormalParagraph"/>
      </w:pPr>
      <w:r w:rsidRPr="005B712E">
        <w:t>Further, the obligation set out above applies in respect of taking, transferring, transmitting, accessing or otherwise disclosing any Records relating to the Services outside of Australia by the Provider:</w:t>
      </w:r>
    </w:p>
    <w:p w14:paraId="70385C8A" w14:textId="77777777" w:rsidR="007D2A28" w:rsidRPr="00FD6476" w:rsidRDefault="007D2A28" w:rsidP="007D2A28">
      <w:pPr>
        <w:pStyle w:val="BulletLevel1"/>
        <w:rPr>
          <w:b/>
          <w:i/>
        </w:rPr>
      </w:pPr>
      <w:r w:rsidRPr="00FD6476">
        <w:t>within the Provider's own organisation</w:t>
      </w:r>
      <w:r>
        <w:t>,</w:t>
      </w:r>
      <w:r w:rsidRPr="00FD6476">
        <w:t xml:space="preserve"> and </w:t>
      </w:r>
    </w:p>
    <w:p w14:paraId="3D42FB18" w14:textId="77777777" w:rsidR="007D2A28" w:rsidRPr="005B712E" w:rsidRDefault="007D2A28" w:rsidP="007D2A28">
      <w:pPr>
        <w:pStyle w:val="BulletLevel1"/>
        <w:rPr>
          <w:b/>
          <w:i/>
        </w:rPr>
      </w:pPr>
      <w:r w:rsidRPr="00A800E1">
        <w:t>to any third party, including to any Subcontractor.</w:t>
      </w:r>
    </w:p>
    <w:p w14:paraId="4DA78B3B" w14:textId="77777777" w:rsidR="007D2A28" w:rsidRPr="00F63BAE" w:rsidRDefault="007D2A28" w:rsidP="007D2A28">
      <w:pPr>
        <w:pStyle w:val="1AllTextNormalParagraph"/>
      </w:pPr>
      <w:r>
        <w:t>Providers must</w:t>
      </w:r>
      <w:r w:rsidRPr="00F63BAE">
        <w:t xml:space="preserve"> only transfer the Records in accordance with the</w:t>
      </w:r>
      <w:r>
        <w:t>se</w:t>
      </w:r>
      <w:r w:rsidRPr="00F63BAE">
        <w:t xml:space="preserve"> Records Management Instructions or as otherwise directed by the Department. </w:t>
      </w:r>
    </w:p>
    <w:p w14:paraId="2F952329" w14:textId="77777777" w:rsidR="007D2A28" w:rsidRPr="00FD6476" w:rsidRDefault="007D2A28" w:rsidP="007D2A28">
      <w:pPr>
        <w:pStyle w:val="Heading2"/>
      </w:pPr>
      <w:r w:rsidRPr="0016353F">
        <w:t>Transfer of Records</w:t>
      </w:r>
    </w:p>
    <w:p w14:paraId="0772B5BD" w14:textId="77777777" w:rsidR="007D2A28" w:rsidRPr="0016353F" w:rsidRDefault="007D2A28" w:rsidP="007D2A28">
      <w:pPr>
        <w:pStyle w:val="Heading3"/>
      </w:pPr>
      <w:bookmarkStart w:id="19" w:name="_Toc95896754"/>
      <w:r w:rsidRPr="0016353F">
        <w:t>Transfers between Providers</w:t>
      </w:r>
      <w:bookmarkEnd w:id="19"/>
    </w:p>
    <w:p w14:paraId="56B2BEF8" w14:textId="77777777" w:rsidR="007D2A28" w:rsidRPr="0016353F" w:rsidRDefault="007D2A28" w:rsidP="007D2A28">
      <w:pPr>
        <w:pStyle w:val="1AllTextNormalParagraph"/>
      </w:pPr>
      <w:r w:rsidRPr="0016353F">
        <w:t>Records</w:t>
      </w:r>
      <w:r>
        <w:t xml:space="preserve"> (digital or physical)</w:t>
      </w:r>
      <w:r w:rsidRPr="0016353F">
        <w:t xml:space="preserve"> must only be transferred between Providers in accordance with the relevant Deed</w:t>
      </w:r>
      <w:r>
        <w:t xml:space="preserve"> and these Records Management Instructions, and where it is required to continue providing Services to Participants. </w:t>
      </w:r>
      <w:r w:rsidRPr="0016353F">
        <w:t>Records must be transferred securely by Providers</w:t>
      </w:r>
      <w:r>
        <w:t xml:space="preserve">, </w:t>
      </w:r>
      <w:r w:rsidRPr="0016353F">
        <w:t xml:space="preserve">as soon as possible </w:t>
      </w:r>
      <w:r>
        <w:t>or</w:t>
      </w:r>
      <w:r w:rsidRPr="0016353F">
        <w:t xml:space="preserve"> within </w:t>
      </w:r>
      <w:r w:rsidRPr="0016353F">
        <w:lastRenderedPageBreak/>
        <w:t>28 Business Days of a request to transfer Records. A list of all Records being transferred should be provided to the receiving Provider.</w:t>
      </w:r>
    </w:p>
    <w:p w14:paraId="2255097C" w14:textId="77777777" w:rsidR="007D2A28" w:rsidRPr="0016353F" w:rsidRDefault="007D2A28" w:rsidP="007D2A28">
      <w:pPr>
        <w:pStyle w:val="1AllTextNormalParagraph"/>
        <w:rPr>
          <w:i/>
        </w:rPr>
      </w:pPr>
      <w:r w:rsidRPr="0016353F">
        <w:t xml:space="preserve">The transfer of Records containing </w:t>
      </w:r>
      <w:r>
        <w:t>p</w:t>
      </w:r>
      <w:r w:rsidRPr="0016353F">
        <w:t xml:space="preserve">ersonal </w:t>
      </w:r>
      <w:r>
        <w:t>i</w:t>
      </w:r>
      <w:r w:rsidRPr="0016353F">
        <w:t xml:space="preserve">nformation and </w:t>
      </w:r>
      <w:r>
        <w:t>Protected I</w:t>
      </w:r>
      <w:r w:rsidRPr="0016353F">
        <w:t xml:space="preserve">nformation must be in accordance with the </w:t>
      </w:r>
      <w:hyperlink r:id="rId31">
        <w:r w:rsidRPr="00281207">
          <w:rPr>
            <w:rStyle w:val="1AllTextItalics"/>
            <w:i w:val="0"/>
          </w:rPr>
          <w:t>Privacy Act</w:t>
        </w:r>
      </w:hyperlink>
      <w:r w:rsidRPr="005B3917">
        <w:rPr>
          <w:rStyle w:val="1AllTextItalics"/>
        </w:rPr>
        <w:t xml:space="preserve"> </w:t>
      </w:r>
      <w:r w:rsidRPr="0016353F">
        <w:t xml:space="preserve">and the </w:t>
      </w:r>
      <w:r w:rsidRPr="0016353F">
        <w:rPr>
          <w:i/>
        </w:rPr>
        <w:t>Social Security (Administration) Act 1999</w:t>
      </w:r>
      <w:r>
        <w:t xml:space="preserve"> </w:t>
      </w:r>
      <w:r w:rsidRPr="00B86845">
        <w:rPr>
          <w:rStyle w:val="1AllTextItalics"/>
          <w:i w:val="0"/>
          <w:iCs/>
        </w:rPr>
        <w:t>(Cth).</w:t>
      </w:r>
    </w:p>
    <w:p w14:paraId="3359A846" w14:textId="77777777" w:rsidR="007D2A28" w:rsidRDefault="007D2A28" w:rsidP="007D2A28">
      <w:pPr>
        <w:pStyle w:val="1AllTextNormalParagraph"/>
      </w:pPr>
      <w:r w:rsidRPr="0016353F">
        <w:t xml:space="preserve">When a Provider is transferring Records </w:t>
      </w:r>
      <w:r>
        <w:t xml:space="preserve">between its Sites, to another </w:t>
      </w:r>
      <w:r w:rsidRPr="0016353F">
        <w:t>Provider</w:t>
      </w:r>
      <w:r>
        <w:t>,</w:t>
      </w:r>
      <w:r w:rsidRPr="0016353F">
        <w:t xml:space="preserve"> for storage</w:t>
      </w:r>
      <w:r>
        <w:t xml:space="preserve"> or</w:t>
      </w:r>
      <w:r w:rsidRPr="0016353F">
        <w:t xml:space="preserve"> secure destruction or to the Department, it remains the Provider’s responsibility to ensure the Records are secure during the transfer process.</w:t>
      </w:r>
    </w:p>
    <w:p w14:paraId="1199512F" w14:textId="77777777" w:rsidR="007D2A28" w:rsidRDefault="007D2A28" w:rsidP="007D2A28">
      <w:pPr>
        <w:pStyle w:val="Heading2"/>
      </w:pPr>
      <w:r>
        <w:t>Return</w:t>
      </w:r>
      <w:r w:rsidRPr="0016353F">
        <w:t xml:space="preserve"> of Records</w:t>
      </w:r>
    </w:p>
    <w:p w14:paraId="41CC440D" w14:textId="3C3F3033" w:rsidR="007D2A28" w:rsidRDefault="007D2A28" w:rsidP="007D2A28">
      <w:pPr>
        <w:pStyle w:val="1AllTextNormalParagraph"/>
      </w:pPr>
      <w:r>
        <w:t xml:space="preserve">Records must be returned to the Department within 28 Business Days if requested by the Department, unless specified otherwise or the retention period has lapsed. </w:t>
      </w:r>
    </w:p>
    <w:p w14:paraId="4B9734D9" w14:textId="3A53BDFE" w:rsidR="00E25103" w:rsidRDefault="00E25103" w:rsidP="00E25103">
      <w:pPr>
        <w:pStyle w:val="1AllTextNormalParagraph"/>
      </w:pPr>
      <w:r>
        <w:t xml:space="preserve">The </w:t>
      </w:r>
      <w:r w:rsidR="00BA2D98" w:rsidRPr="00BA2D98">
        <w:t>Records Management Supporting Document</w:t>
      </w:r>
      <w:r w:rsidR="00BA2D98">
        <w:t xml:space="preserve"> </w:t>
      </w:r>
      <w:r w:rsidRPr="001A6251">
        <w:t>Supporting Document</w:t>
      </w:r>
      <w:r>
        <w:t xml:space="preserve"> has been developed to provide information to Providers on:</w:t>
      </w:r>
    </w:p>
    <w:p w14:paraId="02D3496B" w14:textId="77777777" w:rsidR="00E25103" w:rsidRDefault="00E25103" w:rsidP="00E25103">
      <w:pPr>
        <w:pStyle w:val="BulletLevel1"/>
      </w:pPr>
      <w:r>
        <w:t>the nature of the return process, including the steps required for the return of both digital and physical Records (where permitted),</w:t>
      </w:r>
    </w:p>
    <w:p w14:paraId="7EB44683" w14:textId="77777777" w:rsidR="00E25103" w:rsidRDefault="00E25103" w:rsidP="00E25103">
      <w:pPr>
        <w:pStyle w:val="BulletLevel1"/>
      </w:pPr>
      <w:r>
        <w:t>how to determine the</w:t>
      </w:r>
      <w:r w:rsidRPr="00655FF1">
        <w:t xml:space="preserve"> Records in scope for any return process</w:t>
      </w:r>
      <w:r>
        <w:t xml:space="preserve"> and list these in </w:t>
      </w:r>
      <w:r w:rsidRPr="006E26B5">
        <w:t>the Records Register for Provider Returns Spreadsheet</w:t>
      </w:r>
      <w:r>
        <w:t xml:space="preserve">, </w:t>
      </w:r>
    </w:p>
    <w:p w14:paraId="65021C15" w14:textId="77777777" w:rsidR="00E25103" w:rsidRDefault="00E25103" w:rsidP="00E25103">
      <w:pPr>
        <w:pStyle w:val="BulletLevel1"/>
      </w:pPr>
      <w:r>
        <w:t>how to prepare Records to ensure they are successfully returned, including relevant naming conventions, and file organisation, and</w:t>
      </w:r>
    </w:p>
    <w:p w14:paraId="1CFC3237" w14:textId="77777777" w:rsidR="00E25103" w:rsidRDefault="00E25103" w:rsidP="00E25103">
      <w:pPr>
        <w:pStyle w:val="BulletLevel1"/>
      </w:pPr>
      <w:r>
        <w:t>other matters relevant to the returns process.</w:t>
      </w:r>
    </w:p>
    <w:p w14:paraId="581B3842" w14:textId="77777777" w:rsidR="007D2A28" w:rsidRPr="00E34FF7" w:rsidRDefault="007D2A28" w:rsidP="007D2A28">
      <w:pPr>
        <w:pStyle w:val="Heading2"/>
        <w:rPr>
          <w:lang w:eastAsia="en-AU"/>
        </w:rPr>
      </w:pPr>
      <w:bookmarkStart w:id="20" w:name="_Toc95220977"/>
      <w:bookmarkStart w:id="21" w:name="_Toc95896758"/>
      <w:bookmarkEnd w:id="20"/>
      <w:r w:rsidRPr="00E34FF7">
        <w:rPr>
          <w:lang w:eastAsia="en-AU"/>
        </w:rPr>
        <w:t>Data Migration</w:t>
      </w:r>
      <w:bookmarkEnd w:id="21"/>
    </w:p>
    <w:p w14:paraId="274A1465" w14:textId="77777777" w:rsidR="007D2A28" w:rsidRPr="00495C51" w:rsidRDefault="007D2A28" w:rsidP="007D2A28">
      <w:pPr>
        <w:pStyle w:val="1AllTextNormalParagraph"/>
      </w:pPr>
      <w:r w:rsidRPr="00495C51">
        <w:t xml:space="preserve">Data migration is the process of transferring data from one application or format to another. It may be required </w:t>
      </w:r>
      <w:r>
        <w:t xml:space="preserve">when </w:t>
      </w:r>
      <w:r w:rsidRPr="00495C51">
        <w:t>implement</w:t>
      </w:r>
      <w:r>
        <w:t>ing</w:t>
      </w:r>
      <w:r w:rsidRPr="00495C51">
        <w:t xml:space="preserve"> of a new application, which may require data to be moved from an incompatible proprietary data format to a format that is futureproof and can be integrated with new applications.</w:t>
      </w:r>
    </w:p>
    <w:p w14:paraId="5FFD270E" w14:textId="77777777" w:rsidR="007D2A28" w:rsidRPr="00495C51" w:rsidRDefault="007D2A28" w:rsidP="007D2A28">
      <w:pPr>
        <w:pStyle w:val="1AllTextNormalParagraph"/>
      </w:pPr>
      <w:r w:rsidRPr="00495C51">
        <w:t xml:space="preserve">Providers must ensure that any migration activities include validation of the </w:t>
      </w:r>
      <w:r>
        <w:t>m</w:t>
      </w:r>
      <w:r w:rsidRPr="00495C51">
        <w:t>igrated data quality to ensure that no data is lost, and the data continues to be fit for the intended purpose.</w:t>
      </w:r>
    </w:p>
    <w:p w14:paraId="0DD01F0D" w14:textId="77777777" w:rsidR="007D2A28" w:rsidRPr="00495C51" w:rsidRDefault="007D2A28" w:rsidP="007D2A28">
      <w:pPr>
        <w:pStyle w:val="1AllTextNormalParagraph"/>
      </w:pPr>
      <w:r w:rsidRPr="00495C51">
        <w:t xml:space="preserve">When </w:t>
      </w:r>
      <w:r>
        <w:t>m</w:t>
      </w:r>
      <w:r w:rsidRPr="00495C51">
        <w:t>igrating information Providers must ensure:</w:t>
      </w:r>
    </w:p>
    <w:p w14:paraId="0443FCD5" w14:textId="77777777" w:rsidR="007D2A28" w:rsidRPr="00BC002E" w:rsidRDefault="007D2A28" w:rsidP="007D2A28">
      <w:pPr>
        <w:pStyle w:val="BulletLevel1"/>
        <w:rPr>
          <w:lang w:eastAsia="en-AU"/>
        </w:rPr>
      </w:pPr>
      <w:r>
        <w:rPr>
          <w:lang w:eastAsia="en-AU"/>
        </w:rPr>
        <w:t>t</w:t>
      </w:r>
      <w:r w:rsidRPr="00BC002E">
        <w:rPr>
          <w:lang w:eastAsia="en-AU"/>
        </w:rPr>
        <w:t>he migration is planned, documented and managed</w:t>
      </w:r>
    </w:p>
    <w:p w14:paraId="3F473951" w14:textId="77777777" w:rsidR="007D2A28" w:rsidRPr="00BC002E" w:rsidRDefault="007D2A28" w:rsidP="007D2A28">
      <w:pPr>
        <w:pStyle w:val="BulletLevel1"/>
        <w:rPr>
          <w:lang w:eastAsia="en-AU"/>
        </w:rPr>
      </w:pPr>
      <w:r>
        <w:rPr>
          <w:lang w:eastAsia="en-AU"/>
        </w:rPr>
        <w:t>p</w:t>
      </w:r>
      <w:r w:rsidRPr="00BC002E">
        <w:rPr>
          <w:lang w:eastAsia="en-AU"/>
        </w:rPr>
        <w:t>re and post migration testing proves that authentic, complete, accessible and useable records can and have been migrated</w:t>
      </w:r>
    </w:p>
    <w:p w14:paraId="2A6EAC46" w14:textId="3E2B21F4" w:rsidR="007D2A28" w:rsidRPr="00BC002E" w:rsidRDefault="007D2A28" w:rsidP="007D2A28">
      <w:pPr>
        <w:pStyle w:val="BulletLevel1"/>
        <w:rPr>
          <w:lang w:eastAsia="en-AU"/>
        </w:rPr>
      </w:pPr>
      <w:r>
        <w:rPr>
          <w:lang w:eastAsia="en-AU"/>
        </w:rPr>
        <w:t>s</w:t>
      </w:r>
      <w:r w:rsidRPr="00BC002E">
        <w:rPr>
          <w:lang w:eastAsia="en-AU"/>
        </w:rPr>
        <w:t>ource records are kept for an appropriate length of time after the migration to enable confirmation that the migration has been successful. Determination of the specific retention period must be based on an organisational risk assessment</w:t>
      </w:r>
      <w:r w:rsidR="009B5BB3">
        <w:rPr>
          <w:lang w:eastAsia="en-AU"/>
        </w:rPr>
        <w:t>.</w:t>
      </w:r>
    </w:p>
    <w:p w14:paraId="72D3B6B8" w14:textId="77777777" w:rsidR="007D2A28" w:rsidRPr="00BC002E" w:rsidRDefault="007D2A28" w:rsidP="007D2A28">
      <w:pPr>
        <w:pStyle w:val="1AllTextNormalParagraph"/>
        <w:rPr>
          <w:lang w:eastAsia="en-AU"/>
        </w:rPr>
      </w:pPr>
      <w:r w:rsidRPr="00BC002E">
        <w:rPr>
          <w:lang w:eastAsia="en-AU"/>
        </w:rPr>
        <w:t>Th</w:t>
      </w:r>
      <w:r>
        <w:rPr>
          <w:lang w:eastAsia="en-AU"/>
        </w:rPr>
        <w:t>is</w:t>
      </w:r>
      <w:r w:rsidRPr="00BC002E">
        <w:rPr>
          <w:lang w:eastAsia="en-AU"/>
        </w:rPr>
        <w:t xml:space="preserve"> advice </w:t>
      </w:r>
      <w:r>
        <w:rPr>
          <w:lang w:eastAsia="en-AU"/>
        </w:rPr>
        <w:t>i</w:t>
      </w:r>
      <w:r w:rsidRPr="00BC002E">
        <w:rPr>
          <w:lang w:eastAsia="en-AU"/>
        </w:rPr>
        <w:t xml:space="preserve">s in line with the </w:t>
      </w:r>
      <w:r w:rsidRPr="00A100BE">
        <w:rPr>
          <w:rStyle w:val="1AllTextItalics"/>
        </w:rPr>
        <w:t>Archives Act</w:t>
      </w:r>
      <w:r w:rsidRPr="00BC002E">
        <w:rPr>
          <w:lang w:eastAsia="en-AU"/>
        </w:rPr>
        <w:t xml:space="preserve"> and </w:t>
      </w:r>
      <w:r w:rsidRPr="00B86845">
        <w:rPr>
          <w:lang w:eastAsia="en-AU"/>
        </w:rPr>
        <w:t>Archives Regulations</w:t>
      </w:r>
      <w:r w:rsidRPr="00BC002E">
        <w:rPr>
          <w:lang w:eastAsia="en-AU"/>
        </w:rPr>
        <w:t xml:space="preserve">. However, if future processes include destroying source records, it is recommended that consultation with legal counsel be conducted to ensure that </w:t>
      </w:r>
      <w:r>
        <w:t>there is</w:t>
      </w:r>
      <w:r w:rsidRPr="00BC002E">
        <w:rPr>
          <w:lang w:eastAsia="en-AU"/>
        </w:rPr>
        <w:t xml:space="preserve"> no legal requirement to maintain them.</w:t>
      </w:r>
    </w:p>
    <w:p w14:paraId="3F15A103" w14:textId="77777777" w:rsidR="007D2A28" w:rsidRPr="00BC002E" w:rsidRDefault="007D2A28" w:rsidP="007D2A28">
      <w:pPr>
        <w:pStyle w:val="1AllTextNormalParagraph"/>
        <w:rPr>
          <w:lang w:eastAsia="en-AU"/>
        </w:rPr>
      </w:pPr>
      <w:r w:rsidRPr="00BC002E">
        <w:rPr>
          <w:lang w:eastAsia="en-AU"/>
        </w:rPr>
        <w:t xml:space="preserve">A successful migration demonstrates that the migrated business information is at least functionally equivalent to the source record for business, legal and archival purposes. </w:t>
      </w:r>
      <w:hyperlink w:anchor="_General_Records_Authority" w:history="1">
        <w:r w:rsidRPr="009C5334">
          <w:rPr>
            <w:rStyle w:val="Hyperlink"/>
          </w:rPr>
          <w:t>General Records Authority 31</w:t>
        </w:r>
      </w:hyperlink>
      <w:r w:rsidRPr="00BC002E">
        <w:rPr>
          <w:lang w:eastAsia="en-AU"/>
        </w:rPr>
        <w:t xml:space="preserve"> </w:t>
      </w:r>
      <w:r w:rsidRPr="00BC002E">
        <w:rPr>
          <w:lang w:eastAsia="en-AU"/>
        </w:rPr>
        <w:lastRenderedPageBreak/>
        <w:t xml:space="preserve">permits the </w:t>
      </w:r>
      <w:r>
        <w:t>d</w:t>
      </w:r>
      <w:r w:rsidRPr="00BC002E">
        <w:rPr>
          <w:lang w:eastAsia="en-AU"/>
        </w:rPr>
        <w:t xml:space="preserve">estruction of information and records after they have been successfully migrated from one system to another. </w:t>
      </w:r>
    </w:p>
    <w:p w14:paraId="3BCEC6C8" w14:textId="77777777" w:rsidR="007D2A28" w:rsidRPr="00BC002E" w:rsidRDefault="007D2A28" w:rsidP="007D2A28">
      <w:pPr>
        <w:pStyle w:val="1AllTextNormalParagraph"/>
        <w:rPr>
          <w:lang w:eastAsia="en-AU"/>
        </w:rPr>
      </w:pPr>
      <w:r w:rsidRPr="00BC002E">
        <w:rPr>
          <w:lang w:eastAsia="en-AU"/>
        </w:rPr>
        <w:t>Providers must note that the information transferred to the Department will be imported into the Department’s official recordkeeping system and appropriate classification will be applied at the time of import.</w:t>
      </w:r>
    </w:p>
    <w:p w14:paraId="06ACC691" w14:textId="77777777" w:rsidR="007D2A28" w:rsidRPr="00E34FF7" w:rsidRDefault="007D2A28" w:rsidP="007D2A28">
      <w:pPr>
        <w:pStyle w:val="Heading3"/>
        <w:rPr>
          <w:lang w:eastAsia="en-AU"/>
        </w:rPr>
      </w:pPr>
      <w:bookmarkStart w:id="22" w:name="_Toc95896759"/>
      <w:r w:rsidRPr="00E34FF7">
        <w:rPr>
          <w:lang w:eastAsia="en-AU"/>
        </w:rPr>
        <w:t>Data Security Considerations</w:t>
      </w:r>
      <w:bookmarkEnd w:id="22"/>
    </w:p>
    <w:p w14:paraId="2D4A6F56" w14:textId="77777777" w:rsidR="007D2A28" w:rsidRPr="00BC002E" w:rsidRDefault="007D2A28" w:rsidP="007D2A28">
      <w:pPr>
        <w:pStyle w:val="1AllTextNormalParagraph"/>
        <w:rPr>
          <w:lang w:eastAsia="en-AU"/>
        </w:rPr>
      </w:pPr>
      <w:r w:rsidRPr="00BC002E">
        <w:rPr>
          <w:lang w:eastAsia="en-AU"/>
        </w:rPr>
        <w:t>Providers should be conscious of the following security considerations:</w:t>
      </w:r>
    </w:p>
    <w:p w14:paraId="1B9DF4BC" w14:textId="77777777" w:rsidR="007D2A28" w:rsidRPr="00BC002E" w:rsidRDefault="007D2A28" w:rsidP="007D2A28">
      <w:pPr>
        <w:pStyle w:val="BulletLevel1"/>
        <w:rPr>
          <w:lang w:eastAsia="en-AU"/>
        </w:rPr>
      </w:pPr>
      <w:r>
        <w:rPr>
          <w:lang w:eastAsia="en-AU"/>
        </w:rPr>
        <w:t>E</w:t>
      </w:r>
      <w:r w:rsidRPr="00BC002E">
        <w:rPr>
          <w:lang w:eastAsia="en-AU"/>
        </w:rPr>
        <w:t>nsure that those who access sensitive or security classified information have an appropriate security clearance if information is classified, and a need to know that information</w:t>
      </w:r>
      <w:r>
        <w:rPr>
          <w:lang w:eastAsia="en-AU"/>
        </w:rPr>
        <w:t>.</w:t>
      </w:r>
    </w:p>
    <w:p w14:paraId="15C29682" w14:textId="1CB078FF" w:rsidR="007D2A28" w:rsidRPr="00BC002E" w:rsidRDefault="007D2A28" w:rsidP="007D2A28">
      <w:pPr>
        <w:pStyle w:val="BulletLevel1"/>
        <w:rPr>
          <w:lang w:eastAsia="en-AU"/>
        </w:rPr>
      </w:pPr>
      <w:r w:rsidRPr="00BC002E">
        <w:rPr>
          <w:lang w:eastAsia="en-AU"/>
        </w:rPr>
        <w:t>Access (including remote access) to supporting ICT systems, networks, infrastructure and applications is controlled</w:t>
      </w:r>
      <w:r>
        <w:rPr>
          <w:lang w:eastAsia="en-AU"/>
        </w:rPr>
        <w:t>.</w:t>
      </w:r>
    </w:p>
    <w:p w14:paraId="6514B445" w14:textId="77777777" w:rsidR="007D2A28" w:rsidRPr="00BC002E" w:rsidRDefault="007D2A28" w:rsidP="007D2A28">
      <w:pPr>
        <w:pStyle w:val="BulletLevel1"/>
        <w:rPr>
          <w:lang w:eastAsia="en-AU"/>
        </w:rPr>
      </w:pPr>
      <w:r w:rsidRPr="00BC002E">
        <w:rPr>
          <w:lang w:eastAsia="en-AU"/>
        </w:rPr>
        <w:t xml:space="preserve">Information in systems should be continuously safeguarded from cyber threats </w:t>
      </w:r>
    </w:p>
    <w:p w14:paraId="66549A00" w14:textId="77777777" w:rsidR="007D2A28" w:rsidRPr="00BC002E" w:rsidRDefault="007D2A28" w:rsidP="007D2A28">
      <w:pPr>
        <w:pStyle w:val="BulletLevel1"/>
        <w:rPr>
          <w:lang w:eastAsia="en-AU"/>
        </w:rPr>
      </w:pPr>
      <w:r w:rsidRPr="00BC002E">
        <w:rPr>
          <w:lang w:eastAsia="en-AU"/>
        </w:rPr>
        <w:t>Administrative privileges</w:t>
      </w:r>
      <w:r>
        <w:t xml:space="preserve"> such as logon and administrator privileges</w:t>
      </w:r>
      <w:r w:rsidRPr="00E70966">
        <w:t xml:space="preserve"> should be restricted</w:t>
      </w:r>
      <w:r>
        <w:rPr>
          <w:lang w:eastAsia="en-AU"/>
        </w:rPr>
        <w:t>.</w:t>
      </w:r>
    </w:p>
    <w:p w14:paraId="56A4D128" w14:textId="446BA189" w:rsidR="007D2A28" w:rsidRPr="00BC002E" w:rsidRDefault="007D2A28" w:rsidP="007D2A28">
      <w:pPr>
        <w:pStyle w:val="1AllTextNormalParagraph"/>
        <w:rPr>
          <w:lang w:eastAsia="en-AU"/>
        </w:rPr>
      </w:pPr>
      <w:r w:rsidRPr="00BC002E">
        <w:rPr>
          <w:lang w:eastAsia="en-AU"/>
        </w:rPr>
        <w:t xml:space="preserve">Providers should refer to the </w:t>
      </w:r>
      <w:r>
        <w:rPr>
          <w:lang w:eastAsia="en-AU"/>
        </w:rPr>
        <w:t>digital</w:t>
      </w:r>
      <w:r w:rsidRPr="00BC002E">
        <w:rPr>
          <w:lang w:eastAsia="en-AU"/>
        </w:rPr>
        <w:t xml:space="preserve"> Information Assurance / IT Security Compliance guide on the </w:t>
      </w:r>
      <w:hyperlink r:id="rId32" w:history="1">
        <w:r w:rsidRPr="004F52A2">
          <w:rPr>
            <w:rStyle w:val="Hyperlink"/>
            <w:rFonts w:eastAsia="Times New Roman" w:cstheme="minorHAnsi"/>
            <w:lang w:eastAsia="en-AU"/>
          </w:rPr>
          <w:t>Department</w:t>
        </w:r>
        <w:r w:rsidRPr="004F52A2">
          <w:rPr>
            <w:rStyle w:val="Hyperlink"/>
          </w:rPr>
          <w:t>'</w:t>
        </w:r>
        <w:r w:rsidRPr="004F52A2">
          <w:rPr>
            <w:rStyle w:val="Hyperlink"/>
            <w:rFonts w:eastAsia="Times New Roman" w:cstheme="minorHAnsi"/>
            <w:lang w:eastAsia="en-AU"/>
          </w:rPr>
          <w:t>s website</w:t>
        </w:r>
      </w:hyperlink>
      <w:r>
        <w:t xml:space="preserve"> </w:t>
      </w:r>
      <w:r w:rsidRPr="00787DB3">
        <w:t>for more information.</w:t>
      </w:r>
    </w:p>
    <w:p w14:paraId="0BF8DF99" w14:textId="77777777" w:rsidR="007D2A28" w:rsidRPr="00E34FF7" w:rsidRDefault="007D2A28" w:rsidP="007D2A28">
      <w:pPr>
        <w:pStyle w:val="Heading3"/>
        <w:rPr>
          <w:lang w:eastAsia="en-AU"/>
        </w:rPr>
      </w:pPr>
      <w:bookmarkStart w:id="23" w:name="_Toc95896760"/>
      <w:r w:rsidRPr="00E34FF7">
        <w:rPr>
          <w:lang w:eastAsia="en-AU"/>
        </w:rPr>
        <w:t>Decommissioning of Systems</w:t>
      </w:r>
      <w:bookmarkEnd w:id="23"/>
    </w:p>
    <w:p w14:paraId="65A6B1EB" w14:textId="48A4BCD1" w:rsidR="007D2A28" w:rsidRDefault="007D2A28" w:rsidP="007D2A28">
      <w:pPr>
        <w:pStyle w:val="1AllTextNormalParagraph"/>
        <w:rPr>
          <w:lang w:eastAsia="en-AU"/>
        </w:rPr>
      </w:pPr>
      <w:r w:rsidRPr="00BC002E">
        <w:rPr>
          <w:lang w:eastAsia="en-AU"/>
        </w:rPr>
        <w:t xml:space="preserve">When decommissioning any systems Providers should ensure that they have considered the value of the business information and any ongoing need to access it. If the information is no longer required, the Provider will need authorisation to legally destroy that information. </w:t>
      </w:r>
    </w:p>
    <w:p w14:paraId="47046D32" w14:textId="15D618D7" w:rsidR="007D2A28" w:rsidRPr="00A17501" w:rsidRDefault="007D2A28" w:rsidP="00A17501">
      <w:pPr>
        <w:pStyle w:val="1AllTextNormalParagraph"/>
        <w:rPr>
          <w:rStyle w:val="1AllTextNormalCharacter"/>
        </w:rPr>
      </w:pPr>
      <w:r w:rsidRPr="00A17501">
        <w:rPr>
          <w:rStyle w:val="1AllTextNormalCharacter"/>
        </w:rPr>
        <w:t>The NAA provides authorisation to destroy Australian Government business information in the form of records authorities.</w:t>
      </w:r>
      <w:r w:rsidR="00636CDB" w:rsidRPr="00A17501">
        <w:rPr>
          <w:rStyle w:val="1AllTextNormalCharacter"/>
        </w:rPr>
        <w:t xml:space="preserve"> </w:t>
      </w:r>
    </w:p>
    <w:p w14:paraId="0FDDF56D" w14:textId="77777777" w:rsidR="007D2A28" w:rsidRDefault="007D2A28" w:rsidP="007D2A28">
      <w:pPr>
        <w:pStyle w:val="1AllTextNormalParagraph"/>
      </w:pPr>
      <w:r w:rsidRPr="00421CF9">
        <w:rPr>
          <w:rStyle w:val="1AllTextHighlight"/>
          <w:shd w:val="clear" w:color="auto" w:fill="auto"/>
          <w:lang w:val="en-AU"/>
        </w:rPr>
        <w:t xml:space="preserve">Digital preservation requires a proactive program to identify records at risk and take necessary action to </w:t>
      </w:r>
      <w:r w:rsidRPr="009239F7">
        <w:rPr>
          <w:rStyle w:val="1AllTextNormalCharacter"/>
        </w:rPr>
        <w:t>ensure their ongoing viability.</w:t>
      </w:r>
      <w:r>
        <w:rPr>
          <w:rStyle w:val="1AllTextNormalCharacter"/>
        </w:rPr>
        <w:t xml:space="preserve"> To achieve this, the</w:t>
      </w:r>
      <w:r w:rsidRPr="009239F7">
        <w:rPr>
          <w:rStyle w:val="1AllTextNormalCharacter"/>
        </w:rPr>
        <w:t xml:space="preserve"> Providers</w:t>
      </w:r>
      <w:r>
        <w:t xml:space="preserve"> must</w:t>
      </w:r>
      <w:r w:rsidRPr="004A509C">
        <w:t xml:space="preserve"> consider the lifecycle of the information versus the lifecycle of the system and have plans in place to preserve information as needed</w:t>
      </w:r>
      <w:r>
        <w:t>.</w:t>
      </w:r>
      <w:r w:rsidRPr="00BC002E">
        <w:rPr>
          <w:lang w:eastAsia="en-AU"/>
        </w:rPr>
        <w:t xml:space="preserve"> Regular and planned migration helps avoid obsolescence and ensures information continues to be accessible and us</w:t>
      </w:r>
      <w:r w:rsidRPr="00421CF9">
        <w:t>e</w:t>
      </w:r>
      <w:r w:rsidRPr="00BC002E">
        <w:rPr>
          <w:lang w:eastAsia="en-AU"/>
        </w:rPr>
        <w:t>able</w:t>
      </w:r>
      <w:r>
        <w:t>.</w:t>
      </w:r>
    </w:p>
    <w:p w14:paraId="511D1D67" w14:textId="77777777" w:rsidR="007D2A28" w:rsidRPr="00606851" w:rsidRDefault="007D2A28" w:rsidP="007D2A28">
      <w:pPr>
        <w:pStyle w:val="Heading2"/>
      </w:pPr>
      <w:bookmarkStart w:id="24" w:name="_Toc96000558"/>
      <w:bookmarkStart w:id="25" w:name="_Toc95896763"/>
      <w:r>
        <w:t>Breaches and Inappropriate Handling of Records</w:t>
      </w:r>
      <w:bookmarkEnd w:id="24"/>
      <w:bookmarkEnd w:id="25"/>
    </w:p>
    <w:p w14:paraId="64FDEB35" w14:textId="77777777" w:rsidR="007D2A28" w:rsidRPr="0066738C" w:rsidRDefault="007D2A28" w:rsidP="007D2A28">
      <w:pPr>
        <w:pStyle w:val="Heading3"/>
      </w:pPr>
      <w:bookmarkStart w:id="26" w:name="_Toc95896764"/>
      <w:r w:rsidRPr="0066738C">
        <w:t>Report</w:t>
      </w:r>
      <w:r>
        <w:t>in</w:t>
      </w:r>
      <w:r w:rsidRPr="0066738C">
        <w:t>g Requirements</w:t>
      </w:r>
      <w:bookmarkEnd w:id="26"/>
      <w:r w:rsidRPr="0066738C">
        <w:t xml:space="preserve"> </w:t>
      </w:r>
    </w:p>
    <w:p w14:paraId="7C353494" w14:textId="77777777" w:rsidR="007D2A28" w:rsidRPr="00FC610F" w:rsidRDefault="007D2A28" w:rsidP="007D2A28">
      <w:pPr>
        <w:pStyle w:val="1AllTextNormalParagraph"/>
        <w:rPr>
          <w:iCs/>
        </w:rPr>
      </w:pPr>
      <w:r w:rsidRPr="0066738C">
        <w:t xml:space="preserve">Providers must report all incidents involving </w:t>
      </w:r>
      <w:r w:rsidRPr="001969CD">
        <w:t>unauthorised access, damaged, destroyed, lost or stolen Records to the Department</w:t>
      </w:r>
      <w:r>
        <w:t xml:space="preserve">. Where the Records contain or possibly contain personal information of participants, Providers must follow the Privacy incident reporting process set out in the </w:t>
      </w:r>
      <w:hyperlink w:anchor="_Privacy" w:history="1">
        <w:r w:rsidRPr="00BC5C47">
          <w:rPr>
            <w:rStyle w:val="Hyperlink"/>
          </w:rPr>
          <w:t>Privacy Chapter</w:t>
        </w:r>
      </w:hyperlink>
      <w:r>
        <w:t>.</w:t>
      </w:r>
      <w:r w:rsidRPr="00227EB0">
        <w:t xml:space="preserve"> </w:t>
      </w:r>
    </w:p>
    <w:p w14:paraId="202F1A4A" w14:textId="77777777" w:rsidR="007D2A28" w:rsidRPr="0066738C" w:rsidRDefault="007D2A28" w:rsidP="007D2A28">
      <w:pPr>
        <w:pStyle w:val="Heading3"/>
      </w:pPr>
      <w:bookmarkStart w:id="27" w:name="_Toc95896765"/>
      <w:r w:rsidRPr="0066738C">
        <w:t xml:space="preserve">Rectification </w:t>
      </w:r>
      <w:r w:rsidRPr="003C17C9">
        <w:t>Requirements</w:t>
      </w:r>
      <w:bookmarkEnd w:id="27"/>
    </w:p>
    <w:p w14:paraId="4A103A8F" w14:textId="77777777" w:rsidR="007D2A28" w:rsidRPr="0066738C" w:rsidRDefault="007D2A28" w:rsidP="007D2A28">
      <w:pPr>
        <w:pStyle w:val="1AllTextNormalParagraph"/>
      </w:pPr>
      <w:r w:rsidRPr="0066738C">
        <w:t xml:space="preserve">For all incidents involving the misuse, interference, loss, unauthorised access, unauthorised use, unauthorised disclosure, damage, </w:t>
      </w:r>
      <w:r>
        <w:t>d</w:t>
      </w:r>
      <w:r w:rsidRPr="0066738C">
        <w:t>estruction, los</w:t>
      </w:r>
      <w:r>
        <w:t>s</w:t>
      </w:r>
      <w:r w:rsidRPr="0066738C">
        <w:t xml:space="preserve"> or stealing of Records</w:t>
      </w:r>
      <w:r>
        <w:t xml:space="preserve"> (digital or physical)</w:t>
      </w:r>
      <w:r w:rsidRPr="0066738C">
        <w:t>, Providers must:</w:t>
      </w:r>
    </w:p>
    <w:p w14:paraId="6BA36A32" w14:textId="77777777" w:rsidR="007D2A28" w:rsidRPr="0066738C" w:rsidRDefault="007D2A28" w:rsidP="007D2A28">
      <w:pPr>
        <w:pStyle w:val="BulletLevel1"/>
      </w:pPr>
      <w:r w:rsidRPr="0066738C">
        <w:lastRenderedPageBreak/>
        <w:t xml:space="preserve">immediately make every effort to recover lost or damaged Records (e.g. retrieving or photocopying Records), including if required, arranging and paying for the services of expert contractors (e.g. disaster recovery or professional drying services) </w:t>
      </w:r>
    </w:p>
    <w:p w14:paraId="772DEFBB" w14:textId="77777777" w:rsidR="007D2A28" w:rsidRPr="0066738C" w:rsidRDefault="007D2A28" w:rsidP="007D2A28">
      <w:pPr>
        <w:pStyle w:val="BulletLevel1"/>
      </w:pPr>
      <w:r w:rsidRPr="0066738C">
        <w:t>not destroy damaged Records without prior authorisation from the Department</w:t>
      </w:r>
    </w:p>
    <w:p w14:paraId="3852C49B" w14:textId="77777777" w:rsidR="007D2A28" w:rsidRPr="0066738C" w:rsidRDefault="007D2A28" w:rsidP="007D2A28">
      <w:pPr>
        <w:pStyle w:val="BulletLevel1"/>
      </w:pPr>
      <w:r w:rsidRPr="0066738C">
        <w:t>inform Participants if any Personal Information has been lost or is at risk of being publicly available</w:t>
      </w:r>
    </w:p>
    <w:p w14:paraId="5A4D48E5" w14:textId="77777777" w:rsidR="007D2A28" w:rsidRDefault="007D2A28" w:rsidP="007D2A28">
      <w:pPr>
        <w:pStyle w:val="BulletLevel1"/>
      </w:pPr>
      <w:r w:rsidRPr="0066738C">
        <w:t>where relevant and, if necessary, reinterview Participants to recollect information</w:t>
      </w:r>
      <w:r>
        <w:t xml:space="preserve"> </w:t>
      </w:r>
      <w:r w:rsidRPr="0066738C">
        <w:t xml:space="preserve">review relevant policies and procedures to ensure their adequacy in future. </w:t>
      </w:r>
    </w:p>
    <w:p w14:paraId="61F26A2E" w14:textId="77777777" w:rsidR="007D2A28" w:rsidRPr="0066738C" w:rsidRDefault="007D2A28" w:rsidP="007D2A28">
      <w:pPr>
        <w:pStyle w:val="BulletLevel1"/>
      </w:pPr>
      <w:r w:rsidRPr="0066738C">
        <w:t xml:space="preserve">The Department may make recommendations to the Provider to mitigate the risk of recurrence of the incident. </w:t>
      </w:r>
    </w:p>
    <w:p w14:paraId="2BE0639E" w14:textId="77777777" w:rsidR="007D2A28" w:rsidRPr="0066738C" w:rsidRDefault="007D2A28" w:rsidP="007D2A28">
      <w:pPr>
        <w:pStyle w:val="Heading3"/>
      </w:pPr>
      <w:bookmarkStart w:id="28" w:name="_Toc95896766"/>
      <w:r w:rsidRPr="0066738C">
        <w:t>Notifiable Data Breaches Scheme</w:t>
      </w:r>
      <w:bookmarkEnd w:id="28"/>
    </w:p>
    <w:p w14:paraId="5A5A765E" w14:textId="77777777" w:rsidR="007D2A28" w:rsidRDefault="007D2A28" w:rsidP="007D2A28">
      <w:pPr>
        <w:pStyle w:val="1AllTextNormalParagraph"/>
        <w:rPr>
          <w:lang w:val="en-GB"/>
        </w:rPr>
      </w:pPr>
      <w:r w:rsidRPr="0066738C">
        <w:rPr>
          <w:lang w:val="en-GB"/>
        </w:rPr>
        <w:t xml:space="preserve">All Providers, and the organisations or agencies they share information with, must comply with the requirements of the </w:t>
      </w:r>
      <w:r w:rsidRPr="00145AF8">
        <w:rPr>
          <w:lang w:val="en-GB"/>
        </w:rPr>
        <w:t>Notifiable Data Breaches (NDB) scheme</w:t>
      </w:r>
      <w:r w:rsidRPr="0066738C">
        <w:rPr>
          <w:lang w:val="en-GB"/>
        </w:rPr>
        <w:t xml:space="preserve"> in the event of an ‘eligible data breach’ involving Personal Information. </w:t>
      </w:r>
    </w:p>
    <w:p w14:paraId="5B7BE969" w14:textId="77777777" w:rsidR="007D2A28" w:rsidRDefault="007D2A28" w:rsidP="007D2A28">
      <w:pPr>
        <w:pStyle w:val="1AllTextNormalParagraph"/>
      </w:pPr>
      <w:r>
        <w:t xml:space="preserve">Information </w:t>
      </w:r>
      <w:r w:rsidRPr="00542840">
        <w:rPr>
          <w:lang w:val="en-GB"/>
        </w:rPr>
        <w:t xml:space="preserve">about the NDB scheme and guidance </w:t>
      </w:r>
      <w:r>
        <w:t>for undertaking an assessment of a privacy incident are</w:t>
      </w:r>
      <w:r w:rsidDel="005518B2">
        <w:t xml:space="preserve"> </w:t>
      </w:r>
      <w:r>
        <w:t xml:space="preserve">available on the </w:t>
      </w:r>
      <w:hyperlink r:id="rId33" w:history="1">
        <w:r w:rsidRPr="00DE3B54">
          <w:rPr>
            <w:rStyle w:val="Hyperlink"/>
          </w:rPr>
          <w:t xml:space="preserve">OAIC </w:t>
        </w:r>
        <w:r w:rsidRPr="00DE3B54">
          <w:rPr>
            <w:rStyle w:val="Hyperlink"/>
            <w:lang w:val="en-GB"/>
          </w:rPr>
          <w:t>website</w:t>
        </w:r>
      </w:hyperlink>
      <w:r>
        <w:t>.</w:t>
      </w:r>
    </w:p>
    <w:p w14:paraId="3BB64540" w14:textId="77777777" w:rsidR="007D2A28" w:rsidRPr="00D80B5A" w:rsidRDefault="007D2A28" w:rsidP="007D2A28">
      <w:pPr>
        <w:pStyle w:val="1AllTextNormalParagraph"/>
      </w:pPr>
      <w:r w:rsidRPr="0066738C">
        <w:rPr>
          <w:lang w:val="en-GB"/>
        </w:rPr>
        <w:t xml:space="preserve">The Department must also be informed of the incident in accordance with </w:t>
      </w:r>
      <w:r w:rsidRPr="00D80B5A">
        <w:rPr>
          <w:rStyle w:val="1AllTextNormalCharacter"/>
        </w:rPr>
        <w:t xml:space="preserve">the Privacy Incident reporting process set out in the </w:t>
      </w:r>
      <w:hyperlink w:anchor="_Privacy" w:history="1">
        <w:r w:rsidRPr="00D80B5A">
          <w:rPr>
            <w:rStyle w:val="Hyperlink"/>
          </w:rPr>
          <w:t>Privacy</w:t>
        </w:r>
        <w:r w:rsidRPr="00BC5C47">
          <w:rPr>
            <w:rStyle w:val="Hyperlink"/>
          </w:rPr>
          <w:t xml:space="preserve"> Chapter</w:t>
        </w:r>
      </w:hyperlink>
      <w:r w:rsidDel="00ED5846">
        <w:t xml:space="preserve"> </w:t>
      </w:r>
      <w:r w:rsidRPr="0066738C">
        <w:rPr>
          <w:lang w:val="en-GB"/>
        </w:rPr>
        <w:t>and provided with copies of any notifications</w:t>
      </w:r>
      <w:r>
        <w:t xml:space="preserve"> submitted by the Provider to the OAIC</w:t>
      </w:r>
      <w:r w:rsidRPr="0066738C">
        <w:rPr>
          <w:lang w:val="en-GB"/>
        </w:rPr>
        <w:t>.</w:t>
      </w:r>
    </w:p>
    <w:p w14:paraId="5A8B7580" w14:textId="77777777" w:rsidR="007D2A28" w:rsidRDefault="007D2A28" w:rsidP="007D2A28">
      <w:pPr>
        <w:pStyle w:val="Heading2"/>
      </w:pPr>
      <w:bookmarkStart w:id="29" w:name="_Retention_of_Records"/>
      <w:bookmarkStart w:id="30" w:name="_Toc96000559"/>
      <w:bookmarkStart w:id="31" w:name="_Toc95896767"/>
      <w:bookmarkEnd w:id="29"/>
      <w:r w:rsidRPr="008D666E">
        <w:t>Retention</w:t>
      </w:r>
      <w:r>
        <w:t xml:space="preserve"> of </w:t>
      </w:r>
      <w:r w:rsidRPr="008D666E">
        <w:t>Records</w:t>
      </w:r>
      <w:bookmarkEnd w:id="30"/>
      <w:bookmarkEnd w:id="31"/>
    </w:p>
    <w:p w14:paraId="332793C1" w14:textId="2BD9B99D" w:rsidR="007D2A28" w:rsidRDefault="007D2A28" w:rsidP="007D2A28">
      <w:pPr>
        <w:pStyle w:val="1AllTextNormalParagraph"/>
        <w:rPr>
          <w:lang w:val="en-GB"/>
        </w:rPr>
      </w:pPr>
      <w:r>
        <w:rPr>
          <w:lang w:val="en-GB"/>
        </w:rPr>
        <w:t>All</w:t>
      </w:r>
      <w:r w:rsidRPr="00CC4CE3">
        <w:rPr>
          <w:lang w:val="en-GB"/>
        </w:rPr>
        <w:t xml:space="preserve"> Records must be retained by the Provider for a period of no less than </w:t>
      </w:r>
      <w:r w:rsidR="00E92E77">
        <w:t>7</w:t>
      </w:r>
      <w:r>
        <w:t xml:space="preserve"> </w:t>
      </w:r>
      <w:r w:rsidRPr="00CC4CE3">
        <w:rPr>
          <w:lang w:val="en-GB"/>
        </w:rPr>
        <w:t xml:space="preserve">years after </w:t>
      </w:r>
      <w:r w:rsidRPr="00881BB8">
        <w:rPr>
          <w:lang w:val="en-GB"/>
        </w:rPr>
        <w:t>the creation of the Record, unless otherwise specified in the</w:t>
      </w:r>
      <w:r>
        <w:rPr>
          <w:lang w:val="en-GB"/>
        </w:rPr>
        <w:t>se</w:t>
      </w:r>
      <w:r w:rsidRPr="00881BB8">
        <w:rPr>
          <w:lang w:val="en-GB"/>
        </w:rPr>
        <w:t xml:space="preserve"> Records Management Instructions or advised by the Department.</w:t>
      </w:r>
      <w:r>
        <w:rPr>
          <w:lang w:val="en-GB"/>
        </w:rPr>
        <w:t xml:space="preserve"> </w:t>
      </w:r>
      <w:r>
        <w:t xml:space="preserve">For certain Records, specific retention periods are applicable in accordance with </w:t>
      </w:r>
      <w:hyperlink r:id="rId34" w:history="1">
        <w:r w:rsidR="00DC0B6D" w:rsidRPr="00DC0B6D">
          <w:rPr>
            <w:rStyle w:val="Hyperlink"/>
          </w:rPr>
          <w:t>Employment Services Records Disposal Authority 2003/00330307</w:t>
        </w:r>
      </w:hyperlink>
      <w:r w:rsidR="00DC0B6D">
        <w:t xml:space="preserve">, </w:t>
      </w:r>
      <w:hyperlink r:id="rId35" w:history="1">
        <w:r w:rsidRPr="00322353">
          <w:rPr>
            <w:rStyle w:val="Hyperlink"/>
          </w:rPr>
          <w:t>Employment Services Records Authority 2009/00179260 (RA)</w:t>
        </w:r>
      </w:hyperlink>
      <w:r w:rsidRPr="00322353">
        <w:rPr>
          <w:rStyle w:val="1AllTextNormalCharacter"/>
        </w:rPr>
        <w:t xml:space="preserve"> and the </w:t>
      </w:r>
      <w:hyperlink r:id="rId36" w:history="1">
        <w:r w:rsidRPr="00322353">
          <w:rPr>
            <w:rStyle w:val="Hyperlink"/>
          </w:rPr>
          <w:t>General Records Authority GRA 33 Accredited Training 2012/00579704 (GRA 33)</w:t>
        </w:r>
      </w:hyperlink>
      <w:r w:rsidRPr="00322353">
        <w:rPr>
          <w:rStyle w:val="1AllTextNormalCharacter"/>
        </w:rPr>
        <w:t>.</w:t>
      </w:r>
      <w:r>
        <w:t xml:space="preserve"> Details of these specific Records and corresponding retention periods are set out in the</w:t>
      </w:r>
      <w:r w:rsidR="001E048A">
        <w:t xml:space="preserve"> </w:t>
      </w:r>
      <w:hyperlink r:id="rId37" w:history="1">
        <w:r w:rsidR="001E048A">
          <w:rPr>
            <w:rStyle w:val="Hyperlink"/>
          </w:rPr>
          <w:t>Records Retention Periods</w:t>
        </w:r>
      </w:hyperlink>
      <w:r>
        <w:t xml:space="preserve"> supporting document</w:t>
      </w:r>
      <w:r w:rsidRPr="003E7DE5">
        <w:t>.</w:t>
      </w:r>
    </w:p>
    <w:p w14:paraId="105C2E4E" w14:textId="77777777" w:rsidR="007D2A28" w:rsidRPr="00BC002E" w:rsidRDefault="007D2A28" w:rsidP="007D2A28">
      <w:pPr>
        <w:pStyle w:val="1AllTextNormalParagraph"/>
        <w:rPr>
          <w:lang w:eastAsia="en-AU"/>
        </w:rPr>
      </w:pPr>
      <w:r w:rsidRPr="00BC002E">
        <w:rPr>
          <w:lang w:eastAsia="en-AU"/>
        </w:rPr>
        <w:t xml:space="preserve">Records with a longer retention period should be maintained by the </w:t>
      </w:r>
      <w:r>
        <w:rPr>
          <w:lang w:eastAsia="en-AU"/>
        </w:rPr>
        <w:t>P</w:t>
      </w:r>
      <w:r w:rsidRPr="00BC002E">
        <w:rPr>
          <w:lang w:eastAsia="en-AU"/>
        </w:rPr>
        <w:t xml:space="preserve">rovider until they no longer require them and then be returned to the </w:t>
      </w:r>
      <w:r>
        <w:rPr>
          <w:lang w:eastAsia="en-AU"/>
        </w:rPr>
        <w:t>D</w:t>
      </w:r>
      <w:r w:rsidRPr="00BC002E">
        <w:rPr>
          <w:lang w:eastAsia="en-AU"/>
        </w:rPr>
        <w:t>epartment for ongoing management. Records in storage arrangements that are retrieved should be converted to digital format and the source record destroyed.</w:t>
      </w:r>
    </w:p>
    <w:p w14:paraId="3B691BFC" w14:textId="025B973E" w:rsidR="007D2A28" w:rsidRPr="000044FC" w:rsidRDefault="007D2A28" w:rsidP="007D2A28">
      <w:pPr>
        <w:pStyle w:val="1AllTextNormalParagraph"/>
        <w:rPr>
          <w:rFonts w:cstheme="minorHAnsi"/>
        </w:rPr>
      </w:pPr>
      <w:r w:rsidRPr="000B3B4C">
        <w:rPr>
          <w:rFonts w:cstheme="minorHAnsi"/>
        </w:rPr>
        <w:t>Providers have the discretion to retain Records longer than the minimum periods outlined</w:t>
      </w:r>
      <w:r>
        <w:rPr>
          <w:rFonts w:cstheme="minorHAnsi"/>
        </w:rPr>
        <w:t xml:space="preserve"> </w:t>
      </w:r>
      <w:r w:rsidRPr="000B3B4C">
        <w:rPr>
          <w:rFonts w:cstheme="minorHAnsi"/>
        </w:rPr>
        <w:t xml:space="preserve">but must not </w:t>
      </w:r>
      <w:r>
        <w:rPr>
          <w:rFonts w:cstheme="minorHAnsi"/>
        </w:rPr>
        <w:t>destroy Records prior to the expiration of the relevant</w:t>
      </w:r>
      <w:r w:rsidRPr="000B3B4C">
        <w:rPr>
          <w:rFonts w:cstheme="minorHAnsi"/>
        </w:rPr>
        <w:t xml:space="preserve"> retention periods. In addition, the </w:t>
      </w:r>
      <w:r>
        <w:rPr>
          <w:rFonts w:cstheme="minorHAnsi"/>
        </w:rPr>
        <w:t>D</w:t>
      </w:r>
      <w:r w:rsidRPr="000B3B4C">
        <w:rPr>
          <w:rFonts w:cstheme="minorHAnsi"/>
        </w:rPr>
        <w:t>epartment may direct some Records be retained for longer periods, for example, in the case of Records required in any legal action.</w:t>
      </w:r>
    </w:p>
    <w:p w14:paraId="4A636E7C" w14:textId="72EC8446" w:rsidR="007D2A28" w:rsidRPr="001962C0" w:rsidRDefault="007D2A28" w:rsidP="007D2A28">
      <w:pPr>
        <w:pStyle w:val="1AllTextNormalParagraph"/>
      </w:pPr>
      <w:r>
        <w:t>T</w:t>
      </w:r>
      <w:r w:rsidRPr="00151BE9">
        <w:t>he Department may</w:t>
      </w:r>
      <w:r w:rsidRPr="001962C0">
        <w:t xml:space="preserve"> impose special conditions </w:t>
      </w:r>
      <w:r>
        <w:t xml:space="preserve">on a Provider in relation to retention of Records </w:t>
      </w:r>
      <w:r w:rsidRPr="001962C0">
        <w:t>at the D</w:t>
      </w:r>
      <w:r w:rsidRPr="00151BE9">
        <w:t>epartment</w:t>
      </w:r>
      <w:r>
        <w:t>’</w:t>
      </w:r>
      <w:r w:rsidRPr="00151BE9">
        <w:t>s absolute discretion</w:t>
      </w:r>
      <w:r>
        <w:t>. This may include imposing extended record retention periods on Providers</w:t>
      </w:r>
      <w:r w:rsidRPr="001962C0">
        <w:t xml:space="preserve">. </w:t>
      </w:r>
    </w:p>
    <w:p w14:paraId="63926004" w14:textId="77777777" w:rsidR="007D2A28" w:rsidRDefault="007D2A28" w:rsidP="007D2A28">
      <w:pPr>
        <w:pStyle w:val="1AllTextNormalParagraph"/>
        <w:rPr>
          <w:rFonts w:cstheme="minorHAnsi"/>
        </w:rPr>
      </w:pPr>
      <w:r w:rsidRPr="00BC002E">
        <w:rPr>
          <w:rFonts w:cstheme="minorHAnsi"/>
        </w:rPr>
        <w:t>Providers must review Records that have reached the</w:t>
      </w:r>
      <w:r w:rsidRPr="00BC002E">
        <w:rPr>
          <w:rFonts w:cstheme="minorHAnsi"/>
          <w:b/>
        </w:rPr>
        <w:t xml:space="preserve"> </w:t>
      </w:r>
      <w:r w:rsidRPr="00BC002E">
        <w:rPr>
          <w:rFonts w:cstheme="minorHAnsi"/>
        </w:rPr>
        <w:t>minimum retention period before destroying</w:t>
      </w:r>
      <w:r>
        <w:t xml:space="preserve"> them</w:t>
      </w:r>
      <w:r w:rsidRPr="00BC002E">
        <w:rPr>
          <w:rFonts w:cstheme="minorHAnsi"/>
        </w:rPr>
        <w:t xml:space="preserve"> in accordance with </w:t>
      </w:r>
      <w:r>
        <w:rPr>
          <w:rFonts w:cstheme="minorHAnsi"/>
        </w:rPr>
        <w:t>these Records Management Instructions</w:t>
      </w:r>
      <w:r w:rsidRPr="00BC002E">
        <w:rPr>
          <w:rFonts w:cstheme="minorHAnsi"/>
        </w:rPr>
        <w:t xml:space="preserve">. </w:t>
      </w:r>
    </w:p>
    <w:p w14:paraId="2BA7003C" w14:textId="52FCA087" w:rsidR="00CE2DA2" w:rsidRPr="00BC002E" w:rsidRDefault="007D2A28" w:rsidP="007D2A28">
      <w:pPr>
        <w:pStyle w:val="1AllTextNormalParagraph"/>
        <w:rPr>
          <w:rFonts w:cstheme="minorHAnsi"/>
        </w:rPr>
      </w:pPr>
      <w:r w:rsidRPr="00BC002E">
        <w:rPr>
          <w:rFonts w:cstheme="minorHAnsi"/>
        </w:rPr>
        <w:lastRenderedPageBreak/>
        <w:t>If a relevant Record has reached the required minimum retention period but, for example, the Provider has knowledge of a legal action or potential legal action, the Provider must re</w:t>
      </w:r>
      <w:r w:rsidRPr="00BC002E">
        <w:rPr>
          <w:rFonts w:cstheme="minorHAnsi"/>
        </w:rPr>
        <w:noBreakHyphen/>
        <w:t xml:space="preserve">sentence the Record and inform the </w:t>
      </w:r>
      <w:r w:rsidR="008D6555">
        <w:rPr>
          <w:rFonts w:cstheme="minorHAnsi"/>
        </w:rPr>
        <w:t>Provider Lead</w:t>
      </w:r>
      <w:r w:rsidRPr="00BC002E">
        <w:rPr>
          <w:rFonts w:cstheme="minorHAnsi"/>
        </w:rPr>
        <w:t>.</w:t>
      </w:r>
      <w:r>
        <w:t xml:space="preserve"> </w:t>
      </w:r>
      <w:r w:rsidRPr="00CF4850">
        <w:t>Sentencing is the process for identifying the minimum retention period for a Record by assessing them against the classes specified in the relevant Records Authority.</w:t>
      </w:r>
    </w:p>
    <w:p w14:paraId="4CBD7736" w14:textId="77777777" w:rsidR="007D2A28" w:rsidRPr="00471C6A" w:rsidRDefault="007D2A28" w:rsidP="007D2A28">
      <w:pPr>
        <w:pStyle w:val="1AllTextNormalParagraph"/>
        <w:rPr>
          <w:lang w:val="en-GB"/>
        </w:rPr>
      </w:pPr>
      <w:r w:rsidRPr="00471C6A">
        <w:rPr>
          <w:lang w:val="en-GB"/>
        </w:rPr>
        <w:t>At the Completion Date, the Provider must manage all Records in accordance with the</w:t>
      </w:r>
      <w:r>
        <w:rPr>
          <w:lang w:val="en-GB"/>
        </w:rPr>
        <w:t>se</w:t>
      </w:r>
      <w:r w:rsidRPr="00471C6A">
        <w:rPr>
          <w:lang w:val="en-GB"/>
        </w:rPr>
        <w:t xml:space="preserve"> Records Management Instructions or as otherwise directed by the Department.</w:t>
      </w:r>
    </w:p>
    <w:p w14:paraId="1B932EDC" w14:textId="77777777" w:rsidR="007D2A28" w:rsidRPr="004E7294" w:rsidRDefault="007D2A28" w:rsidP="007D2A28">
      <w:pPr>
        <w:pStyle w:val="1AllTextNormalParagraph"/>
        <w:rPr>
          <w:rStyle w:val="1AllTextHighlight"/>
        </w:rPr>
      </w:pPr>
      <w:r w:rsidRPr="1EBED65B">
        <w:rPr>
          <w:rFonts w:eastAsia="Times New Roman"/>
          <w:lang w:eastAsia="en-AU"/>
        </w:rPr>
        <w:t xml:space="preserve">Retention periods are determined with reference to </w:t>
      </w:r>
      <w:r>
        <w:t>NAA</w:t>
      </w:r>
      <w:r w:rsidRPr="1EBED65B">
        <w:rPr>
          <w:rFonts w:eastAsia="Times New Roman"/>
          <w:lang w:eastAsia="en-AU"/>
        </w:rPr>
        <w:t xml:space="preserve"> accredited records authorities.</w:t>
      </w:r>
    </w:p>
    <w:p w14:paraId="78795D80" w14:textId="77777777" w:rsidR="007D2A28" w:rsidRDefault="007D2A28" w:rsidP="007D2A28">
      <w:pPr>
        <w:pStyle w:val="Heading3"/>
      </w:pPr>
      <w:bookmarkStart w:id="32" w:name="_Toc95896768"/>
      <w:r>
        <w:t>Digital Records</w:t>
      </w:r>
      <w:bookmarkEnd w:id="32"/>
    </w:p>
    <w:p w14:paraId="6304DE73" w14:textId="77777777" w:rsidR="007D2A28" w:rsidRPr="00BC002E" w:rsidRDefault="007D2A28" w:rsidP="007D2A28">
      <w:pPr>
        <w:pStyle w:val="1AllTextNormalParagraph"/>
      </w:pPr>
      <w:r w:rsidRPr="00BC002E">
        <w:t xml:space="preserve">Where a Third Party IT Vendor is in possession of Records as a result of assisting a Provider to provide Services under the relevant Deed, the Third Party IT Vendor may only dispose of those Records in accordance with Records Retention Periods with prior agreement of the Provider. </w:t>
      </w:r>
    </w:p>
    <w:p w14:paraId="4CD6D1CB" w14:textId="27455A2A" w:rsidR="007D2A28" w:rsidRPr="00BC002E" w:rsidRDefault="007D2A28" w:rsidP="007D2A28">
      <w:pPr>
        <w:pStyle w:val="1AllTextNormalParagraph"/>
      </w:pPr>
      <w:r w:rsidRPr="00BC002E">
        <w:t xml:space="preserve">For purposes of determining the applicable retention period, a scanned version of a paper Record would have the same creation date as the original source document. </w:t>
      </w:r>
      <w:r w:rsidR="007B774B">
        <w:t xml:space="preserve">See more information related to Digital Records under </w:t>
      </w:r>
      <w:r w:rsidR="00D30F77">
        <w:t>Management of Records.</w:t>
      </w:r>
    </w:p>
    <w:p w14:paraId="683B47CA" w14:textId="77777777" w:rsidR="007D2A28" w:rsidRPr="00BC002E" w:rsidRDefault="007D2A28" w:rsidP="007D2A28">
      <w:pPr>
        <w:pStyle w:val="1AllTextNormalParagraph"/>
      </w:pPr>
      <w:r w:rsidRPr="00BC002E">
        <w:t>Information in the Department’s IT Systems will be retained by the Department for the appropriate retention periods.</w:t>
      </w:r>
    </w:p>
    <w:p w14:paraId="453DF191" w14:textId="77777777" w:rsidR="007D2A28" w:rsidRPr="00BC002E" w:rsidRDefault="007D2A28" w:rsidP="007D2A28">
      <w:pPr>
        <w:pStyle w:val="Heading3"/>
      </w:pPr>
      <w:bookmarkStart w:id="33" w:name="_Toc95896769"/>
      <w:r>
        <w:t>P</w:t>
      </w:r>
      <w:r w:rsidRPr="00BC002E">
        <w:t>hysical Records</w:t>
      </w:r>
      <w:bookmarkEnd w:id="33"/>
    </w:p>
    <w:p w14:paraId="746911B4" w14:textId="100165FD" w:rsidR="007D2A28" w:rsidRDefault="007D2A28" w:rsidP="007D2A28">
      <w:pPr>
        <w:pStyle w:val="1AllTextNormalParagraph"/>
      </w:pPr>
      <w:r w:rsidRPr="00BC002E">
        <w:t>Providers must retain relevant</w:t>
      </w:r>
      <w:r>
        <w:t xml:space="preserve"> paper</w:t>
      </w:r>
      <w:r w:rsidRPr="00BC002E">
        <w:t xml:space="preserve"> Records according to the minimum retention periods outlined in </w:t>
      </w:r>
      <w:r>
        <w:t xml:space="preserve">the Deed and, where relevant, the </w:t>
      </w:r>
      <w:hyperlink r:id="rId38" w:history="1">
        <w:r w:rsidR="001D64A4">
          <w:rPr>
            <w:rStyle w:val="Hyperlink"/>
          </w:rPr>
          <w:t>Records Retention Periods</w:t>
        </w:r>
      </w:hyperlink>
      <w:r w:rsidR="001D64A4">
        <w:rPr>
          <w:rStyle w:val="Hyperlink"/>
        </w:rPr>
        <w:t xml:space="preserve"> </w:t>
      </w:r>
      <w:r w:rsidRPr="00945F7B">
        <w:t>supporting document</w:t>
      </w:r>
      <w:r>
        <w:t>.</w:t>
      </w:r>
    </w:p>
    <w:p w14:paraId="7DD911E9" w14:textId="77777777" w:rsidR="007D2A28" w:rsidRPr="00BC002E" w:rsidRDefault="007D2A28" w:rsidP="007D2A28">
      <w:pPr>
        <w:pStyle w:val="Heading2"/>
      </w:pPr>
      <w:bookmarkStart w:id="34" w:name="_Toc96000560"/>
      <w:bookmarkStart w:id="35" w:name="_Toc95896771"/>
      <w:r w:rsidRPr="00BC002E">
        <w:t xml:space="preserve">Disposal of </w:t>
      </w:r>
      <w:r w:rsidRPr="00486A3B">
        <w:t>Records</w:t>
      </w:r>
      <w:bookmarkEnd w:id="34"/>
      <w:bookmarkEnd w:id="35"/>
    </w:p>
    <w:p w14:paraId="0B910AAA" w14:textId="77777777" w:rsidR="007D2A28" w:rsidRPr="00965A99" w:rsidRDefault="007D2A28" w:rsidP="007D2A28">
      <w:pPr>
        <w:pStyle w:val="1AllTextNormalParagraph"/>
      </w:pPr>
      <w:r w:rsidRPr="00965A99">
        <w:t>The Provider must:</w:t>
      </w:r>
    </w:p>
    <w:p w14:paraId="5652C857" w14:textId="77777777" w:rsidR="007D2A28" w:rsidRPr="00965A99" w:rsidRDefault="007D2A28" w:rsidP="007D2A28">
      <w:pPr>
        <w:pStyle w:val="BulletLevel1"/>
      </w:pPr>
      <w:r w:rsidRPr="00965A99">
        <w:t xml:space="preserve">not destroy or otherwise dispose of Records, except in accordance with the </w:t>
      </w:r>
      <w:r>
        <w:t>Deed, these</w:t>
      </w:r>
      <w:r w:rsidRPr="00965A99">
        <w:t xml:space="preserve"> Records Management Instructions, or as otherwise directed by the Department</w:t>
      </w:r>
      <w:r>
        <w:t>,</w:t>
      </w:r>
      <w:r w:rsidRPr="00965A99">
        <w:t xml:space="preserve"> and</w:t>
      </w:r>
    </w:p>
    <w:p w14:paraId="40DC8E5E" w14:textId="77777777" w:rsidR="007D2A28" w:rsidRDefault="007D2A28" w:rsidP="007D2A28">
      <w:pPr>
        <w:pStyle w:val="BulletLevel1"/>
      </w:pPr>
      <w:r w:rsidRPr="00965A99">
        <w:t>provide a list to the Department of any Records that have been destroyed, as directed by the Department.</w:t>
      </w:r>
      <w:r>
        <w:t xml:space="preserve"> </w:t>
      </w:r>
    </w:p>
    <w:p w14:paraId="684E810A" w14:textId="08C2863B" w:rsidR="007D2A28" w:rsidRPr="004E7294" w:rsidRDefault="007D2A28" w:rsidP="007D2A28">
      <w:pPr>
        <w:pStyle w:val="1AllTextNormalParagraph"/>
        <w:rPr>
          <w:rStyle w:val="1AllTextHighlight"/>
        </w:rPr>
      </w:pPr>
      <w:r w:rsidRPr="00BC002E">
        <w:t xml:space="preserve">Records must not be destroyed where </w:t>
      </w:r>
      <w:r>
        <w:t xml:space="preserve">the </w:t>
      </w:r>
      <w:r w:rsidRPr="00BC002E">
        <w:t xml:space="preserve">Provider </w:t>
      </w:r>
      <w:r>
        <w:t>is</w:t>
      </w:r>
      <w:r w:rsidRPr="00BC002E">
        <w:t xml:space="preserve"> aware of current or potential legal action or</w:t>
      </w:r>
      <w:r>
        <w:t xml:space="preserve"> where the records are</w:t>
      </w:r>
      <w:r w:rsidRPr="00BC002E">
        <w:t xml:space="preserve"> subject to a </w:t>
      </w:r>
      <w:hyperlink r:id="rId39" w:history="1">
        <w:r w:rsidRPr="00851934">
          <w:rPr>
            <w:rStyle w:val="Hyperlink"/>
            <w:rFonts w:cstheme="minorHAnsi"/>
          </w:rPr>
          <w:t>Disposal Freeze or Retention Notice</w:t>
        </w:r>
      </w:hyperlink>
      <w:r w:rsidRPr="00BC002E">
        <w:t xml:space="preserve"> issued by the NAA, even if the minimum retention period has been reached. These Records are priority Records and must be retained in accordance with requirements set out for priority Records in </w:t>
      </w:r>
      <w:hyperlink w:anchor="_Control_of_Records_1" w:history="1">
        <w:r w:rsidRPr="008C4831">
          <w:rPr>
            <w:rStyle w:val="Hyperlink"/>
          </w:rPr>
          <w:t>Control of Records</w:t>
        </w:r>
      </w:hyperlink>
      <w:r>
        <w:rPr>
          <w:rStyle w:val="1AllTextNormalCharacter"/>
        </w:rPr>
        <w:t xml:space="preserve"> section</w:t>
      </w:r>
      <w:r w:rsidRPr="008C4831">
        <w:rPr>
          <w:rStyle w:val="1AllTextNormalCharacter"/>
        </w:rPr>
        <w:t xml:space="preserve">. </w:t>
      </w:r>
      <w:r w:rsidRPr="00BC002E">
        <w:t xml:space="preserve">A Provider must also comply with any direction from the Department not to destroy Records. Providers must only destroy Records that have reached the minimum retention period and following the review process outlined in </w:t>
      </w:r>
      <w:hyperlink w:anchor="_Retention_of_Records" w:history="1">
        <w:r w:rsidRPr="00EC7ECF">
          <w:rPr>
            <w:rStyle w:val="Hyperlink"/>
          </w:rPr>
          <w:t>Retention of Records</w:t>
        </w:r>
      </w:hyperlink>
      <w:r w:rsidRPr="00EC7ECF">
        <w:rPr>
          <w:rStyle w:val="1AllTextNormalCharacter"/>
        </w:rPr>
        <w:t xml:space="preserve"> </w:t>
      </w:r>
      <w:r>
        <w:rPr>
          <w:rStyle w:val="1AllTextNormalCharacter"/>
        </w:rPr>
        <w:t>section.</w:t>
      </w:r>
    </w:p>
    <w:p w14:paraId="4867D0E9" w14:textId="41FD06C6" w:rsidR="00CE2DA2" w:rsidRPr="00BC002E" w:rsidRDefault="007D2A28" w:rsidP="007D2A28">
      <w:pPr>
        <w:pStyle w:val="1AllTextNormalParagraph"/>
      </w:pPr>
      <w:r w:rsidRPr="00BC002E">
        <w:t>Providers must maintain a list of destroyed Records which must be supplied to the Department upon request. This list must also be retained by the Provider in accordance with the applicable retention period or as directed by the Department.</w:t>
      </w:r>
    </w:p>
    <w:p w14:paraId="2F033CBC" w14:textId="77777777" w:rsidR="007D2A28" w:rsidRPr="004E7294" w:rsidRDefault="007D2A28" w:rsidP="007D2A28">
      <w:pPr>
        <w:pStyle w:val="1AllTextNormalParagraph"/>
        <w:rPr>
          <w:rStyle w:val="1AllTextHighlight"/>
        </w:rPr>
      </w:pPr>
      <w:r>
        <w:t xml:space="preserve">Refer to </w:t>
      </w:r>
      <w:hyperlink w:anchor="_Retention_of_Records" w:history="1">
        <w:r w:rsidRPr="00EC7ECF">
          <w:rPr>
            <w:rStyle w:val="Hyperlink"/>
          </w:rPr>
          <w:t>Retention of Records</w:t>
        </w:r>
      </w:hyperlink>
      <w:r w:rsidRPr="00EC7ECF">
        <w:rPr>
          <w:rStyle w:val="1AllTextNormalCharacter"/>
        </w:rPr>
        <w:t xml:space="preserve"> </w:t>
      </w:r>
      <w:r>
        <w:rPr>
          <w:rStyle w:val="1AllTextNormalCharacter"/>
        </w:rPr>
        <w:t>section f</w:t>
      </w:r>
      <w:r w:rsidRPr="00BC002E">
        <w:t>or information on retention periods.</w:t>
      </w:r>
    </w:p>
    <w:p w14:paraId="2A3DD429" w14:textId="77777777" w:rsidR="007D2A28" w:rsidRDefault="007D2A28" w:rsidP="007D2A28">
      <w:pPr>
        <w:pStyle w:val="Heading3"/>
      </w:pPr>
      <w:r>
        <w:lastRenderedPageBreak/>
        <w:t xml:space="preserve">Methods of destroying Records </w:t>
      </w:r>
    </w:p>
    <w:p w14:paraId="2100F6E6" w14:textId="77777777" w:rsidR="007D2A28" w:rsidRPr="00BC002E" w:rsidRDefault="007D2A28" w:rsidP="007D2A28">
      <w:pPr>
        <w:rPr>
          <w:rFonts w:cstheme="minorHAnsi"/>
        </w:rPr>
      </w:pPr>
      <w:r w:rsidRPr="00BC002E">
        <w:rPr>
          <w:rFonts w:cstheme="minorHAnsi"/>
        </w:rPr>
        <w:t>When Providers destroy Records, they must use a method that ensures the information is no longer readable and cannot be retrieved.</w:t>
      </w:r>
    </w:p>
    <w:p w14:paraId="3D0C8C67" w14:textId="77777777" w:rsidR="007D2A28" w:rsidRPr="00BC002E" w:rsidRDefault="007D2A28" w:rsidP="007D2A28">
      <w:pPr>
        <w:pStyle w:val="Heading4"/>
      </w:pPr>
      <w:bookmarkStart w:id="36" w:name="GRA31"/>
      <w:bookmarkStart w:id="37" w:name="_Digital_Records"/>
      <w:bookmarkStart w:id="38" w:name="_Toc95896772"/>
      <w:bookmarkEnd w:id="36"/>
      <w:bookmarkEnd w:id="37"/>
      <w:r>
        <w:t>Digital</w:t>
      </w:r>
      <w:r w:rsidRPr="00BC002E">
        <w:t xml:space="preserve"> Records</w:t>
      </w:r>
      <w:bookmarkEnd w:id="38"/>
    </w:p>
    <w:p w14:paraId="257323C3" w14:textId="22F9BD10" w:rsidR="007D2A28" w:rsidRPr="00BC002E" w:rsidRDefault="007D2A28" w:rsidP="007D2A28">
      <w:pPr>
        <w:pStyle w:val="1AllTextNormalParagraph"/>
      </w:pPr>
      <w:r>
        <w:t>It</w:t>
      </w:r>
      <w:r w:rsidRPr="00BC002E">
        <w:t xml:space="preserve"> is the Provider’s responsibility to ensure all digital Records are identified and removed from the</w:t>
      </w:r>
      <w:r>
        <w:t>ir</w:t>
      </w:r>
      <w:r w:rsidRPr="00BC002E">
        <w:t xml:space="preserve"> </w:t>
      </w:r>
      <w:r>
        <w:t>systems</w:t>
      </w:r>
      <w:r w:rsidRPr="00BC002E">
        <w:t xml:space="preserve"> and destroyed. Methods of destroying digital Records include:</w:t>
      </w:r>
    </w:p>
    <w:p w14:paraId="4D2FA93C" w14:textId="77777777" w:rsidR="007D2A28" w:rsidRPr="00BC002E" w:rsidRDefault="007D2A28" w:rsidP="007D2A28">
      <w:pPr>
        <w:pStyle w:val="BulletLevel1"/>
      </w:pPr>
      <w:r>
        <w:t>f</w:t>
      </w:r>
      <w:r w:rsidRPr="00BC002E">
        <w:t>ile shredding</w:t>
      </w:r>
    </w:p>
    <w:p w14:paraId="387C41E2" w14:textId="77777777" w:rsidR="007D2A28" w:rsidRPr="00BC002E" w:rsidRDefault="007D2A28" w:rsidP="007D2A28">
      <w:pPr>
        <w:pStyle w:val="BulletLevel1"/>
      </w:pPr>
      <w:r>
        <w:t>d</w:t>
      </w:r>
      <w:r w:rsidRPr="00BC002E">
        <w:t>egaussing – the process of demagnetising magnetic media to erase recorded data</w:t>
      </w:r>
    </w:p>
    <w:p w14:paraId="11F841D6" w14:textId="77777777" w:rsidR="007D2A28" w:rsidRPr="00BC002E" w:rsidRDefault="007D2A28" w:rsidP="007D2A28">
      <w:pPr>
        <w:pStyle w:val="BulletLevel1"/>
      </w:pPr>
      <w:r>
        <w:t>p</w:t>
      </w:r>
      <w:r w:rsidRPr="00BC002E">
        <w:t xml:space="preserve">hysical </w:t>
      </w:r>
      <w:r>
        <w:t>D</w:t>
      </w:r>
      <w:r w:rsidRPr="00BC002E">
        <w:t>estruction of storage media – such as pulverisation, incineration or shredding</w:t>
      </w:r>
    </w:p>
    <w:p w14:paraId="7C027433" w14:textId="77777777" w:rsidR="007D2A28" w:rsidRPr="00BC002E" w:rsidRDefault="007D2A28" w:rsidP="007D2A28">
      <w:pPr>
        <w:pStyle w:val="BulletLevel1"/>
      </w:pPr>
      <w:r>
        <w:t>r</w:t>
      </w:r>
      <w:r w:rsidRPr="00BC002E">
        <w:t>eformatting – if it can be guaranteed the process cannot be reversed.</w:t>
      </w:r>
    </w:p>
    <w:p w14:paraId="0530B0FB" w14:textId="77777777" w:rsidR="007D2A28" w:rsidRPr="00BC002E" w:rsidRDefault="007D2A28" w:rsidP="007D2A28">
      <w:pPr>
        <w:pStyle w:val="1AllTextNormalParagraph"/>
      </w:pPr>
      <w:r w:rsidRPr="00BC002E">
        <w:t xml:space="preserve">To ensure the complete </w:t>
      </w:r>
      <w:r>
        <w:t>D</w:t>
      </w:r>
      <w:r w:rsidRPr="00BC002E">
        <w:t>estruction of a digital Record, all copies should be found and destroyed. This includes removing and destroying copies contained in system backups and off-site storage.</w:t>
      </w:r>
    </w:p>
    <w:p w14:paraId="380248C1" w14:textId="77777777" w:rsidR="007D2A28" w:rsidRPr="00BC002E" w:rsidRDefault="007D2A28" w:rsidP="007D2A28">
      <w:pPr>
        <w:pStyle w:val="1AllTextNormalParagraph"/>
      </w:pPr>
      <w:r w:rsidRPr="00BC002E">
        <w:t xml:space="preserve">Deletion is not destruction and does not meet the requirements for </w:t>
      </w:r>
      <w:r>
        <w:t>D</w:t>
      </w:r>
      <w:r w:rsidRPr="00BC002E">
        <w:t>estruction of Australian</w:t>
      </w:r>
      <w:r w:rsidRPr="00BC002E">
        <w:rPr>
          <w:b/>
          <w:i/>
        </w:rPr>
        <w:t xml:space="preserve"> </w:t>
      </w:r>
      <w:r w:rsidRPr="00BC002E">
        <w:t xml:space="preserve">Government Records. When digital Records are deleted it is only the pointer to the Record (such as the file name and directory path) that is deleted. The actual data objects are gradually overwritten in time by new data. However, until the data is completely overwritten, there remains a possibility that the information can be retrieved. </w:t>
      </w:r>
    </w:p>
    <w:p w14:paraId="4AADD719" w14:textId="77777777" w:rsidR="007D2A28" w:rsidRPr="00BC002E" w:rsidRDefault="007D2A28" w:rsidP="007D2A28">
      <w:pPr>
        <w:pStyle w:val="Heading4"/>
      </w:pPr>
      <w:bookmarkStart w:id="39" w:name="_Toc373328696"/>
      <w:bookmarkStart w:id="40" w:name="_Toc482260962"/>
      <w:bookmarkStart w:id="41" w:name="_Toc482261139"/>
      <w:bookmarkStart w:id="42" w:name="_Toc482261354"/>
      <w:bookmarkStart w:id="43" w:name="_Toc482261939"/>
      <w:bookmarkStart w:id="44" w:name="_Reporting_Requirements"/>
      <w:bookmarkStart w:id="45" w:name="_Reporting_Rrequirements_to"/>
      <w:bookmarkStart w:id="46" w:name="_Toc512938556"/>
      <w:bookmarkStart w:id="47" w:name="_Toc514138557"/>
      <w:bookmarkStart w:id="48" w:name="_Toc512938558"/>
      <w:bookmarkStart w:id="49" w:name="_Toc514138559"/>
      <w:bookmarkStart w:id="50" w:name="_Toc508195465"/>
      <w:bookmarkStart w:id="51" w:name="NotifiableDataBreaches"/>
      <w:bookmarkStart w:id="52" w:name="_Toc388540121"/>
      <w:bookmarkStart w:id="53" w:name="_Control_of_Records"/>
      <w:bookmarkStart w:id="54" w:name="ControlofRecords"/>
      <w:bookmarkStart w:id="55" w:name="_Toc373328700"/>
      <w:bookmarkStart w:id="56" w:name="_Records_List"/>
      <w:bookmarkStart w:id="57" w:name="RecordsList"/>
      <w:bookmarkStart w:id="58" w:name="PriorityRecords"/>
      <w:bookmarkStart w:id="59" w:name="_Records_Retention_1"/>
      <w:bookmarkStart w:id="60" w:name="RecordsRetention"/>
      <w:bookmarkStart w:id="61" w:name="_Toc388540128"/>
      <w:bookmarkStart w:id="62" w:name="_Return_of_Records"/>
      <w:bookmarkStart w:id="63" w:name="ReturnOfRecords"/>
      <w:bookmarkStart w:id="64" w:name="_Toc373328707"/>
      <w:bookmarkStart w:id="65" w:name="_Toc416266521"/>
      <w:bookmarkStart w:id="66" w:name="_Toc416266559"/>
      <w:bookmarkStart w:id="67" w:name="_Toc416266592"/>
      <w:bookmarkStart w:id="68" w:name="_Toc416267988"/>
      <w:bookmarkStart w:id="69" w:name="_Toc416272635"/>
      <w:bookmarkStart w:id="70" w:name="_Toc416273321"/>
      <w:bookmarkStart w:id="71" w:name="_Toc423593076"/>
      <w:bookmarkStart w:id="72" w:name="_Toc423593111"/>
      <w:bookmarkStart w:id="73" w:name="_Toc476050101"/>
      <w:bookmarkStart w:id="74" w:name="_Toc476053120"/>
      <w:bookmarkStart w:id="75" w:name="_Toc416266522"/>
      <w:bookmarkStart w:id="76" w:name="_Toc416266560"/>
      <w:bookmarkStart w:id="77" w:name="_Toc416266593"/>
      <w:bookmarkStart w:id="78" w:name="_Toc416267989"/>
      <w:bookmarkStart w:id="79" w:name="_Toc416272636"/>
      <w:bookmarkStart w:id="80" w:name="_Toc416273322"/>
      <w:bookmarkStart w:id="81" w:name="_Toc423593077"/>
      <w:bookmarkStart w:id="82" w:name="_Toc423593112"/>
      <w:bookmarkStart w:id="83" w:name="_Toc476050102"/>
      <w:bookmarkStart w:id="84" w:name="_Toc476053121"/>
      <w:bookmarkStart w:id="85" w:name="_Toc481403383"/>
      <w:bookmarkStart w:id="86" w:name="_Toc481481354"/>
      <w:bookmarkStart w:id="87" w:name="_Toc481569449"/>
      <w:bookmarkStart w:id="88" w:name="_Toc481403384"/>
      <w:bookmarkStart w:id="89" w:name="_Toc481481355"/>
      <w:bookmarkStart w:id="90" w:name="_Toc481569450"/>
      <w:bookmarkStart w:id="91" w:name="_Toc388540132"/>
      <w:bookmarkStart w:id="92" w:name="_Destruction_of_Records"/>
      <w:bookmarkStart w:id="93" w:name="DestructionofRecords"/>
      <w:bookmarkStart w:id="94" w:name="_Toc481481358"/>
      <w:bookmarkStart w:id="95" w:name="_Toc388540133"/>
      <w:bookmarkStart w:id="96" w:name="_Toc482276055"/>
      <w:bookmarkStart w:id="97" w:name="_Toc515460697"/>
      <w:bookmarkStart w:id="98" w:name="_Toc487009866"/>
      <w:bookmarkStart w:id="99" w:name="_Toc95896773"/>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BC002E">
        <w:t>Physical Records</w:t>
      </w:r>
      <w:bookmarkEnd w:id="94"/>
      <w:bookmarkEnd w:id="95"/>
      <w:bookmarkEnd w:id="96"/>
      <w:bookmarkEnd w:id="97"/>
      <w:bookmarkEnd w:id="98"/>
      <w:bookmarkEnd w:id="99"/>
    </w:p>
    <w:p w14:paraId="0A21C2C3" w14:textId="77777777" w:rsidR="007D2A28" w:rsidRPr="00BC002E" w:rsidRDefault="007D2A28" w:rsidP="007D2A28">
      <w:pPr>
        <w:pStyle w:val="1AllTextNormalParagraph"/>
      </w:pPr>
      <w:bookmarkStart w:id="100" w:name="_Toc373328711"/>
      <w:bookmarkStart w:id="101" w:name="_Toc416267993"/>
      <w:bookmarkStart w:id="102" w:name="_Toc416272640"/>
      <w:bookmarkStart w:id="103" w:name="_Toc416273326"/>
      <w:bookmarkStart w:id="104" w:name="_Toc423593081"/>
      <w:bookmarkStart w:id="105" w:name="_Toc423593116"/>
      <w:bookmarkStart w:id="106" w:name="_Toc476050106"/>
      <w:bookmarkStart w:id="107" w:name="_Toc476053125"/>
      <w:bookmarkStart w:id="108" w:name="_Toc481403388"/>
      <w:bookmarkStart w:id="109" w:name="_Toc481481359"/>
      <w:bookmarkStart w:id="110" w:name="_Toc481569454"/>
      <w:bookmarkEnd w:id="100"/>
      <w:bookmarkEnd w:id="101"/>
      <w:bookmarkEnd w:id="102"/>
      <w:bookmarkEnd w:id="103"/>
      <w:bookmarkEnd w:id="104"/>
      <w:bookmarkEnd w:id="105"/>
      <w:bookmarkEnd w:id="106"/>
      <w:bookmarkEnd w:id="107"/>
      <w:bookmarkEnd w:id="108"/>
      <w:bookmarkEnd w:id="109"/>
      <w:bookmarkEnd w:id="110"/>
      <w:r w:rsidRPr="00BC002E">
        <w:t>Providers must ensure physical Records are destroyed using one of the following methods:</w:t>
      </w:r>
    </w:p>
    <w:p w14:paraId="4C395CCD" w14:textId="77777777" w:rsidR="007D2A28" w:rsidRPr="00BC002E" w:rsidRDefault="007D2A28" w:rsidP="007D2A28">
      <w:pPr>
        <w:pStyle w:val="BulletLevel1"/>
      </w:pPr>
      <w:r>
        <w:t>p</w:t>
      </w:r>
      <w:r w:rsidRPr="00BC002E">
        <w:t>ulping – transforming used paper into a moist, slightly cohering mass.</w:t>
      </w:r>
    </w:p>
    <w:p w14:paraId="4FA9F385" w14:textId="77777777" w:rsidR="007D2A28" w:rsidRPr="00BC002E" w:rsidRDefault="007D2A28" w:rsidP="007D2A28">
      <w:pPr>
        <w:pStyle w:val="BulletLevel1"/>
      </w:pPr>
      <w:r>
        <w:t>b</w:t>
      </w:r>
      <w:r w:rsidRPr="00BC002E">
        <w:t>urning – in accordance with relevant environmental protection restrictions and</w:t>
      </w:r>
    </w:p>
    <w:p w14:paraId="45F0275B" w14:textId="77777777" w:rsidR="007D2A28" w:rsidRPr="00BC002E" w:rsidRDefault="007D2A28" w:rsidP="007D2A28">
      <w:pPr>
        <w:pStyle w:val="BulletLevel1"/>
      </w:pPr>
      <w:r>
        <w:t>s</w:t>
      </w:r>
      <w:r w:rsidRPr="00BC002E">
        <w:t>hredding – using crosscut shredders (using either A or B class shredders).</w:t>
      </w:r>
    </w:p>
    <w:p w14:paraId="2922B96F" w14:textId="77777777" w:rsidR="007D2A28" w:rsidRPr="00BC002E" w:rsidRDefault="007D2A28" w:rsidP="007D2A28">
      <w:pPr>
        <w:pStyle w:val="1AllTextNormalParagraph"/>
      </w:pPr>
      <w:r w:rsidRPr="00BC002E">
        <w:t xml:space="preserve">If </w:t>
      </w:r>
      <w:r>
        <w:t>D</w:t>
      </w:r>
      <w:r w:rsidRPr="00BC002E">
        <w:t>estruction of physical Records is undertaken at an off</w:t>
      </w:r>
      <w:r w:rsidRPr="00BC002E">
        <w:noBreakHyphen/>
        <w:t>site facility, then a certificate of destruction including details of the Records destroyed and appropriate authorisation must be obtained and retained by the Provider.</w:t>
      </w:r>
    </w:p>
    <w:p w14:paraId="6FB4D3C2" w14:textId="06002F1B" w:rsidR="00355828" w:rsidRDefault="00355828" w:rsidP="007D2A28">
      <w:pPr>
        <w:pStyle w:val="Heading3"/>
      </w:pPr>
      <w:bookmarkStart w:id="111" w:name="_General_Records_Authority"/>
      <w:bookmarkStart w:id="112" w:name="_Toc95230351"/>
      <w:bookmarkEnd w:id="111"/>
      <w:r>
        <w:t>General Records Authority 30</w:t>
      </w:r>
    </w:p>
    <w:p w14:paraId="6B2F4DD8" w14:textId="715DF7BA" w:rsidR="00355828" w:rsidRPr="00355828" w:rsidRDefault="00355828" w:rsidP="00355828">
      <w:pPr>
        <w:rPr>
          <w:lang w:eastAsia="en-AU"/>
        </w:rPr>
      </w:pPr>
      <w:r w:rsidRPr="00355828">
        <w:rPr>
          <w:lang w:eastAsia="en-AU"/>
        </w:rPr>
        <w:t xml:space="preserve">Records may be damaged beyond repair because of a disaster, emergency, or other unforeseen circumstance, as defined in </w:t>
      </w:r>
      <w:hyperlink r:id="rId40" w:history="1">
        <w:r w:rsidRPr="00DB7D01">
          <w:rPr>
            <w:rStyle w:val="Hyperlink"/>
            <w:lang w:eastAsia="en-AU"/>
          </w:rPr>
          <w:t>GRA 30</w:t>
        </w:r>
      </w:hyperlink>
      <w:r w:rsidRPr="00355828">
        <w:rPr>
          <w:lang w:eastAsia="en-AU"/>
        </w:rPr>
        <w:t>.</w:t>
      </w:r>
    </w:p>
    <w:p w14:paraId="3AFFF0EC" w14:textId="70FFC930" w:rsidR="00355828" w:rsidRPr="00355828" w:rsidRDefault="00355828" w:rsidP="00355828">
      <w:pPr>
        <w:rPr>
          <w:lang w:eastAsia="en-AU"/>
        </w:rPr>
      </w:pPr>
      <w:r w:rsidRPr="00355828">
        <w:rPr>
          <w:lang w:eastAsia="en-AU"/>
        </w:rPr>
        <w:t>If a Provider considers that a Record or Records have been damaged in line with GRA 30, it must not destroy the Record(s) unless and until the Department provides written authority for the destruction of</w:t>
      </w:r>
      <w:r w:rsidR="00DB7D01">
        <w:rPr>
          <w:lang w:eastAsia="en-AU"/>
        </w:rPr>
        <w:t xml:space="preserve"> </w:t>
      </w:r>
      <w:r w:rsidRPr="00355828">
        <w:rPr>
          <w:lang w:eastAsia="en-AU"/>
        </w:rPr>
        <w:t>the Record(s). Providers must notify the Department as soon as possible following the Record(s) being damaged, providing at a minimum:</w:t>
      </w:r>
    </w:p>
    <w:p w14:paraId="07CA65B4" w14:textId="4ACF3AC1" w:rsidR="00355828" w:rsidRPr="00355828" w:rsidRDefault="00355828" w:rsidP="00322353">
      <w:pPr>
        <w:pStyle w:val="BulletLevel1"/>
        <w:rPr>
          <w:lang w:eastAsia="en-AU"/>
        </w:rPr>
      </w:pPr>
      <w:r w:rsidRPr="00355828">
        <w:rPr>
          <w:lang w:eastAsia="en-AU"/>
        </w:rPr>
        <w:t>photographic evidence of the damaged Record(s)</w:t>
      </w:r>
    </w:p>
    <w:p w14:paraId="7AAC674E" w14:textId="61D6CE33" w:rsidR="00355828" w:rsidRPr="00355828" w:rsidRDefault="00355828" w:rsidP="00322353">
      <w:pPr>
        <w:pStyle w:val="BulletLevel1"/>
        <w:rPr>
          <w:lang w:eastAsia="en-AU"/>
        </w:rPr>
      </w:pPr>
      <w:r w:rsidRPr="00355828">
        <w:rPr>
          <w:lang w:eastAsia="en-AU"/>
        </w:rPr>
        <w:t>do any of the damaged Record(s) need to be retained permanently</w:t>
      </w:r>
    </w:p>
    <w:p w14:paraId="43040F06" w14:textId="2B49F157" w:rsidR="00355828" w:rsidRPr="00355828" w:rsidRDefault="00355828" w:rsidP="00322353">
      <w:pPr>
        <w:pStyle w:val="BulletLevel1"/>
        <w:rPr>
          <w:lang w:eastAsia="en-AU"/>
        </w:rPr>
      </w:pPr>
      <w:r w:rsidRPr="00355828">
        <w:rPr>
          <w:lang w:eastAsia="en-AU"/>
        </w:rPr>
        <w:t>information about the circumstances causing the damage, including whether:</w:t>
      </w:r>
    </w:p>
    <w:p w14:paraId="0DC14468" w14:textId="271A6F31" w:rsidR="00355828" w:rsidRPr="00355828" w:rsidRDefault="00355828" w:rsidP="00322353">
      <w:pPr>
        <w:pStyle w:val="BulletLevel2"/>
        <w:rPr>
          <w:lang w:eastAsia="en-AU"/>
        </w:rPr>
      </w:pPr>
      <w:r w:rsidRPr="00355828">
        <w:rPr>
          <w:lang w:eastAsia="en-AU"/>
        </w:rPr>
        <w:t>the Record(s) in their damaged state pose a health hazard, and</w:t>
      </w:r>
    </w:p>
    <w:p w14:paraId="4A69FA7C" w14:textId="77FFAA0F" w:rsidR="00355828" w:rsidRPr="00355828" w:rsidRDefault="00355828" w:rsidP="00322353">
      <w:pPr>
        <w:pStyle w:val="BulletLevel2"/>
        <w:rPr>
          <w:lang w:eastAsia="en-AU"/>
        </w:rPr>
      </w:pPr>
      <w:r w:rsidRPr="00355828">
        <w:rPr>
          <w:lang w:eastAsia="en-AU"/>
        </w:rPr>
        <w:lastRenderedPageBreak/>
        <w:t>any Record(s) were able to be retrieved following the circumstances causing the damage and if so, how this retrieval will be managed</w:t>
      </w:r>
    </w:p>
    <w:p w14:paraId="5EBB436F" w14:textId="4A9A3E2E" w:rsidR="00355828" w:rsidRPr="00355828" w:rsidRDefault="00355828" w:rsidP="00322353">
      <w:pPr>
        <w:pStyle w:val="BulletLevel1"/>
        <w:rPr>
          <w:lang w:eastAsia="en-AU"/>
        </w:rPr>
      </w:pPr>
      <w:r w:rsidRPr="00355828">
        <w:rPr>
          <w:lang w:eastAsia="en-AU"/>
        </w:rPr>
        <w:t>information about the Record(s), including:</w:t>
      </w:r>
    </w:p>
    <w:p w14:paraId="0879166C" w14:textId="64FA76C8" w:rsidR="00CE2DA2" w:rsidRPr="00355828" w:rsidRDefault="00355828" w:rsidP="00322353">
      <w:pPr>
        <w:pStyle w:val="BulletLevel2"/>
        <w:rPr>
          <w:lang w:eastAsia="en-AU"/>
        </w:rPr>
      </w:pPr>
      <w:r w:rsidRPr="00355828">
        <w:rPr>
          <w:lang w:eastAsia="en-AU"/>
        </w:rPr>
        <w:t xml:space="preserve">the number affected, </w:t>
      </w:r>
      <w:r w:rsidR="00DB7D01">
        <w:rPr>
          <w:lang w:eastAsia="en-AU"/>
        </w:rPr>
        <w:t>and</w:t>
      </w:r>
      <w:r w:rsidRPr="00355828">
        <w:rPr>
          <w:lang w:eastAsia="en-AU"/>
        </w:rPr>
        <w:t xml:space="preserve"> </w:t>
      </w:r>
      <w:r w:rsidR="00DB7D01">
        <w:rPr>
          <w:lang w:eastAsia="en-AU"/>
        </w:rPr>
        <w:t>if</w:t>
      </w:r>
      <w:r w:rsidRPr="00355828">
        <w:rPr>
          <w:lang w:eastAsia="en-AU"/>
        </w:rPr>
        <w:t xml:space="preserve"> approximate</w:t>
      </w:r>
      <w:r w:rsidR="00DB7D01">
        <w:rPr>
          <w:lang w:eastAsia="en-AU"/>
        </w:rPr>
        <w:t xml:space="preserve">d, </w:t>
      </w:r>
      <w:r w:rsidRPr="00355828">
        <w:rPr>
          <w:lang w:eastAsia="en-AU"/>
        </w:rPr>
        <w:t>how this number was determined,</w:t>
      </w:r>
    </w:p>
    <w:p w14:paraId="73792662" w14:textId="6744C0A4" w:rsidR="00355828" w:rsidRPr="00355828" w:rsidRDefault="00355828" w:rsidP="00322353">
      <w:pPr>
        <w:pStyle w:val="BulletLevel2"/>
        <w:rPr>
          <w:lang w:eastAsia="en-AU"/>
        </w:rPr>
      </w:pPr>
      <w:r w:rsidRPr="00355828">
        <w:rPr>
          <w:lang w:eastAsia="en-AU"/>
        </w:rPr>
        <w:t>their content,</w:t>
      </w:r>
    </w:p>
    <w:p w14:paraId="09C27EEE" w14:textId="1EA39C44" w:rsidR="00355828" w:rsidRPr="00355828" w:rsidRDefault="00355828" w:rsidP="00322353">
      <w:pPr>
        <w:pStyle w:val="BulletLevel2"/>
        <w:rPr>
          <w:lang w:eastAsia="en-AU"/>
        </w:rPr>
      </w:pPr>
      <w:r w:rsidRPr="00355828">
        <w:rPr>
          <w:lang w:eastAsia="en-AU"/>
        </w:rPr>
        <w:t>their classification, and</w:t>
      </w:r>
    </w:p>
    <w:p w14:paraId="058C37B9" w14:textId="0485DE7A" w:rsidR="00355828" w:rsidRPr="00355828" w:rsidRDefault="00355828" w:rsidP="00322353">
      <w:pPr>
        <w:pStyle w:val="BulletLevel2"/>
        <w:rPr>
          <w:lang w:eastAsia="en-AU"/>
        </w:rPr>
      </w:pPr>
      <w:r w:rsidRPr="00355828">
        <w:rPr>
          <w:lang w:eastAsia="en-AU"/>
        </w:rPr>
        <w:t>whether they had been digitised</w:t>
      </w:r>
    </w:p>
    <w:p w14:paraId="6F425DB7" w14:textId="0FB22596" w:rsidR="00355828" w:rsidRPr="00355828" w:rsidRDefault="00355828" w:rsidP="00322353">
      <w:pPr>
        <w:pStyle w:val="BulletLevel1"/>
        <w:rPr>
          <w:lang w:eastAsia="en-AU"/>
        </w:rPr>
      </w:pPr>
      <w:r w:rsidRPr="00355828">
        <w:rPr>
          <w:lang w:eastAsia="en-AU"/>
        </w:rPr>
        <w:t>information about how the damaged Record(s) are proposed to be destroyed, and</w:t>
      </w:r>
    </w:p>
    <w:p w14:paraId="501BC505" w14:textId="77ABB9A2" w:rsidR="00355828" w:rsidRPr="00322353" w:rsidRDefault="00355828" w:rsidP="00322353">
      <w:pPr>
        <w:pStyle w:val="BulletLevel1"/>
        <w:rPr>
          <w:lang w:eastAsia="en-AU"/>
        </w:rPr>
      </w:pPr>
      <w:r w:rsidRPr="00355828">
        <w:rPr>
          <w:lang w:eastAsia="en-AU"/>
        </w:rPr>
        <w:t>any other information the Provider considers relevant to a request to destroy the Record(s)</w:t>
      </w:r>
    </w:p>
    <w:p w14:paraId="343095F7" w14:textId="0405DB25" w:rsidR="007D2A28" w:rsidRPr="00E43CBC" w:rsidRDefault="007D2A28" w:rsidP="007D2A28">
      <w:pPr>
        <w:pStyle w:val="Heading3"/>
      </w:pPr>
      <w:r w:rsidRPr="00E43CBC">
        <w:t>General Records Authority 31</w:t>
      </w:r>
      <w:bookmarkEnd w:id="112"/>
      <w:r>
        <w:t xml:space="preserve"> </w:t>
      </w:r>
    </w:p>
    <w:p w14:paraId="46F5F8E0" w14:textId="110E5D91" w:rsidR="007D2A28" w:rsidRDefault="007D2A28" w:rsidP="007D2A28">
      <w:pPr>
        <w:pStyle w:val="1AllTextNormalParagraph"/>
        <w:rPr>
          <w:iCs/>
        </w:rPr>
      </w:pPr>
      <w:r w:rsidRPr="00E138CE" w:rsidDel="00A00E14">
        <w:t>Records</w:t>
      </w:r>
      <w:r w:rsidDel="00A00E14">
        <w:t xml:space="preserve"> </w:t>
      </w:r>
      <w:r>
        <w:t xml:space="preserve">as defined in the Deed </w:t>
      </w:r>
      <w:r w:rsidDel="00A00E14">
        <w:t xml:space="preserve">are Commonwealth </w:t>
      </w:r>
      <w:r>
        <w:t>r</w:t>
      </w:r>
      <w:r w:rsidDel="00A00E14">
        <w:t xml:space="preserve">ecords for the purposes of the </w:t>
      </w:r>
      <w:r w:rsidRPr="00741062">
        <w:rPr>
          <w:iCs/>
        </w:rPr>
        <w:t>Arch</w:t>
      </w:r>
      <w:r>
        <w:rPr>
          <w:iCs/>
        </w:rPr>
        <w:t>i</w:t>
      </w:r>
      <w:r w:rsidRPr="00741062">
        <w:rPr>
          <w:iCs/>
        </w:rPr>
        <w:t>ves Act</w:t>
      </w:r>
      <w:r w:rsidRPr="00A356F7" w:rsidDel="00A00E14">
        <w:rPr>
          <w:iCs/>
        </w:rPr>
        <w:t xml:space="preserve">. </w:t>
      </w:r>
    </w:p>
    <w:p w14:paraId="6559828A" w14:textId="3D7F3518" w:rsidR="007D2A28" w:rsidRDefault="007D2A28" w:rsidP="007D2A28">
      <w:pPr>
        <w:pStyle w:val="1AllTextNormalParagraph"/>
      </w:pPr>
      <w:r w:rsidRPr="00A356F7">
        <w:rPr>
          <w:iCs/>
        </w:rPr>
        <w:t>S</w:t>
      </w:r>
      <w:r>
        <w:t xml:space="preserve">ubject to certain exclusions and conditions, </w:t>
      </w:r>
      <w:r w:rsidDel="00A00E14">
        <w:t xml:space="preserve">the </w:t>
      </w:r>
      <w:r>
        <w:t>NAA</w:t>
      </w:r>
      <w:r w:rsidDel="00A00E14">
        <w:t xml:space="preserve"> provides permission for the </w:t>
      </w:r>
      <w:r>
        <w:t>d</w:t>
      </w:r>
      <w:r w:rsidDel="00A00E14">
        <w:t xml:space="preserve">estruction of </w:t>
      </w:r>
      <w:r>
        <w:t>Commonwealth Records</w:t>
      </w:r>
      <w:r w:rsidDel="00A00E14">
        <w:t xml:space="preserve"> created on or after 1 January 1980 under General Records Authority 31 </w:t>
      </w:r>
      <w:r>
        <w:t>-</w:t>
      </w:r>
      <w:r w:rsidRPr="00741062">
        <w:t xml:space="preserve">Destruction of source or original records after digitisation, conversion or </w:t>
      </w:r>
      <w:r>
        <w:t>M</w:t>
      </w:r>
      <w:r w:rsidRPr="00741062">
        <w:t xml:space="preserve">igration </w:t>
      </w:r>
      <w:r w:rsidDel="00A00E14">
        <w:t>(GRA 31)</w:t>
      </w:r>
      <w:r>
        <w:t xml:space="preserve"> where those Records have been converted from hard copy to digital form</w:t>
      </w:r>
      <w:r w:rsidDel="00A00E14">
        <w:t xml:space="preserve">. </w:t>
      </w:r>
    </w:p>
    <w:p w14:paraId="35F1C7D1" w14:textId="77777777" w:rsidR="007D2A28" w:rsidRDefault="007D2A28" w:rsidP="007D2A28">
      <w:pPr>
        <w:pStyle w:val="1AllTextNormalParagraph"/>
      </w:pPr>
      <w:r w:rsidRPr="00E138CE" w:rsidDel="00A00E14">
        <w:t>Providers</w:t>
      </w:r>
      <w:r>
        <w:t>,</w:t>
      </w:r>
      <w:r w:rsidDel="00A00E14">
        <w:t xml:space="preserve"> as ‘authorised agents’ of the Department</w:t>
      </w:r>
      <w:r>
        <w:t>,</w:t>
      </w:r>
      <w:r w:rsidDel="00A00E14">
        <w:t xml:space="preserve"> must comply with the requirements of GRA 31. </w:t>
      </w:r>
    </w:p>
    <w:p w14:paraId="178B750B" w14:textId="7518E235" w:rsidR="007D2A28" w:rsidRPr="008E03A7" w:rsidRDefault="007D2A28" w:rsidP="007D2A28">
      <w:pPr>
        <w:pStyle w:val="1AllTextNormalParagraph"/>
      </w:pPr>
      <w:r w:rsidRPr="008E03A7">
        <w:t>Provide</w:t>
      </w:r>
      <w:r w:rsidRPr="008E03A7" w:rsidDel="00AA7F88">
        <w:t>r</w:t>
      </w:r>
      <w:r w:rsidRPr="008E03A7">
        <w:t xml:space="preserve">s </w:t>
      </w:r>
      <w:r w:rsidRPr="008C4755">
        <w:rPr>
          <w:bCs/>
        </w:rPr>
        <w:t xml:space="preserve">must </w:t>
      </w:r>
      <w:r w:rsidRPr="008E03A7">
        <w:t xml:space="preserve">retain the original copy of a paper Record for the relevant retention period </w:t>
      </w:r>
      <w:r>
        <w:t xml:space="preserve">and return it to the Department in accordance with </w:t>
      </w:r>
      <w:r w:rsidR="00DB7D01">
        <w:t>this Chapter</w:t>
      </w:r>
      <w:r>
        <w:t xml:space="preserve">, </w:t>
      </w:r>
      <w:r w:rsidRPr="008E03A7">
        <w:t xml:space="preserve">regardless of whether it has also been converted to digital form, </w:t>
      </w:r>
      <w:r w:rsidRPr="008C4755">
        <w:rPr>
          <w:bCs/>
        </w:rPr>
        <w:t>if</w:t>
      </w:r>
      <w:r w:rsidRPr="008E03A7">
        <w:rPr>
          <w:b/>
        </w:rPr>
        <w:t xml:space="preserve"> </w:t>
      </w:r>
      <w:r w:rsidRPr="008E03A7">
        <w:t xml:space="preserve">required to do so under relevant </w:t>
      </w:r>
      <w:r>
        <w:t xml:space="preserve">Deed/s, Guidelines </w:t>
      </w:r>
      <w:r w:rsidRPr="008E03A7">
        <w:t>or if directed by the Department.</w:t>
      </w:r>
    </w:p>
    <w:p w14:paraId="5C15F1D9" w14:textId="77777777" w:rsidR="007D2A28" w:rsidRPr="008E03A7" w:rsidRDefault="007D2A28" w:rsidP="007D2A28">
      <w:pPr>
        <w:pStyle w:val="1AllTextNormalParagraph"/>
      </w:pPr>
      <w:r w:rsidRPr="009A6D7E">
        <w:t xml:space="preserve">Further explanation of the relevant conditions </w:t>
      </w:r>
      <w:r>
        <w:t xml:space="preserve">and exclusions for </w:t>
      </w:r>
      <w:hyperlink r:id="rId41" w:history="1">
        <w:r w:rsidRPr="00EB6B26">
          <w:rPr>
            <w:rStyle w:val="Hyperlink"/>
          </w:rPr>
          <w:t>GRA 31</w:t>
        </w:r>
      </w:hyperlink>
      <w:r>
        <w:t xml:space="preserve"> is available </w:t>
      </w:r>
      <w:r w:rsidRPr="000A0E5A">
        <w:t xml:space="preserve">on </w:t>
      </w:r>
      <w:r>
        <w:t>NAA w</w:t>
      </w:r>
      <w:r w:rsidRPr="000A0E5A">
        <w:t>ebsite</w:t>
      </w:r>
      <w:r w:rsidRPr="0FABE616">
        <w:t xml:space="preserve">. </w:t>
      </w:r>
    </w:p>
    <w:p w14:paraId="50EBFD47" w14:textId="77777777" w:rsidR="007D2A28" w:rsidRDefault="007D2A28" w:rsidP="007D2A28">
      <w:pPr>
        <w:pStyle w:val="Heading3"/>
      </w:pPr>
      <w:bookmarkStart w:id="113" w:name="_Toc95896774"/>
      <w:r>
        <w:t>Destruction of Duplicate Records</w:t>
      </w:r>
      <w:bookmarkEnd w:id="113"/>
    </w:p>
    <w:p w14:paraId="086078C5" w14:textId="77777777" w:rsidR="007D2A28" w:rsidRPr="00B2465A" w:rsidRDefault="007D2A28" w:rsidP="007D2A28">
      <w:pPr>
        <w:pStyle w:val="Heading4"/>
      </w:pPr>
      <w:r>
        <w:t>D</w:t>
      </w:r>
      <w:r w:rsidRPr="00B2465A">
        <w:t>igital Records</w:t>
      </w:r>
    </w:p>
    <w:p w14:paraId="7805C739" w14:textId="56AB0ADB" w:rsidR="007D2A28" w:rsidRPr="00477510" w:rsidRDefault="007D2A28" w:rsidP="007D2A28">
      <w:pPr>
        <w:pStyle w:val="1AllTextNormalParagraph"/>
        <w:rPr>
          <w:rStyle w:val="1AllTextNormalCharacter"/>
        </w:rPr>
      </w:pPr>
      <w:r>
        <w:t>Duplicate</w:t>
      </w:r>
      <w:r w:rsidRPr="00AF1387">
        <w:t xml:space="preserve"> digital records </w:t>
      </w:r>
      <w:r>
        <w:t xml:space="preserve">are to be destroyed in accordance </w:t>
      </w:r>
      <w:r w:rsidRPr="00477510">
        <w:rPr>
          <w:rStyle w:val="1AllTextNormalCharacter"/>
        </w:rPr>
        <w:t xml:space="preserve">with </w:t>
      </w:r>
      <w:hyperlink w:anchor="_Digital_Records" w:history="1">
        <w:r w:rsidRPr="00477510">
          <w:rPr>
            <w:rStyle w:val="Hyperlink"/>
          </w:rPr>
          <w:t xml:space="preserve">Methods of Destroying digital </w:t>
        </w:r>
        <w:r>
          <w:rPr>
            <w:rStyle w:val="Hyperlink"/>
          </w:rPr>
          <w:t>R</w:t>
        </w:r>
        <w:r w:rsidRPr="00477510">
          <w:rPr>
            <w:rStyle w:val="Hyperlink"/>
          </w:rPr>
          <w:t>ecords</w:t>
        </w:r>
      </w:hyperlink>
      <w:r w:rsidRPr="00477510">
        <w:rPr>
          <w:rStyle w:val="1AllTextNormalCharacter"/>
        </w:rPr>
        <w:t>.</w:t>
      </w:r>
    </w:p>
    <w:p w14:paraId="10B8D59D" w14:textId="77777777" w:rsidR="007D2A28" w:rsidRDefault="007D2A28" w:rsidP="007D2A28">
      <w:pPr>
        <w:pStyle w:val="Heading4"/>
      </w:pPr>
      <w:r>
        <w:t>Physical Records</w:t>
      </w:r>
    </w:p>
    <w:p w14:paraId="2D079A3B" w14:textId="24A0786C" w:rsidR="007D2A28" w:rsidRDefault="007D2A28" w:rsidP="007D2A28">
      <w:pPr>
        <w:spacing w:after="120"/>
        <w:rPr>
          <w:rFonts w:cstheme="minorHAnsi"/>
        </w:rPr>
        <w:sectPr w:rsidR="007D2A28" w:rsidSect="00687616">
          <w:footerReference w:type="first" r:id="rId42"/>
          <w:pgSz w:w="11906" w:h="16838"/>
          <w:pgMar w:top="567" w:right="991" w:bottom="1440" w:left="1440" w:header="708" w:footer="709" w:gutter="0"/>
          <w:cols w:space="708"/>
          <w:docGrid w:linePitch="360"/>
        </w:sectPr>
      </w:pPr>
      <w:bookmarkStart w:id="114" w:name="_Toc90302732"/>
      <w:bookmarkStart w:id="115" w:name="_Toc90302733"/>
      <w:bookmarkStart w:id="116" w:name="_Toc90302734"/>
      <w:bookmarkStart w:id="117" w:name="_Toc90302735"/>
      <w:bookmarkEnd w:id="114"/>
      <w:bookmarkEnd w:id="115"/>
      <w:bookmarkEnd w:id="116"/>
      <w:bookmarkEnd w:id="117"/>
      <w:r>
        <w:t xml:space="preserve">Providers must only destroy duplicate paper records in accordance with </w:t>
      </w:r>
      <w:hyperlink r:id="rId43" w:history="1">
        <w:r w:rsidRPr="00B8765C">
          <w:rPr>
            <w:rStyle w:val="Hyperlink"/>
          </w:rPr>
          <w:t>NAA guidelines</w:t>
        </w:r>
      </w:hyperlink>
      <w:r>
        <w:t xml:space="preserve">. </w:t>
      </w:r>
    </w:p>
    <w:p w14:paraId="17B4A3A6" w14:textId="77777777" w:rsidR="007D2A28" w:rsidRPr="002A0F9B" w:rsidRDefault="007D2A28" w:rsidP="007D2A28">
      <w:pPr>
        <w:pStyle w:val="Heading1"/>
      </w:pPr>
      <w:bookmarkStart w:id="118" w:name="_Privacy"/>
      <w:bookmarkStart w:id="119" w:name="_Toc96000561"/>
      <w:bookmarkStart w:id="120" w:name="_Toc95896775"/>
      <w:bookmarkStart w:id="121" w:name="_Toc125971055"/>
      <w:bookmarkStart w:id="122" w:name="_Toc81495389"/>
      <w:bookmarkEnd w:id="118"/>
      <w:r w:rsidRPr="002A0FF2">
        <w:lastRenderedPageBreak/>
        <w:t>Privacy</w:t>
      </w:r>
      <w:bookmarkEnd w:id="119"/>
      <w:bookmarkEnd w:id="120"/>
      <w:bookmarkEnd w:id="121"/>
    </w:p>
    <w:p w14:paraId="07F6E575" w14:textId="77777777" w:rsidR="007D2A28" w:rsidRDefault="007D2A28" w:rsidP="007D2A28">
      <w:pPr>
        <w:pStyle w:val="SupportingDocumentHeading"/>
      </w:pPr>
      <w:r w:rsidRPr="00B82D73">
        <w:t>Supporting</w:t>
      </w:r>
      <w:r w:rsidRPr="000F7631">
        <w:t xml:space="preserve"> Documents for this Chapter:</w:t>
      </w:r>
    </w:p>
    <w:p w14:paraId="5772ACFB" w14:textId="24D528A2" w:rsidR="007D2A28" w:rsidRPr="002E5FE9" w:rsidRDefault="00833EA6" w:rsidP="007D2A28">
      <w:pPr>
        <w:pStyle w:val="SupportingDocumentBulletList"/>
        <w:spacing w:before="0"/>
      </w:pPr>
      <w:hyperlink r:id="rId44" w:history="1">
        <w:r w:rsidR="007D2A28" w:rsidRPr="00DB7D01">
          <w:rPr>
            <w:rStyle w:val="Hyperlink"/>
          </w:rPr>
          <w:t>Provider Privacy Incident Report</w:t>
        </w:r>
      </w:hyperlink>
    </w:p>
    <w:p w14:paraId="6562F9B0" w14:textId="3E8D63A0" w:rsidR="007D2A28" w:rsidRPr="002E5FE9" w:rsidRDefault="00833EA6" w:rsidP="007D2A28">
      <w:pPr>
        <w:pStyle w:val="SupportingDocumentBulletList"/>
        <w:spacing w:before="0"/>
      </w:pPr>
      <w:hyperlink r:id="rId45" w:history="1">
        <w:r w:rsidR="007D2A28" w:rsidRPr="00DB7D01">
          <w:rPr>
            <w:rStyle w:val="Hyperlink"/>
          </w:rPr>
          <w:t>Learning Centre: Information Exchange and Privacy Module</w:t>
        </w:r>
      </w:hyperlink>
    </w:p>
    <w:p w14:paraId="2111D358" w14:textId="77777777" w:rsidR="007D2A28" w:rsidRDefault="007D2A28" w:rsidP="007D2A28">
      <w:pPr>
        <w:pStyle w:val="Heading2"/>
      </w:pPr>
      <w:bookmarkStart w:id="123" w:name="_Toc96000562"/>
      <w:r w:rsidRPr="00BE5057">
        <w:t>Chapter</w:t>
      </w:r>
      <w:r>
        <w:t xml:space="preserve"> Overview</w:t>
      </w:r>
      <w:bookmarkEnd w:id="123"/>
    </w:p>
    <w:p w14:paraId="43E59ADB" w14:textId="77777777" w:rsidR="007D2A28" w:rsidRDefault="007D2A28" w:rsidP="007D2A28">
      <w:r>
        <w:t>This Chapter provides information for Providers and their Personnel on their obligations in relation to handling personal and protected information about individuals, as well in relation to reporting privacy incidents.</w:t>
      </w:r>
    </w:p>
    <w:p w14:paraId="5A728CC3" w14:textId="77777777" w:rsidR="007D2A28" w:rsidRPr="00F85B89" w:rsidRDefault="007D2A28" w:rsidP="007D2A28">
      <w:pPr>
        <w:pStyle w:val="Heading2"/>
      </w:pPr>
      <w:bookmarkStart w:id="124" w:name="_Toc96000563"/>
      <w:r>
        <w:t>The Australian Privacy Principles</w:t>
      </w:r>
      <w:bookmarkEnd w:id="124"/>
    </w:p>
    <w:p w14:paraId="778F006F" w14:textId="77777777" w:rsidR="007D2A28" w:rsidDel="00310833" w:rsidRDefault="007D2A28" w:rsidP="007D2A28">
      <w:pPr>
        <w:rPr>
          <w:rFonts w:eastAsiaTheme="minorEastAsia"/>
        </w:rPr>
      </w:pPr>
      <w:r>
        <w:t xml:space="preserve">The </w:t>
      </w:r>
      <w:r w:rsidRPr="00281207">
        <w:t>Privacy Act</w:t>
      </w:r>
      <w:r w:rsidRPr="00E16808">
        <w:rPr>
          <w:i/>
        </w:rPr>
        <w:t xml:space="preserve"> 1988 </w:t>
      </w:r>
      <w:r>
        <w:t xml:space="preserve">(Cth) (Privacy Act) regulates the collection and handling of personal information through minimum privacy standards, known as </w:t>
      </w:r>
      <w:hyperlink r:id="rId46" w:history="1">
        <w:r w:rsidRPr="007E2576">
          <w:rPr>
            <w:rStyle w:val="Hyperlink"/>
          </w:rPr>
          <w:t>the Australian Privacy Principles (APPs).</w:t>
        </w:r>
      </w:hyperlink>
      <w:r>
        <w:t xml:space="preserve"> </w:t>
      </w:r>
    </w:p>
    <w:p w14:paraId="44109C3C" w14:textId="18DD9258" w:rsidR="007D2A28" w:rsidRPr="00EF18E5" w:rsidRDefault="007D2A28" w:rsidP="007D2A28">
      <w:r w:rsidRPr="00984E80">
        <w:t>In delivering Services,</w:t>
      </w:r>
      <w:r>
        <w:t xml:space="preserve"> Providers collect, use and </w:t>
      </w:r>
      <w:r w:rsidR="00664817">
        <w:t>disclose</w:t>
      </w:r>
      <w:r w:rsidR="00664817" w:rsidRPr="00984E80">
        <w:t xml:space="preserve"> </w:t>
      </w:r>
      <w:r w:rsidRPr="00984E80">
        <w:t>personal information</w:t>
      </w:r>
      <w:r>
        <w:t xml:space="preserve"> about individuals</w:t>
      </w:r>
      <w:r w:rsidRPr="00984E80">
        <w:t xml:space="preserve">. </w:t>
      </w:r>
      <w:r>
        <w:t xml:space="preserve">In handling this personal information, </w:t>
      </w:r>
      <w:r w:rsidRPr="00BC7E84">
        <w:t>Providers are</w:t>
      </w:r>
      <w:r w:rsidRPr="00984E80" w:rsidDel="00984E80">
        <w:t xml:space="preserve"> </w:t>
      </w:r>
      <w:r>
        <w:t>required under their</w:t>
      </w:r>
      <w:r w:rsidRPr="002769C4" w:rsidDel="00B85597">
        <w:t xml:space="preserve"> Deed(s</w:t>
      </w:r>
      <w:r>
        <w:t xml:space="preserve">) to comply with the Privacy Act and the APPs as if they were agencies. The </w:t>
      </w:r>
      <w:r w:rsidRPr="002769C4">
        <w:t>APPs</w:t>
      </w:r>
      <w:r w:rsidRPr="00844E41">
        <w:t xml:space="preserve"> govern</w:t>
      </w:r>
      <w:r>
        <w:t xml:space="preserve"> the</w:t>
      </w:r>
      <w:r w:rsidRPr="00EF18E5">
        <w:rPr>
          <w:rFonts w:ascii="Segoe UI" w:eastAsia="Times New Roman" w:hAnsi="Segoe UI" w:cs="Segoe UI"/>
          <w:color w:val="003347"/>
          <w:sz w:val="24"/>
          <w:szCs w:val="24"/>
          <w:lang w:eastAsia="en-AU"/>
        </w:rPr>
        <w:t xml:space="preserve"> </w:t>
      </w:r>
      <w:r w:rsidRPr="00EF18E5">
        <w:t>standards, rights and obligations around:</w:t>
      </w:r>
    </w:p>
    <w:p w14:paraId="4C4671A7" w14:textId="57D5D399" w:rsidR="007D2A28" w:rsidRPr="00EF18E5" w:rsidRDefault="007D2A28" w:rsidP="007D2A28">
      <w:pPr>
        <w:pStyle w:val="BulletLevel1"/>
      </w:pPr>
      <w:r>
        <w:t>the </w:t>
      </w:r>
      <w:hyperlink r:id="rId47">
        <w:r w:rsidRPr="35C84BBC">
          <w:rPr>
            <w:rStyle w:val="Hyperlink"/>
          </w:rPr>
          <w:t>collection</w:t>
        </w:r>
      </w:hyperlink>
      <w:r>
        <w:t>, </w:t>
      </w:r>
      <w:hyperlink r:id="rId48" w:history="1">
        <w:r w:rsidRPr="35C84BBC">
          <w:rPr>
            <w:rStyle w:val="Hyperlink"/>
          </w:rPr>
          <w:t>use,</w:t>
        </w:r>
        <w:r w:rsidR="00126191">
          <w:rPr>
            <w:rStyle w:val="Hyperlink"/>
          </w:rPr>
          <w:t xml:space="preserve"> and</w:t>
        </w:r>
        <w:r w:rsidRPr="35C84BBC">
          <w:rPr>
            <w:rStyle w:val="Hyperlink"/>
          </w:rPr>
          <w:t xml:space="preserve"> disclosure</w:t>
        </w:r>
      </w:hyperlink>
      <w:r w:rsidRPr="0046571A">
        <w:rPr>
          <w:rStyle w:val="1AllTextNormalCharacter"/>
        </w:rPr>
        <w:t xml:space="preserve"> </w:t>
      </w:r>
      <w:r>
        <w:t>of </w:t>
      </w:r>
      <w:hyperlink r:id="rId49" w:history="1">
        <w:r>
          <w:t>personal information;</w:t>
        </w:r>
      </w:hyperlink>
    </w:p>
    <w:p w14:paraId="4582F4ED" w14:textId="77777777" w:rsidR="007D2A28" w:rsidRPr="00EF18E5" w:rsidRDefault="007D2A28" w:rsidP="007D2A28">
      <w:pPr>
        <w:pStyle w:val="BulletLevel1"/>
      </w:pPr>
      <w:r>
        <w:t>an organisation or agency’s governance and accountability;</w:t>
      </w:r>
    </w:p>
    <w:p w14:paraId="50C65719" w14:textId="0AAD10C8" w:rsidR="002513FE" w:rsidRDefault="007D2A28" w:rsidP="007D2A28">
      <w:pPr>
        <w:pStyle w:val="BulletLevel1"/>
      </w:pPr>
      <w:r>
        <w:t>integrity of personal information</w:t>
      </w:r>
      <w:r w:rsidR="005670AA">
        <w:t>;</w:t>
      </w:r>
    </w:p>
    <w:p w14:paraId="4BFAF918" w14:textId="6907943A" w:rsidR="007D2A28" w:rsidRPr="00EF18E5" w:rsidRDefault="002513FE" w:rsidP="007D2A28">
      <w:pPr>
        <w:pStyle w:val="BulletLevel1"/>
      </w:pPr>
      <w:r>
        <w:t>protection of personal information</w:t>
      </w:r>
      <w:r w:rsidR="007D2A28">
        <w:t>; and</w:t>
      </w:r>
    </w:p>
    <w:p w14:paraId="7632F51E" w14:textId="77777777" w:rsidR="007D2A28" w:rsidRPr="00EF18E5" w:rsidRDefault="007D2A28" w:rsidP="007D2A28">
      <w:pPr>
        <w:pStyle w:val="BulletLevel1"/>
      </w:pPr>
      <w:r>
        <w:t>the rights of individuals to </w:t>
      </w:r>
      <w:hyperlink r:id="rId50">
        <w:r w:rsidRPr="35C84BBC">
          <w:rPr>
            <w:rStyle w:val="Hyperlink"/>
          </w:rPr>
          <w:t>access</w:t>
        </w:r>
      </w:hyperlink>
      <w:r w:rsidRPr="35C84BBC">
        <w:rPr>
          <w:rStyle w:val="Hyperlink"/>
        </w:rPr>
        <w:t xml:space="preserve"> and correct</w:t>
      </w:r>
      <w:r>
        <w:t> their personal information.</w:t>
      </w:r>
    </w:p>
    <w:p w14:paraId="1BF27337" w14:textId="77777777" w:rsidR="007D2A28" w:rsidRPr="0018090B" w:rsidRDefault="007D2A28" w:rsidP="007D2A28">
      <w:r>
        <w:t xml:space="preserve">The APPs are principles-based law. The Provider must consider its own situation and relevant Deed provisions, and implement procedures and policies to ensure compliance with the relevant APPs. </w:t>
      </w:r>
    </w:p>
    <w:p w14:paraId="3F3ACD70" w14:textId="77777777" w:rsidR="007D2A28" w:rsidRDefault="007D2A28" w:rsidP="007D2A28">
      <w:pPr>
        <w:pStyle w:val="Heading3"/>
      </w:pPr>
      <w:bookmarkStart w:id="125" w:name="_Toc89956272"/>
      <w:bookmarkStart w:id="126" w:name="_Toc89958847"/>
      <w:bookmarkStart w:id="127" w:name="_Toc89958938"/>
      <w:bookmarkStart w:id="128" w:name="_Toc89959029"/>
      <w:bookmarkStart w:id="129" w:name="_Toc90302740"/>
      <w:bookmarkStart w:id="130" w:name="_Toc89956273"/>
      <w:bookmarkStart w:id="131" w:name="_Toc89958848"/>
      <w:bookmarkStart w:id="132" w:name="_Toc89958939"/>
      <w:bookmarkStart w:id="133" w:name="_Toc89959030"/>
      <w:bookmarkStart w:id="134" w:name="_Toc90302741"/>
      <w:bookmarkStart w:id="135" w:name="_Toc95896777"/>
      <w:bookmarkEnd w:id="125"/>
      <w:bookmarkEnd w:id="126"/>
      <w:bookmarkEnd w:id="127"/>
      <w:bookmarkEnd w:id="128"/>
      <w:bookmarkEnd w:id="129"/>
      <w:bookmarkEnd w:id="130"/>
      <w:bookmarkEnd w:id="131"/>
      <w:bookmarkEnd w:id="132"/>
      <w:bookmarkEnd w:id="133"/>
      <w:bookmarkEnd w:id="134"/>
      <w:r w:rsidRPr="00822307">
        <w:t>Personal information and sensitive information</w:t>
      </w:r>
      <w:bookmarkEnd w:id="135"/>
    </w:p>
    <w:p w14:paraId="4DE80DF7" w14:textId="77777777" w:rsidR="007D2A28" w:rsidRDefault="007D2A28" w:rsidP="007D2A28">
      <w:r>
        <w:t>‘Personal information’ means information or an opinion about an identified individual, or an individual who is reasonably identifiable, whether the information or opinion is true or not, or is recorded in a material form or not.</w:t>
      </w:r>
    </w:p>
    <w:p w14:paraId="5A6C931F" w14:textId="77777777" w:rsidR="007D2A28" w:rsidRDefault="007D2A28" w:rsidP="007D2A28">
      <w:r>
        <w:t xml:space="preserve">Personal information includes an individual’s name, signature, date of birth, address, telephone number, sensitive information, bank account details, employment information, and commentary or opinion about an individual. </w:t>
      </w:r>
      <w:r w:rsidDel="00B40E88">
        <w:t>This kind of</w:t>
      </w:r>
      <w:r>
        <w:t xml:space="preserve"> information may be shared verbally, contained in physical or digital files or</w:t>
      </w:r>
      <w:r w:rsidDel="00CB345D">
        <w:t xml:space="preserve"> </w:t>
      </w:r>
      <w:r>
        <w:t>documents, such as résumés or application forms provided by the individual</w:t>
      </w:r>
      <w:r w:rsidDel="00052F48">
        <w:t>,</w:t>
      </w:r>
      <w:r>
        <w:t xml:space="preserve"> or in an email or text message, or recorded</w:t>
      </w:r>
      <w:r w:rsidDel="00BB7B5A">
        <w:t>.</w:t>
      </w:r>
    </w:p>
    <w:p w14:paraId="1254F6AA" w14:textId="77777777" w:rsidR="007D2A28" w:rsidRDefault="007D2A28" w:rsidP="007D2A28">
      <w:pPr>
        <w:rPr>
          <w:rFonts w:eastAsiaTheme="minorEastAsia"/>
        </w:rPr>
      </w:pPr>
      <w:r>
        <w:t xml:space="preserve">‘Sensitive information’ is a subset of personal information </w:t>
      </w:r>
      <w:r>
        <w:rPr>
          <w:rFonts w:ascii="Calibri" w:eastAsia="Calibri" w:hAnsi="Calibri" w:cs="Calibri"/>
        </w:rPr>
        <w:t>and</w:t>
      </w:r>
      <w:r w:rsidRPr="4A4AA0B3">
        <w:rPr>
          <w:rFonts w:ascii="Calibri" w:eastAsia="Calibri" w:hAnsi="Calibri" w:cs="Calibri"/>
        </w:rPr>
        <w:t xml:space="preserve"> includes information that relates to an individual’s</w:t>
      </w:r>
      <w:r>
        <w:rPr>
          <w:rFonts w:ascii="Calibri" w:eastAsia="Calibri" w:hAnsi="Calibri" w:cs="Calibri"/>
        </w:rPr>
        <w:t xml:space="preserve"> </w:t>
      </w:r>
      <w:r w:rsidRPr="4A4AA0B3">
        <w:t>racial or ethnic origin</w:t>
      </w:r>
      <w:r>
        <w:t xml:space="preserve">, </w:t>
      </w:r>
      <w:r w:rsidRPr="4A4AA0B3">
        <w:t>health status, genetics and biometrics</w:t>
      </w:r>
      <w:r>
        <w:t xml:space="preserve">, </w:t>
      </w:r>
      <w:r w:rsidRPr="4A4AA0B3">
        <w:t>religious beliefs or affiliations</w:t>
      </w:r>
      <w:r>
        <w:t xml:space="preserve">, </w:t>
      </w:r>
      <w:r w:rsidRPr="4A4AA0B3">
        <w:t>philosophical beliefs</w:t>
      </w:r>
      <w:r>
        <w:t xml:space="preserve">, </w:t>
      </w:r>
      <w:r w:rsidRPr="4A4AA0B3">
        <w:t>sexual orientation</w:t>
      </w:r>
      <w:r>
        <w:t xml:space="preserve">, </w:t>
      </w:r>
      <w:r w:rsidRPr="4A4AA0B3">
        <w:t>criminal record</w:t>
      </w:r>
      <w:r>
        <w:t xml:space="preserve"> or </w:t>
      </w:r>
      <w:r w:rsidRPr="4A4AA0B3">
        <w:t>membership of a political association, professional or trade association or trade union.</w:t>
      </w:r>
    </w:p>
    <w:p w14:paraId="60878889" w14:textId="77777777" w:rsidR="007D2A28" w:rsidRDefault="007D2A28" w:rsidP="007D2A28">
      <w:r>
        <w:t xml:space="preserve">When handling personal information, Providers must ensure they are assessing whether the information is also sensitive information, as there are higher standards and additional requirements </w:t>
      </w:r>
      <w:r>
        <w:lastRenderedPageBreak/>
        <w:t>for collecting, using and disclosing sensitive information.</w:t>
      </w:r>
      <w:r w:rsidDel="005535E6">
        <w:t xml:space="preserve"> </w:t>
      </w:r>
      <w:r>
        <w:t>For example, an individual’s consent is not required for a Provider (as an APP entity) to collect personal information but will be required for a Provider to collect sensitive information. Inappropriate handling of sensitive information is particularly serious and can result in, amongst other things a requirement to pay compensation or to enter into enforceable undertaking</w:t>
      </w:r>
      <w:r w:rsidRPr="4A4AA0B3">
        <w:t>.</w:t>
      </w:r>
      <w:r>
        <w:t xml:space="preserve"> </w:t>
      </w:r>
    </w:p>
    <w:p w14:paraId="3E5D78E2" w14:textId="57589787" w:rsidR="00B96B7A" w:rsidRDefault="00B96B7A" w:rsidP="00B96B7A">
      <w:pPr>
        <w:pStyle w:val="Heading3"/>
      </w:pPr>
      <w:bookmarkStart w:id="136" w:name="_Consent_and_the"/>
      <w:bookmarkEnd w:id="136"/>
      <w:r>
        <w:t>Consent and the APPs</w:t>
      </w:r>
    </w:p>
    <w:p w14:paraId="5E29595D" w14:textId="7CBFD83C" w:rsidR="00007AF9" w:rsidRPr="00007AF9" w:rsidRDefault="00007AF9" w:rsidP="00007AF9">
      <w:r w:rsidRPr="00007AF9">
        <w:t xml:space="preserve">In complying with the Privacy Act, the APPs and this Chapter, Providers may be required to seek consent from individuals </w:t>
      </w:r>
      <w:r w:rsidR="00841C98">
        <w:t xml:space="preserve">to permit </w:t>
      </w:r>
      <w:r w:rsidR="00443470">
        <w:t xml:space="preserve">the handling of </w:t>
      </w:r>
      <w:r w:rsidRPr="00007AF9">
        <w:t xml:space="preserve">their personal and sensitive information. Consent can be given </w:t>
      </w:r>
      <w:r w:rsidR="00FD0A89">
        <w:t>expressly</w:t>
      </w:r>
      <w:r w:rsidRPr="00007AF9">
        <w:t xml:space="preserve">, either orally or in writing, or it can be implied. </w:t>
      </w:r>
    </w:p>
    <w:p w14:paraId="7356340D" w14:textId="77777777" w:rsidR="00007AF9" w:rsidRPr="00007AF9" w:rsidRDefault="00007AF9" w:rsidP="00007AF9">
      <w:pPr>
        <w:pStyle w:val="DocumentaryEvidencePoint"/>
      </w:pPr>
      <w:r w:rsidRPr="00007AF9">
        <w:t>In situations of verbal or implied consent, Providers must record the nature of the individual’s consent in the Department’s IT Systems (where the Provider has access) or in another appropriate format (where the Provider does not have access and which must be made available to the Department on request).</w:t>
      </w:r>
    </w:p>
    <w:p w14:paraId="4D17CCCF" w14:textId="77777777" w:rsidR="00007AF9" w:rsidRPr="00007AF9" w:rsidRDefault="00007AF9" w:rsidP="00007AF9">
      <w:r w:rsidRPr="00007AF9">
        <w:t>For an individual's consent to be valid, Providers must ensure:</w:t>
      </w:r>
    </w:p>
    <w:p w14:paraId="2519053B" w14:textId="77777777" w:rsidR="00007AF9" w:rsidRPr="00007AF9" w:rsidRDefault="00007AF9" w:rsidP="00007AF9">
      <w:pPr>
        <w:pStyle w:val="BulletLevel1"/>
      </w:pPr>
      <w:r w:rsidRPr="00007AF9">
        <w:t xml:space="preserve">the individual is adequately informed before giving consent, </w:t>
      </w:r>
    </w:p>
    <w:p w14:paraId="4BEA6EB7" w14:textId="77777777" w:rsidR="00007AF9" w:rsidRPr="00007AF9" w:rsidRDefault="00007AF9" w:rsidP="00007AF9">
      <w:pPr>
        <w:pStyle w:val="BulletLevel1"/>
      </w:pPr>
      <w:r w:rsidRPr="00007AF9">
        <w:t>the individual gives consent voluntarily,</w:t>
      </w:r>
    </w:p>
    <w:p w14:paraId="7BA64ADA" w14:textId="77777777" w:rsidR="00007AF9" w:rsidRPr="00007AF9" w:rsidRDefault="00007AF9" w:rsidP="00007AF9">
      <w:pPr>
        <w:pStyle w:val="BulletLevel1"/>
      </w:pPr>
      <w:r w:rsidRPr="00007AF9">
        <w:t>the consent is current and specific, and</w:t>
      </w:r>
    </w:p>
    <w:p w14:paraId="35928E5F" w14:textId="77777777" w:rsidR="00007AF9" w:rsidRPr="00007AF9" w:rsidRDefault="00007AF9" w:rsidP="00007AF9">
      <w:pPr>
        <w:pStyle w:val="BulletLevel1"/>
      </w:pPr>
      <w:r w:rsidRPr="00007AF9">
        <w:t xml:space="preserve">the individual has the capacity to understand and communicate their consent. </w:t>
      </w:r>
    </w:p>
    <w:p w14:paraId="74996E8E" w14:textId="2B7DEE8B" w:rsidR="00C51059" w:rsidRDefault="00C51059" w:rsidP="00007AF9">
      <w:pPr>
        <w:pStyle w:val="1AllTextNormalParagraph"/>
      </w:pPr>
      <w:r w:rsidRPr="00C51059">
        <w:t xml:space="preserve">Providers must ensure that each individual’s consent is regularly reviewed on an ongoing basis (such as in relation to the collection and disclosure of sensitive information under the Privacy Notification and Consent Form, see </w:t>
      </w:r>
      <w:hyperlink w:anchor="_APP_3:_Collection" w:history="1">
        <w:r w:rsidRPr="00C51059">
          <w:rPr>
            <w:rStyle w:val="Hyperlink"/>
          </w:rPr>
          <w:t>APP 3: Collection of solicited personal information</w:t>
        </w:r>
      </w:hyperlink>
      <w:r w:rsidRPr="00C51059">
        <w:t xml:space="preserve"> below).</w:t>
      </w:r>
    </w:p>
    <w:p w14:paraId="526CB20B" w14:textId="5B33FDB8" w:rsidR="00007AF9" w:rsidRPr="00007AF9" w:rsidRDefault="00007AF9" w:rsidP="00007AF9">
      <w:pPr>
        <w:pStyle w:val="1AllTextNormalParagraph"/>
      </w:pPr>
      <w:r w:rsidRPr="00007AF9">
        <w:t xml:space="preserve">Where an individual is under 18 years old, the Provider must decide if the individual has the capacity to consent on a case-by-case basis. The </w:t>
      </w:r>
      <w:hyperlink r:id="rId51" w:history="1">
        <w:r w:rsidRPr="00007AF9">
          <w:rPr>
            <w:rStyle w:val="Hyperlink"/>
          </w:rPr>
          <w:t>OAIC advises, as a general rule</w:t>
        </w:r>
      </w:hyperlink>
      <w:r w:rsidRPr="00007AF9">
        <w:t>, that an individual under the age of 18 has the capacity to consent if they have the maturity to understand what is being proposed. If the individual lacks maturity it may be appropriate for a parent or guardian to consent on their behalf</w:t>
      </w:r>
      <w:r w:rsidRPr="00007AF9" w:rsidDel="008001EB">
        <w:t>.</w:t>
      </w:r>
      <w:r w:rsidRPr="00007AF9">
        <w:t xml:space="preserve"> </w:t>
      </w:r>
    </w:p>
    <w:p w14:paraId="030F4FF8" w14:textId="3D3B669E" w:rsidR="00B96B7A" w:rsidRPr="00794130" w:rsidRDefault="00007AF9" w:rsidP="00D41945">
      <w:pPr>
        <w:pStyle w:val="1AllTextNormalParagraph"/>
      </w:pPr>
      <w:r w:rsidRPr="00007AF9">
        <w:t xml:space="preserve">Further information about consent can be found on the </w:t>
      </w:r>
      <w:hyperlink r:id="rId52" w:history="1">
        <w:r w:rsidRPr="00007AF9">
          <w:rPr>
            <w:rStyle w:val="Hyperlink"/>
          </w:rPr>
          <w:t>OAIC's website</w:t>
        </w:r>
      </w:hyperlink>
      <w:r w:rsidRPr="00007AF9">
        <w:t>.</w:t>
      </w:r>
    </w:p>
    <w:p w14:paraId="4A8DD320" w14:textId="77777777" w:rsidR="007D2A28" w:rsidRDefault="007D2A28" w:rsidP="007D2A28">
      <w:pPr>
        <w:pStyle w:val="Heading2"/>
      </w:pPr>
      <w:bookmarkStart w:id="137" w:name="_APP_3:_Collection"/>
      <w:bookmarkStart w:id="138" w:name="_Toc96000564"/>
      <w:bookmarkStart w:id="139" w:name="_Toc95896778"/>
      <w:bookmarkEnd w:id="137"/>
      <w:r>
        <w:t xml:space="preserve">APP 3: </w:t>
      </w:r>
      <w:bookmarkStart w:id="140" w:name="_Toc88549897"/>
      <w:bookmarkStart w:id="141" w:name="_Toc89269864"/>
      <w:bookmarkStart w:id="142" w:name="_Toc89329348"/>
      <w:bookmarkStart w:id="143" w:name="_Toc89338847"/>
      <w:bookmarkStart w:id="144" w:name="_Toc89338937"/>
      <w:bookmarkStart w:id="145" w:name="_Toc89344154"/>
      <w:bookmarkStart w:id="146" w:name="_Toc89956276"/>
      <w:bookmarkStart w:id="147" w:name="_Toc89958851"/>
      <w:bookmarkStart w:id="148" w:name="_Toc89958942"/>
      <w:bookmarkStart w:id="149" w:name="_Toc89959033"/>
      <w:bookmarkStart w:id="150" w:name="_Toc90302744"/>
      <w:bookmarkStart w:id="151" w:name="_Toc88549898"/>
      <w:bookmarkStart w:id="152" w:name="_Toc89269865"/>
      <w:bookmarkStart w:id="153" w:name="_Toc89329349"/>
      <w:bookmarkStart w:id="154" w:name="_Toc89338848"/>
      <w:bookmarkStart w:id="155" w:name="_Toc89338938"/>
      <w:bookmarkStart w:id="156" w:name="_Toc89344155"/>
      <w:bookmarkStart w:id="157" w:name="_Toc89956277"/>
      <w:bookmarkStart w:id="158" w:name="_Toc89958852"/>
      <w:bookmarkStart w:id="159" w:name="_Toc89958943"/>
      <w:bookmarkStart w:id="160" w:name="_Toc89959034"/>
      <w:bookmarkStart w:id="161" w:name="_Toc90302745"/>
      <w:bookmarkStart w:id="162" w:name="_Toc88549899"/>
      <w:bookmarkStart w:id="163" w:name="_Toc89269866"/>
      <w:bookmarkStart w:id="164" w:name="_Toc89329350"/>
      <w:bookmarkStart w:id="165" w:name="_Toc89338849"/>
      <w:bookmarkStart w:id="166" w:name="_Toc89338939"/>
      <w:bookmarkStart w:id="167" w:name="_Toc89344156"/>
      <w:bookmarkStart w:id="168" w:name="_Toc89956278"/>
      <w:bookmarkStart w:id="169" w:name="_Toc89958853"/>
      <w:bookmarkStart w:id="170" w:name="_Toc89958944"/>
      <w:bookmarkStart w:id="171" w:name="_Toc89959035"/>
      <w:bookmarkStart w:id="172" w:name="_Toc90302746"/>
      <w:bookmarkStart w:id="173" w:name="_Toc88549900"/>
      <w:bookmarkStart w:id="174" w:name="_Toc89269867"/>
      <w:bookmarkStart w:id="175" w:name="_Toc89329351"/>
      <w:bookmarkStart w:id="176" w:name="_Toc89338850"/>
      <w:bookmarkStart w:id="177" w:name="_Toc89338940"/>
      <w:bookmarkStart w:id="178" w:name="_Toc89344157"/>
      <w:bookmarkStart w:id="179" w:name="_Toc89956279"/>
      <w:bookmarkStart w:id="180" w:name="_Toc89958854"/>
      <w:bookmarkStart w:id="181" w:name="_Toc89958945"/>
      <w:bookmarkStart w:id="182" w:name="_Toc89959036"/>
      <w:bookmarkStart w:id="183" w:name="_Toc90302747"/>
      <w:bookmarkStart w:id="184" w:name="_Toc88549901"/>
      <w:bookmarkStart w:id="185" w:name="_Toc89269868"/>
      <w:bookmarkStart w:id="186" w:name="_Toc89329352"/>
      <w:bookmarkStart w:id="187" w:name="_Toc89338851"/>
      <w:bookmarkStart w:id="188" w:name="_Toc89338941"/>
      <w:bookmarkStart w:id="189" w:name="_Toc89344158"/>
      <w:bookmarkStart w:id="190" w:name="_Toc89956280"/>
      <w:bookmarkStart w:id="191" w:name="_Toc89958855"/>
      <w:bookmarkStart w:id="192" w:name="_Toc89958946"/>
      <w:bookmarkStart w:id="193" w:name="_Toc89959037"/>
      <w:bookmarkStart w:id="194" w:name="_Toc90302748"/>
      <w:bookmarkStart w:id="195" w:name="_Toc88549902"/>
      <w:bookmarkStart w:id="196" w:name="_Toc89269869"/>
      <w:bookmarkStart w:id="197" w:name="_Toc89329353"/>
      <w:bookmarkStart w:id="198" w:name="_Toc89338852"/>
      <w:bookmarkStart w:id="199" w:name="_Toc89338942"/>
      <w:bookmarkStart w:id="200" w:name="_Toc89344159"/>
      <w:bookmarkStart w:id="201" w:name="_Toc89956281"/>
      <w:bookmarkStart w:id="202" w:name="_Toc89958856"/>
      <w:bookmarkStart w:id="203" w:name="_Toc89958947"/>
      <w:bookmarkStart w:id="204" w:name="_Toc89959038"/>
      <w:bookmarkStart w:id="205" w:name="_Toc90302749"/>
      <w:bookmarkStart w:id="206" w:name="_Toc88549903"/>
      <w:bookmarkStart w:id="207" w:name="_Toc89269870"/>
      <w:bookmarkStart w:id="208" w:name="_Toc89329354"/>
      <w:bookmarkStart w:id="209" w:name="_Toc89338853"/>
      <w:bookmarkStart w:id="210" w:name="_Toc89338943"/>
      <w:bookmarkStart w:id="211" w:name="_Toc89344160"/>
      <w:bookmarkStart w:id="212" w:name="_Toc89956282"/>
      <w:bookmarkStart w:id="213" w:name="_Toc89958857"/>
      <w:bookmarkStart w:id="214" w:name="_Toc89958948"/>
      <w:bookmarkStart w:id="215" w:name="_Toc89959039"/>
      <w:bookmarkStart w:id="216" w:name="_Toc90302750"/>
      <w:bookmarkStart w:id="217" w:name="_Toc88549904"/>
      <w:bookmarkStart w:id="218" w:name="_Toc89269871"/>
      <w:bookmarkStart w:id="219" w:name="_Toc89329355"/>
      <w:bookmarkStart w:id="220" w:name="_Toc89338854"/>
      <w:bookmarkStart w:id="221" w:name="_Toc89338944"/>
      <w:bookmarkStart w:id="222" w:name="_Toc89344161"/>
      <w:bookmarkStart w:id="223" w:name="_Toc89956283"/>
      <w:bookmarkStart w:id="224" w:name="_Toc89958858"/>
      <w:bookmarkStart w:id="225" w:name="_Toc89958949"/>
      <w:bookmarkStart w:id="226" w:name="_Toc89959040"/>
      <w:bookmarkStart w:id="227" w:name="_Toc90302751"/>
      <w:bookmarkStart w:id="228" w:name="_Toc88549905"/>
      <w:bookmarkStart w:id="229" w:name="_Toc89269872"/>
      <w:bookmarkStart w:id="230" w:name="_Toc89329356"/>
      <w:bookmarkStart w:id="231" w:name="_Toc89338855"/>
      <w:bookmarkStart w:id="232" w:name="_Toc89338945"/>
      <w:bookmarkStart w:id="233" w:name="_Toc89344162"/>
      <w:bookmarkStart w:id="234" w:name="_Toc89956284"/>
      <w:bookmarkStart w:id="235" w:name="_Toc89958859"/>
      <w:bookmarkStart w:id="236" w:name="_Toc89958950"/>
      <w:bookmarkStart w:id="237" w:name="_Toc89959041"/>
      <w:bookmarkStart w:id="238" w:name="_Toc90302752"/>
      <w:bookmarkStart w:id="239" w:name="_Toc88549906"/>
      <w:bookmarkStart w:id="240" w:name="_Toc89269873"/>
      <w:bookmarkStart w:id="241" w:name="_Toc89329357"/>
      <w:bookmarkStart w:id="242" w:name="_Toc89338856"/>
      <w:bookmarkStart w:id="243" w:name="_Toc89338946"/>
      <w:bookmarkStart w:id="244" w:name="_Toc89344163"/>
      <w:bookmarkStart w:id="245" w:name="_Toc89956285"/>
      <w:bookmarkStart w:id="246" w:name="_Toc89958860"/>
      <w:bookmarkStart w:id="247" w:name="_Toc89958951"/>
      <w:bookmarkStart w:id="248" w:name="_Toc89959042"/>
      <w:bookmarkStart w:id="249" w:name="_Toc90302753"/>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r>
        <w:t xml:space="preserve">Collection of solicited personal </w:t>
      </w:r>
      <w:r w:rsidDel="00943800">
        <w:t>information</w:t>
      </w:r>
      <w:bookmarkEnd w:id="138"/>
      <w:bookmarkEnd w:id="139"/>
    </w:p>
    <w:p w14:paraId="3DE946EB" w14:textId="77777777" w:rsidR="007D2A28" w:rsidRDefault="007D2A28" w:rsidP="007D2A28">
      <w:r w:rsidRPr="00C5568C">
        <w:t xml:space="preserve">APP 3 outlines when an APP entity may collect solicited personal information, including sensitive information.  </w:t>
      </w:r>
    </w:p>
    <w:p w14:paraId="39528C79" w14:textId="26A4B4B8" w:rsidR="007D2A28" w:rsidRPr="00C5568C" w:rsidRDefault="007D2A28" w:rsidP="007D2A28">
      <w:r w:rsidRPr="00C5568C">
        <w:t xml:space="preserve">To deliver </w:t>
      </w:r>
      <w:r>
        <w:t>the</w:t>
      </w:r>
      <w:r w:rsidRPr="00C5568C">
        <w:t xml:space="preserve"> Services</w:t>
      </w:r>
      <w:r>
        <w:t xml:space="preserve"> they are contracted to provide</w:t>
      </w:r>
      <w:r w:rsidRPr="00C5568C">
        <w:t xml:space="preserve">, </w:t>
      </w:r>
      <w:r>
        <w:t xml:space="preserve">Providers </w:t>
      </w:r>
      <w:r w:rsidRPr="00C5568C">
        <w:t xml:space="preserve">are generally required to </w:t>
      </w:r>
      <w:r>
        <w:t xml:space="preserve">collect </w:t>
      </w:r>
      <w:r w:rsidRPr="00C5568C">
        <w:t>personal information</w:t>
      </w:r>
      <w:r>
        <w:t>.</w:t>
      </w:r>
      <w:r w:rsidRPr="00C5568C">
        <w:t xml:space="preserve"> APP 3 outlines when an APP entity may collect solicited personal information, including sensitive information</w:t>
      </w:r>
      <w:r w:rsidR="00AE5ACC">
        <w:t xml:space="preserve"> (see </w:t>
      </w:r>
      <w:hyperlink w:anchor="_Consent_and_the" w:history="1">
        <w:r w:rsidR="00AE5ACC" w:rsidRPr="00AE5ACC">
          <w:rPr>
            <w:rStyle w:val="Hyperlink"/>
          </w:rPr>
          <w:t>Consent and the APPs</w:t>
        </w:r>
      </w:hyperlink>
      <w:r w:rsidR="00AE5ACC">
        <w:t>)</w:t>
      </w:r>
      <w:r w:rsidRPr="00C5568C">
        <w:t xml:space="preserve">.  </w:t>
      </w:r>
    </w:p>
    <w:p w14:paraId="2EE3D566" w14:textId="77777777" w:rsidR="007D2A28" w:rsidRDefault="007D2A28" w:rsidP="007D2A28">
      <w:r w:rsidRPr="00C5568C">
        <w:t xml:space="preserve">Providers </w:t>
      </w:r>
      <w:r w:rsidRPr="00EE4E3B">
        <w:t>may only solicit and</w:t>
      </w:r>
      <w:r w:rsidRPr="00C5568C">
        <w:t xml:space="preserve"> </w:t>
      </w:r>
      <w:r w:rsidRPr="00C5568C" w:rsidDel="00411667">
        <w:t xml:space="preserve">collect personal information </w:t>
      </w:r>
      <w:r w:rsidRPr="00C5568C">
        <w:t xml:space="preserve">that is reasonably necessary for, or directly related to, one or more of the Provider’s functions or activities. A Provider’s functions or activities will vary depending on the Services being delivered and Providers should consider their obligations </w:t>
      </w:r>
      <w:r>
        <w:t xml:space="preserve">under their Deed(s) </w:t>
      </w:r>
      <w:r w:rsidRPr="00C5568C">
        <w:t xml:space="preserve">with the Department to deliver Services before collecting personal information. </w:t>
      </w:r>
    </w:p>
    <w:p w14:paraId="757E82EB" w14:textId="77777777" w:rsidR="007D2A28" w:rsidRPr="00B57DC4" w:rsidRDefault="007D2A28" w:rsidP="007D2A28">
      <w:pPr>
        <w:pStyle w:val="Heading3"/>
      </w:pPr>
      <w:bookmarkStart w:id="250" w:name="_Toc95896779"/>
      <w:r w:rsidRPr="00B57DC4">
        <w:lastRenderedPageBreak/>
        <w:t>Consent to the collection of sensitive information</w:t>
      </w:r>
      <w:bookmarkEnd w:id="250"/>
    </w:p>
    <w:p w14:paraId="2D19266E" w14:textId="74B61D9B" w:rsidR="007D2A28" w:rsidRPr="00411667" w:rsidRDefault="007D2A28" w:rsidP="00CD5F4E">
      <w:r>
        <w:t xml:space="preserve">In addition to the above, Providers must only collect sensitive information where the individual gives consent to the collection, unless another exception applies. </w:t>
      </w:r>
    </w:p>
    <w:p w14:paraId="38E40F1F" w14:textId="77777777" w:rsidR="007D2A28" w:rsidRDefault="007D2A28" w:rsidP="007D2A28">
      <w:r>
        <w:t>For Providers delivering Services to Participants, d</w:t>
      </w:r>
      <w:r w:rsidRPr="00A77EAA">
        <w:t xml:space="preserve">uring the </w:t>
      </w:r>
      <w:r>
        <w:t>first meeting with the individual</w:t>
      </w:r>
      <w:r w:rsidRPr="00A77EAA">
        <w:t>, the Provider must</w:t>
      </w:r>
      <w:r>
        <w:t>:</w:t>
      </w:r>
    </w:p>
    <w:p w14:paraId="7EE40FFA" w14:textId="1C1D7684" w:rsidR="008D6555" w:rsidRDefault="00F409F8" w:rsidP="007D2A28">
      <w:pPr>
        <w:pStyle w:val="BulletLevel1"/>
      </w:pPr>
      <w:r>
        <w:t xml:space="preserve">provide and </w:t>
      </w:r>
      <w:r w:rsidR="008D6555">
        <w:t>explain the</w:t>
      </w:r>
      <w:r w:rsidR="0037148C">
        <w:rPr>
          <w:rStyle w:val="Hyperlink"/>
        </w:rPr>
        <w:t xml:space="preserve"> </w:t>
      </w:r>
      <w:r w:rsidR="0037148C" w:rsidRPr="00C450E2">
        <w:rPr>
          <w:rStyle w:val="Hyperlink"/>
          <w:color w:val="auto"/>
          <w:u w:val="none"/>
        </w:rPr>
        <w:t>Privacy Notification and Consent Form</w:t>
      </w:r>
      <w:r w:rsidR="008341F5" w:rsidRPr="00C450E2">
        <w:rPr>
          <w:rStyle w:val="Hyperlink"/>
          <w:color w:val="auto"/>
          <w:u w:val="none"/>
        </w:rPr>
        <w:t xml:space="preserve"> relevant to their program (ParentsNext and </w:t>
      </w:r>
      <w:r w:rsidR="000B1794" w:rsidRPr="00C450E2">
        <w:rPr>
          <w:rStyle w:val="Hyperlink"/>
          <w:color w:val="auto"/>
          <w:u w:val="none"/>
        </w:rPr>
        <w:t>Time to Work Employment Services</w:t>
      </w:r>
      <w:r w:rsidR="00932696">
        <w:rPr>
          <w:rStyle w:val="FootnoteReference"/>
        </w:rPr>
        <w:footnoteReference w:id="2"/>
      </w:r>
      <w:r w:rsidR="00665633" w:rsidRPr="00C450E2">
        <w:rPr>
          <w:rStyle w:val="Hyperlink"/>
          <w:color w:val="auto"/>
          <w:u w:val="none"/>
        </w:rPr>
        <w:t xml:space="preserve"> and Harvest Trail Services</w:t>
      </w:r>
      <w:r w:rsidR="00665633" w:rsidRPr="00C450E2">
        <w:rPr>
          <w:rStyle w:val="FootnoteReference"/>
        </w:rPr>
        <w:footnoteReference w:id="3"/>
      </w:r>
      <w:r w:rsidR="00616AEE" w:rsidRPr="00C450E2">
        <w:rPr>
          <w:rStyle w:val="Hyperlink"/>
          <w:color w:val="auto"/>
          <w:u w:val="none"/>
        </w:rPr>
        <w:t>)</w:t>
      </w:r>
      <w:r w:rsidR="008D6555">
        <w:t>, and its contents, to the participant, including how their personal and sensitive information will be handled,</w:t>
      </w:r>
    </w:p>
    <w:p w14:paraId="2024E4D7" w14:textId="20849F8D" w:rsidR="007D2A28" w:rsidRDefault="007D2A28" w:rsidP="007D2A28">
      <w:pPr>
        <w:pStyle w:val="BulletLevel1"/>
      </w:pPr>
      <w:r>
        <w:t xml:space="preserve">seek the individual’s express written consent to collect their sensitive information by asking the individual to sign Part B of the </w:t>
      </w:r>
      <w:hyperlink r:id="rId53" w:history="1"/>
      <w:r w:rsidR="00E7092A">
        <w:t>relevant Privacy Notification and Consent Forms</w:t>
      </w:r>
      <w:r>
        <w:t>. Please note Providers may digitise, but must not amend, the Privacy Notification and Consent Form, and</w:t>
      </w:r>
    </w:p>
    <w:p w14:paraId="426BD802" w14:textId="77777777" w:rsidR="007D2A28" w:rsidRDefault="007D2A28" w:rsidP="007D2A28">
      <w:pPr>
        <w:pStyle w:val="BulletLevel1"/>
      </w:pPr>
      <w:r w:rsidRPr="00A77EAA">
        <w:t>advise the individual</w:t>
      </w:r>
      <w:r>
        <w:t xml:space="preserve"> </w:t>
      </w:r>
      <w:r w:rsidRPr="00A77EAA">
        <w:t>that they are not required to give consent for the collection of their sensitive information and can withdraw their consent at any time.</w:t>
      </w:r>
    </w:p>
    <w:p w14:paraId="3E4A9EA4" w14:textId="639FD029" w:rsidR="007D2A28" w:rsidRPr="00597587" w:rsidRDefault="007D2A28" w:rsidP="007D2A28">
      <w:pPr>
        <w:pStyle w:val="DocumentaryEvidencePoint"/>
      </w:pPr>
      <w:r w:rsidRPr="00D6233C">
        <w:t>Providers</w:t>
      </w:r>
      <w:r w:rsidRPr="00597587">
        <w:t xml:space="preserve"> must retain copies of the </w:t>
      </w:r>
      <w:r w:rsidR="00F44619">
        <w:t xml:space="preserve">Privacy Notification and Consent Forms </w:t>
      </w:r>
      <w:r w:rsidRPr="00597587">
        <w:t>signed by individuals in accordance with the Records Management Instructions Chapter and any other Guideline. These must be made available to the Department on request.</w:t>
      </w:r>
    </w:p>
    <w:p w14:paraId="4FB4D238" w14:textId="2979E0B3" w:rsidR="007D2A28" w:rsidRDefault="007D2A28" w:rsidP="007D2A28">
      <w:r>
        <w:t xml:space="preserve">While signing the </w:t>
      </w:r>
      <w:r w:rsidR="00AC10C1">
        <w:t xml:space="preserve">Privacy Notification and Consent Form </w:t>
      </w:r>
      <w:r>
        <w:t xml:space="preserve">may indicate express consent at the time of signing, </w:t>
      </w:r>
      <w:r w:rsidDel="5A6FC117">
        <w:t xml:space="preserve">individuals </w:t>
      </w:r>
      <w:r w:rsidRPr="00653694">
        <w:t xml:space="preserve">may also provide </w:t>
      </w:r>
      <w:r>
        <w:t xml:space="preserve">their </w:t>
      </w:r>
      <w:r w:rsidDel="6864174C">
        <w:t xml:space="preserve">express </w:t>
      </w:r>
      <w:r>
        <w:t xml:space="preserve">consent </w:t>
      </w:r>
      <w:r w:rsidDel="5CF17DD0">
        <w:t xml:space="preserve">to the form </w:t>
      </w:r>
      <w:r>
        <w:t xml:space="preserve">verbally. In some circumstances, Providers may also reasonably infer from an individual’s conduct that there has been implied consent to the collection of sensitive information, </w:t>
      </w:r>
      <w:r w:rsidRPr="00653694">
        <w:t xml:space="preserve">for example, from the voluntary disclosure of a document containing sensitive information to the Provider. </w:t>
      </w:r>
    </w:p>
    <w:p w14:paraId="5A52ECA2" w14:textId="77777777" w:rsidR="007D2A28" w:rsidRPr="00A77EAA" w:rsidRDefault="007D2A28" w:rsidP="007D2A28">
      <w:r>
        <w:t xml:space="preserve">Where consent is not provided or is withdrawn, and no APP exception applies, the Provider cannot collect the individual’s sensitive information. In these circumstances, Providers must explain to the individual </w:t>
      </w:r>
      <w:r w:rsidDel="234D6CF8">
        <w:t>that</w:t>
      </w:r>
      <w:r w:rsidDel="485A1A76">
        <w:t xml:space="preserve"> they</w:t>
      </w:r>
      <w:r>
        <w:t xml:space="preserve"> </w:t>
      </w:r>
      <w:r w:rsidRPr="6832868D" w:rsidDel="234D6CF8">
        <w:rPr>
          <w:rFonts w:ascii="Calibri" w:eastAsia="Calibri" w:hAnsi="Calibri" w:cs="Calibri"/>
        </w:rPr>
        <w:t xml:space="preserve">will still be required to participate in the relevant program, however, the lack of consent may limit the options and </w:t>
      </w:r>
      <w:r w:rsidRPr="16030547">
        <w:rPr>
          <w:rFonts w:ascii="Calibri" w:eastAsia="Calibri" w:hAnsi="Calibri" w:cs="Calibri"/>
        </w:rPr>
        <w:t xml:space="preserve">employment </w:t>
      </w:r>
      <w:r w:rsidRPr="6832868D">
        <w:rPr>
          <w:rFonts w:ascii="Calibri" w:eastAsia="Calibri" w:hAnsi="Calibri" w:cs="Calibri"/>
        </w:rPr>
        <w:t>s</w:t>
      </w:r>
      <w:r w:rsidRPr="6832868D" w:rsidDel="234D6CF8">
        <w:rPr>
          <w:rFonts w:ascii="Calibri" w:eastAsia="Calibri" w:hAnsi="Calibri" w:cs="Calibri"/>
        </w:rPr>
        <w:t>ervices that a Provider can offer</w:t>
      </w:r>
      <w:r>
        <w:t>.</w:t>
      </w:r>
      <w:r w:rsidDel="234D6CF8">
        <w:t xml:space="preserve"> </w:t>
      </w:r>
      <w:r>
        <w:t xml:space="preserve">For example, if an individual does not consent to the collection of sensitive information about their health status or racial or ethnic origin, they may not be referred to any possible appropriate targeted services. </w:t>
      </w:r>
    </w:p>
    <w:p w14:paraId="3A4CF172" w14:textId="77777777" w:rsidR="007D2A28" w:rsidRPr="00597587" w:rsidRDefault="007D2A28" w:rsidP="007D2A28">
      <w:pPr>
        <w:pStyle w:val="DocumentaryEvidencePoint"/>
      </w:pPr>
      <w:r w:rsidRPr="00597587">
        <w:t>Where an individual withdraws consent to the collection of their sensitive information, the Provider must not destroy the Privacy Notification and Consent Form, except in accordance with the Archives Act, and the Provider must record the withdrawal of the individual’s consent to the collection of their sensitive information on the individual’s record in the Department’s IT Systems (where the Provider has access), or in another appropriate format (where the Provider does not have access and which must be made available to the Department on request).</w:t>
      </w:r>
    </w:p>
    <w:p w14:paraId="4A5C148F" w14:textId="77777777" w:rsidR="007D2A28" w:rsidRPr="00954201" w:rsidRDefault="007D2A28" w:rsidP="007D2A28">
      <w:r w:rsidRPr="00954201">
        <w:t>Some examples of exceptions which may permit the collection of sensitive information without consent include:</w:t>
      </w:r>
    </w:p>
    <w:p w14:paraId="498D9B39" w14:textId="77777777" w:rsidR="007D2A28" w:rsidRPr="00954201" w:rsidRDefault="007D2A28" w:rsidP="007D2A28">
      <w:pPr>
        <w:pStyle w:val="BulletLevel1"/>
      </w:pPr>
      <w:r w:rsidRPr="00954201">
        <w:lastRenderedPageBreak/>
        <w:t>the collection of the information is required or authorised by or under an Australian law or a court/tribunal order</w:t>
      </w:r>
      <w:r>
        <w:t xml:space="preserve"> (e.g. the Social Security Law)</w:t>
      </w:r>
      <w:r w:rsidRPr="00954201">
        <w:t>;</w:t>
      </w:r>
    </w:p>
    <w:p w14:paraId="5888BB6A" w14:textId="77777777" w:rsidR="007D2A28" w:rsidRPr="00954201" w:rsidRDefault="007D2A28" w:rsidP="007D2A28">
      <w:pPr>
        <w:pStyle w:val="BulletLevel1"/>
      </w:pPr>
      <w:r w:rsidRPr="00954201">
        <w:t xml:space="preserve">it is unreasonable or impracticable to obtain the individual’s consent to the collection and the Provider reasonably believes that the collection is necessary to lessen or prevent a serious threat to the life, health or safety of any individual or to public health or safety; </w:t>
      </w:r>
      <w:r>
        <w:t>or</w:t>
      </w:r>
    </w:p>
    <w:p w14:paraId="108AA5F5" w14:textId="77777777" w:rsidR="007D2A28" w:rsidRPr="00954201" w:rsidRDefault="007D2A28" w:rsidP="007D2A28">
      <w:pPr>
        <w:pStyle w:val="BulletLevel1"/>
      </w:pPr>
      <w:r w:rsidRPr="00954201">
        <w:t>the Provider has reason to suspect that unlawful activity, or misconduct of a serious nature, that relates to the Provider’s functions or activities has been, is being or may be engaged in and the Provider reasonably believes that the collection is necessary in order for the Provider to take appropriate action in relation to the matter.</w:t>
      </w:r>
    </w:p>
    <w:p w14:paraId="320D5051" w14:textId="77777777" w:rsidR="007D2A28" w:rsidRDefault="007D2A28" w:rsidP="007D2A28">
      <w:pPr>
        <w:pStyle w:val="1AllTextNormalParagraph"/>
      </w:pPr>
      <w:r w:rsidRPr="00954201">
        <w:t>The above are examples only. Providers should seek their own independent legal advice before collecting sensitive information without consent</w:t>
      </w:r>
      <w:r>
        <w:t xml:space="preserve"> or if the Provider is unsure whether the information is a Commonwealth record, and should consider the circumstances and obligations under </w:t>
      </w:r>
      <w:r w:rsidRPr="00421CF9">
        <w:rPr>
          <w:rStyle w:val="1AllTextHighlight"/>
          <w:shd w:val="clear" w:color="auto" w:fill="auto"/>
          <w:lang w:val="en-AU"/>
        </w:rPr>
        <w:t>Use and Disclosure of Protected Information below</w:t>
      </w:r>
      <w:r w:rsidRPr="00954201">
        <w:t>.</w:t>
      </w:r>
    </w:p>
    <w:p w14:paraId="43CF02A0" w14:textId="77777777" w:rsidR="007D2A28" w:rsidRPr="00B57DC4" w:rsidRDefault="007D2A28" w:rsidP="007D2A28">
      <w:pPr>
        <w:pStyle w:val="Heading3"/>
      </w:pPr>
      <w:r>
        <w:t>Manner of collection</w:t>
      </w:r>
    </w:p>
    <w:p w14:paraId="77A48DBC" w14:textId="77777777" w:rsidR="007D2A28" w:rsidRDefault="007D2A28" w:rsidP="007D2A28">
      <w:r>
        <w:t>Providers must only collect personal information directly from the individual, unless any one of the following exceptions applies:</w:t>
      </w:r>
    </w:p>
    <w:p w14:paraId="7EDE6EC9" w14:textId="77777777" w:rsidR="007D2A28" w:rsidRDefault="007D2A28" w:rsidP="007D2A28">
      <w:pPr>
        <w:pStyle w:val="BulletLevel1"/>
      </w:pPr>
      <w:r>
        <w:t xml:space="preserve">the individual consents to the collection of the information from a third party; </w:t>
      </w:r>
      <w:r w:rsidDel="00CE183B">
        <w:t>or</w:t>
      </w:r>
    </w:p>
    <w:p w14:paraId="364D2136" w14:textId="77777777" w:rsidR="007D2A28" w:rsidRDefault="007D2A28" w:rsidP="007D2A28">
      <w:pPr>
        <w:pStyle w:val="BulletLevel1"/>
      </w:pPr>
      <w:r>
        <w:t>the Provider is required or authorised by Australian law, or court/tribunal order, to collect the information from the third party; or</w:t>
      </w:r>
    </w:p>
    <w:p w14:paraId="47FFE8C3" w14:textId="77777777" w:rsidR="007D2A28" w:rsidRDefault="007D2A28" w:rsidP="007D2A28">
      <w:pPr>
        <w:pStyle w:val="BulletLevel1"/>
      </w:pPr>
      <w:r>
        <w:t>it is unreasonable or impracticable to collect the personal information directly from the individual.</w:t>
      </w:r>
    </w:p>
    <w:p w14:paraId="3F915A01" w14:textId="77777777" w:rsidR="007D2A28" w:rsidRDefault="007D2A28" w:rsidP="007D2A28">
      <w:r>
        <w:t>For example, it</w:t>
      </w:r>
      <w:r w:rsidRPr="00E40ADB">
        <w:t xml:space="preserve"> </w:t>
      </w:r>
      <w:r>
        <w:t>may</w:t>
      </w:r>
      <w:r w:rsidRPr="00E40ADB">
        <w:t xml:space="preserve"> be unreasonab</w:t>
      </w:r>
      <w:r>
        <w:t>le or impracticable to collect personal i</w:t>
      </w:r>
      <w:r w:rsidRPr="00E40ADB">
        <w:t xml:space="preserve">nformation directly from </w:t>
      </w:r>
      <w:r>
        <w:t>an</w:t>
      </w:r>
      <w:r w:rsidRPr="00E40ADB">
        <w:t xml:space="preserve"> </w:t>
      </w:r>
      <w:r>
        <w:t>individual</w:t>
      </w:r>
      <w:r w:rsidRPr="00E40ADB">
        <w:t xml:space="preserve"> where language difficulties prevent the </w:t>
      </w:r>
      <w:r>
        <w:t xml:space="preserve">individual </w:t>
      </w:r>
      <w:r w:rsidRPr="00E40ADB">
        <w:t>from providing their personal information</w:t>
      </w:r>
      <w:r>
        <w:t xml:space="preserve">. In these cases, the Provider should seek the individual’s consent to collect the information through an interpreter or translator. </w:t>
      </w:r>
      <w:r w:rsidRPr="00E40ADB">
        <w:t xml:space="preserve">Under APP 10, </w:t>
      </w:r>
      <w:r>
        <w:t>Providers</w:t>
      </w:r>
      <w:r w:rsidRPr="00E40ADB">
        <w:t xml:space="preserve"> are required to take reaso</w:t>
      </w:r>
      <w:r>
        <w:t>nable steps to ensure that the personal i</w:t>
      </w:r>
      <w:r w:rsidRPr="00E40ADB">
        <w:t xml:space="preserve">nformation they collect is accurate, up-to-date and complete. </w:t>
      </w:r>
      <w:r>
        <w:t>Providers</w:t>
      </w:r>
      <w:r w:rsidRPr="00E40ADB">
        <w:t xml:space="preserve"> therefore need to take steps to ensure that the interpre</w:t>
      </w:r>
      <w:r>
        <w:t xml:space="preserve">ter or translator that is used </w:t>
      </w:r>
      <w:r w:rsidRPr="00E40ADB">
        <w:t xml:space="preserve">will be providing accurate and complete information from the </w:t>
      </w:r>
      <w:r>
        <w:t>individual</w:t>
      </w:r>
      <w:r w:rsidRPr="00E40ADB">
        <w:t>.</w:t>
      </w:r>
    </w:p>
    <w:p w14:paraId="4636B80C" w14:textId="77777777" w:rsidR="007D2A28" w:rsidRDefault="007D2A28" w:rsidP="007D2A28">
      <w:r>
        <w:t xml:space="preserve">The collection of personal information by a Provider must be by lawful and fair means only. A fair means of collecting information is one that does not involve intimidation or deception, and is not unreasonably intrusive. </w:t>
      </w:r>
      <w:r w:rsidRPr="00E40ADB">
        <w:t xml:space="preserve"> </w:t>
      </w:r>
    </w:p>
    <w:p w14:paraId="3C3F7C7A" w14:textId="77777777" w:rsidR="007D2A28" w:rsidRDefault="007D2A28" w:rsidP="007D2A28">
      <w:pPr>
        <w:pStyle w:val="Heading2"/>
      </w:pPr>
      <w:bookmarkStart w:id="251" w:name="_Toc96000565"/>
      <w:bookmarkStart w:id="252" w:name="_Toc95896781"/>
      <w:r>
        <w:t xml:space="preserve">APP 4: </w:t>
      </w:r>
      <w:bookmarkStart w:id="253" w:name="_Toc88058364"/>
      <w:bookmarkStart w:id="254" w:name="_Toc88127554"/>
      <w:bookmarkStart w:id="255" w:name="_Toc84490391"/>
      <w:bookmarkEnd w:id="253"/>
      <w:bookmarkEnd w:id="254"/>
      <w:r>
        <w:t>Dealing with unsolicited personal information</w:t>
      </w:r>
      <w:bookmarkEnd w:id="251"/>
      <w:bookmarkEnd w:id="252"/>
    </w:p>
    <w:p w14:paraId="6A971F2C" w14:textId="77777777" w:rsidR="007D2A28" w:rsidRDefault="007D2A28" w:rsidP="007D2A28">
      <w:r>
        <w:t xml:space="preserve">APP 4 outlines when an APP entity may collect unsolicited personal information. </w:t>
      </w:r>
    </w:p>
    <w:p w14:paraId="4293C66F" w14:textId="77777777" w:rsidR="007D2A28" w:rsidRDefault="007D2A28" w:rsidP="007D2A28">
      <w:r>
        <w:t xml:space="preserve">A Provider may receive personal information it did not ask for. </w:t>
      </w:r>
      <w:r w:rsidDel="00EC5EDD">
        <w:t xml:space="preserve">APP 4 outlines when a Provider may collect unsolicited personal information. </w:t>
      </w:r>
      <w:r>
        <w:t xml:space="preserve">Where a Provider receives unsolicited personal information, it must determine whether it would have been permitted to collect the personal information under APP 3. If not, the Provider must, destroy or de-identify the information unless it is a Commonwealth record under the Archives Act. Most records held by Providers in performing the Services will be Commonwealth records. Providers should seek their own independent legal advice prior to destroying unsolicited information. </w:t>
      </w:r>
    </w:p>
    <w:p w14:paraId="3A3055EF" w14:textId="335E8C41" w:rsidR="007D2A28" w:rsidRDefault="007D2A28" w:rsidP="007D2A28">
      <w:r>
        <w:lastRenderedPageBreak/>
        <w:t xml:space="preserve">If the Provider determines that </w:t>
      </w:r>
      <w:r w:rsidDel="003F5FD8">
        <w:t xml:space="preserve">it </w:t>
      </w:r>
      <w:r>
        <w:t>could have collected the personal information under APP 3, or retains the personal information because it is contained in a Commonwealth record, it must handle the information in accordance with the Privacy Act.</w:t>
      </w:r>
    </w:p>
    <w:p w14:paraId="4D375ABA" w14:textId="77777777" w:rsidR="00731F2A" w:rsidRPr="00731F2A" w:rsidRDefault="00731F2A" w:rsidP="0058665C">
      <w:pPr>
        <w:jc w:val="right"/>
      </w:pPr>
    </w:p>
    <w:p w14:paraId="6B5D81D8" w14:textId="77777777" w:rsidR="007D2A28" w:rsidRPr="00905F88" w:rsidRDefault="007D2A28" w:rsidP="007D2A28">
      <w:pPr>
        <w:pStyle w:val="Heading2"/>
      </w:pPr>
      <w:bookmarkStart w:id="256" w:name="_Toc96000566"/>
      <w:bookmarkStart w:id="257" w:name="_Toc95896782"/>
      <w:r>
        <w:t>APP 5: Notification of the collection of personal information</w:t>
      </w:r>
      <w:bookmarkEnd w:id="255"/>
      <w:bookmarkEnd w:id="256"/>
      <w:bookmarkEnd w:id="257"/>
      <w:r>
        <w:t xml:space="preserve"> </w:t>
      </w:r>
    </w:p>
    <w:p w14:paraId="7D4B3B5E" w14:textId="77777777" w:rsidR="007D2A28" w:rsidRPr="008E6D68" w:rsidRDefault="007D2A28" w:rsidP="007D2A28">
      <w:r>
        <w:t xml:space="preserve">APP 5 requires an APP entity that collects personal information about an individual, to take reasonable steps to notify the individual of certain matters or to ensure the individual is aware of those matters. </w:t>
      </w:r>
    </w:p>
    <w:p w14:paraId="4A3187C0" w14:textId="77777777" w:rsidR="007D2A28" w:rsidRDefault="007D2A28" w:rsidP="007D2A28">
      <w:r>
        <w:t xml:space="preserve">As well as obtaining their consent to the collection of sensitive information as required by APP 3, the Privacy Notification and Consent Form complies with APP 5.2 by informing the individual of matters such as: </w:t>
      </w:r>
    </w:p>
    <w:p w14:paraId="69319B4D" w14:textId="77777777" w:rsidR="007D2A28" w:rsidRDefault="007D2A28" w:rsidP="007D2A28">
      <w:pPr>
        <w:pStyle w:val="BulletLevel1"/>
      </w:pPr>
      <w:r w:rsidRPr="008E6D68">
        <w:t xml:space="preserve">the identity and contact details of the </w:t>
      </w:r>
      <w:r>
        <w:t>D</w:t>
      </w:r>
      <w:r w:rsidRPr="008E6D68">
        <w:t xml:space="preserve">epartment </w:t>
      </w:r>
    </w:p>
    <w:p w14:paraId="2F1FCEE9" w14:textId="77777777" w:rsidR="007D2A28" w:rsidRDefault="007D2A28" w:rsidP="007D2A28">
      <w:pPr>
        <w:pStyle w:val="BulletLevel1"/>
      </w:pPr>
      <w:r w:rsidRPr="008E6D68">
        <w:t xml:space="preserve">the purposes for which the </w:t>
      </w:r>
      <w:r>
        <w:t>D</w:t>
      </w:r>
      <w:r w:rsidRPr="008E6D68">
        <w:t xml:space="preserve">epartment </w:t>
      </w:r>
      <w:r>
        <w:t>and Provider are</w:t>
      </w:r>
      <w:r w:rsidRPr="008E6D68">
        <w:t xml:space="preserve"> collecting the personal information</w:t>
      </w:r>
      <w:r>
        <w:t>,</w:t>
      </w:r>
      <w:r w:rsidRPr="008E6D68">
        <w:t xml:space="preserve"> and </w:t>
      </w:r>
    </w:p>
    <w:p w14:paraId="725196BC" w14:textId="77777777" w:rsidR="007D2A28" w:rsidRDefault="007D2A28" w:rsidP="007D2A28">
      <w:pPr>
        <w:pStyle w:val="BulletLevel1"/>
      </w:pPr>
      <w:r w:rsidRPr="008E6D68">
        <w:t xml:space="preserve">the main consequences for the individual if all or some of the personal information is not collected by the </w:t>
      </w:r>
      <w:r>
        <w:t>D</w:t>
      </w:r>
      <w:r w:rsidRPr="008E6D68">
        <w:t>epartment</w:t>
      </w:r>
      <w:r>
        <w:t xml:space="preserve"> and Provider</w:t>
      </w:r>
      <w:r w:rsidRPr="008E6D68">
        <w:t xml:space="preserve">. </w:t>
      </w:r>
    </w:p>
    <w:p w14:paraId="3F109F2F" w14:textId="77777777" w:rsidR="007D2A28" w:rsidRPr="001512FE" w:rsidRDefault="007D2A28" w:rsidP="007D2A28">
      <w:pPr>
        <w:pStyle w:val="Heading2"/>
      </w:pPr>
      <w:bookmarkStart w:id="258" w:name="_APP_6:_Use"/>
      <w:bookmarkStart w:id="259" w:name="_Toc96000567"/>
      <w:bookmarkStart w:id="260" w:name="_Toc95896783"/>
      <w:bookmarkEnd w:id="258"/>
      <w:r>
        <w:t xml:space="preserve">APP 6: </w:t>
      </w:r>
      <w:bookmarkStart w:id="261" w:name="_Toc88058367"/>
      <w:bookmarkStart w:id="262" w:name="_Toc88127557"/>
      <w:bookmarkStart w:id="263" w:name="_Toc88058368"/>
      <w:bookmarkStart w:id="264" w:name="_Toc88127558"/>
      <w:bookmarkStart w:id="265" w:name="_Toc88549912"/>
      <w:bookmarkStart w:id="266" w:name="_Toc89269879"/>
      <w:bookmarkStart w:id="267" w:name="_Toc89329363"/>
      <w:bookmarkStart w:id="268" w:name="_Toc89338862"/>
      <w:bookmarkStart w:id="269" w:name="_Toc89338952"/>
      <w:bookmarkStart w:id="270" w:name="_Toc89344169"/>
      <w:bookmarkStart w:id="271" w:name="_Toc89956291"/>
      <w:bookmarkStart w:id="272" w:name="_Toc89958866"/>
      <w:bookmarkStart w:id="273" w:name="_Toc89958957"/>
      <w:bookmarkStart w:id="274" w:name="_Toc89959048"/>
      <w:bookmarkStart w:id="275" w:name="_Toc90302759"/>
      <w:bookmarkStart w:id="276" w:name="_Toc88058369"/>
      <w:bookmarkStart w:id="277" w:name="_Toc88127559"/>
      <w:bookmarkStart w:id="278" w:name="_Toc88549913"/>
      <w:bookmarkStart w:id="279" w:name="_Toc89269880"/>
      <w:bookmarkStart w:id="280" w:name="_Toc89329364"/>
      <w:bookmarkStart w:id="281" w:name="_Toc89338863"/>
      <w:bookmarkStart w:id="282" w:name="_Toc89338953"/>
      <w:bookmarkStart w:id="283" w:name="_Toc89344170"/>
      <w:bookmarkStart w:id="284" w:name="_Toc89956292"/>
      <w:bookmarkStart w:id="285" w:name="_Toc89958867"/>
      <w:bookmarkStart w:id="286" w:name="_Toc89958958"/>
      <w:bookmarkStart w:id="287" w:name="_Toc89959049"/>
      <w:bookmarkStart w:id="288" w:name="_Toc90302760"/>
      <w:bookmarkStart w:id="289" w:name="_Toc84490392"/>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t>Use and Disclosure of personal information</w:t>
      </w:r>
      <w:bookmarkEnd w:id="259"/>
      <w:bookmarkEnd w:id="260"/>
      <w:bookmarkEnd w:id="289"/>
      <w:r>
        <w:t xml:space="preserve"> </w:t>
      </w:r>
    </w:p>
    <w:p w14:paraId="7BB7B5B2" w14:textId="77777777" w:rsidR="007D2A28" w:rsidRPr="008E6D68" w:rsidRDefault="007D2A28" w:rsidP="007D2A28">
      <w:r w:rsidRPr="008E6D68">
        <w:t xml:space="preserve">APP 6 provides that if an APP entity holds personal information about an individual that was collected for a particular purpose (primary purpose), the entity must not use or disclose the information for another purpose (secondary purpose) unless an exception applies. </w:t>
      </w:r>
    </w:p>
    <w:p w14:paraId="51C275E2" w14:textId="43AE0C31" w:rsidR="007D2A28" w:rsidRPr="008E6D68" w:rsidRDefault="007D2A28" w:rsidP="007D2A28">
      <w:r>
        <w:t xml:space="preserve">Personal information in employment services is generally collected, used and disclosed for the primary purpose, which is administering the relevant employment service program and to provide individuals with appropriate services and assistance. </w:t>
      </w:r>
      <w:r w:rsidRPr="008E6D68">
        <w:t xml:space="preserve">A Provider may use and disclose an individual’s personal information, including sensitive information, for the primary purpose. </w:t>
      </w:r>
      <w:r>
        <w:t>More information about the primary purpose</w:t>
      </w:r>
      <w:r w:rsidRPr="008E6D68">
        <w:t xml:space="preserve"> </w:t>
      </w:r>
      <w:r>
        <w:t>can</w:t>
      </w:r>
      <w:r w:rsidRPr="008E6D68">
        <w:t xml:space="preserve"> be found in the</w:t>
      </w:r>
      <w:r w:rsidR="00D23D81">
        <w:t xml:space="preserve"> relevant Privacy Notification and Consent Form</w:t>
      </w:r>
      <w:r w:rsidR="009C4055">
        <w:t xml:space="preserve"> </w:t>
      </w:r>
      <w:r w:rsidRPr="00322353">
        <w:rPr>
          <w:rStyle w:val="1AllTextNormalCharacter"/>
        </w:rPr>
        <w:t xml:space="preserve">. </w:t>
      </w:r>
    </w:p>
    <w:p w14:paraId="2C3141A2" w14:textId="77777777" w:rsidR="007D2A28" w:rsidRPr="008E6D68" w:rsidRDefault="007D2A28" w:rsidP="007D2A28">
      <w:r w:rsidRPr="008E6D68">
        <w:t>A secondary purpose is any purpose that is not the primary purpose. Providers must not use or disclose personal information</w:t>
      </w:r>
      <w:r>
        <w:t xml:space="preserve"> </w:t>
      </w:r>
      <w:r w:rsidRPr="008E6D68">
        <w:t xml:space="preserve">for a secondary </w:t>
      </w:r>
      <w:r w:rsidRPr="008E6D68" w:rsidDel="007021E2">
        <w:t>purpose</w:t>
      </w:r>
      <w:r w:rsidRPr="008E6D68">
        <w:t xml:space="preserve"> unless an exception applies</w:t>
      </w:r>
      <w:r>
        <w:t>, including</w:t>
      </w:r>
      <w:r w:rsidRPr="008E6D68">
        <w:t xml:space="preserve"> where: </w:t>
      </w:r>
    </w:p>
    <w:p w14:paraId="78AFB838" w14:textId="77777777" w:rsidR="007D2A28" w:rsidRPr="008E6D68" w:rsidRDefault="007D2A28" w:rsidP="007D2A28">
      <w:pPr>
        <w:pStyle w:val="BulletLevel1"/>
      </w:pPr>
      <w:r w:rsidRPr="008E6D68">
        <w:t>the individual</w:t>
      </w:r>
      <w:r>
        <w:t xml:space="preserve"> consents</w:t>
      </w:r>
      <w:r w:rsidRPr="008E6D68">
        <w:t xml:space="preserve"> to the use or disclosure</w:t>
      </w:r>
      <w:r>
        <w:t xml:space="preserve"> </w:t>
      </w:r>
      <w:r w:rsidDel="00E739FE">
        <w:t>for the secondary purpose</w:t>
      </w:r>
      <w:r w:rsidRPr="001E3D4B">
        <w:t>*</w:t>
      </w:r>
    </w:p>
    <w:p w14:paraId="083B2A6B" w14:textId="77777777" w:rsidR="007D2A28" w:rsidRPr="008E6D68" w:rsidRDefault="007D2A28" w:rsidP="007D2A28">
      <w:pPr>
        <w:pStyle w:val="BulletLevel1"/>
      </w:pPr>
      <w:r w:rsidRPr="008E6D68">
        <w:t>the individual would reasonably expect the use or disclosure</w:t>
      </w:r>
      <w:r w:rsidDel="00E739FE">
        <w:t xml:space="preserve"> for the secondary purpose</w:t>
      </w:r>
      <w:r w:rsidRPr="008E6D68" w:rsidDel="00E739FE">
        <w:t>,</w:t>
      </w:r>
      <w:r w:rsidRPr="008E6D68">
        <w:t xml:space="preserve"> and</w:t>
      </w:r>
      <w:r>
        <w:t xml:space="preserve"> either</w:t>
      </w:r>
      <w:r w:rsidRPr="008E6D68">
        <w:t xml:space="preserve"> the secondary purpose is related to the primary purpose</w:t>
      </w:r>
      <w:r w:rsidRPr="008E6D68" w:rsidDel="00B96AD3">
        <w:t xml:space="preserve"> </w:t>
      </w:r>
      <w:r w:rsidRPr="00EE4E3B" w:rsidDel="00B96AD3">
        <w:rPr>
          <w:u w:val="single"/>
        </w:rPr>
        <w:t>or</w:t>
      </w:r>
      <w:r>
        <w:rPr>
          <w:u w:val="single"/>
        </w:rPr>
        <w:t>,</w:t>
      </w:r>
      <w:r>
        <w:t xml:space="preserve"> in</w:t>
      </w:r>
      <w:r w:rsidRPr="008E6D68">
        <w:t xml:space="preserve"> the case of sensitive information,</w:t>
      </w:r>
      <w:r>
        <w:t xml:space="preserve"> </w:t>
      </w:r>
      <w:r w:rsidDel="006B1291">
        <w:t>is</w:t>
      </w:r>
      <w:r w:rsidRPr="008E6D68" w:rsidDel="006B1291">
        <w:t xml:space="preserve"> </w:t>
      </w:r>
      <w:r w:rsidRPr="0034021E">
        <w:rPr>
          <w:u w:val="single"/>
        </w:rPr>
        <w:t>directly</w:t>
      </w:r>
      <w:r w:rsidRPr="008E6D68">
        <w:t xml:space="preserve"> </w:t>
      </w:r>
      <w:r w:rsidRPr="008E6D68" w:rsidDel="006B1291">
        <w:t xml:space="preserve">related </w:t>
      </w:r>
      <w:r w:rsidRPr="008E6D68">
        <w:t>to the primary purpose</w:t>
      </w:r>
      <w:r>
        <w:t>,</w:t>
      </w:r>
      <w:r w:rsidRPr="008E6D68">
        <w:t xml:space="preserve"> or</w:t>
      </w:r>
    </w:p>
    <w:p w14:paraId="60D6F7E7" w14:textId="77777777" w:rsidR="007D2A28" w:rsidRPr="004237E9" w:rsidRDefault="007D2A28" w:rsidP="007D2A28">
      <w:pPr>
        <w:pStyle w:val="BulletLevel1"/>
      </w:pPr>
      <w:r w:rsidRPr="008E6D68">
        <w:t>the use or disclosure is required or authorised by or unde</w:t>
      </w:r>
      <w:r w:rsidRPr="004237E9">
        <w:t>r an Australian law or a court/tribunal order</w:t>
      </w:r>
      <w:r>
        <w:t xml:space="preserve"> (e.g. the Social Security Law, see </w:t>
      </w:r>
      <w:hyperlink w:anchor="_Use_and_disclosure" w:history="1">
        <w:r w:rsidRPr="006B27B6">
          <w:rPr>
            <w:rStyle w:val="Hyperlink"/>
          </w:rPr>
          <w:t>Use and Disclosure of Protected Information</w:t>
        </w:r>
      </w:hyperlink>
      <w:r>
        <w:t>)</w:t>
      </w:r>
      <w:r w:rsidRPr="004237E9">
        <w:t>.</w:t>
      </w:r>
    </w:p>
    <w:p w14:paraId="31F13921" w14:textId="77777777" w:rsidR="007D2A28" w:rsidRDefault="007D2A28" w:rsidP="007D2A28">
      <w:r w:rsidRPr="008E6D68">
        <w:t xml:space="preserve">The APP 6 obligations apply to the </w:t>
      </w:r>
      <w:r>
        <w:t xml:space="preserve">use of personal information by the Provider and the </w:t>
      </w:r>
      <w:r w:rsidRPr="008E6D68">
        <w:t>disclosure of personal information to third parties, that is parties other than the Provider. The Provider may disclose personal information, other than sensitive information, to a related body corporate.</w:t>
      </w:r>
    </w:p>
    <w:p w14:paraId="0E296329" w14:textId="77777777" w:rsidR="007D2A28" w:rsidRPr="008E6D68" w:rsidRDefault="007D2A28" w:rsidP="007D2A28">
      <w:r w:rsidRPr="001E3D4B">
        <w:t>*It should not be assumed that an individual has given consent on the basis alone that they did not object to a proposal to handle personal information in a particular way.</w:t>
      </w:r>
    </w:p>
    <w:p w14:paraId="64CDC9E6" w14:textId="77777777" w:rsidR="007D2A28" w:rsidRPr="00B57DC4" w:rsidRDefault="007D2A28" w:rsidP="007D2A28">
      <w:pPr>
        <w:pStyle w:val="Heading3"/>
      </w:pPr>
      <w:bookmarkStart w:id="290" w:name="_Toc95896784"/>
      <w:r w:rsidRPr="00B57DC4">
        <w:lastRenderedPageBreak/>
        <w:t>Information for ‘checks’</w:t>
      </w:r>
      <w:bookmarkEnd w:id="290"/>
    </w:p>
    <w:p w14:paraId="45C76AA0" w14:textId="49CA3C2F" w:rsidR="007D2A28" w:rsidRPr="005F4E7E" w:rsidRDefault="00F809FE" w:rsidP="007D2A28">
      <w:r>
        <w:t xml:space="preserve">Subject to APP 6, </w:t>
      </w:r>
      <w:r w:rsidR="007D2A28" w:rsidRPr="005F4E7E">
        <w:t xml:space="preserve">Providers must not disclose personal </w:t>
      </w:r>
      <w:r w:rsidR="007D2A28">
        <w:t xml:space="preserve">information </w:t>
      </w:r>
      <w:r w:rsidR="007D2A28" w:rsidRPr="005F4E7E">
        <w:t>for the purpose of checks</w:t>
      </w:r>
      <w:r w:rsidR="007D2A28">
        <w:t xml:space="preserve">, </w:t>
      </w:r>
      <w:r w:rsidR="007D2A28" w:rsidRPr="005F4E7E">
        <w:t>includ</w:t>
      </w:r>
      <w:r w:rsidR="007D2A28">
        <w:t>ing</w:t>
      </w:r>
      <w:r w:rsidR="007D2A28" w:rsidRPr="005F4E7E">
        <w:t xml:space="preserve"> </w:t>
      </w:r>
      <w:r w:rsidR="007D2A28">
        <w:t>p</w:t>
      </w:r>
      <w:r w:rsidR="007D2A28" w:rsidRPr="005F4E7E">
        <w:t xml:space="preserve">olice </w:t>
      </w:r>
      <w:r w:rsidR="007D2A28">
        <w:t>c</w:t>
      </w:r>
      <w:r w:rsidR="007D2A28" w:rsidRPr="005F4E7E">
        <w:t xml:space="preserve">hecks, Working with Children Checks, Working with Vulnerable People Checks, Visa </w:t>
      </w:r>
      <w:r w:rsidR="007D2A28">
        <w:t>E</w:t>
      </w:r>
      <w:r w:rsidR="007D2A28" w:rsidRPr="005F4E7E">
        <w:t>ntitlement Verification Online (VEVO) checks and health/medical checks.</w:t>
      </w:r>
    </w:p>
    <w:p w14:paraId="0E524F73" w14:textId="77777777" w:rsidR="007D2A28" w:rsidRPr="005F4E7E" w:rsidRDefault="007D2A28" w:rsidP="007D2A28">
      <w:r w:rsidRPr="005F4E7E">
        <w:t>If an individual is offered paid work and the Employer seeks one or more of these checks, the Employer should source the information directly from the individual.</w:t>
      </w:r>
    </w:p>
    <w:p w14:paraId="06BEA1A8" w14:textId="6000B124" w:rsidR="007D2A28" w:rsidRDefault="00B82621" w:rsidP="007D2A28">
      <w:r w:rsidRPr="00B82621">
        <w:t>When referring an individual to a relevant agency for a check to be undertaken, Providers must ensure that the individual is aware that their personal information will be disclosed</w:t>
      </w:r>
      <w:r w:rsidR="002B3F10">
        <w:t xml:space="preserve"> to the relevant agency</w:t>
      </w:r>
      <w:r w:rsidRPr="00B82621">
        <w:t xml:space="preserve"> for this purpose, and provide relevant information, including details </w:t>
      </w:r>
      <w:r w:rsidR="002B3F10">
        <w:t>of</w:t>
      </w:r>
      <w:r w:rsidRPr="00B82621">
        <w:t xml:space="preserve"> what the check will involve. </w:t>
      </w:r>
      <w:r w:rsidR="007D2A28" w:rsidRPr="005F4E7E">
        <w:t xml:space="preserve">Where a Provider is referring an individual to an activity that requires one or more of these checks, the Provider must refer the individual to the relevant agencies which </w:t>
      </w:r>
      <w:r>
        <w:t>undertake</w:t>
      </w:r>
      <w:r w:rsidRPr="005F4E7E">
        <w:t xml:space="preserve"> </w:t>
      </w:r>
      <w:r w:rsidR="007D2A28" w:rsidRPr="005F4E7E">
        <w:t>the checks prior to the placement.</w:t>
      </w:r>
      <w:r w:rsidR="007D2A28" w:rsidRPr="00E35B68">
        <w:t xml:space="preserve"> </w:t>
      </w:r>
      <w:r w:rsidR="007D2A28">
        <w:t>See deed clauses on ‘Checks and reasonable care’ for further information.</w:t>
      </w:r>
    </w:p>
    <w:p w14:paraId="5A4C6A52" w14:textId="77777777" w:rsidR="007D2A28" w:rsidRDefault="007D2A28" w:rsidP="007D2A28">
      <w:pPr>
        <w:pStyle w:val="Heading3"/>
      </w:pPr>
      <w:bookmarkStart w:id="291" w:name="_Toc95896785"/>
      <w:r>
        <w:t>Tax File Numbers</w:t>
      </w:r>
      <w:bookmarkEnd w:id="291"/>
    </w:p>
    <w:p w14:paraId="40979FC9" w14:textId="77777777" w:rsidR="007D2A28" w:rsidRPr="0034021E" w:rsidRDefault="007D2A28" w:rsidP="007D2A28">
      <w:pPr>
        <w:rPr>
          <w:rFonts w:eastAsiaTheme="minorEastAsia"/>
          <w:color w:val="000000"/>
          <w:lang w:val="x-none"/>
        </w:rPr>
      </w:pPr>
      <w:r w:rsidRPr="0034021E">
        <w:rPr>
          <w:rFonts w:eastAsiaTheme="minorEastAsia"/>
        </w:rPr>
        <w:t xml:space="preserve">Providers should also note </w:t>
      </w:r>
      <w:r>
        <w:rPr>
          <w:rFonts w:eastAsiaTheme="minorEastAsia"/>
        </w:rPr>
        <w:t>that</w:t>
      </w:r>
      <w:r w:rsidRPr="0034021E">
        <w:rPr>
          <w:rFonts w:eastAsiaTheme="minorEastAsia"/>
        </w:rPr>
        <w:t xml:space="preserve"> the </w:t>
      </w:r>
      <w:r w:rsidRPr="00605EA8">
        <w:rPr>
          <w:rFonts w:eastAsiaTheme="minorEastAsia"/>
          <w:i/>
        </w:rPr>
        <w:t>Privacy (Tax File Number) Rule 2015</w:t>
      </w:r>
      <w:r w:rsidRPr="0034021E">
        <w:rPr>
          <w:rFonts w:eastAsiaTheme="minorEastAsia"/>
        </w:rPr>
        <w:t xml:space="preserve"> (TFN Rule) only allows certain people, agencies, </w:t>
      </w:r>
      <w:r w:rsidRPr="0034021E">
        <w:rPr>
          <w:rFonts w:eastAsiaTheme="minorEastAsia"/>
          <w:color w:val="000000" w:themeColor="text1"/>
        </w:rPr>
        <w:t>organisations and other entities that are authorised by taxation, personal assistance or</w:t>
      </w:r>
      <w:r w:rsidRPr="0034021E">
        <w:rPr>
          <w:rFonts w:eastAsiaTheme="minorEastAsia"/>
        </w:rPr>
        <w:t xml:space="preserve"> </w:t>
      </w:r>
      <w:r w:rsidRPr="0034021E">
        <w:rPr>
          <w:rFonts w:eastAsiaTheme="minorEastAsia"/>
          <w:color w:val="000000" w:themeColor="text1"/>
        </w:rPr>
        <w:t>superannuation law to ask for and receive TFNs (‘authorised or lawful TFN recipients’). A</w:t>
      </w:r>
      <w:r w:rsidRPr="0034021E">
        <w:rPr>
          <w:rFonts w:eastAsiaTheme="minorEastAsia"/>
        </w:rPr>
        <w:t xml:space="preserve"> TFN recipient also must not record, collect, use or disclose TFN information unless this is permitted under taxation, personal assistance or superannuation law.</w:t>
      </w:r>
    </w:p>
    <w:p w14:paraId="13D9AD40" w14:textId="1598AADE" w:rsidR="007D2A28" w:rsidRDefault="007D2A28" w:rsidP="007D2A28">
      <w:pPr>
        <w:rPr>
          <w:rFonts w:eastAsiaTheme="minorEastAsia"/>
        </w:rPr>
      </w:pPr>
      <w:r w:rsidRPr="0034021E">
        <w:rPr>
          <w:rFonts w:eastAsiaTheme="minorEastAsia"/>
        </w:rPr>
        <w:t xml:space="preserve">TFN recipients must take reasonable steps to protect TFN information from misuse and loss, and from unauthorised access, use, modification or disclosure. </w:t>
      </w:r>
      <w:r w:rsidRPr="16030547">
        <w:rPr>
          <w:rFonts w:eastAsiaTheme="minorEastAsia"/>
        </w:rPr>
        <w:t xml:space="preserve">A breach of the TFN Rule </w:t>
      </w:r>
      <w:r w:rsidRPr="0034021E">
        <w:rPr>
          <w:rFonts w:eastAsiaTheme="minorEastAsia"/>
        </w:rPr>
        <w:t>is an interference with privacy under the Privacy Act.</w:t>
      </w:r>
    </w:p>
    <w:p w14:paraId="20D831D1" w14:textId="77777777" w:rsidR="007D2A28" w:rsidRDefault="007D2A28" w:rsidP="007D2A28">
      <w:pPr>
        <w:rPr>
          <w:rFonts w:eastAsiaTheme="minorEastAsia"/>
        </w:rPr>
      </w:pPr>
      <w:r w:rsidRPr="0034021E">
        <w:rPr>
          <w:rFonts w:eastAsiaTheme="minorEastAsia"/>
        </w:rPr>
        <w:t xml:space="preserve">Due to the particular sensitivities attached to TFNs, their use and disclosure are governed by secrecy provisions in applicable legislation. Relevantly, subsection 8WB(1) of the </w:t>
      </w:r>
      <w:r w:rsidRPr="0034021E">
        <w:rPr>
          <w:rFonts w:eastAsiaTheme="minorEastAsia"/>
          <w:i/>
        </w:rPr>
        <w:t>Taxation Administration Act 1953</w:t>
      </w:r>
      <w:r w:rsidRPr="0034021E">
        <w:rPr>
          <w:rFonts w:eastAsiaTheme="minorEastAsia"/>
        </w:rPr>
        <w:t xml:space="preserve"> (Cth) (TAA) provides that, unless an exception applies, a person must not divulge or communicate another person’s </w:t>
      </w:r>
      <w:r>
        <w:rPr>
          <w:rFonts w:eastAsiaTheme="minorEastAsia"/>
        </w:rPr>
        <w:t>TFN</w:t>
      </w:r>
      <w:r w:rsidRPr="0034021E">
        <w:rPr>
          <w:rFonts w:eastAsiaTheme="minorEastAsia"/>
        </w:rPr>
        <w:t xml:space="preserve"> to a third person. A breach of subsection 8WB(1) of the TAA may lead to criminal liability.</w:t>
      </w:r>
    </w:p>
    <w:p w14:paraId="77F1743C" w14:textId="48954809" w:rsidR="00AC74C3" w:rsidRDefault="00AC74C3" w:rsidP="007D2A28">
      <w:pPr>
        <w:rPr>
          <w:rFonts w:eastAsiaTheme="minorEastAsia"/>
        </w:rPr>
      </w:pPr>
      <w:r>
        <w:t xml:space="preserve">Unauthorised disclosure of a TFN may also amount to a breach of </w:t>
      </w:r>
      <w:hyperlink w:anchor="_APP_9:_Adoption," w:history="1">
        <w:r w:rsidRPr="00AC74C3">
          <w:rPr>
            <w:rStyle w:val="Hyperlink"/>
          </w:rPr>
          <w:t>APP 9</w:t>
        </w:r>
      </w:hyperlink>
      <w:r>
        <w:t>.</w:t>
      </w:r>
    </w:p>
    <w:p w14:paraId="20FBCFEE" w14:textId="77777777" w:rsidR="007D2A28" w:rsidRDefault="007D2A28" w:rsidP="007D2A28">
      <w:pPr>
        <w:pStyle w:val="Heading2"/>
      </w:pPr>
      <w:bookmarkStart w:id="292" w:name="_Toc89269882"/>
      <w:bookmarkStart w:id="293" w:name="_Toc89329366"/>
      <w:bookmarkStart w:id="294" w:name="_Toc89338865"/>
      <w:bookmarkStart w:id="295" w:name="_Toc89338955"/>
      <w:bookmarkStart w:id="296" w:name="_Toc89344172"/>
      <w:bookmarkStart w:id="297" w:name="_Toc89956294"/>
      <w:bookmarkStart w:id="298" w:name="_Toc89958869"/>
      <w:bookmarkStart w:id="299" w:name="_Toc89958960"/>
      <w:bookmarkStart w:id="300" w:name="_Toc89959051"/>
      <w:bookmarkStart w:id="301" w:name="_Toc90302762"/>
      <w:bookmarkStart w:id="302" w:name="_Toc88549915"/>
      <w:bookmarkStart w:id="303" w:name="_Toc89269883"/>
      <w:bookmarkStart w:id="304" w:name="_Toc89329367"/>
      <w:bookmarkStart w:id="305" w:name="_Toc89338866"/>
      <w:bookmarkStart w:id="306" w:name="_Toc89338956"/>
      <w:bookmarkStart w:id="307" w:name="_Toc89344173"/>
      <w:bookmarkStart w:id="308" w:name="_Toc89956295"/>
      <w:bookmarkStart w:id="309" w:name="_Toc89958870"/>
      <w:bookmarkStart w:id="310" w:name="_Toc89958961"/>
      <w:bookmarkStart w:id="311" w:name="_Toc89959052"/>
      <w:bookmarkStart w:id="312" w:name="_Toc90302763"/>
      <w:bookmarkStart w:id="313" w:name="_Toc88549916"/>
      <w:bookmarkStart w:id="314" w:name="_Toc89269884"/>
      <w:bookmarkStart w:id="315" w:name="_Toc89329368"/>
      <w:bookmarkStart w:id="316" w:name="_Toc89338867"/>
      <w:bookmarkStart w:id="317" w:name="_Toc89338957"/>
      <w:bookmarkStart w:id="318" w:name="_Toc89344174"/>
      <w:bookmarkStart w:id="319" w:name="_Toc89956296"/>
      <w:bookmarkStart w:id="320" w:name="_Toc89958871"/>
      <w:bookmarkStart w:id="321" w:name="_Toc89958962"/>
      <w:bookmarkStart w:id="322" w:name="_Toc89959053"/>
      <w:bookmarkStart w:id="323" w:name="_Toc90302764"/>
      <w:bookmarkStart w:id="324" w:name="_Toc88549917"/>
      <w:bookmarkStart w:id="325" w:name="_Toc89269885"/>
      <w:bookmarkStart w:id="326" w:name="_Toc89329369"/>
      <w:bookmarkStart w:id="327" w:name="_Toc89338868"/>
      <w:bookmarkStart w:id="328" w:name="_Toc89338958"/>
      <w:bookmarkStart w:id="329" w:name="_Toc89344175"/>
      <w:bookmarkStart w:id="330" w:name="_Toc89956297"/>
      <w:bookmarkStart w:id="331" w:name="_Toc89958872"/>
      <w:bookmarkStart w:id="332" w:name="_Toc89958963"/>
      <w:bookmarkStart w:id="333" w:name="_Toc89959054"/>
      <w:bookmarkStart w:id="334" w:name="_Toc90302765"/>
      <w:bookmarkStart w:id="335" w:name="_Toc88549918"/>
      <w:bookmarkStart w:id="336" w:name="_Toc89269886"/>
      <w:bookmarkStart w:id="337" w:name="_Toc89329370"/>
      <w:bookmarkStart w:id="338" w:name="_Toc89338869"/>
      <w:bookmarkStart w:id="339" w:name="_Toc89338959"/>
      <w:bookmarkStart w:id="340" w:name="_Toc89344176"/>
      <w:bookmarkStart w:id="341" w:name="_Toc89956298"/>
      <w:bookmarkStart w:id="342" w:name="_Toc89958873"/>
      <w:bookmarkStart w:id="343" w:name="_Toc89958964"/>
      <w:bookmarkStart w:id="344" w:name="_Toc89959055"/>
      <w:bookmarkStart w:id="345" w:name="_Toc90302766"/>
      <w:bookmarkStart w:id="346" w:name="_Toc96000569"/>
      <w:bookmarkStart w:id="347" w:name="_Toc95896793"/>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t>APP 7: Direct marketing</w:t>
      </w:r>
      <w:bookmarkEnd w:id="346"/>
      <w:bookmarkEnd w:id="347"/>
    </w:p>
    <w:p w14:paraId="7764AF5B" w14:textId="77777777" w:rsidR="007D2A28" w:rsidRDefault="007D2A28" w:rsidP="007D2A28">
      <w:r w:rsidRPr="00A061BA">
        <w:t>APP 7 provides that a Provider must not use or disclose personal information for the purposes of direct marketing unless an exception applies. Prior to undertaking any direct marketing in relation to functions and activities under the Deed(s), Providers must consider whether the proposed marketing is consistent with the Privacy Act. Providers should obtain their own independent legal advice.</w:t>
      </w:r>
    </w:p>
    <w:p w14:paraId="7E68B0D2" w14:textId="77777777" w:rsidR="00591984" w:rsidRPr="00591984" w:rsidRDefault="00591984" w:rsidP="00591984">
      <w:pPr>
        <w:pStyle w:val="Heading2"/>
      </w:pPr>
      <w:bookmarkStart w:id="348" w:name="_APP_9:_Adoption,"/>
      <w:bookmarkStart w:id="349" w:name="_Toc96000571"/>
      <w:bookmarkStart w:id="350" w:name="_Toc96000572"/>
      <w:bookmarkStart w:id="351" w:name="_Toc95896796"/>
      <w:bookmarkEnd w:id="348"/>
      <w:r w:rsidRPr="00591984">
        <w:t>APP 9: Adoption, use or disclosure of government related identifiers</w:t>
      </w:r>
      <w:bookmarkEnd w:id="349"/>
    </w:p>
    <w:p w14:paraId="4C818202" w14:textId="1AE9AFC1" w:rsidR="00AE0B3C" w:rsidRPr="00591984" w:rsidRDefault="00591984" w:rsidP="002822F1">
      <w:pPr>
        <w:pStyle w:val="1AllTextNormalParagraph"/>
      </w:pPr>
      <w:r w:rsidRPr="00591984">
        <w:t>Providers routinely interact with government related identifiers, including Centrelink Reference Numbers (CRNs)</w:t>
      </w:r>
      <w:r w:rsidR="0025395F">
        <w:t>,</w:t>
      </w:r>
      <w:r w:rsidRPr="00591984">
        <w:t xml:space="preserve"> Job Seeker Identification numbers (JSIDs)</w:t>
      </w:r>
      <w:r w:rsidR="0025395F">
        <w:t xml:space="preserve"> and TFNs</w:t>
      </w:r>
      <w:r w:rsidRPr="00591984">
        <w:t xml:space="preserve">. APP 9 restricts the adoption, </w:t>
      </w:r>
      <w:r w:rsidRPr="00591984">
        <w:lastRenderedPageBreak/>
        <w:t>use and disclosure of government related identifiers by organisations. Under the Deed, Providers must comply with APP 9.</w:t>
      </w:r>
    </w:p>
    <w:p w14:paraId="6AFAC0F8" w14:textId="6EEA7DCD" w:rsidR="00591984" w:rsidRPr="00591984" w:rsidRDefault="00591984" w:rsidP="00591984">
      <w:r w:rsidRPr="00591984">
        <w:t>APP 9</w:t>
      </w:r>
      <w:r w:rsidR="00DC601A">
        <w:t xml:space="preserve"> provides limited exceptions where</w:t>
      </w:r>
      <w:r w:rsidRPr="00591984">
        <w:t xml:space="preserve"> a Provider </w:t>
      </w:r>
      <w:r w:rsidR="00DC601A">
        <w:t>may</w:t>
      </w:r>
      <w:r w:rsidRPr="00591984">
        <w:t>:</w:t>
      </w:r>
    </w:p>
    <w:p w14:paraId="30C9D325" w14:textId="2C178CA8" w:rsidR="00591984" w:rsidRPr="00591984" w:rsidRDefault="00591984" w:rsidP="00591984">
      <w:pPr>
        <w:pStyle w:val="BulletLevel1"/>
      </w:pPr>
      <w:r w:rsidRPr="00591984">
        <w:t xml:space="preserve">adopt a government related identifier of an individual as its own identifier of the individual, </w:t>
      </w:r>
      <w:r w:rsidR="00DC601A">
        <w:t>or</w:t>
      </w:r>
      <w:r w:rsidRPr="00591984">
        <w:t xml:space="preserve"> </w:t>
      </w:r>
    </w:p>
    <w:p w14:paraId="49B5FF64" w14:textId="77777777" w:rsidR="00591984" w:rsidRPr="00591984" w:rsidRDefault="00591984" w:rsidP="00591984">
      <w:pPr>
        <w:pStyle w:val="BulletLevel1"/>
      </w:pPr>
      <w:r w:rsidRPr="00591984">
        <w:t>use or disclose a government related identifier of an individual.</w:t>
      </w:r>
    </w:p>
    <w:p w14:paraId="463C04EB" w14:textId="77777777" w:rsidR="004D71E8" w:rsidRDefault="00796770" w:rsidP="00796770">
      <w:r>
        <w:t xml:space="preserve">An example is where the use or disclosure of a government related identifier is </w:t>
      </w:r>
      <w:r w:rsidRPr="00B26CBA">
        <w:t xml:space="preserve">reasonably necessary for </w:t>
      </w:r>
      <w:r>
        <w:t>the Provider</w:t>
      </w:r>
      <w:r w:rsidRPr="00B26CBA">
        <w:t xml:space="preserve"> to fulfil its obligations to </w:t>
      </w:r>
      <w:r>
        <w:t>the Department.</w:t>
      </w:r>
      <w:r w:rsidRPr="00690E0F">
        <w:t xml:space="preserve"> </w:t>
      </w:r>
    </w:p>
    <w:p w14:paraId="2F66690C" w14:textId="77777777" w:rsidR="004D71E8" w:rsidRDefault="004D71E8" w:rsidP="004D71E8">
      <w:r>
        <w:t>In relation to TFNs, use or disclosure that may amount to a breach of APP 9 include, but are not limited to, if a Provider:</w:t>
      </w:r>
    </w:p>
    <w:p w14:paraId="06D8C1D6" w14:textId="77777777" w:rsidR="004D71E8" w:rsidRDefault="004D71E8" w:rsidP="004D71E8">
      <w:pPr>
        <w:pStyle w:val="BulletLevel1"/>
      </w:pPr>
      <w:r>
        <w:t>uploads a payslip onto the Department's IT Systems containing a Participant's TFN;</w:t>
      </w:r>
    </w:p>
    <w:p w14:paraId="4490E55D" w14:textId="77777777" w:rsidR="004D71E8" w:rsidRDefault="004D71E8" w:rsidP="004D71E8">
      <w:pPr>
        <w:pStyle w:val="BulletLevel1"/>
      </w:pPr>
      <w:r>
        <w:t>emails an unintended recipient another Participant's TFN Declaration Form or documentation containing a TFN;</w:t>
      </w:r>
    </w:p>
    <w:p w14:paraId="5F01C926" w14:textId="09CF18E0" w:rsidR="004D71E8" w:rsidRDefault="004D71E8" w:rsidP="004D71E8">
      <w:pPr>
        <w:pStyle w:val="BulletLevel1"/>
      </w:pPr>
      <w:r>
        <w:t>uploads a TFN Declaration form onto the Department's IT Systems where the Department has directed such forms be only emailed to the Department.</w:t>
      </w:r>
    </w:p>
    <w:p w14:paraId="1ACE02CE" w14:textId="77324804" w:rsidR="00796770" w:rsidRDefault="00796770" w:rsidP="00796770">
      <w:r>
        <w:t xml:space="preserve">Providers should note that consent is not a basis on which the adoption, use or disclosure of a government related identifier may be permitted and should also consider the additional requirements regarding the use and disclosure of </w:t>
      </w:r>
      <w:hyperlink w:anchor="_Tax_File_Numbers" w:history="1">
        <w:r w:rsidRPr="00C82292">
          <w:rPr>
            <w:rStyle w:val="Hyperlink"/>
          </w:rPr>
          <w:t>Tax File Numbers</w:t>
        </w:r>
      </w:hyperlink>
      <w:r>
        <w:t>.</w:t>
      </w:r>
      <w:r w:rsidRPr="00B26CBA">
        <w:t xml:space="preserve"> </w:t>
      </w:r>
      <w:r w:rsidRPr="00A061BA">
        <w:t>Providers should obtain their own independent legal advice.</w:t>
      </w:r>
    </w:p>
    <w:p w14:paraId="6CA8245A" w14:textId="77777777" w:rsidR="007D2A28" w:rsidRPr="00E44D46" w:rsidRDefault="007D2A28" w:rsidP="007D2A28">
      <w:pPr>
        <w:pStyle w:val="Heading2"/>
      </w:pPr>
      <w:r>
        <w:t xml:space="preserve">APPs 12 and 13: </w:t>
      </w:r>
      <w:bookmarkStart w:id="352" w:name="_Toc88058373"/>
      <w:bookmarkStart w:id="353" w:name="_Toc88127563"/>
      <w:bookmarkStart w:id="354" w:name="_Toc88058374"/>
      <w:bookmarkStart w:id="355" w:name="_Toc88127564"/>
      <w:bookmarkStart w:id="356" w:name="_Toc88549922"/>
      <w:bookmarkStart w:id="357" w:name="_Toc89269892"/>
      <w:bookmarkStart w:id="358" w:name="_Toc89329376"/>
      <w:bookmarkStart w:id="359" w:name="_Toc89338875"/>
      <w:bookmarkStart w:id="360" w:name="_Toc89338965"/>
      <w:bookmarkStart w:id="361" w:name="_Toc89344182"/>
      <w:bookmarkStart w:id="362" w:name="_Toc89956304"/>
      <w:bookmarkStart w:id="363" w:name="_Toc89958879"/>
      <w:bookmarkStart w:id="364" w:name="_Toc89958970"/>
      <w:bookmarkStart w:id="365" w:name="_Toc89959061"/>
      <w:bookmarkStart w:id="366" w:name="_Toc90302772"/>
      <w:bookmarkStart w:id="367" w:name="_Toc88058375"/>
      <w:bookmarkStart w:id="368" w:name="_Toc88127565"/>
      <w:bookmarkStart w:id="369" w:name="_Toc88549923"/>
      <w:bookmarkStart w:id="370" w:name="_Toc89269893"/>
      <w:bookmarkStart w:id="371" w:name="_Toc89329377"/>
      <w:bookmarkStart w:id="372" w:name="_Toc89338876"/>
      <w:bookmarkStart w:id="373" w:name="_Toc89338966"/>
      <w:bookmarkStart w:id="374" w:name="_Toc89344183"/>
      <w:bookmarkStart w:id="375" w:name="_Toc89956305"/>
      <w:bookmarkStart w:id="376" w:name="_Toc89958880"/>
      <w:bookmarkStart w:id="377" w:name="_Toc89958971"/>
      <w:bookmarkStart w:id="378" w:name="_Toc89959062"/>
      <w:bookmarkStart w:id="379" w:name="_Toc90302773"/>
      <w:bookmarkStart w:id="380" w:name="_Toc88058376"/>
      <w:bookmarkStart w:id="381" w:name="_Toc88127566"/>
      <w:bookmarkStart w:id="382" w:name="_Toc88549924"/>
      <w:bookmarkStart w:id="383" w:name="_Toc89269894"/>
      <w:bookmarkStart w:id="384" w:name="_Toc89329378"/>
      <w:bookmarkStart w:id="385" w:name="_Toc89338877"/>
      <w:bookmarkStart w:id="386" w:name="_Toc89338967"/>
      <w:bookmarkStart w:id="387" w:name="_Toc89344184"/>
      <w:bookmarkStart w:id="388" w:name="_Toc89956306"/>
      <w:bookmarkStart w:id="389" w:name="_Toc89958881"/>
      <w:bookmarkStart w:id="390" w:name="_Toc89958972"/>
      <w:bookmarkStart w:id="391" w:name="_Toc89959063"/>
      <w:bookmarkStart w:id="392" w:name="_Toc90302774"/>
      <w:bookmarkStart w:id="393" w:name="_Toc88058377"/>
      <w:bookmarkStart w:id="394" w:name="_Toc88127567"/>
      <w:bookmarkStart w:id="395" w:name="_Toc88549925"/>
      <w:bookmarkStart w:id="396" w:name="_Toc89269895"/>
      <w:bookmarkStart w:id="397" w:name="_Toc89329379"/>
      <w:bookmarkStart w:id="398" w:name="_Toc89338878"/>
      <w:bookmarkStart w:id="399" w:name="_Toc89338968"/>
      <w:bookmarkStart w:id="400" w:name="_Toc89344185"/>
      <w:bookmarkStart w:id="401" w:name="_Toc89956307"/>
      <w:bookmarkStart w:id="402" w:name="_Toc89958882"/>
      <w:bookmarkStart w:id="403" w:name="_Toc89958973"/>
      <w:bookmarkStart w:id="404" w:name="_Toc89959064"/>
      <w:bookmarkStart w:id="405" w:name="_Toc90302775"/>
      <w:bookmarkStart w:id="406" w:name="_Toc88058378"/>
      <w:bookmarkStart w:id="407" w:name="_Toc88127568"/>
      <w:bookmarkStart w:id="408" w:name="_Toc88549926"/>
      <w:bookmarkStart w:id="409" w:name="_Toc89269896"/>
      <w:bookmarkStart w:id="410" w:name="_Toc89329380"/>
      <w:bookmarkStart w:id="411" w:name="_Toc89338879"/>
      <w:bookmarkStart w:id="412" w:name="_Toc89338969"/>
      <w:bookmarkStart w:id="413" w:name="_Toc89344186"/>
      <w:bookmarkStart w:id="414" w:name="_Toc89956308"/>
      <w:bookmarkStart w:id="415" w:name="_Toc89958883"/>
      <w:bookmarkStart w:id="416" w:name="_Toc89958974"/>
      <w:bookmarkStart w:id="417" w:name="_Toc89959065"/>
      <w:bookmarkStart w:id="418" w:name="_Toc90302776"/>
      <w:bookmarkStart w:id="419" w:name="_Toc88058379"/>
      <w:bookmarkStart w:id="420" w:name="_Toc88127569"/>
      <w:bookmarkStart w:id="421" w:name="_Toc88549927"/>
      <w:bookmarkStart w:id="422" w:name="_Toc89269897"/>
      <w:bookmarkStart w:id="423" w:name="_Toc89329381"/>
      <w:bookmarkStart w:id="424" w:name="_Toc89338880"/>
      <w:bookmarkStart w:id="425" w:name="_Toc89338970"/>
      <w:bookmarkStart w:id="426" w:name="_Toc89344187"/>
      <w:bookmarkStart w:id="427" w:name="_Toc89956309"/>
      <w:bookmarkStart w:id="428" w:name="_Toc89958884"/>
      <w:bookmarkStart w:id="429" w:name="_Toc89958975"/>
      <w:bookmarkStart w:id="430" w:name="_Toc89959066"/>
      <w:bookmarkStart w:id="431" w:name="_Toc90302777"/>
      <w:bookmarkStart w:id="432" w:name="_Toc88058380"/>
      <w:bookmarkStart w:id="433" w:name="_Toc88127570"/>
      <w:bookmarkStart w:id="434" w:name="_Toc88549928"/>
      <w:bookmarkStart w:id="435" w:name="_Toc89269898"/>
      <w:bookmarkStart w:id="436" w:name="_Toc89329382"/>
      <w:bookmarkStart w:id="437" w:name="_Toc89338881"/>
      <w:bookmarkStart w:id="438" w:name="_Toc89338971"/>
      <w:bookmarkStart w:id="439" w:name="_Toc89344188"/>
      <w:bookmarkStart w:id="440" w:name="_Toc89956310"/>
      <w:bookmarkStart w:id="441" w:name="_Toc89958885"/>
      <w:bookmarkStart w:id="442" w:name="_Toc89958976"/>
      <w:bookmarkStart w:id="443" w:name="_Toc89959067"/>
      <w:bookmarkStart w:id="444" w:name="_Toc90302778"/>
      <w:bookmarkStart w:id="445" w:name="_Toc88058381"/>
      <w:bookmarkStart w:id="446" w:name="_Toc88127571"/>
      <w:bookmarkStart w:id="447" w:name="_Toc88549929"/>
      <w:bookmarkStart w:id="448" w:name="_Toc89269899"/>
      <w:bookmarkStart w:id="449" w:name="_Toc89329383"/>
      <w:bookmarkStart w:id="450" w:name="_Toc89338882"/>
      <w:bookmarkStart w:id="451" w:name="_Toc89338972"/>
      <w:bookmarkStart w:id="452" w:name="_Toc89344189"/>
      <w:bookmarkStart w:id="453" w:name="_Toc89956311"/>
      <w:bookmarkStart w:id="454" w:name="_Toc89958886"/>
      <w:bookmarkStart w:id="455" w:name="_Toc89958977"/>
      <w:bookmarkStart w:id="456" w:name="_Toc89959068"/>
      <w:bookmarkStart w:id="457" w:name="_Toc90302779"/>
      <w:bookmarkStart w:id="458" w:name="_Toc88058382"/>
      <w:bookmarkStart w:id="459" w:name="_Toc88127572"/>
      <w:bookmarkStart w:id="460" w:name="_Toc88549930"/>
      <w:bookmarkStart w:id="461" w:name="_Toc89269900"/>
      <w:bookmarkStart w:id="462" w:name="_Toc89329384"/>
      <w:bookmarkStart w:id="463" w:name="_Toc89338883"/>
      <w:bookmarkStart w:id="464" w:name="_Toc89338973"/>
      <w:bookmarkStart w:id="465" w:name="_Toc89344190"/>
      <w:bookmarkStart w:id="466" w:name="_Toc89956312"/>
      <w:bookmarkStart w:id="467" w:name="_Toc89958887"/>
      <w:bookmarkStart w:id="468" w:name="_Toc89958978"/>
      <w:bookmarkStart w:id="469" w:name="_Toc89959069"/>
      <w:bookmarkStart w:id="470" w:name="_Toc90302780"/>
      <w:bookmarkStart w:id="471" w:name="_Toc88058383"/>
      <w:bookmarkStart w:id="472" w:name="_Toc88127573"/>
      <w:bookmarkStart w:id="473" w:name="_Toc88549931"/>
      <w:bookmarkStart w:id="474" w:name="_Toc89269901"/>
      <w:bookmarkStart w:id="475" w:name="_Toc89329385"/>
      <w:bookmarkStart w:id="476" w:name="_Toc89338884"/>
      <w:bookmarkStart w:id="477" w:name="_Toc89338974"/>
      <w:bookmarkStart w:id="478" w:name="_Toc89344191"/>
      <w:bookmarkStart w:id="479" w:name="_Toc89956313"/>
      <w:bookmarkStart w:id="480" w:name="_Toc89958888"/>
      <w:bookmarkStart w:id="481" w:name="_Toc89958979"/>
      <w:bookmarkStart w:id="482" w:name="_Toc89959070"/>
      <w:bookmarkStart w:id="483" w:name="_Toc90302781"/>
      <w:bookmarkStart w:id="484" w:name="_Toc88058384"/>
      <w:bookmarkStart w:id="485" w:name="_Toc88127574"/>
      <w:bookmarkStart w:id="486" w:name="_Toc88549932"/>
      <w:bookmarkStart w:id="487" w:name="_Toc89269902"/>
      <w:bookmarkStart w:id="488" w:name="_Toc89329386"/>
      <w:bookmarkStart w:id="489" w:name="_Toc89338885"/>
      <w:bookmarkStart w:id="490" w:name="_Toc89338975"/>
      <w:bookmarkStart w:id="491" w:name="_Toc89344192"/>
      <w:bookmarkStart w:id="492" w:name="_Toc89956314"/>
      <w:bookmarkStart w:id="493" w:name="_Toc89958889"/>
      <w:bookmarkStart w:id="494" w:name="_Toc89958980"/>
      <w:bookmarkStart w:id="495" w:name="_Toc89959071"/>
      <w:bookmarkStart w:id="496" w:name="_Toc90302782"/>
      <w:bookmarkStart w:id="497" w:name="_Toc88058385"/>
      <w:bookmarkStart w:id="498" w:name="_Toc88127575"/>
      <w:bookmarkStart w:id="499" w:name="_Toc88549933"/>
      <w:bookmarkStart w:id="500" w:name="_Toc89269903"/>
      <w:bookmarkStart w:id="501" w:name="_Toc89329387"/>
      <w:bookmarkStart w:id="502" w:name="_Toc89338886"/>
      <w:bookmarkStart w:id="503" w:name="_Toc89338976"/>
      <w:bookmarkStart w:id="504" w:name="_Toc89344193"/>
      <w:bookmarkStart w:id="505" w:name="_Toc89956315"/>
      <w:bookmarkStart w:id="506" w:name="_Toc89958890"/>
      <w:bookmarkStart w:id="507" w:name="_Toc89958981"/>
      <w:bookmarkStart w:id="508" w:name="_Toc89959072"/>
      <w:bookmarkStart w:id="509" w:name="_Toc90302783"/>
      <w:bookmarkStart w:id="510" w:name="_Toc88058386"/>
      <w:bookmarkStart w:id="511" w:name="_Toc88127576"/>
      <w:bookmarkStart w:id="512" w:name="_Toc88549934"/>
      <w:bookmarkStart w:id="513" w:name="_Toc89269904"/>
      <w:bookmarkStart w:id="514" w:name="_Toc89329388"/>
      <w:bookmarkStart w:id="515" w:name="_Toc89338887"/>
      <w:bookmarkStart w:id="516" w:name="_Toc89338977"/>
      <w:bookmarkStart w:id="517" w:name="_Toc89344194"/>
      <w:bookmarkStart w:id="518" w:name="_Toc89956316"/>
      <w:bookmarkStart w:id="519" w:name="_Toc89958891"/>
      <w:bookmarkStart w:id="520" w:name="_Toc89958982"/>
      <w:bookmarkStart w:id="521" w:name="_Toc89959073"/>
      <w:bookmarkStart w:id="522" w:name="_Toc90302784"/>
      <w:bookmarkStart w:id="523" w:name="_Toc88058387"/>
      <w:bookmarkStart w:id="524" w:name="_Toc88127577"/>
      <w:bookmarkStart w:id="525" w:name="_Toc88549935"/>
      <w:bookmarkStart w:id="526" w:name="_Toc89269905"/>
      <w:bookmarkStart w:id="527" w:name="_Toc89329389"/>
      <w:bookmarkStart w:id="528" w:name="_Toc89338888"/>
      <w:bookmarkStart w:id="529" w:name="_Toc89338978"/>
      <w:bookmarkStart w:id="530" w:name="_Toc89344195"/>
      <w:bookmarkStart w:id="531" w:name="_Toc89956317"/>
      <w:bookmarkStart w:id="532" w:name="_Toc89958892"/>
      <w:bookmarkStart w:id="533" w:name="_Toc89958983"/>
      <w:bookmarkStart w:id="534" w:name="_Toc89959074"/>
      <w:bookmarkStart w:id="535" w:name="_Toc90302785"/>
      <w:bookmarkStart w:id="536" w:name="_Toc88058388"/>
      <w:bookmarkStart w:id="537" w:name="_Toc88127578"/>
      <w:bookmarkStart w:id="538" w:name="_Toc88549936"/>
      <w:bookmarkStart w:id="539" w:name="_Toc89269906"/>
      <w:bookmarkStart w:id="540" w:name="_Toc89329390"/>
      <w:bookmarkStart w:id="541" w:name="_Toc89338889"/>
      <w:bookmarkStart w:id="542" w:name="_Toc89338979"/>
      <w:bookmarkStart w:id="543" w:name="_Toc89344196"/>
      <w:bookmarkStart w:id="544" w:name="_Toc89956318"/>
      <w:bookmarkStart w:id="545" w:name="_Toc89958893"/>
      <w:bookmarkStart w:id="546" w:name="_Toc89958984"/>
      <w:bookmarkStart w:id="547" w:name="_Toc89959075"/>
      <w:bookmarkStart w:id="548" w:name="_Toc90302786"/>
      <w:bookmarkStart w:id="549" w:name="_Toc88058389"/>
      <w:bookmarkStart w:id="550" w:name="_Toc88127579"/>
      <w:bookmarkStart w:id="551" w:name="_Toc88549937"/>
      <w:bookmarkStart w:id="552" w:name="_Toc89269907"/>
      <w:bookmarkStart w:id="553" w:name="_Toc89329391"/>
      <w:bookmarkStart w:id="554" w:name="_Toc89338890"/>
      <w:bookmarkStart w:id="555" w:name="_Toc89338980"/>
      <w:bookmarkStart w:id="556" w:name="_Toc89344197"/>
      <w:bookmarkStart w:id="557" w:name="_Toc89956319"/>
      <w:bookmarkStart w:id="558" w:name="_Toc89958894"/>
      <w:bookmarkStart w:id="559" w:name="_Toc89958985"/>
      <w:bookmarkStart w:id="560" w:name="_Toc89959076"/>
      <w:bookmarkStart w:id="561" w:name="_Toc90302787"/>
      <w:bookmarkStart w:id="562" w:name="_Toc88058390"/>
      <w:bookmarkStart w:id="563" w:name="_Toc88127580"/>
      <w:bookmarkStart w:id="564" w:name="_Toc88549938"/>
      <w:bookmarkStart w:id="565" w:name="_Toc89269908"/>
      <w:bookmarkStart w:id="566" w:name="_Toc89329392"/>
      <w:bookmarkStart w:id="567" w:name="_Toc89338891"/>
      <w:bookmarkStart w:id="568" w:name="_Toc89338981"/>
      <w:bookmarkStart w:id="569" w:name="_Toc89344198"/>
      <w:bookmarkStart w:id="570" w:name="_Toc89956320"/>
      <w:bookmarkStart w:id="571" w:name="_Toc89958895"/>
      <w:bookmarkStart w:id="572" w:name="_Toc89958986"/>
      <w:bookmarkStart w:id="573" w:name="_Toc89959077"/>
      <w:bookmarkStart w:id="574" w:name="_Toc90302788"/>
      <w:bookmarkStart w:id="575" w:name="_Toc88058391"/>
      <w:bookmarkStart w:id="576" w:name="_Toc88127581"/>
      <w:bookmarkStart w:id="577" w:name="_Toc88549939"/>
      <w:bookmarkStart w:id="578" w:name="_Toc89269909"/>
      <w:bookmarkStart w:id="579" w:name="_Toc89329393"/>
      <w:bookmarkStart w:id="580" w:name="_Toc89338892"/>
      <w:bookmarkStart w:id="581" w:name="_Toc89338982"/>
      <w:bookmarkStart w:id="582" w:name="_Toc89344199"/>
      <w:bookmarkStart w:id="583" w:name="_Toc89956321"/>
      <w:bookmarkStart w:id="584" w:name="_Toc89958896"/>
      <w:bookmarkStart w:id="585" w:name="_Toc89958987"/>
      <w:bookmarkStart w:id="586" w:name="_Toc89959078"/>
      <w:bookmarkStart w:id="587" w:name="_Toc90302789"/>
      <w:bookmarkStart w:id="588" w:name="_Toc88058392"/>
      <w:bookmarkStart w:id="589" w:name="_Toc88127582"/>
      <w:bookmarkStart w:id="590" w:name="_Toc88549940"/>
      <w:bookmarkStart w:id="591" w:name="_Toc89269910"/>
      <w:bookmarkStart w:id="592" w:name="_Toc89329394"/>
      <w:bookmarkStart w:id="593" w:name="_Toc89338893"/>
      <w:bookmarkStart w:id="594" w:name="_Toc89338983"/>
      <w:bookmarkStart w:id="595" w:name="_Toc89344200"/>
      <w:bookmarkStart w:id="596" w:name="_Toc89956322"/>
      <w:bookmarkStart w:id="597" w:name="_Toc89958897"/>
      <w:bookmarkStart w:id="598" w:name="_Toc89958988"/>
      <w:bookmarkStart w:id="599" w:name="_Toc89959079"/>
      <w:bookmarkStart w:id="600" w:name="_Toc90302790"/>
      <w:bookmarkStart w:id="601" w:name="_Toc88058393"/>
      <w:bookmarkStart w:id="602" w:name="_Toc88127583"/>
      <w:bookmarkStart w:id="603" w:name="_Toc88549941"/>
      <w:bookmarkStart w:id="604" w:name="_Toc89269911"/>
      <w:bookmarkStart w:id="605" w:name="_Toc89329395"/>
      <w:bookmarkStart w:id="606" w:name="_Toc89338894"/>
      <w:bookmarkStart w:id="607" w:name="_Toc89338984"/>
      <w:bookmarkStart w:id="608" w:name="_Toc89344201"/>
      <w:bookmarkStart w:id="609" w:name="_Toc89956323"/>
      <w:bookmarkStart w:id="610" w:name="_Toc89958898"/>
      <w:bookmarkStart w:id="611" w:name="_Toc89958989"/>
      <w:bookmarkStart w:id="612" w:name="_Toc89959080"/>
      <w:bookmarkStart w:id="613" w:name="_Toc90302791"/>
      <w:bookmarkStart w:id="614" w:name="_Toc88058394"/>
      <w:bookmarkStart w:id="615" w:name="_Toc88127584"/>
      <w:bookmarkStart w:id="616" w:name="_Toc88549942"/>
      <w:bookmarkStart w:id="617" w:name="_Toc89269912"/>
      <w:bookmarkStart w:id="618" w:name="_Toc89329396"/>
      <w:bookmarkStart w:id="619" w:name="_Toc89338895"/>
      <w:bookmarkStart w:id="620" w:name="_Toc89338985"/>
      <w:bookmarkStart w:id="621" w:name="_Toc89344202"/>
      <w:bookmarkStart w:id="622" w:name="_Toc89956324"/>
      <w:bookmarkStart w:id="623" w:name="_Toc89958899"/>
      <w:bookmarkStart w:id="624" w:name="_Toc89958990"/>
      <w:bookmarkStart w:id="625" w:name="_Toc89959081"/>
      <w:bookmarkStart w:id="626" w:name="_Toc90302792"/>
      <w:bookmarkStart w:id="627" w:name="_Toc88058395"/>
      <w:bookmarkStart w:id="628" w:name="_Toc88127585"/>
      <w:bookmarkStart w:id="629" w:name="_Toc88549943"/>
      <w:bookmarkStart w:id="630" w:name="_Toc89269913"/>
      <w:bookmarkStart w:id="631" w:name="_Toc89329397"/>
      <w:bookmarkStart w:id="632" w:name="_Toc89338896"/>
      <w:bookmarkStart w:id="633" w:name="_Toc89338986"/>
      <w:bookmarkStart w:id="634" w:name="_Toc89344203"/>
      <w:bookmarkStart w:id="635" w:name="_Toc89956325"/>
      <w:bookmarkStart w:id="636" w:name="_Toc89958900"/>
      <w:bookmarkStart w:id="637" w:name="_Toc89958991"/>
      <w:bookmarkStart w:id="638" w:name="_Toc89959082"/>
      <w:bookmarkStart w:id="639" w:name="_Toc90302793"/>
      <w:bookmarkStart w:id="640" w:name="_Toc88058396"/>
      <w:bookmarkStart w:id="641" w:name="_Toc88127586"/>
      <w:bookmarkStart w:id="642" w:name="_Toc88549944"/>
      <w:bookmarkStart w:id="643" w:name="_Toc89269914"/>
      <w:bookmarkStart w:id="644" w:name="_Toc89329398"/>
      <w:bookmarkStart w:id="645" w:name="_Toc89338897"/>
      <w:bookmarkStart w:id="646" w:name="_Toc89338987"/>
      <w:bookmarkStart w:id="647" w:name="_Toc89344204"/>
      <w:bookmarkStart w:id="648" w:name="_Toc89956326"/>
      <w:bookmarkStart w:id="649" w:name="_Toc89958901"/>
      <w:bookmarkStart w:id="650" w:name="_Toc89958992"/>
      <w:bookmarkStart w:id="651" w:name="_Toc89959083"/>
      <w:bookmarkStart w:id="652" w:name="_Toc90302794"/>
      <w:bookmarkStart w:id="653" w:name="_Toc88058397"/>
      <w:bookmarkStart w:id="654" w:name="_Toc88127587"/>
      <w:bookmarkStart w:id="655" w:name="_Toc88549945"/>
      <w:bookmarkStart w:id="656" w:name="_Toc89269915"/>
      <w:bookmarkStart w:id="657" w:name="_Toc89329399"/>
      <w:bookmarkStart w:id="658" w:name="_Toc89338898"/>
      <w:bookmarkStart w:id="659" w:name="_Toc89338988"/>
      <w:bookmarkStart w:id="660" w:name="_Toc89344205"/>
      <w:bookmarkStart w:id="661" w:name="_Toc89956327"/>
      <w:bookmarkStart w:id="662" w:name="_Toc89958902"/>
      <w:bookmarkStart w:id="663" w:name="_Toc89958993"/>
      <w:bookmarkStart w:id="664" w:name="_Toc89959084"/>
      <w:bookmarkStart w:id="665" w:name="_Toc90302795"/>
      <w:bookmarkStart w:id="666" w:name="_Toc88058398"/>
      <w:bookmarkStart w:id="667" w:name="_Toc88127588"/>
      <w:bookmarkStart w:id="668" w:name="_Toc88549946"/>
      <w:bookmarkStart w:id="669" w:name="_Toc89269916"/>
      <w:bookmarkStart w:id="670" w:name="_Toc89329400"/>
      <w:bookmarkStart w:id="671" w:name="_Toc89338899"/>
      <w:bookmarkStart w:id="672" w:name="_Toc89338989"/>
      <w:bookmarkStart w:id="673" w:name="_Toc89344206"/>
      <w:bookmarkStart w:id="674" w:name="_Toc89956328"/>
      <w:bookmarkStart w:id="675" w:name="_Toc89958903"/>
      <w:bookmarkStart w:id="676" w:name="_Toc89958994"/>
      <w:bookmarkStart w:id="677" w:name="_Toc89959085"/>
      <w:bookmarkStart w:id="678" w:name="_Toc90302796"/>
      <w:bookmarkStart w:id="679" w:name="_Toc88058399"/>
      <w:bookmarkStart w:id="680" w:name="_Toc88127589"/>
      <w:bookmarkStart w:id="681" w:name="_Toc88549947"/>
      <w:bookmarkStart w:id="682" w:name="_Toc89269917"/>
      <w:bookmarkStart w:id="683" w:name="_Toc89329401"/>
      <w:bookmarkStart w:id="684" w:name="_Toc89338900"/>
      <w:bookmarkStart w:id="685" w:name="_Toc89338990"/>
      <w:bookmarkStart w:id="686" w:name="_Toc89344207"/>
      <w:bookmarkStart w:id="687" w:name="_Toc89956329"/>
      <w:bookmarkStart w:id="688" w:name="_Toc89958904"/>
      <w:bookmarkStart w:id="689" w:name="_Toc89958995"/>
      <w:bookmarkStart w:id="690" w:name="_Toc89959086"/>
      <w:bookmarkStart w:id="691" w:name="_Toc90302797"/>
      <w:bookmarkStart w:id="692" w:name="_Toc88058400"/>
      <w:bookmarkStart w:id="693" w:name="_Toc88127590"/>
      <w:bookmarkStart w:id="694" w:name="_Toc88549948"/>
      <w:bookmarkStart w:id="695" w:name="_Toc89269918"/>
      <w:bookmarkStart w:id="696" w:name="_Toc89329402"/>
      <w:bookmarkStart w:id="697" w:name="_Toc89338901"/>
      <w:bookmarkStart w:id="698" w:name="_Toc89338991"/>
      <w:bookmarkStart w:id="699" w:name="_Toc89344208"/>
      <w:bookmarkStart w:id="700" w:name="_Toc89956330"/>
      <w:bookmarkStart w:id="701" w:name="_Toc89958905"/>
      <w:bookmarkStart w:id="702" w:name="_Toc89958996"/>
      <w:bookmarkStart w:id="703" w:name="_Toc89959087"/>
      <w:bookmarkStart w:id="704" w:name="_Toc90302798"/>
      <w:bookmarkStart w:id="705" w:name="_Toc88058401"/>
      <w:bookmarkStart w:id="706" w:name="_Toc88127591"/>
      <w:bookmarkStart w:id="707" w:name="_Toc88549949"/>
      <w:bookmarkStart w:id="708" w:name="_Toc89269919"/>
      <w:bookmarkStart w:id="709" w:name="_Toc89329403"/>
      <w:bookmarkStart w:id="710" w:name="_Toc89338902"/>
      <w:bookmarkStart w:id="711" w:name="_Toc89338992"/>
      <w:bookmarkStart w:id="712" w:name="_Toc89344209"/>
      <w:bookmarkStart w:id="713" w:name="_Toc89956331"/>
      <w:bookmarkStart w:id="714" w:name="_Toc89958906"/>
      <w:bookmarkStart w:id="715" w:name="_Toc89958997"/>
      <w:bookmarkStart w:id="716" w:name="_Toc89959088"/>
      <w:bookmarkStart w:id="717" w:name="_Toc90302799"/>
      <w:bookmarkStart w:id="718" w:name="_Toc11923445"/>
      <w:bookmarkStart w:id="719" w:name="_Toc84490394"/>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r>
        <w:t xml:space="preserve">Access </w:t>
      </w:r>
      <w:bookmarkStart w:id="720" w:name="_Toc517080142"/>
      <w:r>
        <w:t>to and correction of personal information</w:t>
      </w:r>
      <w:bookmarkEnd w:id="350"/>
      <w:bookmarkEnd w:id="351"/>
      <w:bookmarkEnd w:id="718"/>
      <w:bookmarkEnd w:id="719"/>
      <w:bookmarkEnd w:id="720"/>
    </w:p>
    <w:p w14:paraId="098778ED" w14:textId="77777777" w:rsidR="007D2A28" w:rsidRDefault="007D2A28" w:rsidP="007D2A28">
      <w:r w:rsidRPr="002769C4">
        <w:t xml:space="preserve">Under APP 12, </w:t>
      </w:r>
      <w:r>
        <w:t>if an APP entity holds</w:t>
      </w:r>
      <w:r w:rsidRPr="002769C4">
        <w:t xml:space="preserve"> personal information </w:t>
      </w:r>
      <w:r>
        <w:t xml:space="preserve">about an individual, the entity must, on request </w:t>
      </w:r>
      <w:r w:rsidRPr="002769C4">
        <w:t xml:space="preserve">by </w:t>
      </w:r>
      <w:r>
        <w:t xml:space="preserve">the individual, give the individual access to the information. APP 12 does not stipulate any formal requirements for making a </w:t>
      </w:r>
      <w:r w:rsidRPr="002769C4">
        <w:t>request</w:t>
      </w:r>
      <w:r>
        <w:t>, or require that a request to access personal information be made in writing or require an individual to state that it is an APP 12 request. Therefore, a verbal request for personal information may be a valid request</w:t>
      </w:r>
      <w:r w:rsidRPr="002769C4">
        <w:t xml:space="preserve"> under APP 12</w:t>
      </w:r>
      <w:r>
        <w:t xml:space="preserve">. </w:t>
      </w:r>
    </w:p>
    <w:p w14:paraId="2D36C2B0" w14:textId="77777777" w:rsidR="007D2A28" w:rsidRDefault="007D2A28" w:rsidP="007D2A28">
      <w:r>
        <w:t>Under APP 13, if an APP entity holds personal information about an individual and the individual requests the entity to correct the information, the entity must take such steps as are reasonable in the circumstances to correct that information to ensure that, having regard to the purpose for which it is held, the information is accurate, up-to-date, complete, relevant and not misleading.</w:t>
      </w:r>
    </w:p>
    <w:p w14:paraId="28D7A252" w14:textId="77777777" w:rsidR="007D2A28" w:rsidRPr="002769C4" w:rsidRDefault="007D2A28" w:rsidP="007D2A28">
      <w:r>
        <w:t>Generally, Providers</w:t>
      </w:r>
      <w:r w:rsidRPr="002769C4">
        <w:t xml:space="preserve"> must process </w:t>
      </w:r>
      <w:r>
        <w:t>requests for access to personal information and requests for correction of personal information. If a Provider receives such a request, they must provide a response within 30 calendar days after the request is made</w:t>
      </w:r>
      <w:r w:rsidRPr="002769C4">
        <w:t>.</w:t>
      </w:r>
    </w:p>
    <w:p w14:paraId="737AE918" w14:textId="77777777" w:rsidR="007D2A28" w:rsidRPr="002769C4" w:rsidRDefault="007D2A28" w:rsidP="007D2A28">
      <w:r>
        <w:t>C</w:t>
      </w:r>
      <w:r w:rsidRPr="002769C4">
        <w:t xml:space="preserve">ertain requests must be directed to the </w:t>
      </w:r>
      <w:r>
        <w:t>D</w:t>
      </w:r>
      <w:r w:rsidRPr="002769C4">
        <w:t>epartment for consideration where they encompass records containing information falling within the following categories:</w:t>
      </w:r>
    </w:p>
    <w:p w14:paraId="4D4D3E98" w14:textId="77777777" w:rsidR="007D2A28" w:rsidRPr="002769C4" w:rsidRDefault="007D2A28" w:rsidP="007D2A28">
      <w:pPr>
        <w:pStyle w:val="BulletLevel1"/>
      </w:pPr>
      <w:r w:rsidRPr="002769C4">
        <w:t>records also containing information about another person</w:t>
      </w:r>
    </w:p>
    <w:p w14:paraId="2767373E" w14:textId="77777777" w:rsidR="007D2A28" w:rsidRPr="002769C4" w:rsidRDefault="007D2A28" w:rsidP="007D2A28">
      <w:pPr>
        <w:pStyle w:val="BulletLevel1"/>
      </w:pPr>
      <w:r w:rsidRPr="002769C4">
        <w:t>medical/psychiatric records (other than those actually supplied by the individual, or where it is clear that the individual has a copy or has previously sighted a copy of the records)</w:t>
      </w:r>
    </w:p>
    <w:p w14:paraId="3DBF2030" w14:textId="77777777" w:rsidR="007D2A28" w:rsidRPr="002769C4" w:rsidRDefault="007D2A28" w:rsidP="007D2A28">
      <w:pPr>
        <w:pStyle w:val="BulletLevel1"/>
      </w:pPr>
      <w:r w:rsidRPr="002769C4">
        <w:t>psychological records</w:t>
      </w:r>
      <w:r>
        <w:t>, and</w:t>
      </w:r>
    </w:p>
    <w:p w14:paraId="6842A308" w14:textId="77777777" w:rsidR="007D2A28" w:rsidRPr="002769C4" w:rsidRDefault="007D2A28" w:rsidP="007D2A28">
      <w:pPr>
        <w:pStyle w:val="BulletLevel1"/>
      </w:pPr>
      <w:r w:rsidRPr="002769C4">
        <w:t>information provided by other third parties.</w:t>
      </w:r>
    </w:p>
    <w:p w14:paraId="5F7562B0" w14:textId="77777777" w:rsidR="007D2A28" w:rsidRDefault="007D2A28" w:rsidP="007D2A28">
      <w:r w:rsidRPr="005E27B3">
        <w:lastRenderedPageBreak/>
        <w:t xml:space="preserve">Providers </w:t>
      </w:r>
      <w:r w:rsidRPr="0034021E">
        <w:rPr>
          <w:b/>
          <w:bCs/>
        </w:rPr>
        <w:t>must not</w:t>
      </w:r>
      <w:r w:rsidRPr="005E27B3">
        <w:t xml:space="preserve"> direct a request to the Department without first considering whether they are obliged to process the request.</w:t>
      </w:r>
    </w:p>
    <w:p w14:paraId="3557F2A6" w14:textId="77777777" w:rsidR="007D2A28" w:rsidRPr="000E71E8" w:rsidRDefault="007D2A28" w:rsidP="007D2A28">
      <w:r w:rsidRPr="000E71E8">
        <w:t xml:space="preserve">If </w:t>
      </w:r>
      <w:r>
        <w:t>an individual</w:t>
      </w:r>
      <w:r w:rsidRPr="002769C4">
        <w:t xml:space="preserve"> is seeking access to personal information on behalf of another individual, </w:t>
      </w:r>
      <w:r>
        <w:t>P</w:t>
      </w:r>
      <w:r w:rsidRPr="002769C4">
        <w:t xml:space="preserve">roviders must obtain written authority from the individual whose personal information is being sought before releasing any documents. </w:t>
      </w:r>
      <w:r>
        <w:t>At a minimum, an authority should state the individual’s name, include a description of the documents that they are authorising the release of, who the documents can be released to and bear the individual’s signature.</w:t>
      </w:r>
    </w:p>
    <w:p w14:paraId="0A0495B0" w14:textId="636B2613" w:rsidR="007D2A28" w:rsidRDefault="007D2A28" w:rsidP="007D2A28">
      <w:pPr>
        <w:rPr>
          <w:rStyle w:val="Hyperlink"/>
        </w:rPr>
      </w:pPr>
      <w:r w:rsidRPr="002769C4">
        <w:t xml:space="preserve">If the </w:t>
      </w:r>
      <w:r>
        <w:t>P</w:t>
      </w:r>
      <w:r w:rsidRPr="002769C4">
        <w:t xml:space="preserve">rovider is unable to obtain written authority, they should </w:t>
      </w:r>
      <w:r>
        <w:t xml:space="preserve">inform the individual that they may wish to make a request under </w:t>
      </w:r>
      <w:bookmarkStart w:id="721" w:name="_Hlk95987037"/>
      <w:r>
        <w:t xml:space="preserve">the </w:t>
      </w:r>
      <w:r w:rsidRPr="00F922EC">
        <w:rPr>
          <w:i/>
        </w:rPr>
        <w:t>Freedom of Information Act 1982</w:t>
      </w:r>
      <w:r>
        <w:t xml:space="preserve"> (FOI Act). </w:t>
      </w:r>
      <w:bookmarkEnd w:id="721"/>
      <w:r>
        <w:t xml:space="preserve">Requests under the FOI Act should be directed </w:t>
      </w:r>
      <w:r w:rsidR="00186BBE">
        <w:t xml:space="preserve">to </w:t>
      </w:r>
      <w:r w:rsidRPr="002769C4">
        <w:t xml:space="preserve">the </w:t>
      </w:r>
      <w:r>
        <w:t>D</w:t>
      </w:r>
      <w:r w:rsidRPr="002769C4">
        <w:t>epartment</w:t>
      </w:r>
      <w:r w:rsidR="00163395">
        <w:t xml:space="preserve"> via</w:t>
      </w:r>
      <w:r w:rsidRPr="002769C4">
        <w:t xml:space="preserve"> </w:t>
      </w:r>
      <w:hyperlink r:id="rId54" w:history="1">
        <w:r w:rsidR="00591984" w:rsidRPr="00DD4A12">
          <w:rPr>
            <w:rStyle w:val="Hyperlink"/>
          </w:rPr>
          <w:t>FOI@dewr.gov.au</w:t>
        </w:r>
      </w:hyperlink>
      <w:r w:rsidRPr="002769C4">
        <w:rPr>
          <w:rStyle w:val="Hyperlink"/>
        </w:rPr>
        <w:t>.</w:t>
      </w:r>
    </w:p>
    <w:p w14:paraId="6CEF2A12" w14:textId="77777777" w:rsidR="007D2A28" w:rsidRPr="003C17C9" w:rsidRDefault="007D2A28" w:rsidP="007D2A28">
      <w:pPr>
        <w:pStyle w:val="Heading3"/>
      </w:pPr>
      <w:r w:rsidRPr="00EE4DD7">
        <w:t>Freedom of Information requests</w:t>
      </w:r>
    </w:p>
    <w:p w14:paraId="2E2DEA07" w14:textId="77777777" w:rsidR="007D2A28" w:rsidRPr="003C17C9" w:rsidRDefault="007D2A28" w:rsidP="007D2A28">
      <w:pPr>
        <w:pStyle w:val="1AllTextNormalParagraph"/>
      </w:pPr>
      <w:r w:rsidRPr="003C17C9">
        <w:t xml:space="preserve">Under the Deeds, Providers are required to assist the Department in processing requests under the </w:t>
      </w:r>
      <w:r w:rsidRPr="008630BC">
        <w:t>FOI Act</w:t>
      </w:r>
      <w:r w:rsidRPr="003C17C9">
        <w:t xml:space="preserve"> by providing Records</w:t>
      </w:r>
      <w:r>
        <w:t xml:space="preserve"> (digital or physical)</w:t>
      </w:r>
      <w:r w:rsidRPr="003C17C9">
        <w:t xml:space="preserve"> in their possession that are relevant to a request. </w:t>
      </w:r>
      <w:r>
        <w:t>An individual seeking to access documents containing their personal information may submit a request for access under either the Privacy Act or the FOI Act. However, where the document being sought does not contain their personal information, access is not available under the Privacy Act as the Privacy Act only applies to personal information.</w:t>
      </w:r>
    </w:p>
    <w:p w14:paraId="3277E131" w14:textId="58EB4488" w:rsidR="007D2A28" w:rsidRDefault="007D2A28" w:rsidP="007D2A28">
      <w:r>
        <w:t xml:space="preserve">Requests under the FOI Act should be directed </w:t>
      </w:r>
      <w:r w:rsidR="00A3088E">
        <w:t xml:space="preserve">to </w:t>
      </w:r>
      <w:r w:rsidRPr="002769C4">
        <w:t xml:space="preserve">the </w:t>
      </w:r>
      <w:r>
        <w:t>D</w:t>
      </w:r>
      <w:r w:rsidRPr="002769C4">
        <w:t>epartment</w:t>
      </w:r>
      <w:r w:rsidR="00D41945">
        <w:t xml:space="preserve"> </w:t>
      </w:r>
      <w:r w:rsidR="00163395">
        <w:t>via</w:t>
      </w:r>
      <w:r w:rsidRPr="002769C4">
        <w:t xml:space="preserve"> </w:t>
      </w:r>
      <w:hyperlink r:id="rId55" w:history="1">
        <w:r w:rsidR="00591984">
          <w:rPr>
            <w:rStyle w:val="Hyperlink"/>
          </w:rPr>
          <w:t>FOI@dewr.gov.au</w:t>
        </w:r>
      </w:hyperlink>
      <w:r w:rsidRPr="002769C4">
        <w:rPr>
          <w:rStyle w:val="Hyperlink"/>
        </w:rPr>
        <w:t>.</w:t>
      </w:r>
    </w:p>
    <w:p w14:paraId="3C06D5B0" w14:textId="77777777" w:rsidR="007D2A28" w:rsidRDefault="007D2A28" w:rsidP="007D2A28">
      <w:pPr>
        <w:pStyle w:val="Heading2"/>
      </w:pPr>
      <w:bookmarkStart w:id="722" w:name="_Use_and_disclosure"/>
      <w:bookmarkStart w:id="723" w:name="_Toc95896786"/>
      <w:bookmarkStart w:id="724" w:name="_Toc96000568"/>
      <w:bookmarkStart w:id="725" w:name="_Toc84490393"/>
      <w:bookmarkStart w:id="726" w:name="_Toc84490395"/>
      <w:bookmarkStart w:id="727" w:name="_Toc96000573"/>
      <w:bookmarkStart w:id="728" w:name="_Toc95896797"/>
      <w:bookmarkEnd w:id="722"/>
      <w:r>
        <w:t xml:space="preserve">Use and disclosure of </w:t>
      </w:r>
      <w:bookmarkEnd w:id="723"/>
      <w:r>
        <w:t>Protected Information</w:t>
      </w:r>
      <w:bookmarkEnd w:id="724"/>
      <w:r>
        <w:t xml:space="preserve"> </w:t>
      </w:r>
      <w:bookmarkEnd w:id="725"/>
    </w:p>
    <w:p w14:paraId="6D40A650" w14:textId="77777777" w:rsidR="007D2A28" w:rsidRDefault="007D2A28" w:rsidP="007D2A28">
      <w:r>
        <w:t xml:space="preserve">Protected Information is </w:t>
      </w:r>
      <w:r w:rsidDel="005B6259">
        <w:t xml:space="preserve">information </w:t>
      </w:r>
      <w:r>
        <w:t>about a person that was obtained by an officer under the Social Security Law, and is held or was held in the records of the Department or Services Australia.</w:t>
      </w:r>
      <w:r w:rsidRPr="00D63E06">
        <w:t xml:space="preserve"> </w:t>
      </w:r>
      <w:r>
        <w:t xml:space="preserve">Protected information </w:t>
      </w:r>
      <w:r w:rsidRPr="007E66C1">
        <w:t>may</w:t>
      </w:r>
      <w:r>
        <w:t xml:space="preserve"> also</w:t>
      </w:r>
      <w:r w:rsidRPr="007E66C1">
        <w:t xml:space="preserve"> be personal information </w:t>
      </w:r>
      <w:r>
        <w:t>under</w:t>
      </w:r>
      <w:r w:rsidRPr="007E66C1">
        <w:t xml:space="preserve"> the Privacy Act.</w:t>
      </w:r>
    </w:p>
    <w:p w14:paraId="6439420C" w14:textId="77777777" w:rsidR="007D2A28" w:rsidRDefault="007D2A28" w:rsidP="007D2A28">
      <w:r>
        <w:t>For example, if an individual receives a social security benefit or payment, that individual’s information (including their name, date of birth and contact details) will likely be both personal and Protected Information.</w:t>
      </w:r>
    </w:p>
    <w:p w14:paraId="17D0F4B1" w14:textId="270785F2" w:rsidR="006C3AE8" w:rsidRDefault="00A36967" w:rsidP="007D2A28">
      <w:bookmarkStart w:id="729" w:name="_Hlk158220410"/>
      <w:r>
        <w:t xml:space="preserve">Protected information does not include information about </w:t>
      </w:r>
      <w:r w:rsidRPr="00EA63EA">
        <w:t>a person voluntarily participating in an employment services program</w:t>
      </w:r>
      <w:r>
        <w:t xml:space="preserve">. For the purpose of this section, a person is voluntarily participating where they have not applied to receive a social security payment from Services Australia and chooses to participate in an employment program. Information about those individuals will not be protected information, but will </w:t>
      </w:r>
      <w:r w:rsidRPr="00E466C5">
        <w:t>still</w:t>
      </w:r>
      <w:r>
        <w:t xml:space="preserve"> be personal information under the Privacy Act. </w:t>
      </w:r>
      <w:bookmarkEnd w:id="729"/>
    </w:p>
    <w:p w14:paraId="03A7B149" w14:textId="77777777" w:rsidR="007D2A28" w:rsidRPr="00B57DC4" w:rsidRDefault="007D2A28" w:rsidP="007D2A28">
      <w:pPr>
        <w:pStyle w:val="Heading3"/>
      </w:pPr>
      <w:r w:rsidRPr="00B57DC4">
        <w:t xml:space="preserve">Offences related to </w:t>
      </w:r>
      <w:r>
        <w:t>Protected Information</w:t>
      </w:r>
    </w:p>
    <w:p w14:paraId="5348F8B6" w14:textId="77777777" w:rsidR="007D2A28" w:rsidRDefault="007D2A28" w:rsidP="007D2A28">
      <w:r>
        <w:t xml:space="preserve">It is an offence under the </w:t>
      </w:r>
      <w:r w:rsidRPr="00B86845">
        <w:rPr>
          <w:i/>
          <w:iCs/>
        </w:rPr>
        <w:t>Social Security (Administration) Act 1999</w:t>
      </w:r>
      <w:r w:rsidRPr="00F74196">
        <w:t xml:space="preserve"> (</w:t>
      </w:r>
      <w:r>
        <w:t>Administration Act) for a person to intentionally obtain, make a record of, disclose to any other person, or otherwise use, Protected Information if the person:</w:t>
      </w:r>
    </w:p>
    <w:p w14:paraId="317A4AFD" w14:textId="77777777" w:rsidR="007D2A28" w:rsidRDefault="007D2A28" w:rsidP="007D2A28">
      <w:pPr>
        <w:pStyle w:val="BulletLevel1"/>
      </w:pPr>
      <w:r>
        <w:t>is not authorised by or under the Social Security Law to do so, and</w:t>
      </w:r>
    </w:p>
    <w:p w14:paraId="3B9BA2D4" w14:textId="77777777" w:rsidR="007D2A28" w:rsidRDefault="007D2A28" w:rsidP="007D2A28">
      <w:pPr>
        <w:pStyle w:val="BulletLevel1"/>
      </w:pPr>
      <w:r>
        <w:t xml:space="preserve">the person knows, or ought reasonably to know, that the information is Protected Information. </w:t>
      </w:r>
    </w:p>
    <w:p w14:paraId="5CC26D77" w14:textId="77777777" w:rsidR="007D2A28" w:rsidRDefault="007D2A28" w:rsidP="007D2A28">
      <w:r>
        <w:t>This means the Provider’s Personnel may commit a criminal offence if they:</w:t>
      </w:r>
    </w:p>
    <w:p w14:paraId="29EE4EE4" w14:textId="77777777" w:rsidR="007D2A28" w:rsidRDefault="007D2A28" w:rsidP="007D2A28">
      <w:pPr>
        <w:pStyle w:val="BulletLevel1"/>
      </w:pPr>
      <w:r>
        <w:lastRenderedPageBreak/>
        <w:t>search for, or access, Protected Information not required for their duties</w:t>
      </w:r>
    </w:p>
    <w:p w14:paraId="36554071" w14:textId="77777777" w:rsidR="007D2A28" w:rsidRDefault="007D2A28" w:rsidP="007D2A28">
      <w:pPr>
        <w:pStyle w:val="BulletLevel1"/>
      </w:pPr>
      <w:r>
        <w:t xml:space="preserve">make copies of Protected Information where not authorised </w:t>
      </w:r>
    </w:p>
    <w:p w14:paraId="7F96110E" w14:textId="77777777" w:rsidR="007D2A28" w:rsidRDefault="007D2A28" w:rsidP="007D2A28">
      <w:pPr>
        <w:pStyle w:val="BulletLevel1"/>
      </w:pPr>
      <w:r>
        <w:t>disclose Protected Information to other staff or third parties who do not need to know that information</w:t>
      </w:r>
    </w:p>
    <w:p w14:paraId="3B193667" w14:textId="77777777" w:rsidR="007D2A28" w:rsidRDefault="007D2A28" w:rsidP="007D2A28">
      <w:pPr>
        <w:pStyle w:val="BulletLevel1"/>
      </w:pPr>
      <w:r>
        <w:t>otherwise use Protected Information where not permitted.</w:t>
      </w:r>
    </w:p>
    <w:p w14:paraId="5148F20C" w14:textId="77777777" w:rsidR="007D2A28" w:rsidRPr="00B57DC4" w:rsidRDefault="007D2A28" w:rsidP="007D2A28">
      <w:pPr>
        <w:pStyle w:val="Heading3"/>
      </w:pPr>
      <w:r w:rsidRPr="00B57DC4">
        <w:t xml:space="preserve">Permitted uses of </w:t>
      </w:r>
      <w:r>
        <w:t>Protected Information</w:t>
      </w:r>
    </w:p>
    <w:p w14:paraId="767A8E06" w14:textId="77777777" w:rsidR="007D2A28" w:rsidRDefault="007D2A28" w:rsidP="007D2A28">
      <w:r>
        <w:t xml:space="preserve">Providers are permitted to obtain, make records of, use and disclose Protected Information where this is authorised or required by the Social Security Law, such as: </w:t>
      </w:r>
    </w:p>
    <w:p w14:paraId="56A769F3" w14:textId="77777777" w:rsidR="007D2A28" w:rsidRDefault="007D2A28" w:rsidP="007D2A28">
      <w:pPr>
        <w:pStyle w:val="BulletLevel1"/>
      </w:pPr>
      <w:r>
        <w:t>for the purposes of the Social Security Law, such as ensuring that an individual enters into, and complies with their Job Plan, or</w:t>
      </w:r>
    </w:p>
    <w:p w14:paraId="6F986D29" w14:textId="77777777" w:rsidR="007D2A28" w:rsidRDefault="007D2A28" w:rsidP="007D2A28">
      <w:pPr>
        <w:pStyle w:val="BulletLevel1"/>
      </w:pPr>
      <w:r>
        <w:t>to deliver the Services.</w:t>
      </w:r>
    </w:p>
    <w:p w14:paraId="45A0AE96" w14:textId="77777777" w:rsidR="007D2A28" w:rsidRDefault="007D2A28" w:rsidP="007D2A28">
      <w:r>
        <w:t xml:space="preserve">Providers may also make a record, use and disclose an individual’s Protected Information where that individual provides express or implied consent to that use or disclosure. This may be helpful where a Provider wishes to assist or support an individual by providing their information with their consent to a third party. </w:t>
      </w:r>
    </w:p>
    <w:p w14:paraId="40569186" w14:textId="77777777" w:rsidR="007D2A28" w:rsidRPr="00B57DC4" w:rsidRDefault="007D2A28" w:rsidP="007D2A28">
      <w:pPr>
        <w:pStyle w:val="Heading3"/>
      </w:pPr>
      <w:bookmarkStart w:id="730" w:name="_Public_Interest_Certificates"/>
      <w:bookmarkStart w:id="731" w:name="_Toc95896789"/>
      <w:bookmarkEnd w:id="730"/>
      <w:r w:rsidRPr="00B57DC4">
        <w:t>Public Interest Certificates</w:t>
      </w:r>
      <w:bookmarkEnd w:id="731"/>
    </w:p>
    <w:p w14:paraId="5419A422" w14:textId="2286A4A5" w:rsidR="007D2A28" w:rsidRDefault="007D2A28" w:rsidP="007D2A28">
      <w:r>
        <w:t xml:space="preserve">In addition to the permitted uses discussed above, Providers may disclose Protected Information </w:t>
      </w:r>
      <w:r w:rsidR="008E6831">
        <w:t xml:space="preserve">to certain persons </w:t>
      </w:r>
      <w:r>
        <w:t xml:space="preserve">where this is authorised by a Public Interest Certificate (PIC). A PIC identifies the information that can be </w:t>
      </w:r>
      <w:r w:rsidR="004C2E24">
        <w:t>disclosed</w:t>
      </w:r>
      <w:r>
        <w:t xml:space="preserve">, the purposes for which the Protected Information can be disclosed and to whom the information can be disclosed. The PIC may also specify who can </w:t>
      </w:r>
      <w:r w:rsidR="00F73460">
        <w:t xml:space="preserve">disclose </w:t>
      </w:r>
      <w:r>
        <w:t>the information.</w:t>
      </w:r>
    </w:p>
    <w:p w14:paraId="76BAA01D" w14:textId="77777777" w:rsidR="007D2A28" w:rsidRPr="00AD2B2F" w:rsidRDefault="007D2A28" w:rsidP="007D2A28">
      <w:pPr>
        <w:pStyle w:val="Heading4"/>
      </w:pPr>
      <w:bookmarkStart w:id="732" w:name="_Toc95896790"/>
      <w:r>
        <w:t>Class PICs</w:t>
      </w:r>
      <w:bookmarkEnd w:id="732"/>
    </w:p>
    <w:p w14:paraId="709D6AB9" w14:textId="5FA31F75" w:rsidR="007D2A28" w:rsidRDefault="007D2A28" w:rsidP="00870A13">
      <w:pPr>
        <w:pStyle w:val="1AllTextNormalParagraph"/>
      </w:pPr>
      <w:r>
        <w:t xml:space="preserve">The Department’s Secretary has issued </w:t>
      </w:r>
      <w:hyperlink r:id="rId56" w:history="1">
        <w:r w:rsidRPr="00807D86">
          <w:rPr>
            <w:rStyle w:val="Hyperlink"/>
          </w:rPr>
          <w:t xml:space="preserve">Social Security </w:t>
        </w:r>
        <w:r w:rsidR="007E3AED">
          <w:rPr>
            <w:rStyle w:val="Hyperlink"/>
          </w:rPr>
          <w:t>(</w:t>
        </w:r>
        <w:r w:rsidRPr="00807D86">
          <w:rPr>
            <w:rStyle w:val="Hyperlink"/>
          </w:rPr>
          <w:t>Administration</w:t>
        </w:r>
        <w:r w:rsidR="007E3AED">
          <w:rPr>
            <w:rStyle w:val="Hyperlink"/>
          </w:rPr>
          <w:t>)</w:t>
        </w:r>
        <w:r w:rsidRPr="00807D86">
          <w:rPr>
            <w:rStyle w:val="Hyperlink"/>
          </w:rPr>
          <w:t xml:space="preserve"> </w:t>
        </w:r>
        <w:r w:rsidR="007E3AED">
          <w:rPr>
            <w:rStyle w:val="Hyperlink"/>
          </w:rPr>
          <w:t>(</w:t>
        </w:r>
        <w:r w:rsidRPr="00807D86">
          <w:rPr>
            <w:rStyle w:val="Hyperlink"/>
          </w:rPr>
          <w:t>Class of Cases</w:t>
        </w:r>
        <w:r w:rsidR="007E3AED">
          <w:rPr>
            <w:rStyle w:val="Hyperlink"/>
          </w:rPr>
          <w:t>)</w:t>
        </w:r>
        <w:r w:rsidRPr="00807D86">
          <w:rPr>
            <w:rStyle w:val="Hyperlink"/>
          </w:rPr>
          <w:t xml:space="preserve"> Public Interest Certificate 2022</w:t>
        </w:r>
      </w:hyperlink>
      <w:r w:rsidRPr="00605EA8">
        <w:t xml:space="preserve"> (</w:t>
      </w:r>
      <w:r w:rsidRPr="00870A13">
        <w:rPr>
          <w:rStyle w:val="1AllTextNormalCharacter"/>
        </w:rPr>
        <w:t>the Class PIC</w:t>
      </w:r>
      <w:r w:rsidRPr="00605EA8">
        <w:t xml:space="preserve">). </w:t>
      </w:r>
      <w:r w:rsidR="005B4D3A">
        <w:t>U</w:t>
      </w:r>
      <w:r w:rsidRPr="00605EA8">
        <w:t xml:space="preserve">nder the </w:t>
      </w:r>
      <w:hyperlink r:id="rId57" w:history="1">
        <w:r w:rsidRPr="00870A13">
          <w:rPr>
            <w:rStyle w:val="Hyperlink"/>
          </w:rPr>
          <w:t>Instrument of Delegation</w:t>
        </w:r>
      </w:hyperlink>
      <w:r w:rsidRPr="00605EA8">
        <w:t xml:space="preserve">, </w:t>
      </w:r>
      <w:r>
        <w:t>t</w:t>
      </w:r>
      <w:r w:rsidRPr="00605EA8">
        <w:t>he Secretary has delegated the power to disclose information</w:t>
      </w:r>
      <w:r w:rsidR="009E4474">
        <w:t xml:space="preserve"> </w:t>
      </w:r>
      <w:r w:rsidR="009E4474" w:rsidRPr="009E4474">
        <w:t>in accordance with the Class PIC,</w:t>
      </w:r>
      <w:r w:rsidRPr="00605EA8">
        <w:t xml:space="preserve"> to all persons engaged by an organisation contracted by the Department to deliver employment services for the Commonwealth (i.e. a Provider) who have completed the Department’s </w:t>
      </w:r>
      <w:hyperlink r:id="rId58" w:history="1">
        <w:r w:rsidRPr="00322353">
          <w:rPr>
            <w:rStyle w:val="Hyperlink"/>
          </w:rPr>
          <w:t>Information Exchange and Privacy training</w:t>
        </w:r>
      </w:hyperlink>
      <w:r w:rsidRPr="00605EA8">
        <w:t xml:space="preserve"> (available on the Learning Centre).</w:t>
      </w:r>
      <w:r w:rsidR="009E4474">
        <w:t xml:space="preserve"> </w:t>
      </w:r>
      <w:r w:rsidR="009E4474" w:rsidRPr="009E4474">
        <w:t>Provider Personnel should be up to date with this training (i.e. completed within the previous 12 months). Each person who meets these criteria is referred to as a ‘delegate’ for the purposes of the Class PIC.</w:t>
      </w:r>
      <w:r w:rsidRPr="00605EA8">
        <w:t xml:space="preserve"> </w:t>
      </w:r>
    </w:p>
    <w:p w14:paraId="459220B9" w14:textId="1D875191" w:rsidR="009E4474" w:rsidRPr="00605EA8" w:rsidRDefault="009E4474" w:rsidP="00FD7C7F">
      <w:pPr>
        <w:pStyle w:val="Heading5"/>
      </w:pPr>
      <w:r w:rsidRPr="009E4474">
        <w:t>Preventing or lessening a threat</w:t>
      </w:r>
    </w:p>
    <w:p w14:paraId="62143484" w14:textId="0FFAAAF7" w:rsidR="007D2A28" w:rsidRPr="00605EA8" w:rsidRDefault="007D2A28" w:rsidP="007D2A28">
      <w:r>
        <w:t>A delegate</w:t>
      </w:r>
      <w:r w:rsidR="004C2E24">
        <w:t xml:space="preserve"> </w:t>
      </w:r>
      <w:r>
        <w:t xml:space="preserve">may disclose Protected Information about an individual under the Class PIC </w:t>
      </w:r>
      <w:r w:rsidR="00FF5309" w:rsidRPr="00FF5309">
        <w:t>to police, emergency services, an emergency call service “Triple Zero”, health service providers, or child protection agencies</w:t>
      </w:r>
      <w:r>
        <w:t>:</w:t>
      </w:r>
    </w:p>
    <w:p w14:paraId="069F8940" w14:textId="3B0F5353" w:rsidR="007D2A28" w:rsidRPr="00605EA8" w:rsidRDefault="00FF5309" w:rsidP="007D2A28">
      <w:pPr>
        <w:pStyle w:val="BulletLevel1"/>
      </w:pPr>
      <w:r>
        <w:t xml:space="preserve">where </w:t>
      </w:r>
      <w:r w:rsidR="007D2A28" w:rsidRPr="00605EA8">
        <w:t>the</w:t>
      </w:r>
      <w:r w:rsidR="00A41A6C">
        <w:t xml:space="preserve"> person making the request</w:t>
      </w:r>
      <w:r w:rsidR="007D2A28" w:rsidRPr="00605EA8">
        <w:t xml:space="preserve"> cannot reasonably obtain the information from another source, and </w:t>
      </w:r>
    </w:p>
    <w:p w14:paraId="316103E3" w14:textId="6F1885EB" w:rsidR="007D2A28" w:rsidRPr="00605EA8" w:rsidRDefault="007D2A28" w:rsidP="007D2A28">
      <w:pPr>
        <w:pStyle w:val="BulletLevel1"/>
      </w:pPr>
      <w:r w:rsidRPr="00605EA8">
        <w:t xml:space="preserve">the individual </w:t>
      </w:r>
      <w:r w:rsidR="0087080D">
        <w:t xml:space="preserve">to whom the information relates </w:t>
      </w:r>
      <w:r w:rsidRPr="00605EA8">
        <w:t xml:space="preserve">is unable, refuses, or is likely to refuse to provide information to those specific persons, and </w:t>
      </w:r>
    </w:p>
    <w:p w14:paraId="71DEF8AC" w14:textId="02118DC3" w:rsidR="007D2A28" w:rsidRPr="00605EA8" w:rsidRDefault="007D2A28" w:rsidP="007D2A28">
      <w:pPr>
        <w:pStyle w:val="BulletLevel1"/>
      </w:pPr>
      <w:r w:rsidRPr="00605EA8">
        <w:lastRenderedPageBreak/>
        <w:t xml:space="preserve">disclosure of the information is necessary to prevent or lessen a threat to the life, health or welfare of </w:t>
      </w:r>
      <w:r w:rsidR="00820774">
        <w:t>a</w:t>
      </w:r>
      <w:r w:rsidR="00820774" w:rsidRPr="00605EA8">
        <w:t xml:space="preserve"> </w:t>
      </w:r>
      <w:r w:rsidRPr="00605EA8">
        <w:t>person.</w:t>
      </w:r>
    </w:p>
    <w:p w14:paraId="38D5B36D" w14:textId="4C410508" w:rsidR="00FF5309" w:rsidRDefault="00FF5309" w:rsidP="00FD7C7F">
      <w:pPr>
        <w:pStyle w:val="Heading5"/>
      </w:pPr>
      <w:r w:rsidRPr="00FF5309">
        <w:t>Offences against the Commonwealth, Commonwealth officers, or offences in Provider premises</w:t>
      </w:r>
    </w:p>
    <w:p w14:paraId="11F6DD31" w14:textId="6E4A70C9" w:rsidR="007D2A28" w:rsidRDefault="007D2A28" w:rsidP="007D2A28">
      <w:pPr>
        <w:pStyle w:val="1AllTextNormalParagraph"/>
      </w:pPr>
      <w:r w:rsidRPr="00605EA8">
        <w:t xml:space="preserve">A delegate may also </w:t>
      </w:r>
      <w:r>
        <w:t>disclose Protected Information about an individual to the police under the Class PIC:</w:t>
      </w:r>
    </w:p>
    <w:p w14:paraId="46905A45" w14:textId="77777777" w:rsidR="007D2A28" w:rsidRPr="00605EA8" w:rsidRDefault="007D2A28" w:rsidP="007D2A28">
      <w:pPr>
        <w:pStyle w:val="BulletLevel1"/>
      </w:pPr>
      <w:r w:rsidRPr="00605EA8">
        <w:t>where the police cannot reasonably obtain the information from another source, and</w:t>
      </w:r>
    </w:p>
    <w:p w14:paraId="2AE3EF1F" w14:textId="06CD11F7" w:rsidR="007D2A28" w:rsidRPr="00605EA8" w:rsidRDefault="007D2A28" w:rsidP="007D2A28">
      <w:pPr>
        <w:pStyle w:val="BulletLevel1"/>
      </w:pPr>
      <w:r w:rsidRPr="00605EA8">
        <w:t>the individual</w:t>
      </w:r>
      <w:r w:rsidR="0084799E">
        <w:t xml:space="preserve"> to whom the information relates</w:t>
      </w:r>
      <w:r w:rsidRPr="00605EA8">
        <w:t xml:space="preserve"> is unable, refuses, or is likely to refuse to provide information to the police, and </w:t>
      </w:r>
    </w:p>
    <w:p w14:paraId="05593AE0" w14:textId="3CFE53AE" w:rsidR="007D2A28" w:rsidRDefault="000528CF" w:rsidP="007D2A28">
      <w:pPr>
        <w:pStyle w:val="BulletLevel1"/>
      </w:pPr>
      <w:r>
        <w:t xml:space="preserve">the disclosure </w:t>
      </w:r>
      <w:r w:rsidR="005E1ECF" w:rsidRPr="005E1ECF">
        <w:t xml:space="preserve">of the information is necessary because </w:t>
      </w:r>
      <w:r w:rsidR="007D2A28" w:rsidRPr="00605EA8">
        <w:t xml:space="preserve">an offence or threatened offence has occurred against an officer, or against Commonwealth property, or in premises occupied by an </w:t>
      </w:r>
      <w:r w:rsidR="005E1ECF">
        <w:t>organisation</w:t>
      </w:r>
      <w:r w:rsidR="007D2A28" w:rsidRPr="00605EA8">
        <w:t xml:space="preserve"> contracted </w:t>
      </w:r>
      <w:r w:rsidR="005E1ECF">
        <w:t>by</w:t>
      </w:r>
      <w:r w:rsidR="005E1ECF" w:rsidRPr="00605EA8">
        <w:t xml:space="preserve"> </w:t>
      </w:r>
      <w:r w:rsidR="007D2A28" w:rsidRPr="00605EA8">
        <w:t>the Department</w:t>
      </w:r>
      <w:r w:rsidR="005E1ECF">
        <w:t xml:space="preserve"> </w:t>
      </w:r>
      <w:r w:rsidR="005E1ECF" w:rsidRPr="005E1ECF">
        <w:t>to provide employment services for the Commonwealth</w:t>
      </w:r>
      <w:r w:rsidR="007D2A28" w:rsidRPr="00605EA8">
        <w:t>.</w:t>
      </w:r>
    </w:p>
    <w:p w14:paraId="7171A4BF" w14:textId="7FC5086F" w:rsidR="007327BB" w:rsidRDefault="007327BB" w:rsidP="00FD7C7F">
      <w:pPr>
        <w:pStyle w:val="Heading5"/>
      </w:pPr>
      <w:r w:rsidRPr="007327BB">
        <w:t>Process for disclosure under the Class PIC</w:t>
      </w:r>
    </w:p>
    <w:p w14:paraId="4B346935" w14:textId="03DD182D" w:rsidR="007D2A28" w:rsidRDefault="007327BB" w:rsidP="007D2A28">
      <w:pPr>
        <w:pStyle w:val="1AllTextNormalParagraph"/>
      </w:pPr>
      <w:r>
        <w:t>T</w:t>
      </w:r>
      <w:r w:rsidR="007D2A28">
        <w:t>he delegate must consider the facts of the case and determine if the Class PIC applies. A delegate may consult with others</w:t>
      </w:r>
      <w:r w:rsidR="004C2E24">
        <w:t xml:space="preserve"> (to the extent Social Security Law allows)</w:t>
      </w:r>
      <w:r w:rsidR="007D2A28">
        <w:t xml:space="preserve"> to determine if the Class PIC applies and, if so, who may be best placed to disclose the information. </w:t>
      </w:r>
    </w:p>
    <w:p w14:paraId="0628C3F5" w14:textId="77777777" w:rsidR="007327BB" w:rsidRPr="007327BB" w:rsidRDefault="007327BB" w:rsidP="007327BB">
      <w:r w:rsidRPr="007327BB">
        <w:t>Where a delegate has determined that the Class PIC applies to a situation, the delegate should only disclose the Protected Information about an individual that is relevant to the purpose. The Protected Information that may be disclosed where relevant is:</w:t>
      </w:r>
    </w:p>
    <w:p w14:paraId="64F23BB5" w14:textId="77777777" w:rsidR="007327BB" w:rsidRPr="007327BB" w:rsidRDefault="007327BB" w:rsidP="007327BB">
      <w:pPr>
        <w:pStyle w:val="BulletLevel1"/>
      </w:pPr>
      <w:r w:rsidRPr="007327BB">
        <w:t>the full name, any previous names and any other names the person is known by;</w:t>
      </w:r>
    </w:p>
    <w:p w14:paraId="3BE98750" w14:textId="77777777" w:rsidR="007327BB" w:rsidRPr="007327BB" w:rsidRDefault="007327BB" w:rsidP="007327BB">
      <w:pPr>
        <w:pStyle w:val="BulletLevel1"/>
      </w:pPr>
      <w:r w:rsidRPr="007327BB">
        <w:t>any contact details (including postal or residential addresses) and telephone numbers; and</w:t>
      </w:r>
    </w:p>
    <w:p w14:paraId="225F29FE" w14:textId="7EFCB072" w:rsidR="007327BB" w:rsidRDefault="007327BB" w:rsidP="00FD7C7F">
      <w:pPr>
        <w:pStyle w:val="BulletLevel1"/>
      </w:pPr>
      <w:r w:rsidRPr="007327BB">
        <w:t>any other information necessary to the purpose for which the information is needed. For example, it is unlikely that providing a Participant’s JSID or Tax File Number will be necessary for any of the purposes specified in the Class PIC. Delegates must ensure that disclosures of information under the Class PIC do not incidentally or otherwise release unnecessary information, including the information of unrelated individuals.</w:t>
      </w:r>
    </w:p>
    <w:p w14:paraId="34B4FB2F" w14:textId="4A9F6CEC" w:rsidR="007D2A28" w:rsidRPr="00605EA8" w:rsidRDefault="007D2A28" w:rsidP="007D2A28">
      <w:r w:rsidRPr="00605EA8">
        <w:t xml:space="preserve">Once the delegate has disclosed the information, they must complete the </w:t>
      </w:r>
      <w:hyperlink r:id="rId59" w:history="1">
        <w:r w:rsidRPr="00322353">
          <w:rPr>
            <w:rStyle w:val="Hyperlink"/>
          </w:rPr>
          <w:t>Release of Protected Information Notification Form</w:t>
        </w:r>
      </w:hyperlink>
      <w:r w:rsidRPr="00605EA8">
        <w:t xml:space="preserve">. Once completed, the Provider must send the completed form to their </w:t>
      </w:r>
      <w:r w:rsidR="008D6555">
        <w:t>Provider Lead</w:t>
      </w:r>
      <w:r w:rsidR="002705B1">
        <w:t xml:space="preserve"> as soon as possible and within 48 hours of the disclosure of information</w:t>
      </w:r>
      <w:r w:rsidRPr="00605EA8">
        <w:t xml:space="preserve">. </w:t>
      </w:r>
    </w:p>
    <w:p w14:paraId="711C15EA" w14:textId="02C8D9B6" w:rsidR="003448AC" w:rsidRDefault="003448AC" w:rsidP="00FD7C7F">
      <w:pPr>
        <w:pStyle w:val="Heading5"/>
      </w:pPr>
      <w:r w:rsidRPr="003448AC">
        <w:t>Process for disclosure of CCTV footage</w:t>
      </w:r>
    </w:p>
    <w:p w14:paraId="2AFD6ABE" w14:textId="5513CE69" w:rsidR="003448AC" w:rsidRDefault="003448AC" w:rsidP="007D2A28">
      <w:pPr>
        <w:rPr>
          <w:lang w:eastAsia="en-AU"/>
        </w:rPr>
      </w:pPr>
      <w:r w:rsidRPr="003448AC">
        <w:t xml:space="preserve">Providers may be asked by police or other third party requestors for copies of CCTV footage to assist in the investigation of the types </w:t>
      </w:r>
      <w:r w:rsidR="00817712">
        <w:t xml:space="preserve">of </w:t>
      </w:r>
      <w:r w:rsidRPr="003448AC">
        <w:t xml:space="preserve">offences referred to in the Class PIC. Where the CCTV footage contains personal information or Protected Information of multiple individuals, Provider staff should not disclose the CCTV footage to police or third party requestors under the Class PIC. If a Provider receives a request for CCTV footage </w:t>
      </w:r>
      <w:r w:rsidRPr="00847908">
        <w:t>containing Protected Information</w:t>
      </w:r>
      <w:r w:rsidRPr="003448AC">
        <w:t xml:space="preserve">, or otherwise wishes to disclose such footage to a third party, the request should be sent to their Provider Lead for consideration by the Department of whether a Specific PIC can be issued. See </w:t>
      </w:r>
      <w:hyperlink r:id="rId60" w:anchor="_Specific_PICs" w:history="1">
        <w:r w:rsidRPr="003448AC">
          <w:rPr>
            <w:rStyle w:val="Hyperlink"/>
          </w:rPr>
          <w:t>Specific PICs</w:t>
        </w:r>
      </w:hyperlink>
      <w:r w:rsidRPr="003448AC">
        <w:t xml:space="preserve"> below for information on what to include in this request. </w:t>
      </w:r>
    </w:p>
    <w:p w14:paraId="27C3FF8A" w14:textId="77777777" w:rsidR="007D2A28" w:rsidRPr="00605EA8" w:rsidRDefault="007D2A28" w:rsidP="007D2A28">
      <w:pPr>
        <w:pStyle w:val="Heading4"/>
      </w:pPr>
      <w:bookmarkStart w:id="733" w:name="_Toc95896791"/>
      <w:r w:rsidRPr="00605EA8">
        <w:lastRenderedPageBreak/>
        <w:t>Specific PICs</w:t>
      </w:r>
      <w:bookmarkEnd w:id="733"/>
    </w:p>
    <w:p w14:paraId="252F0A15" w14:textId="7E7385C1" w:rsidR="007D2A28" w:rsidRDefault="007D2A28" w:rsidP="007D2A28">
      <w:r w:rsidRPr="0067177C">
        <w:t xml:space="preserve">Providers are required to obtain a </w:t>
      </w:r>
      <w:r>
        <w:t xml:space="preserve">specific </w:t>
      </w:r>
      <w:r w:rsidRPr="0067177C">
        <w:t xml:space="preserve">PIC </w:t>
      </w:r>
      <w:r>
        <w:t xml:space="preserve">to release Protected Information in </w:t>
      </w:r>
      <w:r w:rsidRPr="0067177C">
        <w:t>situations that are not covered by the Class PIC</w:t>
      </w:r>
      <w:r>
        <w:t xml:space="preserve"> and disclosure is not otherwise authorised, such as </w:t>
      </w:r>
      <w:r w:rsidR="0019039D">
        <w:t>lack of</w:t>
      </w:r>
      <w:r>
        <w:t xml:space="preserve"> consent of the individual</w:t>
      </w:r>
      <w:r w:rsidR="0019039D">
        <w:t xml:space="preserve"> or individuals</w:t>
      </w:r>
      <w:r>
        <w:t xml:space="preserve">. Examples include: </w:t>
      </w:r>
    </w:p>
    <w:p w14:paraId="18A27CE8" w14:textId="7DEA0D7C" w:rsidR="007D2A28" w:rsidRDefault="007D2A28" w:rsidP="007D2A28">
      <w:pPr>
        <w:pStyle w:val="BulletLevel1"/>
      </w:pPr>
      <w:r w:rsidRPr="0067177C">
        <w:t xml:space="preserve">releasing </w:t>
      </w:r>
      <w:r>
        <w:t>P</w:t>
      </w:r>
      <w:r w:rsidRPr="0067177C">
        <w:t xml:space="preserve">rotected </w:t>
      </w:r>
      <w:r w:rsidR="0019039D">
        <w:t>I</w:t>
      </w:r>
      <w:r w:rsidRPr="0067177C">
        <w:t>nformation to</w:t>
      </w:r>
      <w:r>
        <w:t xml:space="preserve"> P</w:t>
      </w:r>
      <w:r w:rsidRPr="0067177C">
        <w:t xml:space="preserve">olice or other authorities </w:t>
      </w:r>
      <w:r w:rsidR="0019039D" w:rsidRPr="0019039D">
        <w:t xml:space="preserve">where the Class PIC does not apply, such as </w:t>
      </w:r>
      <w:r w:rsidRPr="0067177C">
        <w:t>when there is no threat to anyone’s life, health or welfare; and</w:t>
      </w:r>
    </w:p>
    <w:p w14:paraId="2C9E8961" w14:textId="77777777" w:rsidR="007D2A28" w:rsidRPr="007E66C1" w:rsidRDefault="007D2A28" w:rsidP="007D2A28">
      <w:pPr>
        <w:pStyle w:val="BulletLevel1"/>
      </w:pPr>
      <w:r w:rsidRPr="0067177C">
        <w:t>responding to a subpoena or other notice requiring production of documents.</w:t>
      </w:r>
    </w:p>
    <w:p w14:paraId="6D2D6BD9" w14:textId="77777777" w:rsidR="00D06027" w:rsidRDefault="007D2A28" w:rsidP="002D4E8A">
      <w:r>
        <w:t>P</w:t>
      </w:r>
      <w:r w:rsidRPr="007E66C1">
        <w:t>rovider</w:t>
      </w:r>
      <w:r w:rsidR="00082406">
        <w:t>s</w:t>
      </w:r>
      <w:r w:rsidRPr="007E66C1">
        <w:t xml:space="preserve"> will need to approach the </w:t>
      </w:r>
      <w:r>
        <w:t>Department</w:t>
      </w:r>
      <w:r w:rsidRPr="007E66C1">
        <w:t xml:space="preserve"> through their </w:t>
      </w:r>
      <w:r w:rsidR="008D6555">
        <w:t>Provider Lead</w:t>
      </w:r>
      <w:r w:rsidR="00082406">
        <w:t xml:space="preserve"> (in writing)</w:t>
      </w:r>
      <w:r w:rsidRPr="007E66C1">
        <w:t xml:space="preserve"> to </w:t>
      </w:r>
      <w:r>
        <w:t xml:space="preserve">request </w:t>
      </w:r>
      <w:r w:rsidR="00D90C66">
        <w:t xml:space="preserve">consideration of issuing </w:t>
      </w:r>
      <w:r w:rsidRPr="007E66C1">
        <w:t xml:space="preserve">a </w:t>
      </w:r>
      <w:r>
        <w:t xml:space="preserve">specific </w:t>
      </w:r>
      <w:r w:rsidRPr="007E66C1">
        <w:t>PIC</w:t>
      </w:r>
      <w:r>
        <w:t>. Provider</w:t>
      </w:r>
      <w:r w:rsidR="00D90C66">
        <w:t>s</w:t>
      </w:r>
      <w:r>
        <w:t xml:space="preserve"> should make the request as soon as they become aware of circumstances </w:t>
      </w:r>
      <w:r w:rsidRPr="007E66C1">
        <w:t xml:space="preserve">where they wish to, or are being asked to, disclose </w:t>
      </w:r>
      <w:r>
        <w:t>P</w:t>
      </w:r>
      <w:r w:rsidRPr="007E66C1">
        <w:t xml:space="preserve">rotected </w:t>
      </w:r>
      <w:r>
        <w:t>I</w:t>
      </w:r>
      <w:r w:rsidRPr="007E66C1">
        <w:t>nformation</w:t>
      </w:r>
      <w:r w:rsidR="00C5272A" w:rsidRPr="00C5272A">
        <w:t xml:space="preserve"> to ensure the Department has sufficient time to review and respond to the request.</w:t>
      </w:r>
      <w:r w:rsidR="00C5272A">
        <w:t xml:space="preserve"> </w:t>
      </w:r>
      <w:r w:rsidR="002D4E8A">
        <w:t xml:space="preserve"> </w:t>
      </w:r>
    </w:p>
    <w:p w14:paraId="59553266" w14:textId="7298DB99" w:rsidR="002D4E8A" w:rsidRPr="002D4E8A" w:rsidRDefault="002D4E8A" w:rsidP="002D4E8A">
      <w:r w:rsidRPr="002D4E8A">
        <w:t>As part of any request to the Department, Providers must provide a copy of any request from a third party they have received, and as many details as possible about why the specific PIC is being sought, including the following:</w:t>
      </w:r>
    </w:p>
    <w:p w14:paraId="347B57D6" w14:textId="77777777" w:rsidR="002D4E8A" w:rsidRPr="002D4E8A" w:rsidRDefault="002D4E8A" w:rsidP="002D4E8A">
      <w:pPr>
        <w:pStyle w:val="BulletLevel1"/>
      </w:pPr>
      <w:r w:rsidRPr="002D4E8A">
        <w:t>who the request was made by, their contact person and phone number;</w:t>
      </w:r>
    </w:p>
    <w:p w14:paraId="7AE56BFA" w14:textId="77777777" w:rsidR="002D4E8A" w:rsidRPr="002D4E8A" w:rsidRDefault="002D4E8A" w:rsidP="002D4E8A">
      <w:pPr>
        <w:pStyle w:val="BulletLevel1"/>
      </w:pPr>
      <w:r w:rsidRPr="002D4E8A">
        <w:t xml:space="preserve">why the information is required by the person making the request; </w:t>
      </w:r>
    </w:p>
    <w:p w14:paraId="4E6C61B6" w14:textId="77777777" w:rsidR="002D4E8A" w:rsidRPr="002D4E8A" w:rsidRDefault="002D4E8A" w:rsidP="002D4E8A">
      <w:pPr>
        <w:pStyle w:val="BulletLevel1"/>
      </w:pPr>
      <w:r w:rsidRPr="002D4E8A">
        <w:t>why the information could not be obtained from another source (e.g. what other steps they have taken to try to obtain the information and the outcome of those steps);</w:t>
      </w:r>
    </w:p>
    <w:p w14:paraId="2EED61C1" w14:textId="77777777" w:rsidR="002D4E8A" w:rsidRPr="002D4E8A" w:rsidRDefault="002D4E8A" w:rsidP="002D4E8A">
      <w:pPr>
        <w:pStyle w:val="BulletLevel1"/>
      </w:pPr>
      <w:r w:rsidRPr="002D4E8A">
        <w:t xml:space="preserve">if the request relates to a breach or an alleged breach of a law (criminal or otherwise): </w:t>
      </w:r>
    </w:p>
    <w:p w14:paraId="63CBEC66" w14:textId="77777777" w:rsidR="002D4E8A" w:rsidRPr="002D4E8A" w:rsidRDefault="002D4E8A" w:rsidP="002D4E8A">
      <w:pPr>
        <w:pStyle w:val="BulletLevel2"/>
      </w:pPr>
      <w:r w:rsidRPr="002D4E8A">
        <w:t>what the breach or alleged breach is, including the legislation involved;</w:t>
      </w:r>
    </w:p>
    <w:p w14:paraId="2138E33E" w14:textId="77777777" w:rsidR="002D4E8A" w:rsidRPr="002D4E8A" w:rsidRDefault="002D4E8A" w:rsidP="002D4E8A">
      <w:pPr>
        <w:pStyle w:val="BulletLevel2"/>
      </w:pPr>
      <w:r w:rsidRPr="002D4E8A">
        <w:t xml:space="preserve">the details of imprisonment and/or pecuniary penalties; and </w:t>
      </w:r>
    </w:p>
    <w:p w14:paraId="1E72815D" w14:textId="77777777" w:rsidR="002D4E8A" w:rsidRPr="002D4E8A" w:rsidRDefault="002D4E8A" w:rsidP="002D4E8A">
      <w:pPr>
        <w:pStyle w:val="BulletLevel2"/>
      </w:pPr>
      <w:r w:rsidRPr="002D4E8A">
        <w:t xml:space="preserve">the details surrounding the breach; </w:t>
      </w:r>
    </w:p>
    <w:p w14:paraId="29D99D56" w14:textId="77777777" w:rsidR="002D4E8A" w:rsidRPr="002D4E8A" w:rsidRDefault="002D4E8A" w:rsidP="002D4E8A">
      <w:pPr>
        <w:pStyle w:val="BulletLevel1"/>
      </w:pPr>
      <w:r w:rsidRPr="002D4E8A">
        <w:t>if the request may require the disclosure of CCTV footage:</w:t>
      </w:r>
    </w:p>
    <w:p w14:paraId="1C75A9D6" w14:textId="77777777" w:rsidR="002D4E8A" w:rsidRPr="002D4E8A" w:rsidRDefault="002D4E8A" w:rsidP="002D4E8A">
      <w:pPr>
        <w:pStyle w:val="BulletLevel2"/>
      </w:pPr>
      <w:r w:rsidRPr="002D4E8A">
        <w:t>a summary of what the footage shows, including the relevant individuals visible in the footage and whether they are Participants, Personnel or other third parties (such as bystanders or witnesses);</w:t>
      </w:r>
    </w:p>
    <w:p w14:paraId="6901360E" w14:textId="77777777" w:rsidR="002D4E8A" w:rsidRPr="002D4E8A" w:rsidRDefault="002D4E8A" w:rsidP="002D4E8A">
      <w:pPr>
        <w:pStyle w:val="BulletLevel2"/>
      </w:pPr>
      <w:r w:rsidRPr="002D4E8A">
        <w:t>a copy of the footage, where reasonably available to be extracted and provided to the Department;</w:t>
      </w:r>
    </w:p>
    <w:p w14:paraId="6E83A394" w14:textId="77777777" w:rsidR="002D4E8A" w:rsidRPr="002D4E8A" w:rsidRDefault="002D4E8A" w:rsidP="002D4E8A">
      <w:pPr>
        <w:pStyle w:val="BulletLevel2"/>
      </w:pPr>
      <w:r w:rsidRPr="002D4E8A">
        <w:t>reason for the existence of the CCTV footage; and</w:t>
      </w:r>
    </w:p>
    <w:p w14:paraId="4B276591" w14:textId="77777777" w:rsidR="002D4E8A" w:rsidRPr="002D4E8A" w:rsidRDefault="002D4E8A" w:rsidP="002D4E8A">
      <w:pPr>
        <w:pStyle w:val="BulletLevel2"/>
      </w:pPr>
      <w:r w:rsidRPr="002D4E8A">
        <w:t>confirmation as to whether the Provider is holding footage in the records of the Department, or whether footage is taken on the Department’s behalf (and if this footage is made available to the Department);</w:t>
      </w:r>
    </w:p>
    <w:p w14:paraId="41704ECE" w14:textId="77777777" w:rsidR="002D4E8A" w:rsidRPr="002D4E8A" w:rsidRDefault="002D4E8A" w:rsidP="002D4E8A">
      <w:pPr>
        <w:pStyle w:val="BulletLevel1"/>
      </w:pPr>
      <w:r w:rsidRPr="002D4E8A">
        <w:t>the information that is to be released;</w:t>
      </w:r>
    </w:p>
    <w:p w14:paraId="0C8C1A98" w14:textId="77777777" w:rsidR="002D4E8A" w:rsidRPr="002D4E8A" w:rsidRDefault="002D4E8A" w:rsidP="002D4E8A">
      <w:pPr>
        <w:pStyle w:val="BulletLevel1"/>
      </w:pPr>
      <w:r w:rsidRPr="002D4E8A">
        <w:t>the due date of the request, if applicable. For example, a deadline specified by a subpoena; and</w:t>
      </w:r>
    </w:p>
    <w:p w14:paraId="058B2810" w14:textId="2A8D488D" w:rsidR="002D4E8A" w:rsidRDefault="002D4E8A" w:rsidP="00FD7C7F">
      <w:pPr>
        <w:pStyle w:val="BulletLevel1"/>
      </w:pPr>
      <w:r w:rsidRPr="002D4E8A">
        <w:t>the Provider's assessment of the request, including its assessment of the appropriateness under the Class PIC and why it may not be appropriate to seek the relevant Participant’s consent to the disclosure.</w:t>
      </w:r>
    </w:p>
    <w:p w14:paraId="4BEF3FFE" w14:textId="6A8C0F04" w:rsidR="007D2A28" w:rsidRDefault="007D2A28" w:rsidP="007D2A28">
      <w:r>
        <w:t xml:space="preserve">The Department will not issue a specific PIC in every case and the Provider should </w:t>
      </w:r>
      <w:r w:rsidR="002D4E8A">
        <w:t xml:space="preserve">obtain </w:t>
      </w:r>
      <w:r>
        <w:t>their own independent legal advice before responding to the request for</w:t>
      </w:r>
      <w:r w:rsidR="00D4664B">
        <w:t>, or otherwise disclosing,</w:t>
      </w:r>
      <w:r>
        <w:t xml:space="preserve"> Protected Information. </w:t>
      </w:r>
      <w:r w:rsidR="00D4664B" w:rsidRPr="00D4664B">
        <w:t>Please note, the Department will endeavour to respond to each request before any specified due date or deadline that is reasonable, however, this may not always be possible, and Providers should ensure that they obtain their own independent legal advice.</w:t>
      </w:r>
    </w:p>
    <w:p w14:paraId="3476DD99" w14:textId="77777777" w:rsidR="007D2A28" w:rsidRPr="007C493B" w:rsidRDefault="007D2A28" w:rsidP="007D2A28">
      <w:pPr>
        <w:pStyle w:val="Heading4"/>
      </w:pPr>
      <w:bookmarkStart w:id="734" w:name="_Toc95896792"/>
      <w:r w:rsidRPr="007C493B">
        <w:lastRenderedPageBreak/>
        <w:t>Subpoenas or notices to produce</w:t>
      </w:r>
      <w:bookmarkEnd w:id="734"/>
    </w:p>
    <w:p w14:paraId="4F2006C1" w14:textId="67A9E36B" w:rsidR="007D2A28" w:rsidRPr="001A195C" w:rsidRDefault="007D2A28" w:rsidP="007D2A28">
      <w:r w:rsidRPr="001A195C">
        <w:t xml:space="preserve">If a </w:t>
      </w:r>
      <w:r>
        <w:t>Provider</w:t>
      </w:r>
      <w:r w:rsidRPr="001A195C">
        <w:t xml:space="preserve"> receives a subpoena or a notice to produce from a court which requires disclosure of </w:t>
      </w:r>
      <w:r>
        <w:t>Protected Information</w:t>
      </w:r>
      <w:r w:rsidRPr="001A195C">
        <w:t xml:space="preserve">, the </w:t>
      </w:r>
      <w:r>
        <w:t>Provider</w:t>
      </w:r>
      <w:r w:rsidRPr="001A195C">
        <w:t xml:space="preserve"> must ensure that they comply with all relevant laws, as well as the requirements of the Deed and </w:t>
      </w:r>
      <w:r w:rsidR="004C2E24">
        <w:t>G</w:t>
      </w:r>
      <w:r w:rsidRPr="001A195C">
        <w:t>uidelines, in responding to that subpoena or notice to produce.</w:t>
      </w:r>
    </w:p>
    <w:p w14:paraId="1AB00198" w14:textId="77777777" w:rsidR="007D2A28" w:rsidRDefault="007D2A28" w:rsidP="007D2A28">
      <w:r w:rsidRPr="001A195C">
        <w:t xml:space="preserve">In particular, Providers should have regard to section 207 of the Administration Act in determining whether a Participant’s </w:t>
      </w:r>
      <w:r>
        <w:t>Protected Information</w:t>
      </w:r>
      <w:r w:rsidRPr="001A195C">
        <w:t xml:space="preserve"> can be disclosed.</w:t>
      </w:r>
      <w:r w:rsidRPr="00605EA8">
        <w:t xml:space="preserve"> </w:t>
      </w:r>
      <w:r w:rsidRPr="001A195C">
        <w:t>Providers should obtain their own legal advice, where relevant.</w:t>
      </w:r>
    </w:p>
    <w:p w14:paraId="6D39D1C6" w14:textId="3A37C95E" w:rsidR="007D2A28" w:rsidRDefault="007D2A28" w:rsidP="007D2A28">
      <w:r>
        <w:t>Providers do not need to contact the Department if the Participant has consented to the release of the information</w:t>
      </w:r>
      <w:r w:rsidR="009F5E70" w:rsidRPr="009F5E70">
        <w:t xml:space="preserve"> to a nominated recipient for a specified purpose as requested under a subpoena or notice to produce, irrespective of whether it is related to employment services</w:t>
      </w:r>
      <w:r>
        <w:t xml:space="preserve">. For example, if a Participant is in an unrelated motor vehicle </w:t>
      </w:r>
      <w:r w:rsidR="009F5E70">
        <w:t xml:space="preserve">incident, </w:t>
      </w:r>
      <w:r>
        <w:t xml:space="preserve">they might claim compensation and the relevant insurer might want access to Protected Information about a Participant held by the Provider to help assess the Participant’s claim. The Department takes the position that the Protected Information could be disclosed to the court </w:t>
      </w:r>
      <w:r w:rsidRPr="00605EA8">
        <w:t>if the Participant consents</w:t>
      </w:r>
      <w:r>
        <w:t xml:space="preserve"> and that it would be acceptable for the Provider to seek the Participant’s consent if the insurer has not already supplied the Provider with evidence of their consent.  </w:t>
      </w:r>
    </w:p>
    <w:p w14:paraId="5E31838D" w14:textId="0912C6B1" w:rsidR="007D2A28" w:rsidRDefault="007D2A28" w:rsidP="007D2A28">
      <w:pPr>
        <w:pStyle w:val="Heading2"/>
      </w:pPr>
      <w:bookmarkStart w:id="735" w:name="_Privacy_Incidents_and"/>
      <w:bookmarkEnd w:id="735"/>
      <w:r>
        <w:t xml:space="preserve">Privacy </w:t>
      </w:r>
      <w:bookmarkEnd w:id="726"/>
      <w:r>
        <w:t>Incidents</w:t>
      </w:r>
      <w:bookmarkEnd w:id="727"/>
      <w:bookmarkEnd w:id="728"/>
      <w:r>
        <w:t xml:space="preserve"> and the Notifiable Data Breach</w:t>
      </w:r>
      <w:r w:rsidR="00186BBE">
        <w:t>es</w:t>
      </w:r>
      <w:r>
        <w:t xml:space="preserve"> Scheme</w:t>
      </w:r>
    </w:p>
    <w:p w14:paraId="2C90A458" w14:textId="77777777" w:rsidR="007D2A28" w:rsidRPr="004921E9" w:rsidRDefault="007D2A28" w:rsidP="007D2A28">
      <w:r>
        <w:t>Acts or practices by a Provider which b</w:t>
      </w:r>
      <w:r w:rsidRPr="004921E9">
        <w:t xml:space="preserve">reach an APP </w:t>
      </w:r>
      <w:r>
        <w:t>are</w:t>
      </w:r>
      <w:r w:rsidRPr="004921E9">
        <w:t xml:space="preserve"> an interference with the privacy of the individual.</w:t>
      </w:r>
      <w:r>
        <w:t xml:space="preserve"> The</w:t>
      </w:r>
      <w:r w:rsidRPr="004921E9">
        <w:t xml:space="preserve"> </w:t>
      </w:r>
      <w:r>
        <w:t>OAIC</w:t>
      </w:r>
      <w:r w:rsidRPr="004921E9">
        <w:t xml:space="preserve"> has powers to investigate possible interferences with privacy, either following a complaint by an individual or on</w:t>
      </w:r>
      <w:r>
        <w:t xml:space="preserve"> the</w:t>
      </w:r>
      <w:r w:rsidRPr="004921E9">
        <w:t xml:space="preserve"> </w:t>
      </w:r>
      <w:r>
        <w:t>OAIC’s</w:t>
      </w:r>
      <w:r w:rsidRPr="004921E9">
        <w:t xml:space="preserve"> own initiative. </w:t>
      </w:r>
      <w:r>
        <w:t>The OAIC</w:t>
      </w:r>
      <w:r w:rsidRPr="004921E9">
        <w:t xml:space="preserve"> also has a range of enforcement powers and other remedies. </w:t>
      </w:r>
    </w:p>
    <w:p w14:paraId="43FDA1EE" w14:textId="02B758DB" w:rsidR="007D2A28" w:rsidRPr="004921E9" w:rsidRDefault="007D2A28" w:rsidP="007D2A28">
      <w:r>
        <w:t xml:space="preserve">Providers are required under </w:t>
      </w:r>
      <w:hyperlink r:id="rId61">
        <w:r w:rsidRPr="35C84BBC">
          <w:rPr>
            <w:rStyle w:val="Hyperlink"/>
          </w:rPr>
          <w:t>the Notifiable Data Breach</w:t>
        </w:r>
        <w:r w:rsidR="00186BBE">
          <w:rPr>
            <w:rStyle w:val="Hyperlink"/>
          </w:rPr>
          <w:t>es</w:t>
        </w:r>
        <w:r w:rsidRPr="35C84BBC">
          <w:rPr>
            <w:rStyle w:val="Hyperlink"/>
          </w:rPr>
          <w:t xml:space="preserve"> scheme</w:t>
        </w:r>
      </w:hyperlink>
      <w:r>
        <w:t xml:space="preserve"> to notify affected individuals and the OAIC about eligible data breaches.</w:t>
      </w:r>
      <w:r w:rsidRPr="004921E9">
        <w:t xml:space="preserve"> An eligible data breach occurs when:</w:t>
      </w:r>
    </w:p>
    <w:p w14:paraId="7439F8C1" w14:textId="77777777" w:rsidR="007D2A28" w:rsidRPr="004921E9" w:rsidRDefault="007D2A28" w:rsidP="007D2A28">
      <w:pPr>
        <w:pStyle w:val="BulletLevel1"/>
      </w:pPr>
      <w:r w:rsidRPr="004921E9">
        <w:t>there is unauthorised access to</w:t>
      </w:r>
      <w:r>
        <w:t>,</w:t>
      </w:r>
      <w:r w:rsidRPr="004921E9">
        <w:t xml:space="preserve"> or disclosure of</w:t>
      </w:r>
      <w:r>
        <w:t>,</w:t>
      </w:r>
      <w:r w:rsidRPr="004921E9">
        <w:t xml:space="preserve"> personal information held by an entity</w:t>
      </w:r>
      <w:r>
        <w:t>,</w:t>
      </w:r>
      <w:r w:rsidRPr="004921E9">
        <w:t xml:space="preserve"> or information is lost in circumstance</w:t>
      </w:r>
      <w:r>
        <w:t>s</w:t>
      </w:r>
      <w:r w:rsidRPr="004921E9">
        <w:t xml:space="preserve"> where unauthorised access or disclosure is likely to occur</w:t>
      </w:r>
    </w:p>
    <w:p w14:paraId="6F090763" w14:textId="77777777" w:rsidR="007D2A28" w:rsidRPr="004921E9" w:rsidRDefault="007D2A28" w:rsidP="007D2A28">
      <w:pPr>
        <w:pStyle w:val="BulletLevel1"/>
      </w:pPr>
      <w:r w:rsidRPr="004921E9">
        <w:t>this is likely to result in serious harm to any of the individuals to whom the information relates</w:t>
      </w:r>
      <w:r>
        <w:t>,</w:t>
      </w:r>
      <w:r w:rsidRPr="004921E9">
        <w:t xml:space="preserve"> and</w:t>
      </w:r>
    </w:p>
    <w:p w14:paraId="486D43CC" w14:textId="77777777" w:rsidR="007D2A28" w:rsidRPr="004921E9" w:rsidRDefault="007D2A28" w:rsidP="007D2A28">
      <w:pPr>
        <w:pStyle w:val="BulletLevel1"/>
      </w:pPr>
      <w:r w:rsidRPr="004921E9">
        <w:t>the entity has been unable to prevent the likely risk of serious harm with remedial action.</w:t>
      </w:r>
    </w:p>
    <w:p w14:paraId="22CEB311" w14:textId="46F7C819" w:rsidR="007D2A28" w:rsidRDefault="007D2A28" w:rsidP="007D2A28">
      <w:r>
        <w:t xml:space="preserve">The Provider must Notify the Department as soon as possible following becoming aware of any unauthorised access to, use or disclosure of, personal information, or a loss of personal information the Provider holds using the </w:t>
      </w:r>
      <w:hyperlink r:id="rId62" w:history="1">
        <w:r w:rsidRPr="00322353">
          <w:rPr>
            <w:rStyle w:val="Hyperlink"/>
          </w:rPr>
          <w:t>Provider Privacy Incident Report (PPIR)</w:t>
        </w:r>
      </w:hyperlink>
      <w:r>
        <w:t xml:space="preserve">. This applies to all privacy incidents, whether or not they are an eligible data breach. </w:t>
      </w:r>
    </w:p>
    <w:p w14:paraId="6EB8515D" w14:textId="77777777" w:rsidR="007D2A28" w:rsidRPr="004921E9" w:rsidRDefault="007D2A28" w:rsidP="007D2A28">
      <w:r>
        <w:t>Providers must promptly assess a</w:t>
      </w:r>
      <w:r w:rsidRPr="004921E9">
        <w:t xml:space="preserve">ll potential privacy </w:t>
      </w:r>
      <w:r>
        <w:t>incidents</w:t>
      </w:r>
      <w:r w:rsidRPr="004921E9" w:rsidDel="00982A0C">
        <w:t xml:space="preserve"> </w:t>
      </w:r>
      <w:r w:rsidRPr="004921E9">
        <w:t xml:space="preserve">to determine whether an eligible data breach has occurred and, if required, notification is to be provided to affected individuals and to </w:t>
      </w:r>
      <w:r>
        <w:t xml:space="preserve">the </w:t>
      </w:r>
      <w:r w:rsidRPr="004921E9">
        <w:t xml:space="preserve">OAIC. Providers must take all reasonable steps to ensure that </w:t>
      </w:r>
      <w:r>
        <w:t>this</w:t>
      </w:r>
      <w:r w:rsidRPr="004921E9">
        <w:t xml:space="preserve"> assessment is completed within 30 </w:t>
      </w:r>
      <w:r>
        <w:t xml:space="preserve">calendar </w:t>
      </w:r>
      <w:r w:rsidRPr="004921E9">
        <w:t xml:space="preserve">days of becoming reasonably aware of an eligible data breach. </w:t>
      </w:r>
    </w:p>
    <w:p w14:paraId="301653D9" w14:textId="77777777" w:rsidR="007D2A28" w:rsidRPr="004921E9" w:rsidRDefault="007D2A28" w:rsidP="007D2A28">
      <w:r w:rsidRPr="004921E9">
        <w:t xml:space="preserve">By responding quickly, a Provider can substantially decrease the impact on affected individuals, </w:t>
      </w:r>
      <w:r>
        <w:t xml:space="preserve">and </w:t>
      </w:r>
      <w:r w:rsidRPr="004921E9">
        <w:t xml:space="preserve">reduce the costs associated with dealing with </w:t>
      </w:r>
      <w:r>
        <w:t>the privacy incident</w:t>
      </w:r>
      <w:r w:rsidRPr="004921E9">
        <w:t xml:space="preserve">, </w:t>
      </w:r>
      <w:r>
        <w:t>including reputational costs</w:t>
      </w:r>
      <w:r w:rsidRPr="004921E9">
        <w:t>.</w:t>
      </w:r>
    </w:p>
    <w:p w14:paraId="639B776F" w14:textId="4CB44D50" w:rsidR="007D2A28" w:rsidRDefault="007D2A28" w:rsidP="007D2A28">
      <w:r>
        <w:lastRenderedPageBreak/>
        <w:t>The Provider must also provide the Department with a copy of any notification of an eligible data breach made to OAIC and any subsequent correspondence with OAIC.</w:t>
      </w:r>
    </w:p>
    <w:p w14:paraId="5E41C1BA" w14:textId="3C06D419" w:rsidR="007D2A28" w:rsidRPr="004921E9" w:rsidRDefault="007D2A28" w:rsidP="007D2A28">
      <w:r>
        <w:t xml:space="preserve">Providers should refer to the OAIC website for information on the </w:t>
      </w:r>
      <w:r w:rsidR="00023886">
        <w:t xml:space="preserve">Notifiable </w:t>
      </w:r>
      <w:r>
        <w:t xml:space="preserve">Data Breach scheme. </w:t>
      </w:r>
    </w:p>
    <w:p w14:paraId="1BB1E5B2" w14:textId="77777777" w:rsidR="007D2A28" w:rsidRDefault="007D2A28" w:rsidP="007D2A28">
      <w:r>
        <w:t>The Provider must also immediately Notify the Department if it becomes aware:</w:t>
      </w:r>
    </w:p>
    <w:p w14:paraId="12C5B170" w14:textId="77777777" w:rsidR="007D2A28" w:rsidRDefault="007D2A28" w:rsidP="007D2A28">
      <w:pPr>
        <w:pStyle w:val="BulletLevel1"/>
      </w:pPr>
      <w:r>
        <w:t>of a breach or possible breach of any of the obligations contained in, or referred to in the Deed(s) by any Personnel or Subcontractor</w:t>
      </w:r>
    </w:p>
    <w:p w14:paraId="4534CC03" w14:textId="77777777" w:rsidR="007D2A28" w:rsidRDefault="007D2A28" w:rsidP="007D2A28">
      <w:pPr>
        <w:pStyle w:val="BulletLevel1"/>
      </w:pPr>
      <w:r>
        <w:t>that a disclosure of personal information may be required by law, or</w:t>
      </w:r>
    </w:p>
    <w:p w14:paraId="15835D05" w14:textId="77777777" w:rsidR="007D2A28" w:rsidRPr="004921E9" w:rsidRDefault="007D2A28" w:rsidP="007D2A28">
      <w:pPr>
        <w:pStyle w:val="BulletLevel1"/>
      </w:pPr>
      <w:r>
        <w:t>of an approach to the Provider by the Information Commissioner or by an individual claiming that their privacy has been interfered with.</w:t>
      </w:r>
    </w:p>
    <w:p w14:paraId="6B9438B1" w14:textId="77777777" w:rsidR="007D2A28" w:rsidRPr="004921E9" w:rsidRDefault="007D2A28" w:rsidP="007D2A28">
      <w:r>
        <w:t>Providers should be aware that t</w:t>
      </w:r>
      <w:r w:rsidRPr="00F63777">
        <w:t>he Department monitors Personnel access to Records in the Department’s IT Systems. Where a clear business reason for access to a Record or Records is not identified, the Department may require further information or investigation by a Provider, and may take action against individuals.</w:t>
      </w:r>
    </w:p>
    <w:p w14:paraId="304FE120" w14:textId="77777777" w:rsidR="007D2A28" w:rsidRDefault="007D2A28" w:rsidP="007D2A28">
      <w:pPr>
        <w:pStyle w:val="Heading2"/>
      </w:pPr>
      <w:bookmarkStart w:id="736" w:name="_Toc84490396"/>
      <w:bookmarkStart w:id="737" w:name="_Toc96000574"/>
      <w:bookmarkStart w:id="738" w:name="_Toc95896798"/>
      <w:r>
        <w:t>Privacy complaints</w:t>
      </w:r>
      <w:bookmarkEnd w:id="736"/>
      <w:bookmarkEnd w:id="737"/>
      <w:bookmarkEnd w:id="738"/>
    </w:p>
    <w:p w14:paraId="037C682A" w14:textId="77777777" w:rsidR="007D2A28" w:rsidRPr="004921E9" w:rsidRDefault="007D2A28" w:rsidP="007D2A28">
      <w:r w:rsidRPr="004921E9">
        <w:t xml:space="preserve">An individual who considers that their privacy has been interfered with can contact the </w:t>
      </w:r>
      <w:r>
        <w:t>D</w:t>
      </w:r>
      <w:r w:rsidRPr="004921E9">
        <w:t xml:space="preserve">epartment and/or </w:t>
      </w:r>
      <w:r>
        <w:t xml:space="preserve">the </w:t>
      </w:r>
      <w:r w:rsidRPr="004921E9">
        <w:t xml:space="preserve">OAIC to make a complaint. </w:t>
      </w:r>
      <w:r>
        <w:t>Where possible</w:t>
      </w:r>
      <w:r w:rsidRPr="004921E9">
        <w:t>, complaints under the Privacy Act should be directed to an individual’s Provider</w:t>
      </w:r>
      <w:r>
        <w:t xml:space="preserve"> in the first instance</w:t>
      </w:r>
      <w:r w:rsidRPr="004921E9">
        <w:t xml:space="preserve">. </w:t>
      </w:r>
    </w:p>
    <w:p w14:paraId="56B4B713" w14:textId="41F818BF" w:rsidR="007D2A28" w:rsidRPr="004921E9" w:rsidRDefault="007D2A28" w:rsidP="007D2A28">
      <w:r w:rsidRPr="004921E9">
        <w:t xml:space="preserve">Providers are required to respond to any privacy complaints within </w:t>
      </w:r>
      <w:r w:rsidR="00663E18">
        <w:t>10 Business</w:t>
      </w:r>
      <w:r w:rsidRPr="004921E9">
        <w:t xml:space="preserve"> </w:t>
      </w:r>
      <w:r w:rsidR="00663E18">
        <w:t>D</w:t>
      </w:r>
      <w:r w:rsidRPr="004921E9">
        <w:t>ays</w:t>
      </w:r>
      <w:r>
        <w:t xml:space="preserve"> and in accordance with the PPIR where a privacy incident has been identified</w:t>
      </w:r>
      <w:r w:rsidRPr="004921E9">
        <w:t xml:space="preserve">. </w:t>
      </w:r>
      <w:r>
        <w:t xml:space="preserve">Providers should follow </w:t>
      </w:r>
      <w:hyperlink r:id="rId63" w:history="1">
        <w:r w:rsidRPr="00775F38">
          <w:rPr>
            <w:rStyle w:val="Hyperlink"/>
          </w:rPr>
          <w:t>OAIC’s advice on handling privacy complaints</w:t>
        </w:r>
      </w:hyperlink>
      <w:r>
        <w:t>.</w:t>
      </w:r>
    </w:p>
    <w:p w14:paraId="6DE026FF" w14:textId="77777777" w:rsidR="007D2A28" w:rsidRPr="002769C4" w:rsidRDefault="007D2A28" w:rsidP="007D2A28">
      <w:pPr>
        <w:pStyle w:val="Heading2"/>
      </w:pPr>
      <w:bookmarkStart w:id="739" w:name="_Toc11923446"/>
      <w:bookmarkStart w:id="740" w:name="_Toc84490397"/>
      <w:bookmarkStart w:id="741" w:name="_Toc96000575"/>
      <w:bookmarkStart w:id="742" w:name="_Toc95896799"/>
      <w:r>
        <w:t>Referring individuals to the Department in relation to privacy matters</w:t>
      </w:r>
      <w:bookmarkEnd w:id="739"/>
      <w:bookmarkEnd w:id="740"/>
      <w:bookmarkEnd w:id="741"/>
      <w:bookmarkEnd w:id="742"/>
    </w:p>
    <w:p w14:paraId="4B44EF56" w14:textId="77777777" w:rsidR="007D2A28" w:rsidRPr="002769C4" w:rsidRDefault="007D2A28" w:rsidP="007D2A28">
      <w:r>
        <w:t>After first directing their query to their Provider, an</w:t>
      </w:r>
      <w:r w:rsidRPr="002769C4">
        <w:t xml:space="preserve"> individual can contact the</w:t>
      </w:r>
      <w:r w:rsidRPr="002769C4" w:rsidDel="00AD73B8">
        <w:t xml:space="preserve"> </w:t>
      </w:r>
      <w:r>
        <w:t>D</w:t>
      </w:r>
      <w:r w:rsidRPr="002769C4">
        <w:t xml:space="preserve">epartment to query how their personal information is handled, request access to or correction of their personal information, or make a privacy complaint in relation to the </w:t>
      </w:r>
      <w:r>
        <w:t>D</w:t>
      </w:r>
      <w:r w:rsidRPr="002769C4">
        <w:t xml:space="preserve">epartment or a </w:t>
      </w:r>
      <w:r>
        <w:t>P</w:t>
      </w:r>
      <w:r w:rsidRPr="002769C4">
        <w:t>rovider.</w:t>
      </w:r>
    </w:p>
    <w:p w14:paraId="2E9E82E5" w14:textId="0934F165" w:rsidR="007D2A28" w:rsidRDefault="007D2A28" w:rsidP="007D2A28">
      <w:r>
        <w:t>I</w:t>
      </w:r>
      <w:r w:rsidRPr="002769C4">
        <w:t xml:space="preserve">ndividuals </w:t>
      </w:r>
      <w:r>
        <w:t>may contact the</w:t>
      </w:r>
      <w:r w:rsidRPr="002769C4">
        <w:t xml:space="preserve"> </w:t>
      </w:r>
      <w:r>
        <w:t>D</w:t>
      </w:r>
      <w:r w:rsidRPr="002769C4">
        <w:t>epartment</w:t>
      </w:r>
      <w:r>
        <w:t xml:space="preserve"> via </w:t>
      </w:r>
      <w:hyperlink r:id="rId64" w:history="1">
        <w:r w:rsidR="009F5E70">
          <w:rPr>
            <w:rStyle w:val="Hyperlink"/>
          </w:rPr>
          <w:t>privacy@dewr.gov.au</w:t>
        </w:r>
      </w:hyperlink>
      <w:r>
        <w:t xml:space="preserve">. </w:t>
      </w:r>
    </w:p>
    <w:p w14:paraId="12105E11" w14:textId="4F1D65CA" w:rsidR="007D2A28" w:rsidRDefault="007D2A28" w:rsidP="007D2A28">
      <w:pPr>
        <w:rPr>
          <w:rStyle w:val="Hyperlink"/>
        </w:rPr>
      </w:pPr>
      <w:r w:rsidRPr="002769C4">
        <w:t>For further information</w:t>
      </w:r>
      <w:r>
        <w:t xml:space="preserve"> and alternative contact details, please</w:t>
      </w:r>
      <w:r w:rsidRPr="002769C4">
        <w:t xml:space="preserve"> refer to the </w:t>
      </w:r>
      <w:hyperlink r:id="rId65" w:history="1">
        <w:r w:rsidR="009F5E70">
          <w:rPr>
            <w:rStyle w:val="Hyperlink"/>
          </w:rPr>
          <w:t>Department of Employment and Workplace Relations' Privacy Policy.</w:t>
        </w:r>
      </w:hyperlink>
    </w:p>
    <w:p w14:paraId="18F5619C" w14:textId="77777777" w:rsidR="007D2A28" w:rsidRDefault="007D2A28" w:rsidP="007D2A28">
      <w:pPr>
        <w:pStyle w:val="Heading2"/>
      </w:pPr>
      <w:bookmarkStart w:id="743" w:name="_Toc71811251"/>
      <w:bookmarkStart w:id="744" w:name="_Toc96000576"/>
      <w:bookmarkStart w:id="745" w:name="_Toc95896800"/>
      <w:r>
        <w:t>Awareness and Training Expectations</w:t>
      </w:r>
      <w:bookmarkEnd w:id="743"/>
      <w:bookmarkEnd w:id="744"/>
      <w:bookmarkEnd w:id="745"/>
      <w:r>
        <w:t xml:space="preserve"> </w:t>
      </w:r>
    </w:p>
    <w:p w14:paraId="18AE5053" w14:textId="77777777" w:rsidR="007D2A28" w:rsidRDefault="007D2A28" w:rsidP="007D2A28">
      <w:r>
        <w:t>P</w:t>
      </w:r>
      <w:r w:rsidRPr="002769C4">
        <w:t>roviders</w:t>
      </w:r>
      <w:r>
        <w:t xml:space="preserve"> must adopt practices to ensure its Personnel are aware of their obligations under the Privacy Act, the Deed and this Chapter. Providers who have access to the Department’s IT Systems must ensure that Personnel who handle or will handle personal information</w:t>
      </w:r>
      <w:r w:rsidRPr="00E20743">
        <w:t xml:space="preserve"> </w:t>
      </w:r>
      <w:r>
        <w:t xml:space="preserve">in the course of delivering services under the Deed complete the Department’s </w:t>
      </w:r>
      <w:bookmarkStart w:id="746" w:name="_Hlk70074340"/>
      <w:r>
        <w:fldChar w:fldCharType="begin"/>
      </w:r>
      <w:r>
        <w:instrText xml:space="preserve"> HYPERLINK "https://learningcentre.employment.gov.au/course/preview.php?id=2343" </w:instrText>
      </w:r>
      <w:r>
        <w:fldChar w:fldCharType="separate"/>
      </w:r>
      <w:r w:rsidRPr="00F12ED6">
        <w:rPr>
          <w:rStyle w:val="Hyperlink"/>
        </w:rPr>
        <w:t>Information Exchange and Privacy module</w:t>
      </w:r>
      <w:r>
        <w:fldChar w:fldCharType="end"/>
      </w:r>
      <w:bookmarkEnd w:id="746"/>
      <w:r>
        <w:t xml:space="preserve"> (training module),</w:t>
      </w:r>
      <w:r w:rsidRPr="00804F2C">
        <w:t xml:space="preserve"> available on the Learning Centre</w:t>
      </w:r>
      <w:r>
        <w:t>:</w:t>
      </w:r>
    </w:p>
    <w:p w14:paraId="724C51E5" w14:textId="77777777" w:rsidR="007D2A28" w:rsidRPr="001529F7" w:rsidRDefault="007D2A28" w:rsidP="007D2A28">
      <w:pPr>
        <w:pStyle w:val="BulletLevel1"/>
      </w:pPr>
      <w:r w:rsidRPr="001529F7">
        <w:t xml:space="preserve">prior to delivering the Services; and </w:t>
      </w:r>
    </w:p>
    <w:p w14:paraId="74EEC4E9" w14:textId="77777777" w:rsidR="007D2A28" w:rsidRPr="001529F7" w:rsidRDefault="007D2A28" w:rsidP="007D2A28">
      <w:pPr>
        <w:pStyle w:val="BulletLevel1"/>
      </w:pPr>
      <w:r w:rsidRPr="001529F7">
        <w:t>at least once every 12 months.</w:t>
      </w:r>
    </w:p>
    <w:p w14:paraId="07050F44" w14:textId="77777777" w:rsidR="007D2A28" w:rsidRDefault="007D2A28" w:rsidP="007D2A28">
      <w:r>
        <w:lastRenderedPageBreak/>
        <w:t>Providers should note that the Department’s privacy training module has been developed to cater for the delivery of all employment services. It is not a substitute for any tailored internal privacy training Providers make available to their Personnel. Providers must consider the nature of the employment services they are delivering and Personnel interaction with personal information for those employment services. Where required, the Provider must supplement the Department’s privacy training module with its own additional privacy training, within the timeframes above.</w:t>
      </w:r>
    </w:p>
    <w:p w14:paraId="6827577A" w14:textId="77777777" w:rsidR="007D2A28" w:rsidRDefault="007D2A28" w:rsidP="007D2A28">
      <w:pPr>
        <w:pStyle w:val="Heading3"/>
      </w:pPr>
      <w:bookmarkStart w:id="747" w:name="_Toc95896801"/>
      <w:r>
        <w:t>Information Exchange and Privacy Module</w:t>
      </w:r>
      <w:bookmarkEnd w:id="747"/>
    </w:p>
    <w:p w14:paraId="4853D0DE" w14:textId="77777777" w:rsidR="007D2A28" w:rsidRDefault="007D2A28" w:rsidP="007D2A28">
      <w:r>
        <w:t xml:space="preserve">The Department’s </w:t>
      </w:r>
      <w:hyperlink r:id="rId66" w:history="1">
        <w:r w:rsidRPr="00F12ED6">
          <w:rPr>
            <w:rStyle w:val="Hyperlink"/>
          </w:rPr>
          <w:t>Information Exchange and Privacy module</w:t>
        </w:r>
      </w:hyperlink>
      <w:r>
        <w:t xml:space="preserve"> explains the key concepts under the Privacy Act and the APPs which govern how personal information is collected, used, disclosed, and stored.  </w:t>
      </w:r>
    </w:p>
    <w:p w14:paraId="52809D8E" w14:textId="77777777" w:rsidR="007D2A28" w:rsidRPr="00804E48" w:rsidRDefault="007D2A28" w:rsidP="007D2A28">
      <w:r w:rsidRPr="00804E48">
        <w:t>Th</w:t>
      </w:r>
      <w:r>
        <w:t xml:space="preserve">e training module </w:t>
      </w:r>
      <w:r w:rsidRPr="00804E48">
        <w:t xml:space="preserve">is mandatory </w:t>
      </w:r>
      <w:r>
        <w:t>and</w:t>
      </w:r>
      <w:r w:rsidRPr="00804E48">
        <w:t xml:space="preserve"> is essential to ensure</w:t>
      </w:r>
      <w:r>
        <w:t xml:space="preserve"> that</w:t>
      </w:r>
      <w:r w:rsidRPr="00804E48">
        <w:t xml:space="preserve"> Personnel have a common understanding of </w:t>
      </w:r>
      <w:r>
        <w:t>this Chapter, the APPs, and the Social Security Law</w:t>
      </w:r>
      <w:r w:rsidRPr="00804E48">
        <w:t xml:space="preserve">, including key processes that help manage potential risks. The completion of mandatory training assists </w:t>
      </w:r>
      <w:r>
        <w:t>P</w:t>
      </w:r>
      <w:r w:rsidRPr="00804E48">
        <w:t>roviders to meet legislative and regulatory requirements</w:t>
      </w:r>
      <w:r>
        <w:t>, but is not sufficient to meet those requirements</w:t>
      </w:r>
      <w:r w:rsidRPr="00804E48">
        <w:t>.</w:t>
      </w:r>
    </w:p>
    <w:p w14:paraId="2B292050" w14:textId="77777777" w:rsidR="007D2A28" w:rsidRDefault="007D2A28" w:rsidP="007D2A28">
      <w:r>
        <w:t>Privacy resources are also published on the Provider Portal for Personnel to access.</w:t>
      </w:r>
    </w:p>
    <w:p w14:paraId="63C95ABA" w14:textId="77777777" w:rsidR="007D2A28" w:rsidRDefault="007D2A28" w:rsidP="007D2A28">
      <w:r>
        <w:t>Providers should ensure their internal privacy practices, policies and procedures are proactively reviewed, taking into account compliance with new laws or updated information handling practices, and ensuring that they are responsive to new privacy risks.</w:t>
      </w:r>
    </w:p>
    <w:p w14:paraId="3EAA7E37" w14:textId="77777777" w:rsidR="007D2A28" w:rsidRDefault="007D2A28" w:rsidP="007D2A28">
      <w:pPr>
        <w:pStyle w:val="Heading3"/>
      </w:pPr>
      <w:bookmarkStart w:id="748" w:name="_Toc95896802"/>
      <w:r>
        <w:t>Personnel Compliance</w:t>
      </w:r>
      <w:bookmarkEnd w:id="748"/>
    </w:p>
    <w:p w14:paraId="2DB8EC5B" w14:textId="77777777" w:rsidR="007D2A28" w:rsidRDefault="007D2A28" w:rsidP="007D2A28">
      <w:r>
        <w:t>Providers must monitor and annually self-audit that Personnel completion of privacy training, including the Department’s mandatory privacy training module.</w:t>
      </w:r>
      <w:r w:rsidRPr="006E13FF">
        <w:t xml:space="preserve"> </w:t>
      </w:r>
      <w:r>
        <w:t>The Department may request details of a Provider’s self-audit at any time, or may conduct its own audit of a Provider’s compliance with the requirements in this Chapter.</w:t>
      </w:r>
    </w:p>
    <w:p w14:paraId="2A5039E0" w14:textId="77777777" w:rsidR="007D2A28" w:rsidRDefault="007D2A28" w:rsidP="007D2A28">
      <w:r>
        <w:t>Where privacy training is undertaken outside of the Department’s Learning Centre, the Provider must retain Records of privacy training undertaken by their Personnel and must make this available to the Department on request.</w:t>
      </w:r>
    </w:p>
    <w:p w14:paraId="62C8FF8B" w14:textId="77777777" w:rsidR="007D2A28" w:rsidRDefault="007D2A28" w:rsidP="007D2A28">
      <w:r>
        <w:t xml:space="preserve">It is also suggested that Providers put in place their own processes to audit the compliance of their Personnel with privacy obligations more generally.  </w:t>
      </w:r>
    </w:p>
    <w:p w14:paraId="5400680A" w14:textId="77777777" w:rsidR="007D2A28" w:rsidRDefault="007D2A28" w:rsidP="007D2A28">
      <w:pPr>
        <w:sectPr w:rsidR="007D2A28" w:rsidSect="00687616">
          <w:headerReference w:type="default" r:id="rId67"/>
          <w:pgSz w:w="11906" w:h="16838"/>
          <w:pgMar w:top="1440" w:right="1440" w:bottom="1440" w:left="1440" w:header="708" w:footer="709" w:gutter="0"/>
          <w:cols w:space="708"/>
          <w:docGrid w:linePitch="360"/>
        </w:sectPr>
      </w:pPr>
      <w:r>
        <w:br w:type="page"/>
      </w:r>
    </w:p>
    <w:p w14:paraId="2EA41ABB" w14:textId="77777777" w:rsidR="007D2A28" w:rsidRDefault="007D2A28" w:rsidP="007D2A28">
      <w:pPr>
        <w:pStyle w:val="Heading1"/>
      </w:pPr>
      <w:bookmarkStart w:id="749" w:name="_Toc95233333"/>
      <w:bookmarkStart w:id="750" w:name="_Toc96000578"/>
      <w:bookmarkStart w:id="751" w:name="_Toc125971056"/>
      <w:r w:rsidRPr="0079383F">
        <w:lastRenderedPageBreak/>
        <w:t>External</w:t>
      </w:r>
      <w:r>
        <w:t xml:space="preserve"> Systems Assurance Framework (ESAF)</w:t>
      </w:r>
      <w:bookmarkEnd w:id="749"/>
      <w:bookmarkEnd w:id="750"/>
      <w:bookmarkEnd w:id="751"/>
    </w:p>
    <w:p w14:paraId="68A23C44" w14:textId="77777777" w:rsidR="007D2A28" w:rsidRPr="00EE4B03" w:rsidRDefault="007D2A28" w:rsidP="007D2A28">
      <w:pPr>
        <w:pStyle w:val="Heading2"/>
      </w:pPr>
      <w:bookmarkStart w:id="752" w:name="_Toc93942239"/>
      <w:bookmarkStart w:id="753" w:name="_Toc95233334"/>
      <w:bookmarkStart w:id="754" w:name="_Toc96000579"/>
      <w:bookmarkStart w:id="755" w:name="_Toc95896805"/>
      <w:r>
        <w:t>Chapter</w:t>
      </w:r>
      <w:r w:rsidRPr="00E350A7">
        <w:t xml:space="preserve"> Overview</w:t>
      </w:r>
      <w:bookmarkEnd w:id="752"/>
      <w:bookmarkEnd w:id="753"/>
      <w:bookmarkEnd w:id="754"/>
      <w:bookmarkEnd w:id="755"/>
    </w:p>
    <w:p w14:paraId="32EEEFB8" w14:textId="77777777" w:rsidR="007D2A28" w:rsidRPr="00E350A7" w:rsidRDefault="007D2A28" w:rsidP="007D2A28">
      <w:pPr>
        <w:spacing w:line="264" w:lineRule="auto"/>
        <w:rPr>
          <w:rFonts w:cstheme="minorHAnsi"/>
        </w:rPr>
      </w:pPr>
      <w:r w:rsidRPr="009F2CB9">
        <w:rPr>
          <w:rFonts w:cstheme="minorHAnsi"/>
        </w:rPr>
        <w:t>This</w:t>
      </w:r>
      <w:r w:rsidRPr="00E350A7">
        <w:rPr>
          <w:rFonts w:cstheme="minorHAnsi"/>
        </w:rPr>
        <w:t xml:space="preserve"> </w:t>
      </w:r>
      <w:r>
        <w:rPr>
          <w:rFonts w:cstheme="minorHAnsi"/>
        </w:rPr>
        <w:t xml:space="preserve">Chapter provides </w:t>
      </w:r>
      <w:r>
        <w:t>guidance</w:t>
      </w:r>
      <w:r>
        <w:rPr>
          <w:rFonts w:cstheme="minorHAnsi"/>
        </w:rPr>
        <w:t xml:space="preserve"> for Provider</w:t>
      </w:r>
      <w:r w:rsidRPr="00E350A7">
        <w:rPr>
          <w:rFonts w:cstheme="minorHAnsi"/>
        </w:rPr>
        <w:t>s</w:t>
      </w:r>
      <w:r>
        <w:rPr>
          <w:rFonts w:cstheme="minorHAnsi"/>
        </w:rPr>
        <w:t xml:space="preserve"> in relation to:</w:t>
      </w:r>
    </w:p>
    <w:p w14:paraId="136F38B8" w14:textId="77777777" w:rsidR="007D2A28" w:rsidRDefault="007D2A28" w:rsidP="007D2A28">
      <w:pPr>
        <w:pStyle w:val="BulletLevel1"/>
      </w:pPr>
      <w:r>
        <w:t>meeting the Department’s security accreditation requirements,</w:t>
      </w:r>
    </w:p>
    <w:p w14:paraId="2CDF9A46" w14:textId="77777777" w:rsidR="007D2A28" w:rsidRPr="009F2CB9" w:rsidRDefault="007D2A28" w:rsidP="007D2A28">
      <w:pPr>
        <w:pStyle w:val="BulletLevel1"/>
      </w:pPr>
      <w:r w:rsidRPr="009F2CB9">
        <w:t>obtain</w:t>
      </w:r>
      <w:r>
        <w:t>ing</w:t>
      </w:r>
      <w:r w:rsidRPr="009F2CB9">
        <w:t xml:space="preserve"> accreditation, and</w:t>
      </w:r>
    </w:p>
    <w:p w14:paraId="192E4872" w14:textId="77777777" w:rsidR="007D2A28" w:rsidRDefault="007D2A28" w:rsidP="007D2A28">
      <w:pPr>
        <w:pStyle w:val="BulletLevel1"/>
      </w:pPr>
      <w:r w:rsidRPr="009F2CB9">
        <w:t>maintain</w:t>
      </w:r>
      <w:r>
        <w:t>ing</w:t>
      </w:r>
      <w:r w:rsidRPr="009F2CB9">
        <w:t xml:space="preserve"> accreditation for the duration of the</w:t>
      </w:r>
      <w:r>
        <w:t xml:space="preserve">ir </w:t>
      </w:r>
      <w:r w:rsidRPr="009F2CB9">
        <w:t>Deed</w:t>
      </w:r>
    </w:p>
    <w:p w14:paraId="1F9E0F2A" w14:textId="77777777" w:rsidR="007D2A28" w:rsidRPr="009F2CB9" w:rsidRDefault="007D2A28" w:rsidP="007D2A28">
      <w:pPr>
        <w:spacing w:before="60" w:line="240" w:lineRule="auto"/>
        <w:rPr>
          <w:rFonts w:cstheme="minorHAnsi"/>
        </w:rPr>
      </w:pPr>
      <w:r>
        <w:t xml:space="preserve">under the </w:t>
      </w:r>
      <w:r w:rsidRPr="009F2CB9">
        <w:t>E</w:t>
      </w:r>
      <w:r>
        <w:t>SAF</w:t>
      </w:r>
      <w:r w:rsidRPr="009F2CB9">
        <w:rPr>
          <w:rFonts w:cstheme="minorHAnsi"/>
        </w:rPr>
        <w:t>.</w:t>
      </w:r>
    </w:p>
    <w:p w14:paraId="0DB87841" w14:textId="77777777" w:rsidR="007D2A28" w:rsidRPr="00487AB1" w:rsidRDefault="007D2A28" w:rsidP="007D2A28">
      <w:r>
        <w:t>Providers are able to access sensitive client information via the Department’s online systems. This level of access requires appropriate levels of security.</w:t>
      </w:r>
    </w:p>
    <w:p w14:paraId="78EA1FB7" w14:textId="77777777" w:rsidR="007D2A28" w:rsidRPr="009F2CB9" w:rsidRDefault="007D2A28" w:rsidP="007D2A28">
      <w:r w:rsidRPr="009F2CB9">
        <w:t xml:space="preserve">The Department uses the ESAF to </w:t>
      </w:r>
      <w:r>
        <w:t>determine</w:t>
      </w:r>
      <w:r w:rsidRPr="009F2CB9">
        <w:t xml:space="preserve"> that Providers and their </w:t>
      </w:r>
      <w:r>
        <w:t>E</w:t>
      </w:r>
      <w:r w:rsidRPr="009F2CB9">
        <w:t xml:space="preserve">xternal IT </w:t>
      </w:r>
      <w:r>
        <w:t>appropriately manage the</w:t>
      </w:r>
      <w:r w:rsidRPr="009F2CB9">
        <w:t xml:space="preserve"> level of risk to the security of information they hold.  </w:t>
      </w:r>
      <w:r>
        <w:t xml:space="preserve">As part of the </w:t>
      </w:r>
      <w:r w:rsidRPr="009F2CB9">
        <w:t>ESAF, Right Fit for Risk (RFFR) provides a tailored assurance approach to inform the Department’s accreditation decision. The RFFR approach closely follows the ISO 27001 international standard that sets out the requirements for an Information Security Management System (ISMS).</w:t>
      </w:r>
    </w:p>
    <w:p w14:paraId="48CFA1F8" w14:textId="77777777" w:rsidR="007D2A28" w:rsidRDefault="007D2A28" w:rsidP="007D2A28">
      <w:r w:rsidRPr="009F2CB9">
        <w:t xml:space="preserve">Providers are required to undertake the accreditation process and be accredited </w:t>
      </w:r>
      <w:r w:rsidRPr="009F2CB9">
        <w:rPr>
          <w:rFonts w:cstheme="minorHAnsi"/>
        </w:rPr>
        <w:t>to demonstrate their ability to meet the Department’s requirements for Provider information security</w:t>
      </w:r>
      <w:r>
        <w:rPr>
          <w:rFonts w:cstheme="minorHAnsi"/>
        </w:rPr>
        <w:t xml:space="preserve"> in the manner and within the timeframes specified in this Chapter</w:t>
      </w:r>
      <w:r w:rsidRPr="009F2CB9">
        <w:t xml:space="preserve">. </w:t>
      </w:r>
      <w:r w:rsidRPr="00487AB1">
        <w:t>Providers accredited under the ESAF must maintain their accreditation</w:t>
      </w:r>
      <w:r>
        <w:t xml:space="preserve"> for the duration of their Employment Deed with the Department, or the period they retain access to personal information collected during delivery of employment services (whichever is later).</w:t>
      </w:r>
    </w:p>
    <w:p w14:paraId="608595E9" w14:textId="77777777" w:rsidR="007D2A28" w:rsidRDefault="007D2A28" w:rsidP="007D2A28">
      <w:r w:rsidRPr="00487AB1">
        <w:t>If a Provider does not obtain accreditation or reaccreditation within the timeframes specified in the ESAF, including the RFFR, or their Employment Deed</w:t>
      </w:r>
      <w:r w:rsidRPr="00F74196">
        <w:t>, the Provider must immediately cease using, and ensure that any relevant Subcontractor ceases using, the relevant Provider IT System.</w:t>
      </w:r>
    </w:p>
    <w:p w14:paraId="292C0CEA" w14:textId="77777777" w:rsidR="007D2A28" w:rsidRPr="00105804" w:rsidRDefault="007D2A28" w:rsidP="007D2A28">
      <w:pPr>
        <w:pStyle w:val="Heading2"/>
      </w:pPr>
      <w:bookmarkStart w:id="756" w:name="_Toc95233335"/>
      <w:bookmarkStart w:id="757" w:name="_Toc96000580"/>
      <w:r w:rsidRPr="009F2CB9">
        <w:t>External Systems Assurance Framework</w:t>
      </w:r>
      <w:bookmarkEnd w:id="756"/>
      <w:bookmarkEnd w:id="757"/>
    </w:p>
    <w:p w14:paraId="19F8311F" w14:textId="77777777" w:rsidR="007D2A28" w:rsidRPr="009F2CB9" w:rsidRDefault="007D2A28" w:rsidP="007D2A28">
      <w:r w:rsidRPr="009F2CB9">
        <w:t xml:space="preserve">The ESAF provides assurance that the risks to the Department’s IT Systems and </w:t>
      </w:r>
      <w:r>
        <w:t>data, information and Records</w:t>
      </w:r>
      <w:r w:rsidRPr="009F2CB9">
        <w:t xml:space="preserve"> stored outside of the Department’s IT </w:t>
      </w:r>
      <w:r>
        <w:t xml:space="preserve">Systems </w:t>
      </w:r>
      <w:r w:rsidRPr="009F2CB9">
        <w:t xml:space="preserve">environment are managed </w:t>
      </w:r>
      <w:r>
        <w:t>securely and appropriately</w:t>
      </w:r>
      <w:r w:rsidRPr="009F2CB9">
        <w:t>.</w:t>
      </w:r>
    </w:p>
    <w:p w14:paraId="61812A02" w14:textId="77777777" w:rsidR="007D2A28" w:rsidRPr="009F2CB9" w:rsidRDefault="007D2A28" w:rsidP="007D2A28">
      <w:r w:rsidRPr="009F2CB9">
        <w:t xml:space="preserve">This is consistent with the whole of </w:t>
      </w:r>
      <w:r>
        <w:t>g</w:t>
      </w:r>
      <w:r w:rsidRPr="009F2CB9">
        <w:t>overnment Protective Security Policy Framework (PSPF). As part of the PSPF, the Department is accountable for ensuring that all contracted Providers used in the delivery of its programs also comply with PSPF requirements.</w:t>
      </w:r>
    </w:p>
    <w:p w14:paraId="33356DF6" w14:textId="77777777" w:rsidR="007D2A28" w:rsidRDefault="007D2A28" w:rsidP="007D2A28">
      <w:pPr>
        <w:spacing w:line="264" w:lineRule="auto"/>
      </w:pPr>
      <w:r>
        <w:t>The ESAF covers External IT Systems associated with:</w:t>
      </w:r>
    </w:p>
    <w:p w14:paraId="23C84B0A" w14:textId="77777777" w:rsidR="007D2A28" w:rsidRDefault="007D2A28" w:rsidP="007D2A28">
      <w:pPr>
        <w:pStyle w:val="BulletLevel1"/>
      </w:pPr>
      <w:r>
        <w:t>the delivery of the Services, including storage, processing or communication of data related to delivering the Services,</w:t>
      </w:r>
    </w:p>
    <w:p w14:paraId="55F37BD9" w14:textId="77777777" w:rsidR="007D2A28" w:rsidRDefault="007D2A28" w:rsidP="007D2A28">
      <w:pPr>
        <w:pStyle w:val="BulletLevel1"/>
      </w:pPr>
      <w:r w:rsidRPr="00F74196">
        <w:t>Access</w:t>
      </w:r>
      <w:r>
        <w:t>ing</w:t>
      </w:r>
      <w:r w:rsidRPr="00F74196">
        <w:t xml:space="preserve"> the Department's IT Systems</w:t>
      </w:r>
      <w:r>
        <w:t>, and</w:t>
      </w:r>
    </w:p>
    <w:p w14:paraId="78E31D07" w14:textId="77777777" w:rsidR="007D2A28" w:rsidRDefault="007D2A28" w:rsidP="007D2A28">
      <w:pPr>
        <w:pStyle w:val="BulletLevel1"/>
      </w:pPr>
      <w:r>
        <w:t>data, information and Records supporting the program.</w:t>
      </w:r>
    </w:p>
    <w:p w14:paraId="3BDD96A5" w14:textId="77777777" w:rsidR="007D2A28" w:rsidRPr="009F2CB9" w:rsidRDefault="007D2A28" w:rsidP="007D2A28">
      <w:pPr>
        <w:spacing w:line="264" w:lineRule="auto"/>
      </w:pPr>
      <w:r w:rsidRPr="009F2CB9">
        <w:lastRenderedPageBreak/>
        <w:t>The areas of assurance covered in the ESAF are Provider</w:t>
      </w:r>
      <w:r>
        <w:t xml:space="preserve"> IT System</w:t>
      </w:r>
      <w:r w:rsidRPr="009F2CB9">
        <w:t>s and Third Party Employment Systems (TPES).</w:t>
      </w:r>
    </w:p>
    <w:p w14:paraId="3EE91095" w14:textId="77777777" w:rsidR="007D2A28" w:rsidRPr="007F3EE5" w:rsidRDefault="007D2A28" w:rsidP="007D2A28">
      <w:pPr>
        <w:pStyle w:val="Heading3"/>
      </w:pPr>
      <w:bookmarkStart w:id="758" w:name="_Toc95896807"/>
      <w:r w:rsidRPr="007F3EE5">
        <w:t>Providers</w:t>
      </w:r>
      <w:r>
        <w:t>’ IT Systems</w:t>
      </w:r>
      <w:bookmarkEnd w:id="758"/>
      <w:r>
        <w:t xml:space="preserve"> </w:t>
      </w:r>
    </w:p>
    <w:p w14:paraId="0E2DF967" w14:textId="77777777" w:rsidR="007D2A28" w:rsidRPr="009F2CB9" w:rsidRDefault="007D2A28" w:rsidP="007D2A28">
      <w:pPr>
        <w:spacing w:line="264" w:lineRule="auto"/>
      </w:pPr>
      <w:r w:rsidRPr="009F2CB9">
        <w:t>Provider accreditation under the ESAF provides assurance that the Department’s IT Systems and data are safeguarded when accessed by Providers</w:t>
      </w:r>
      <w:r>
        <w:t xml:space="preserve"> and Subcontractors</w:t>
      </w:r>
      <w:r w:rsidRPr="009F2CB9">
        <w:t xml:space="preserve">. The accreditation of Provider IT Systems provides assurance to the Department that sufficient security measures are in place to manage Provider </w:t>
      </w:r>
      <w:r>
        <w:t>and Subcontractor</w:t>
      </w:r>
      <w:r w:rsidRPr="009F2CB9">
        <w:t xml:space="preserve"> security risks.</w:t>
      </w:r>
    </w:p>
    <w:p w14:paraId="14C58CA8" w14:textId="77777777" w:rsidR="007D2A28" w:rsidRPr="00B57DC4" w:rsidRDefault="007D2A28" w:rsidP="007D2A28">
      <w:pPr>
        <w:pStyle w:val="Heading3"/>
      </w:pPr>
      <w:bookmarkStart w:id="759" w:name="_Toc95896808"/>
      <w:r w:rsidRPr="007F3EE5">
        <w:t>Third</w:t>
      </w:r>
      <w:r w:rsidRPr="00B57DC4">
        <w:t xml:space="preserve"> Party Employment Systems (TPES)</w:t>
      </w:r>
      <w:bookmarkEnd w:id="759"/>
    </w:p>
    <w:p w14:paraId="79B1D142" w14:textId="77777777" w:rsidR="007D2A28" w:rsidRDefault="007D2A28" w:rsidP="007D2A28">
      <w:pPr>
        <w:spacing w:line="264" w:lineRule="auto"/>
      </w:pPr>
      <w:r>
        <w:t xml:space="preserve">TPES are any Third Party IT systems used in association with the delivery of the Services, whether or not that Third Party IT system accesses the Department's IT Systems, and where that Third Party IT system: </w:t>
      </w:r>
    </w:p>
    <w:p w14:paraId="35B5D513" w14:textId="77777777" w:rsidR="007D2A28" w:rsidRDefault="007D2A28" w:rsidP="007D2A28">
      <w:pPr>
        <w:pStyle w:val="BulletLevel1"/>
      </w:pPr>
      <w:r>
        <w:t>contains program specific functionality or modules; or</w:t>
      </w:r>
    </w:p>
    <w:p w14:paraId="1BBC1CBC" w14:textId="77777777" w:rsidR="007D2A28" w:rsidRDefault="007D2A28" w:rsidP="007D2A28">
      <w:pPr>
        <w:pStyle w:val="BulletLevel1"/>
      </w:pPr>
      <w:r>
        <w:t>is used, in any way, for the analysis of Records relating to the Services, or any derivative thereof.</w:t>
      </w:r>
    </w:p>
    <w:p w14:paraId="1AA7222E" w14:textId="77777777" w:rsidR="007D2A28" w:rsidRPr="009F2CB9" w:rsidRDefault="007D2A28" w:rsidP="007D2A28">
      <w:pPr>
        <w:spacing w:line="264" w:lineRule="auto"/>
      </w:pPr>
      <w:r w:rsidRPr="009F2CB9">
        <w:t xml:space="preserve">TPES are specialised and Department accredited systems that may interface with the Department’s IT Systems and make employment industry-specific functionality available to licensed users.  </w:t>
      </w:r>
    </w:p>
    <w:p w14:paraId="18D6F5F0" w14:textId="77777777" w:rsidR="007D2A28" w:rsidRPr="009F2CB9" w:rsidRDefault="007D2A28" w:rsidP="007D2A28">
      <w:pPr>
        <w:spacing w:line="264" w:lineRule="auto"/>
      </w:pPr>
      <w:r>
        <w:t>Vendors of a</w:t>
      </w:r>
      <w:r w:rsidRPr="009F2CB9">
        <w:t xml:space="preserve">ccredited TPES have demonstrated their </w:t>
      </w:r>
      <w:r>
        <w:t xml:space="preserve">implementation of an </w:t>
      </w:r>
      <w:r w:rsidRPr="009F2CB9">
        <w:t>information security management system</w:t>
      </w:r>
      <w:r>
        <w:t xml:space="preserve"> covering the TPES which meets RFFR requirements</w:t>
      </w:r>
      <w:r w:rsidRPr="009F2CB9">
        <w:t xml:space="preserve">. The status of all existing accredited TPES is outlined on the </w:t>
      </w:r>
      <w:hyperlink r:id="rId68" w:history="1">
        <w:r w:rsidRPr="009F2CB9">
          <w:rPr>
            <w:color w:val="287BB3"/>
            <w:u w:val="single"/>
          </w:rPr>
          <w:t>Department’s Digital Information Assurance and IT Security Compliance website</w:t>
        </w:r>
      </w:hyperlink>
      <w:r w:rsidRPr="009F2CB9">
        <w:t>.</w:t>
      </w:r>
    </w:p>
    <w:p w14:paraId="09A5A6A6" w14:textId="77777777" w:rsidR="007D2A28" w:rsidRPr="009F2CB9" w:rsidRDefault="007D2A28" w:rsidP="007D2A28">
      <w:pPr>
        <w:spacing w:line="264" w:lineRule="auto"/>
      </w:pPr>
      <w:r w:rsidRPr="009F2CB9">
        <w:t>If a Provider uses a TPES, the</w:t>
      </w:r>
      <w:r>
        <w:t xml:space="preserve"> Provider </w:t>
      </w:r>
      <w:r w:rsidRPr="009F2CB9">
        <w:t>must</w:t>
      </w:r>
      <w:r>
        <w:t xml:space="preserve"> ensure that they</w:t>
      </w:r>
      <w:r w:rsidRPr="009F2CB9">
        <w:t xml:space="preserve">: </w:t>
      </w:r>
    </w:p>
    <w:p w14:paraId="32F6D318" w14:textId="77777777" w:rsidR="007D2A28" w:rsidRDefault="007D2A28" w:rsidP="007D2A28">
      <w:pPr>
        <w:pStyle w:val="BulletLevel1"/>
      </w:pPr>
      <w:r>
        <w:t xml:space="preserve">have accessed the relevant TPES accreditation letter </w:t>
      </w:r>
    </w:p>
    <w:p w14:paraId="420D20AD" w14:textId="77777777" w:rsidR="007D2A28" w:rsidRDefault="007D2A28" w:rsidP="007D2A28">
      <w:pPr>
        <w:pStyle w:val="BulletLevel1"/>
      </w:pPr>
      <w:r>
        <w:t xml:space="preserve">understand the scope of the TPES accreditation </w:t>
      </w:r>
    </w:p>
    <w:p w14:paraId="0CAB6857" w14:textId="77777777" w:rsidR="007D2A28" w:rsidRPr="009F2CB9" w:rsidRDefault="007D2A28" w:rsidP="007D2A28">
      <w:pPr>
        <w:pStyle w:val="BulletLevel1"/>
      </w:pPr>
      <w:r w:rsidRPr="009F2CB9">
        <w:t>identif</w:t>
      </w:r>
      <w:r>
        <w:t>y</w:t>
      </w:r>
      <w:r w:rsidRPr="009F2CB9">
        <w:t xml:space="preserve"> if the Provider’s </w:t>
      </w:r>
      <w:r>
        <w:t xml:space="preserve">system </w:t>
      </w:r>
      <w:r w:rsidRPr="009F2CB9">
        <w:t xml:space="preserve">configuration matches the accredited </w:t>
      </w:r>
      <w:r>
        <w:t xml:space="preserve">TPES </w:t>
      </w:r>
      <w:r w:rsidRPr="009F2CB9">
        <w:t>configuration</w:t>
      </w:r>
      <w:r>
        <w:t>, and</w:t>
      </w:r>
    </w:p>
    <w:p w14:paraId="26CE7CC4" w14:textId="77777777" w:rsidR="007D2A28" w:rsidRDefault="007D2A28" w:rsidP="007D2A28">
      <w:pPr>
        <w:pStyle w:val="BulletLevel1"/>
      </w:pPr>
      <w:r>
        <w:t>identify risks associated with use of unaccredited TPES functionality and implements appropriate mitigation strategies.</w:t>
      </w:r>
    </w:p>
    <w:p w14:paraId="5A9536A8" w14:textId="77777777" w:rsidR="007D2A28" w:rsidRDefault="007D2A28" w:rsidP="007D2A28">
      <w:pPr>
        <w:spacing w:line="264" w:lineRule="auto"/>
      </w:pPr>
      <w:r>
        <w:t>Providers wishing to use unaccredited software or services must assess risks, conduct their own evaluations, and ensure appropriate controls are in place.</w:t>
      </w:r>
    </w:p>
    <w:p w14:paraId="295EA180" w14:textId="77777777" w:rsidR="007D2A28" w:rsidRPr="009F2CB9" w:rsidRDefault="007D2A28" w:rsidP="007D2A28">
      <w:pPr>
        <w:spacing w:line="264" w:lineRule="auto"/>
      </w:pPr>
      <w:r w:rsidRPr="009F2CB9">
        <w:t xml:space="preserve">Providers must </w:t>
      </w:r>
      <w:r>
        <w:t>obtain</w:t>
      </w:r>
      <w:r w:rsidRPr="009F2CB9">
        <w:t xml:space="preserve"> </w:t>
      </w:r>
      <w:r>
        <w:t>written approval</w:t>
      </w:r>
      <w:r w:rsidRPr="009F2CB9">
        <w:t xml:space="preserve"> </w:t>
      </w:r>
      <w:r>
        <w:t xml:space="preserve">from the Department </w:t>
      </w:r>
      <w:r w:rsidRPr="009F2CB9">
        <w:t>to use or change a TPES.</w:t>
      </w:r>
    </w:p>
    <w:p w14:paraId="2E667681" w14:textId="77777777" w:rsidR="007D2A28" w:rsidRPr="009F2CB9" w:rsidRDefault="007D2A28" w:rsidP="007D2A28">
      <w:pPr>
        <w:pStyle w:val="Heading2"/>
      </w:pPr>
      <w:bookmarkStart w:id="760" w:name="_Toc95233336"/>
      <w:bookmarkStart w:id="761" w:name="_Toc96000581"/>
      <w:bookmarkStart w:id="762" w:name="_Toc95896809"/>
      <w:r>
        <w:t>Right Fit for Risk approach</w:t>
      </w:r>
      <w:bookmarkEnd w:id="760"/>
      <w:bookmarkEnd w:id="761"/>
      <w:bookmarkEnd w:id="762"/>
    </w:p>
    <w:p w14:paraId="2BDD05E3" w14:textId="77777777" w:rsidR="007D2A28" w:rsidRPr="00633B42" w:rsidRDefault="007D2A28" w:rsidP="007D2A28">
      <w:pPr>
        <w:spacing w:line="264" w:lineRule="auto"/>
      </w:pPr>
      <w:r w:rsidRPr="009F2CB9">
        <w:t>The RFFR</w:t>
      </w:r>
      <w:r w:rsidDel="00CF6844">
        <w:t xml:space="preserve"> </w:t>
      </w:r>
      <w:r w:rsidRPr="009F2CB9">
        <w:t>approach</w:t>
      </w:r>
      <w:r>
        <w:t xml:space="preserve"> includes requirements in relation to Provider accreditation based on the:</w:t>
      </w:r>
    </w:p>
    <w:p w14:paraId="593792D4" w14:textId="60139651" w:rsidR="007D2A28" w:rsidRPr="00633B42" w:rsidRDefault="007D2A28" w:rsidP="007D2A28">
      <w:pPr>
        <w:pStyle w:val="BulletLevel1"/>
      </w:pPr>
      <w:r w:rsidRPr="642206D3">
        <w:rPr>
          <w:b/>
          <w:bCs/>
        </w:rPr>
        <w:t>International Standard ISO/IEC 27001:</w:t>
      </w:r>
      <w:r w:rsidR="00087B9B" w:rsidRPr="642206D3">
        <w:rPr>
          <w:b/>
          <w:bCs/>
        </w:rPr>
        <w:t>20</w:t>
      </w:r>
      <w:r w:rsidR="00087B9B">
        <w:rPr>
          <w:b/>
          <w:bCs/>
        </w:rPr>
        <w:t>22</w:t>
      </w:r>
      <w:r w:rsidR="00087B9B">
        <w:t xml:space="preserve"> </w:t>
      </w:r>
      <w:r w:rsidRPr="00B70173">
        <w:t>Information technology – Security techniques – Information security management systems – Requirements</w:t>
      </w:r>
      <w:r w:rsidRPr="642206D3">
        <w:t xml:space="preserve"> </w:t>
      </w:r>
      <w:r w:rsidRPr="00B70173">
        <w:t>(ISO 27001)</w:t>
      </w:r>
      <w:r>
        <w:t xml:space="preserve"> </w:t>
      </w:r>
      <w:r w:rsidRPr="0055118C">
        <w:t>– the international standard outlining the core requirements of an Information Security Management System.</w:t>
      </w:r>
    </w:p>
    <w:p w14:paraId="4408C627" w14:textId="77777777" w:rsidR="007D2A28" w:rsidRPr="009F2CB9" w:rsidRDefault="007D2A28" w:rsidP="007D2A28">
      <w:pPr>
        <w:pStyle w:val="BulletLevel1"/>
      </w:pPr>
      <w:r>
        <w:rPr>
          <w:b/>
          <w:bCs/>
        </w:rPr>
        <w:t xml:space="preserve">Australian Government </w:t>
      </w:r>
      <w:r w:rsidRPr="003114CD">
        <w:rPr>
          <w:b/>
          <w:bCs/>
        </w:rPr>
        <w:t>Information Security Manual</w:t>
      </w:r>
      <w:r w:rsidRPr="00633B42">
        <w:t xml:space="preserve"> </w:t>
      </w:r>
      <w:r>
        <w:t xml:space="preserve">(ISM) </w:t>
      </w:r>
      <w:r w:rsidRPr="00633B42">
        <w:t>– the Australian Government’s cyber security framework to protect systems and data from cyber threats.</w:t>
      </w:r>
    </w:p>
    <w:p w14:paraId="1FA698AB" w14:textId="77777777" w:rsidR="007D2A28" w:rsidRDefault="007D2A28" w:rsidP="007D2A28">
      <w:r>
        <w:t xml:space="preserve">The RFFR </w:t>
      </w:r>
      <w:r w:rsidRPr="009F2CB9">
        <w:t>approach</w:t>
      </w:r>
      <w:r>
        <w:t xml:space="preserve"> includes a requirement that Providers design and implement an Information Security Management System (</w:t>
      </w:r>
      <w:r w:rsidRPr="00E25981">
        <w:rPr>
          <w:b/>
          <w:bCs/>
        </w:rPr>
        <w:t>ISMS</w:t>
      </w:r>
      <w:r>
        <w:t xml:space="preserve">) that is consistent with the requirements of ISO 27001. An ISMS </w:t>
      </w:r>
      <w:r>
        <w:lastRenderedPageBreak/>
        <w:t>is a systematic approach to managing business information so that it remains secure and available when staff need it. It secures people, premises, IT systems and information by applying a risk management process</w:t>
      </w:r>
      <w:r w:rsidRPr="009F2CB9">
        <w:t xml:space="preserve"> to information security.</w:t>
      </w:r>
      <w:r>
        <w:t xml:space="preserve"> </w:t>
      </w:r>
    </w:p>
    <w:p w14:paraId="553B8B12" w14:textId="77777777" w:rsidR="007D2A28" w:rsidRDefault="007D2A28" w:rsidP="007D2A28">
      <w:r>
        <w:t xml:space="preserve">The RFFR program extends ISO 27001 in 2 key areas:  </w:t>
      </w:r>
    </w:p>
    <w:p w14:paraId="68531F28" w14:textId="77777777" w:rsidR="007D2A28" w:rsidRDefault="007D2A28" w:rsidP="007D2A28">
      <w:pPr>
        <w:pStyle w:val="BulletLevel1"/>
      </w:pPr>
      <w:r>
        <w:t>ISO 27001 requires organisations to consider the set of security controls presented in Annex A to the standard and identify which are applicable to mitigating their security risks.</w:t>
      </w:r>
      <w:r w:rsidDel="00A76C3E">
        <w:t xml:space="preserve"> </w:t>
      </w:r>
      <w:r>
        <w:t xml:space="preserve">RFFR extends this requirement by asking </w:t>
      </w:r>
      <w:r w:rsidRPr="009F2CB9">
        <w:t>Providers</w:t>
      </w:r>
      <w:r>
        <w:t xml:space="preserve"> to also consider the set of security controls presented in the ISM that are relevant to securing OFFICIAL classified information. </w:t>
      </w:r>
    </w:p>
    <w:p w14:paraId="57DF37C4" w14:textId="77777777" w:rsidR="007D2A28" w:rsidRDefault="007D2A28" w:rsidP="007D2A28">
      <w:pPr>
        <w:pStyle w:val="BulletLevel1"/>
      </w:pPr>
      <w:r>
        <w:t xml:space="preserve">The Department has identified core expectation areas that are particularly important to the security posture at all organisations.  All Providers are expected to include security controls that support the core expectation areas under the RFFR when identifying applicable controls for inclusion in their ISMS. </w:t>
      </w:r>
    </w:p>
    <w:p w14:paraId="296B4C2C" w14:textId="77777777" w:rsidR="007D2A28" w:rsidRDefault="007D2A28" w:rsidP="007D2A28">
      <w:pPr>
        <w:pStyle w:val="Heading2"/>
      </w:pPr>
      <w:bookmarkStart w:id="763" w:name="_Toc95233337"/>
      <w:bookmarkStart w:id="764" w:name="_Toc96000582"/>
      <w:bookmarkStart w:id="765" w:name="_Toc95896810"/>
      <w:r>
        <w:t>Guidelines</w:t>
      </w:r>
      <w:r w:rsidRPr="00E350A7">
        <w:t xml:space="preserve"> for </w:t>
      </w:r>
      <w:r>
        <w:t>a</w:t>
      </w:r>
      <w:r w:rsidRPr="00E350A7">
        <w:t>ccreditation</w:t>
      </w:r>
      <w:r>
        <w:t xml:space="preserve"> and maintenance of a</w:t>
      </w:r>
      <w:r w:rsidRPr="00E350A7">
        <w:t>ccreditation</w:t>
      </w:r>
      <w:bookmarkEnd w:id="763"/>
      <w:bookmarkEnd w:id="764"/>
      <w:bookmarkEnd w:id="765"/>
    </w:p>
    <w:p w14:paraId="1455F207" w14:textId="77777777" w:rsidR="007D2A28" w:rsidRPr="009F2CB9" w:rsidRDefault="007D2A28" w:rsidP="007D2A28">
      <w:pPr>
        <w:spacing w:line="264" w:lineRule="auto"/>
      </w:pPr>
      <w:r w:rsidRPr="009F2CB9">
        <w:rPr>
          <w:rFonts w:cstheme="minorHAnsi"/>
          <w:color w:val="000000" w:themeColor="text1"/>
        </w:rPr>
        <w:t xml:space="preserve">The Department is the accrediting authority for Providers. </w:t>
      </w:r>
      <w:r w:rsidRPr="009F2CB9">
        <w:t xml:space="preserve">To accredit Providers, the Department seeks assurance that the Provider has implemented an appropriate standard of security over their information and their IT environment.  </w:t>
      </w:r>
      <w:r w:rsidRPr="009F2CB9">
        <w:rPr>
          <w:rFonts w:cstheme="minorHAnsi"/>
          <w:color w:val="000000" w:themeColor="text1"/>
        </w:rPr>
        <w:t xml:space="preserve">The accreditation process for each Provider depends on their size and risk profile. </w:t>
      </w:r>
    </w:p>
    <w:p w14:paraId="4032B94E" w14:textId="77777777" w:rsidR="007D2A28" w:rsidRPr="009F2CB9" w:rsidRDefault="007D2A28" w:rsidP="007D2A28">
      <w:pPr>
        <w:spacing w:line="264" w:lineRule="auto"/>
        <w:rPr>
          <w:color w:val="000000" w:themeColor="text1"/>
        </w:rPr>
      </w:pPr>
      <w:r w:rsidRPr="009F2CB9">
        <w:rPr>
          <w:rFonts w:cstheme="minorHAnsi"/>
          <w:color w:val="000000" w:themeColor="text1"/>
        </w:rPr>
        <w:t xml:space="preserve">To demonstrate that Provider IT </w:t>
      </w:r>
      <w:r>
        <w:rPr>
          <w:rFonts w:cstheme="minorHAnsi"/>
          <w:color w:val="000000" w:themeColor="text1"/>
        </w:rPr>
        <w:t>S</w:t>
      </w:r>
      <w:r w:rsidRPr="009F2CB9">
        <w:rPr>
          <w:rFonts w:cstheme="minorHAnsi"/>
          <w:color w:val="000000" w:themeColor="text1"/>
        </w:rPr>
        <w:t xml:space="preserve">ystems meet RFFR requirements, the Department requires Providers </w:t>
      </w:r>
      <w:r>
        <w:t xml:space="preserve">to </w:t>
      </w:r>
      <w:r w:rsidRPr="009F2CB9">
        <w:rPr>
          <w:rFonts w:cstheme="minorHAnsi"/>
          <w:color w:val="000000" w:themeColor="text1"/>
        </w:rPr>
        <w:t xml:space="preserve">follow the RFFR approach.  </w:t>
      </w:r>
      <w:r w:rsidRPr="009F2CB9">
        <w:t xml:space="preserve">The RFFR approach requires Providers </w:t>
      </w:r>
      <w:r>
        <w:t xml:space="preserve">to </w:t>
      </w:r>
      <w:r w:rsidRPr="009F2CB9">
        <w:t xml:space="preserve">complete a set of milestones within a prescribed time period.  At each milestone, Providers check in with the Department </w:t>
      </w:r>
      <w:r w:rsidRPr="009F2CB9">
        <w:rPr>
          <w:color w:val="000000" w:themeColor="text1"/>
        </w:rPr>
        <w:t>to review progress, assess risk and provide guidance on meeting the RFFR requirements.</w:t>
      </w:r>
      <w:r>
        <w:rPr>
          <w:color w:val="000000" w:themeColor="text1"/>
        </w:rPr>
        <w:t xml:space="preserve"> </w:t>
      </w:r>
    </w:p>
    <w:p w14:paraId="74FBB91A" w14:textId="77777777" w:rsidR="007D2A28" w:rsidRPr="009F2CB9" w:rsidRDefault="007D2A28" w:rsidP="007D2A28">
      <w:pPr>
        <w:spacing w:line="264" w:lineRule="auto"/>
        <w:rPr>
          <w:color w:val="000000" w:themeColor="text1"/>
        </w:rPr>
      </w:pPr>
      <w:r w:rsidRPr="009F2CB9">
        <w:rPr>
          <w:color w:val="000000" w:themeColor="text1"/>
        </w:rPr>
        <w:t>The milestones are designed to allow Providers to assess their organisation’s level of cyber security measures in place and implement any improvements identified at the same time as gaining a customised ISMS that conforms with ISO 27001.</w:t>
      </w:r>
      <w:r>
        <w:rPr>
          <w:color w:val="000000" w:themeColor="text1"/>
        </w:rPr>
        <w:t xml:space="preserve"> </w:t>
      </w:r>
    </w:p>
    <w:p w14:paraId="77F91D7E" w14:textId="77777777" w:rsidR="007D2A28" w:rsidRPr="009F2CB9" w:rsidRDefault="007D2A28" w:rsidP="007D2A28">
      <w:pPr>
        <w:pStyle w:val="Heading2"/>
      </w:pPr>
      <w:bookmarkStart w:id="766" w:name="_Toc95233338"/>
      <w:bookmarkStart w:id="767" w:name="_Toc96000583"/>
      <w:bookmarkStart w:id="768" w:name="_Toc95896811"/>
      <w:r w:rsidRPr="009F2CB9">
        <w:t>Provider classification for accreditation</w:t>
      </w:r>
      <w:bookmarkEnd w:id="766"/>
      <w:bookmarkEnd w:id="767"/>
      <w:bookmarkEnd w:id="768"/>
      <w:r w:rsidRPr="009F2CB9">
        <w:t xml:space="preserve"> </w:t>
      </w:r>
    </w:p>
    <w:p w14:paraId="2AED5F24" w14:textId="77777777" w:rsidR="007D2A28" w:rsidRPr="009F2CB9" w:rsidRDefault="007D2A28" w:rsidP="007D2A28">
      <w:pPr>
        <w:spacing w:line="264" w:lineRule="auto"/>
      </w:pPr>
      <w:r w:rsidRPr="009F2CB9">
        <w:t>The RFFR approach classifies Providers into a category to obtain accreditation</w:t>
      </w:r>
      <w:r>
        <w:t xml:space="preserve">. </w:t>
      </w:r>
    </w:p>
    <w:p w14:paraId="6F679EFF" w14:textId="77777777" w:rsidR="007D2A28" w:rsidRPr="009F2CB9" w:rsidRDefault="007D2A28" w:rsidP="007D2A28">
      <w:pPr>
        <w:pStyle w:val="BulletLevel1"/>
      </w:pPr>
      <w:r>
        <w:t>C</w:t>
      </w:r>
      <w:r w:rsidRPr="009F2CB9">
        <w:t xml:space="preserve">ategory </w:t>
      </w:r>
      <w:r>
        <w:t>1</w:t>
      </w:r>
      <w:r w:rsidRPr="009F2CB9">
        <w:t>: Providers delivering Services to 2,000</w:t>
      </w:r>
      <w:r>
        <w:t xml:space="preserve"> or more</w:t>
      </w:r>
      <w:r w:rsidRPr="009F2CB9">
        <w:t xml:space="preserve"> individuals </w:t>
      </w:r>
      <w:r w:rsidRPr="0013131C">
        <w:t>per annum as a result of all of their Deeds</w:t>
      </w:r>
      <w:r>
        <w:t xml:space="preserve"> (including individuals serviced by Subcontractors)</w:t>
      </w:r>
    </w:p>
    <w:p w14:paraId="754BA24E" w14:textId="77777777" w:rsidR="007D2A28" w:rsidRDefault="007D2A28" w:rsidP="007D2A28">
      <w:pPr>
        <w:pStyle w:val="BulletLevel1"/>
      </w:pPr>
      <w:r>
        <w:t>C</w:t>
      </w:r>
      <w:r w:rsidRPr="009F2CB9">
        <w:t>ategor</w:t>
      </w:r>
      <w:r>
        <w:t>y 2:</w:t>
      </w:r>
      <w:r w:rsidRPr="009F2CB9">
        <w:t xml:space="preserve"> Providers delivering Services to fewer than 2,000 individuals per annum as a result of </w:t>
      </w:r>
      <w:r w:rsidRPr="0013131C">
        <w:t xml:space="preserve">all of their </w:t>
      </w:r>
      <w:r w:rsidRPr="009F2CB9">
        <w:t>Deeds</w:t>
      </w:r>
      <w:r>
        <w:t xml:space="preserve"> (including individuals serviced by Subcontractors)</w:t>
      </w:r>
      <w:r w:rsidRPr="009F2CB9">
        <w:t xml:space="preserve">. This category includes </w:t>
      </w:r>
      <w:r>
        <w:t>two</w:t>
      </w:r>
      <w:r w:rsidRPr="009F2CB9">
        <w:t xml:space="preserve"> sub-categories referred to as “</w:t>
      </w:r>
      <w:r>
        <w:t>C</w:t>
      </w:r>
      <w:r w:rsidRPr="009F2CB9">
        <w:t>ategory 2</w:t>
      </w:r>
      <w:r>
        <w:t>A</w:t>
      </w:r>
      <w:r w:rsidRPr="009F2CB9">
        <w:t>” and “</w:t>
      </w:r>
      <w:r>
        <w:t>C</w:t>
      </w:r>
      <w:r w:rsidRPr="009F2CB9">
        <w:t>ategory 2</w:t>
      </w:r>
      <w:r>
        <w:t>B</w:t>
      </w:r>
      <w:r w:rsidRPr="009F2CB9">
        <w:t xml:space="preserve">” below.  </w:t>
      </w:r>
    </w:p>
    <w:p w14:paraId="719E8C55" w14:textId="77777777" w:rsidR="007D2A28" w:rsidRDefault="007D2A28" w:rsidP="007D2A28">
      <w:pPr>
        <w:spacing w:before="60" w:line="240" w:lineRule="auto"/>
      </w:pPr>
      <w:r w:rsidRPr="009F2CB9">
        <w:t xml:space="preserve">When determining </w:t>
      </w:r>
      <w:r>
        <w:t xml:space="preserve">whether a Provider is in Category 2A or 2B, </w:t>
      </w:r>
      <w:r w:rsidRPr="009F2CB9">
        <w:t>the Department will consider a range of risk factors including the:</w:t>
      </w:r>
      <w:r>
        <w:t xml:space="preserve"> </w:t>
      </w:r>
    </w:p>
    <w:p w14:paraId="6A7A9EC6" w14:textId="77777777" w:rsidR="007D2A28" w:rsidRDefault="007D2A28" w:rsidP="007D2A28">
      <w:pPr>
        <w:pStyle w:val="BulletLevel1"/>
      </w:pPr>
      <w:r>
        <w:t>IT environment</w:t>
      </w:r>
    </w:p>
    <w:p w14:paraId="7D2A028B" w14:textId="77777777" w:rsidR="007D2A28" w:rsidRDefault="007D2A28" w:rsidP="007D2A28">
      <w:pPr>
        <w:pStyle w:val="BulletLevel1"/>
      </w:pPr>
      <w:r>
        <w:t>level of outsourcing</w:t>
      </w:r>
    </w:p>
    <w:p w14:paraId="4FB08EEC" w14:textId="77777777" w:rsidR="007D2A28" w:rsidRDefault="007D2A28" w:rsidP="007D2A28">
      <w:pPr>
        <w:pStyle w:val="BulletLevel1"/>
      </w:pPr>
      <w:r>
        <w:t>subcontracting arrangements</w:t>
      </w:r>
    </w:p>
    <w:p w14:paraId="4367DA76" w14:textId="77777777" w:rsidR="007D2A28" w:rsidRDefault="007D2A28" w:rsidP="007D2A28">
      <w:pPr>
        <w:pStyle w:val="BulletLevel1"/>
      </w:pPr>
      <w:r>
        <w:t>organisational structure</w:t>
      </w:r>
    </w:p>
    <w:p w14:paraId="0234BBD6" w14:textId="77777777" w:rsidR="007D2A28" w:rsidRDefault="007D2A28" w:rsidP="007D2A28">
      <w:pPr>
        <w:pStyle w:val="BulletLevel1"/>
      </w:pPr>
      <w:r>
        <w:t>level of security maturity</w:t>
      </w:r>
    </w:p>
    <w:p w14:paraId="3C16A17D" w14:textId="77777777" w:rsidR="007D2A28" w:rsidRDefault="007D2A28" w:rsidP="007D2A28">
      <w:pPr>
        <w:pStyle w:val="BulletLevel1"/>
      </w:pPr>
      <w:r>
        <w:t>the extent of sensitive information held and level of access to departmental systems</w:t>
      </w:r>
    </w:p>
    <w:p w14:paraId="4B3DFA59" w14:textId="77777777" w:rsidR="007D2A28" w:rsidRDefault="007D2A28" w:rsidP="007D2A28">
      <w:pPr>
        <w:pStyle w:val="BulletLevel1"/>
      </w:pPr>
      <w:r>
        <w:t>other relevant factors.</w:t>
      </w:r>
    </w:p>
    <w:p w14:paraId="23BA132F" w14:textId="77777777" w:rsidR="007D2A28" w:rsidRDefault="007D2A28" w:rsidP="007D2A28">
      <w:r>
        <w:lastRenderedPageBreak/>
        <w:t xml:space="preserve">The Department considers the number of individuals receiving services from the Provider and any Subcontractors ("caseload volume") in the aggregate across all </w:t>
      </w:r>
      <w:r w:rsidRPr="0013131C">
        <w:t>Deeds. Should the Provider enter into new Deeds</w:t>
      </w:r>
      <w:r>
        <w:t xml:space="preserve"> with the Department that alters the caseload volume, the Department will reassess their categorisation and may require the accreditation to be updated if the categorisation changes. </w:t>
      </w:r>
    </w:p>
    <w:p w14:paraId="347EA64D" w14:textId="77777777" w:rsidR="007D2A28" w:rsidRPr="009F2CB9" w:rsidRDefault="007D2A28" w:rsidP="007D2A28">
      <w:r w:rsidRPr="009F2CB9">
        <w:t xml:space="preserve">Each of the Provider categories is associated with its own assurance pathway under the RFFR approach.  </w:t>
      </w:r>
    </w:p>
    <w:p w14:paraId="79BEA299" w14:textId="77777777" w:rsidR="007D2A28" w:rsidRPr="009F2CB9" w:rsidRDefault="007D2A28" w:rsidP="007D2A28">
      <w:r w:rsidRPr="009F2CB9">
        <w:t xml:space="preserve">The Department will </w:t>
      </w:r>
      <w:r>
        <w:t>categorise</w:t>
      </w:r>
      <w:r w:rsidRPr="009F2CB9">
        <w:t xml:space="preserve"> a Provider based on the</w:t>
      </w:r>
      <w:r>
        <w:t>ir</w:t>
      </w:r>
      <w:r w:rsidRPr="009F2CB9">
        <w:t xml:space="preserve"> RFFR questionnaire submission (or equivalent) and additional information obtained through an interview with the Provider. Completion of this interview and categorisation activity marks Milestone 1 in the RFFR process.</w:t>
      </w:r>
      <w:r>
        <w:t xml:space="preserve"> </w:t>
      </w:r>
    </w:p>
    <w:p w14:paraId="2170C47D" w14:textId="0AE2C73D" w:rsidR="007D2A28" w:rsidRPr="0013131C" w:rsidRDefault="007D2A28" w:rsidP="007D2A28">
      <w:r w:rsidRPr="00B86845">
        <w:rPr>
          <w:rStyle w:val="1AllTextBold"/>
          <w:b w:val="0"/>
          <w:bCs w:val="0"/>
          <w:u w:val="single"/>
        </w:rPr>
        <w:fldChar w:fldCharType="begin"/>
      </w:r>
      <w:r w:rsidRPr="00B86845">
        <w:rPr>
          <w:rStyle w:val="1AllTextBold"/>
          <w:b w:val="0"/>
          <w:bCs w:val="0"/>
          <w:u w:val="single"/>
        </w:rPr>
        <w:instrText xml:space="preserve"> REF _Ref97198274 \h  \* MERGEFORMAT </w:instrText>
      </w:r>
      <w:r w:rsidRPr="00B86845">
        <w:rPr>
          <w:rStyle w:val="1AllTextBold"/>
          <w:b w:val="0"/>
          <w:bCs w:val="0"/>
          <w:u w:val="single"/>
        </w:rPr>
      </w:r>
      <w:r w:rsidRPr="00B86845">
        <w:rPr>
          <w:rStyle w:val="1AllTextBold"/>
          <w:b w:val="0"/>
          <w:bCs w:val="0"/>
          <w:u w:val="single"/>
        </w:rPr>
        <w:fldChar w:fldCharType="separate"/>
      </w:r>
      <w:r w:rsidR="00833EA6" w:rsidRPr="00833EA6">
        <w:rPr>
          <w:rStyle w:val="1AllTextBold"/>
          <w:b w:val="0"/>
          <w:bCs w:val="0"/>
          <w:u w:val="single"/>
        </w:rPr>
        <w:t>Table 3</w:t>
      </w:r>
      <w:r w:rsidR="00833EA6" w:rsidRPr="00833EA6">
        <w:rPr>
          <w:rStyle w:val="1AllTextBold"/>
          <w:b w:val="0"/>
          <w:bCs w:val="0"/>
          <w:u w:val="single"/>
        </w:rPr>
        <w:noBreakHyphen/>
        <w:t>A</w:t>
      </w:r>
      <w:r w:rsidRPr="00B86845">
        <w:rPr>
          <w:rStyle w:val="1AllTextBold"/>
          <w:b w:val="0"/>
          <w:bCs w:val="0"/>
          <w:u w:val="single"/>
        </w:rPr>
        <w:fldChar w:fldCharType="end"/>
      </w:r>
      <w:r w:rsidRPr="0013131C">
        <w:t xml:space="preserve"> provides guidance to Providers on the basis of accreditation and accreditation maintenance activities required for each category. </w:t>
      </w:r>
    </w:p>
    <w:p w14:paraId="7E2EC174" w14:textId="20E902FF" w:rsidR="007D2A28" w:rsidRDefault="007D2A28" w:rsidP="007D2A28">
      <w:pPr>
        <w:pStyle w:val="Caption"/>
        <w:keepNext/>
      </w:pPr>
      <w:bookmarkStart w:id="769" w:name="_Ref97198274"/>
      <w:r>
        <w:t xml:space="preserve">Table </w:t>
      </w:r>
      <w:r>
        <w:fldChar w:fldCharType="begin"/>
      </w:r>
      <w:r>
        <w:instrText>STYLEREF 1 \s</w:instrText>
      </w:r>
      <w:r>
        <w:fldChar w:fldCharType="separate"/>
      </w:r>
      <w:r w:rsidR="00833EA6">
        <w:rPr>
          <w:noProof/>
        </w:rPr>
        <w:t>3</w:t>
      </w:r>
      <w:r>
        <w:fldChar w:fldCharType="end"/>
      </w:r>
      <w:r>
        <w:noBreakHyphen/>
      </w:r>
      <w:r>
        <w:fldChar w:fldCharType="begin"/>
      </w:r>
      <w:r>
        <w:instrText>SEQ Table \* ALPHABETIC \s 1</w:instrText>
      </w:r>
      <w:r>
        <w:fldChar w:fldCharType="separate"/>
      </w:r>
      <w:r w:rsidR="00833EA6">
        <w:rPr>
          <w:noProof/>
        </w:rPr>
        <w:t>A</w:t>
      </w:r>
      <w:r>
        <w:fldChar w:fldCharType="end"/>
      </w:r>
      <w:bookmarkEnd w:id="769"/>
      <w:r>
        <w:t>: Provider Classification</w:t>
      </w:r>
    </w:p>
    <w:tbl>
      <w:tblPr>
        <w:tblStyle w:val="DESE"/>
        <w:tblW w:w="0" w:type="auto"/>
        <w:tblLook w:val="04A0" w:firstRow="1" w:lastRow="0" w:firstColumn="1" w:lastColumn="0" w:noHBand="0" w:noVBand="1"/>
      </w:tblPr>
      <w:tblGrid>
        <w:gridCol w:w="1833"/>
        <w:gridCol w:w="2693"/>
        <w:gridCol w:w="2141"/>
        <w:gridCol w:w="2339"/>
      </w:tblGrid>
      <w:tr w:rsidR="007D2A28" w:rsidRPr="006166EC" w14:paraId="6AB4B15A" w14:textId="77777777" w:rsidTr="00037F06">
        <w:trPr>
          <w:cnfStyle w:val="100000000000" w:firstRow="1" w:lastRow="0" w:firstColumn="0" w:lastColumn="0" w:oddVBand="0" w:evenVBand="0" w:oddHBand="0" w:evenHBand="0" w:firstRowFirstColumn="0" w:firstRowLastColumn="0" w:lastRowFirstColumn="0" w:lastRowLastColumn="0"/>
          <w:trHeight w:val="269"/>
          <w:tblHeader/>
        </w:trPr>
        <w:tc>
          <w:tcPr>
            <w:cnfStyle w:val="001000000100" w:firstRow="0" w:lastRow="0" w:firstColumn="1" w:lastColumn="0" w:oddVBand="0" w:evenVBand="0" w:oddHBand="0" w:evenHBand="0" w:firstRowFirstColumn="1" w:firstRowLastColumn="0" w:lastRowFirstColumn="0" w:lastRowLastColumn="0"/>
            <w:tcW w:w="1833" w:type="dxa"/>
          </w:tcPr>
          <w:p w14:paraId="62C07B5F" w14:textId="77777777" w:rsidR="007D2A28" w:rsidRPr="006166EC" w:rsidRDefault="007D2A28" w:rsidP="00037F06">
            <w:pPr>
              <w:pStyle w:val="TableColumnHeading"/>
            </w:pPr>
            <w:r w:rsidRPr="006166EC">
              <w:t>Category</w:t>
            </w:r>
          </w:p>
        </w:tc>
        <w:tc>
          <w:tcPr>
            <w:tcW w:w="2693" w:type="dxa"/>
          </w:tcPr>
          <w:p w14:paraId="0D49CBA6" w14:textId="77777777" w:rsidR="007D2A28" w:rsidRPr="006166EC"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rsidRPr="006166EC">
              <w:t xml:space="preserve">Category </w:t>
            </w:r>
            <w:r>
              <w:t>1</w:t>
            </w:r>
          </w:p>
        </w:tc>
        <w:tc>
          <w:tcPr>
            <w:tcW w:w="4480" w:type="dxa"/>
            <w:gridSpan w:val="2"/>
          </w:tcPr>
          <w:p w14:paraId="63165481" w14:textId="77777777" w:rsidR="007D2A28" w:rsidRPr="006166EC"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rsidRPr="006166EC">
              <w:t xml:space="preserve">Category </w:t>
            </w:r>
            <w:r>
              <w:t>2</w:t>
            </w:r>
          </w:p>
        </w:tc>
      </w:tr>
      <w:tr w:rsidR="007D2A28" w:rsidRPr="009F2CB9" w14:paraId="6D08E154" w14:textId="77777777" w:rsidTr="00037F06">
        <w:trPr>
          <w:cnfStyle w:val="100000000000" w:firstRow="1" w:lastRow="0" w:firstColumn="0" w:lastColumn="0" w:oddVBand="0" w:evenVBand="0" w:oddHBand="0" w:evenHBand="0" w:firstRowFirstColumn="0" w:firstRowLastColumn="0" w:lastRowFirstColumn="0" w:lastRowLastColumn="0"/>
          <w:trHeight w:val="269"/>
          <w:tblHeader/>
        </w:trPr>
        <w:tc>
          <w:tcPr>
            <w:cnfStyle w:val="001000000100" w:firstRow="0" w:lastRow="0" w:firstColumn="1" w:lastColumn="0" w:oddVBand="0" w:evenVBand="0" w:oddHBand="0" w:evenHBand="0" w:firstRowFirstColumn="1" w:firstRowLastColumn="0" w:lastRowFirstColumn="0" w:lastRowLastColumn="0"/>
            <w:tcW w:w="1833" w:type="dxa"/>
            <w:shd w:val="clear" w:color="auto" w:fill="002D3F" w:themeFill="accent1"/>
          </w:tcPr>
          <w:p w14:paraId="3104B764" w14:textId="77777777" w:rsidR="007D2A28" w:rsidRPr="0064051B" w:rsidRDefault="007D2A28" w:rsidP="00037F06">
            <w:pPr>
              <w:pStyle w:val="TableColumnHeading"/>
            </w:pPr>
            <w:r w:rsidRPr="0064051B">
              <w:t>Sub-category</w:t>
            </w:r>
          </w:p>
        </w:tc>
        <w:tc>
          <w:tcPr>
            <w:tcW w:w="2693" w:type="dxa"/>
            <w:shd w:val="clear" w:color="auto" w:fill="002D3F" w:themeFill="accent1"/>
          </w:tcPr>
          <w:p w14:paraId="1CFC4E2C" w14:textId="77777777" w:rsidR="007D2A28" w:rsidRPr="009F2CB9"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t>Nil</w:t>
            </w:r>
          </w:p>
        </w:tc>
        <w:tc>
          <w:tcPr>
            <w:tcW w:w="2141" w:type="dxa"/>
            <w:shd w:val="clear" w:color="auto" w:fill="002D3F" w:themeFill="accent1"/>
          </w:tcPr>
          <w:p w14:paraId="164FB578" w14:textId="77777777" w:rsidR="007D2A28" w:rsidRPr="009F2CB9"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t>2A</w:t>
            </w:r>
          </w:p>
        </w:tc>
        <w:tc>
          <w:tcPr>
            <w:tcW w:w="2339" w:type="dxa"/>
            <w:shd w:val="clear" w:color="auto" w:fill="002D3F" w:themeFill="accent1"/>
          </w:tcPr>
          <w:p w14:paraId="0AF17B03" w14:textId="77777777" w:rsidR="007D2A28" w:rsidRPr="009F2CB9"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t>2B</w:t>
            </w:r>
          </w:p>
        </w:tc>
      </w:tr>
      <w:tr w:rsidR="007D2A28" w:rsidRPr="009F2CB9" w14:paraId="2EF180C2" w14:textId="77777777" w:rsidTr="00037F06">
        <w:trPr>
          <w:trHeight w:val="548"/>
        </w:trPr>
        <w:tc>
          <w:tcPr>
            <w:cnfStyle w:val="001000000000" w:firstRow="0" w:lastRow="0" w:firstColumn="1" w:lastColumn="0" w:oddVBand="0" w:evenVBand="0" w:oddHBand="0" w:evenHBand="0" w:firstRowFirstColumn="0" w:firstRowLastColumn="0" w:lastRowFirstColumn="0" w:lastRowLastColumn="0"/>
            <w:tcW w:w="1833" w:type="dxa"/>
          </w:tcPr>
          <w:p w14:paraId="08B9390C" w14:textId="77777777" w:rsidR="007D2A28" w:rsidRPr="009F2CB9" w:rsidRDefault="007D2A28" w:rsidP="00037F06">
            <w:pPr>
              <w:pStyle w:val="TableFirstColumn"/>
            </w:pPr>
            <w:r w:rsidRPr="009F2CB9">
              <w:t>Annual Case load</w:t>
            </w:r>
          </w:p>
        </w:tc>
        <w:tc>
          <w:tcPr>
            <w:tcW w:w="2693" w:type="dxa"/>
          </w:tcPr>
          <w:p w14:paraId="44CE39A1"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2,000</w:t>
            </w:r>
            <w:r>
              <w:t xml:space="preserve"> or more</w:t>
            </w:r>
          </w:p>
        </w:tc>
        <w:tc>
          <w:tcPr>
            <w:tcW w:w="2141" w:type="dxa"/>
          </w:tcPr>
          <w:p w14:paraId="3685BF23"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Under 2,000</w:t>
            </w:r>
          </w:p>
        </w:tc>
        <w:tc>
          <w:tcPr>
            <w:tcW w:w="2339" w:type="dxa"/>
          </w:tcPr>
          <w:p w14:paraId="44027FE6"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Under 2,000</w:t>
            </w:r>
          </w:p>
        </w:tc>
      </w:tr>
      <w:tr w:rsidR="007D2A28" w:rsidRPr="009F2CB9" w14:paraId="13607A5F" w14:textId="77777777" w:rsidTr="00037F06">
        <w:trPr>
          <w:trHeight w:val="548"/>
        </w:trPr>
        <w:tc>
          <w:tcPr>
            <w:cnfStyle w:val="001000000000" w:firstRow="0" w:lastRow="0" w:firstColumn="1" w:lastColumn="0" w:oddVBand="0" w:evenVBand="0" w:oddHBand="0" w:evenHBand="0" w:firstRowFirstColumn="0" w:firstRowLastColumn="0" w:lastRowFirstColumn="0" w:lastRowLastColumn="0"/>
            <w:tcW w:w="1833" w:type="dxa"/>
          </w:tcPr>
          <w:p w14:paraId="01E56307" w14:textId="77777777" w:rsidR="007D2A28" w:rsidRPr="009F2CB9" w:rsidRDefault="007D2A28" w:rsidP="00037F06">
            <w:pPr>
              <w:pStyle w:val="TableFirstColumn"/>
            </w:pPr>
            <w:r w:rsidRPr="009F2CB9">
              <w:t>Risk profile</w:t>
            </w:r>
          </w:p>
        </w:tc>
        <w:tc>
          <w:tcPr>
            <w:tcW w:w="2693" w:type="dxa"/>
          </w:tcPr>
          <w:p w14:paraId="5814C122"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Greater risk </w:t>
            </w:r>
          </w:p>
        </w:tc>
        <w:tc>
          <w:tcPr>
            <w:tcW w:w="2141" w:type="dxa"/>
          </w:tcPr>
          <w:p w14:paraId="2F421B08"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Medium Risk</w:t>
            </w:r>
          </w:p>
        </w:tc>
        <w:tc>
          <w:tcPr>
            <w:tcW w:w="2339" w:type="dxa"/>
          </w:tcPr>
          <w:p w14:paraId="1613DF0C"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Low risk</w:t>
            </w:r>
          </w:p>
        </w:tc>
      </w:tr>
      <w:tr w:rsidR="007D2A28" w:rsidRPr="009F2CB9" w14:paraId="7C1D9490" w14:textId="77777777" w:rsidTr="00037F06">
        <w:trPr>
          <w:trHeight w:val="548"/>
        </w:trPr>
        <w:tc>
          <w:tcPr>
            <w:cnfStyle w:val="001000000000" w:firstRow="0" w:lastRow="0" w:firstColumn="1" w:lastColumn="0" w:oddVBand="0" w:evenVBand="0" w:oddHBand="0" w:evenHBand="0" w:firstRowFirstColumn="0" w:firstRowLastColumn="0" w:lastRowFirstColumn="0" w:lastRowLastColumn="0"/>
            <w:tcW w:w="1833" w:type="dxa"/>
          </w:tcPr>
          <w:p w14:paraId="77434C06" w14:textId="77777777" w:rsidR="007D2A28" w:rsidRPr="009F2CB9" w:rsidRDefault="007D2A28" w:rsidP="00037F06">
            <w:pPr>
              <w:pStyle w:val="TableFirstColumn"/>
            </w:pPr>
            <w:r w:rsidRPr="009F2CB9">
              <w:t>Basis of accreditation</w:t>
            </w:r>
          </w:p>
        </w:tc>
        <w:tc>
          <w:tcPr>
            <w:tcW w:w="2693" w:type="dxa"/>
          </w:tcPr>
          <w:p w14:paraId="6BC88740"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ISO 27001 conforming ISMS - independently certified</w:t>
            </w:r>
          </w:p>
        </w:tc>
        <w:tc>
          <w:tcPr>
            <w:tcW w:w="2141" w:type="dxa"/>
          </w:tcPr>
          <w:p w14:paraId="06F992DF"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ISO 27001 conforming ISMS - self-assessed </w:t>
            </w:r>
          </w:p>
        </w:tc>
        <w:tc>
          <w:tcPr>
            <w:tcW w:w="2339" w:type="dxa"/>
          </w:tcPr>
          <w:p w14:paraId="2F8428CA"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Management Assertion Letter</w:t>
            </w:r>
          </w:p>
        </w:tc>
      </w:tr>
      <w:tr w:rsidR="007D2A28" w:rsidRPr="009F2CB9" w14:paraId="4530DD46" w14:textId="77777777" w:rsidTr="00037F06">
        <w:trPr>
          <w:trHeight w:val="548"/>
        </w:trPr>
        <w:tc>
          <w:tcPr>
            <w:cnfStyle w:val="001000000000" w:firstRow="0" w:lastRow="0" w:firstColumn="1" w:lastColumn="0" w:oddVBand="0" w:evenVBand="0" w:oddHBand="0" w:evenHBand="0" w:firstRowFirstColumn="0" w:firstRowLastColumn="0" w:lastRowFirstColumn="0" w:lastRowLastColumn="0"/>
            <w:tcW w:w="1833" w:type="dxa"/>
          </w:tcPr>
          <w:p w14:paraId="15D94795" w14:textId="77777777" w:rsidR="007D2A28" w:rsidRPr="009F2CB9" w:rsidRDefault="007D2A28" w:rsidP="00037F06">
            <w:pPr>
              <w:pStyle w:val="TableFirstColumn"/>
            </w:pPr>
            <w:r w:rsidRPr="009F2CB9">
              <w:t xml:space="preserve">Accreditation maintenance </w:t>
            </w:r>
          </w:p>
        </w:tc>
        <w:tc>
          <w:tcPr>
            <w:tcW w:w="2693" w:type="dxa"/>
          </w:tcPr>
          <w:p w14:paraId="4B9BEEED"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Annual surveillance audit and triennial recertification</w:t>
            </w:r>
          </w:p>
        </w:tc>
        <w:tc>
          <w:tcPr>
            <w:tcW w:w="2141" w:type="dxa"/>
          </w:tcPr>
          <w:p w14:paraId="3829E519"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Annual self-assessment</w:t>
            </w:r>
          </w:p>
        </w:tc>
        <w:tc>
          <w:tcPr>
            <w:tcW w:w="2339" w:type="dxa"/>
          </w:tcPr>
          <w:p w14:paraId="3A46B23F"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Annual management assertion letter</w:t>
            </w:r>
          </w:p>
        </w:tc>
      </w:tr>
      <w:tr w:rsidR="007D2A28" w:rsidRPr="009F2CB9" w14:paraId="6ACB4F7B" w14:textId="77777777" w:rsidTr="00037F06">
        <w:trPr>
          <w:trHeight w:val="548"/>
        </w:trPr>
        <w:tc>
          <w:tcPr>
            <w:cnfStyle w:val="001000000000" w:firstRow="0" w:lastRow="0" w:firstColumn="1" w:lastColumn="0" w:oddVBand="0" w:evenVBand="0" w:oddHBand="0" w:evenHBand="0" w:firstRowFirstColumn="0" w:firstRowLastColumn="0" w:lastRowFirstColumn="0" w:lastRowLastColumn="0"/>
            <w:tcW w:w="1833" w:type="dxa"/>
          </w:tcPr>
          <w:p w14:paraId="7EA59DB8" w14:textId="77777777" w:rsidR="007D2A28" w:rsidRPr="009F2CB9" w:rsidRDefault="007D2A28" w:rsidP="00037F06">
            <w:pPr>
              <w:pStyle w:val="TableFirstColumn"/>
            </w:pPr>
            <w:r w:rsidRPr="009F2CB9">
              <w:t>Milestones to complete</w:t>
            </w:r>
          </w:p>
        </w:tc>
        <w:tc>
          <w:tcPr>
            <w:tcW w:w="2693" w:type="dxa"/>
          </w:tcPr>
          <w:p w14:paraId="32A08D23"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1, 2 and 3</w:t>
            </w:r>
          </w:p>
        </w:tc>
        <w:tc>
          <w:tcPr>
            <w:tcW w:w="2141" w:type="dxa"/>
          </w:tcPr>
          <w:p w14:paraId="545343C4"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1,2 and 3</w:t>
            </w:r>
          </w:p>
        </w:tc>
        <w:tc>
          <w:tcPr>
            <w:tcW w:w="2339" w:type="dxa"/>
          </w:tcPr>
          <w:p w14:paraId="195B9E0E"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1 and 3</w:t>
            </w:r>
          </w:p>
        </w:tc>
      </w:tr>
    </w:tbl>
    <w:p w14:paraId="14B51E11" w14:textId="77777777" w:rsidR="007D2A28" w:rsidRDefault="007D2A28" w:rsidP="007D2A28">
      <w:pPr>
        <w:pStyle w:val="Heading2"/>
      </w:pPr>
      <w:bookmarkStart w:id="770" w:name="_Toc95233339"/>
      <w:bookmarkStart w:id="771" w:name="_Toc96000584"/>
      <w:r>
        <w:t>Milestones for</w:t>
      </w:r>
      <w:r w:rsidRPr="00F64045">
        <w:t xml:space="preserve"> comp</w:t>
      </w:r>
      <w:r>
        <w:t>l</w:t>
      </w:r>
      <w:r w:rsidRPr="00F64045">
        <w:t xml:space="preserve">eting </w:t>
      </w:r>
      <w:r>
        <w:t>the accreditation process</w:t>
      </w:r>
      <w:bookmarkEnd w:id="770"/>
      <w:bookmarkEnd w:id="771"/>
      <w:r w:rsidRPr="00F64045">
        <w:t xml:space="preserve"> </w:t>
      </w:r>
    </w:p>
    <w:p w14:paraId="034F39BD" w14:textId="77777777" w:rsidR="007D2A28" w:rsidRPr="00EE4E3B" w:rsidRDefault="007D2A28" w:rsidP="007D2A28">
      <w:pPr>
        <w:pStyle w:val="Heading3"/>
      </w:pPr>
      <w:r w:rsidRPr="00EE4E3B">
        <w:t xml:space="preserve">Milestone 1 </w:t>
      </w:r>
    </w:p>
    <w:p w14:paraId="1166A6AF" w14:textId="77777777" w:rsidR="007D2A28" w:rsidRPr="009F2CB9" w:rsidRDefault="007D2A28" w:rsidP="007D2A28">
      <w:r>
        <w:t>Respondents</w:t>
      </w:r>
      <w:r w:rsidRPr="009F2CB9">
        <w:t xml:space="preserve"> to </w:t>
      </w:r>
      <w:r>
        <w:t>relevant</w:t>
      </w:r>
      <w:r w:rsidRPr="009F2CB9">
        <w:t xml:space="preserve"> </w:t>
      </w:r>
      <w:r>
        <w:t>Requests for Proposal or Tender (RFP or RFT) are</w:t>
      </w:r>
      <w:r w:rsidRPr="009F2CB9">
        <w:t xml:space="preserve"> required to submit a completed RFFR questionnaire to the Department on how </w:t>
      </w:r>
      <w:r>
        <w:t>they</w:t>
      </w:r>
      <w:r w:rsidRPr="009F2CB9">
        <w:t xml:space="preserve"> use information and manage security. The completed questionnaire provides the Department </w:t>
      </w:r>
      <w:r>
        <w:t xml:space="preserve">with </w:t>
      </w:r>
      <w:r w:rsidRPr="009F2CB9">
        <w:t xml:space="preserve">information regarding the </w:t>
      </w:r>
      <w:r>
        <w:t>respondent</w:t>
      </w:r>
      <w:r w:rsidRPr="009F2CB9">
        <w:t>’s business, IT security posture</w:t>
      </w:r>
      <w:r>
        <w:t>, subcontracting arrangements,</w:t>
      </w:r>
      <w:r w:rsidRPr="009F2CB9">
        <w:t xml:space="preserve"> and readiness to meet RFFR requirements.   </w:t>
      </w:r>
    </w:p>
    <w:p w14:paraId="2A1542B2" w14:textId="77777777" w:rsidR="007D2A28" w:rsidRDefault="007D2A28" w:rsidP="007D2A28">
      <w:r>
        <w:t>M</w:t>
      </w:r>
      <w:r w:rsidRPr="009F2CB9">
        <w:t xml:space="preserve">ilestone </w:t>
      </w:r>
      <w:r>
        <w:t xml:space="preserve">1 is initiated through the </w:t>
      </w:r>
      <w:r w:rsidRPr="00477C4C">
        <w:t>submi</w:t>
      </w:r>
      <w:r>
        <w:t>ssion of</w:t>
      </w:r>
      <w:r w:rsidRPr="00477C4C">
        <w:t xml:space="preserve"> a RFFR </w:t>
      </w:r>
      <w:r>
        <w:t>q</w:t>
      </w:r>
      <w:r w:rsidRPr="00477C4C">
        <w:t>uestionnaire</w:t>
      </w:r>
      <w:r>
        <w:t xml:space="preserve"> required </w:t>
      </w:r>
      <w:r w:rsidRPr="009F2CB9">
        <w:t xml:space="preserve">as part of </w:t>
      </w:r>
      <w:r>
        <w:t>a Provider’s</w:t>
      </w:r>
      <w:r w:rsidRPr="009F2CB9">
        <w:t xml:space="preserve"> RFP/RFT response</w:t>
      </w:r>
      <w:r w:rsidRPr="00477C4C">
        <w:t>.</w:t>
      </w:r>
      <w:r>
        <w:t xml:space="preserve"> T</w:t>
      </w:r>
      <w:r w:rsidRPr="009F2CB9">
        <w:t xml:space="preserve">he Department </w:t>
      </w:r>
      <w:r>
        <w:t>will re</w:t>
      </w:r>
      <w:r w:rsidRPr="009F2CB9">
        <w:t>view the RFFR questionnaire, assess risk and provide guidance to Providers on completing subsequent Milestones of the RFFR accreditation process</w:t>
      </w:r>
      <w:r>
        <w:t xml:space="preserve"> as relevant</w:t>
      </w:r>
      <w:r w:rsidRPr="009F2CB9">
        <w:t xml:space="preserve">. On the execution of </w:t>
      </w:r>
      <w:r w:rsidRPr="00477C4C">
        <w:t>an Employment</w:t>
      </w:r>
      <w:r w:rsidRPr="009F2CB9">
        <w:t xml:space="preserve"> Deed, the Department will engage with the Provider to discuss their IT security posture and next steps toward RFFR accreditation.</w:t>
      </w:r>
    </w:p>
    <w:p w14:paraId="0CAC7D36" w14:textId="142859AB" w:rsidR="007D2A28" w:rsidRPr="009F2CB9" w:rsidRDefault="007D2A28" w:rsidP="007D2A28">
      <w:r w:rsidRPr="00B86845">
        <w:rPr>
          <w:rStyle w:val="1AllTextBold"/>
          <w:b w:val="0"/>
          <w:bCs w:val="0"/>
          <w:u w:val="single"/>
        </w:rPr>
        <w:fldChar w:fldCharType="begin"/>
      </w:r>
      <w:r w:rsidRPr="00B86845">
        <w:rPr>
          <w:rStyle w:val="1AllTextBold"/>
          <w:b w:val="0"/>
          <w:bCs w:val="0"/>
          <w:u w:val="single"/>
        </w:rPr>
        <w:instrText xml:space="preserve"> REF _Ref99450408 \h  \* MERGEFORMAT </w:instrText>
      </w:r>
      <w:r w:rsidRPr="00B86845">
        <w:rPr>
          <w:rStyle w:val="1AllTextBold"/>
          <w:b w:val="0"/>
          <w:bCs w:val="0"/>
          <w:u w:val="single"/>
        </w:rPr>
      </w:r>
      <w:r w:rsidRPr="00B86845">
        <w:rPr>
          <w:rStyle w:val="1AllTextBold"/>
          <w:b w:val="0"/>
          <w:bCs w:val="0"/>
          <w:u w:val="single"/>
        </w:rPr>
        <w:fldChar w:fldCharType="separate"/>
      </w:r>
      <w:r w:rsidR="00833EA6" w:rsidRPr="00833EA6">
        <w:rPr>
          <w:rStyle w:val="1AllTextBold"/>
          <w:b w:val="0"/>
          <w:bCs w:val="0"/>
          <w:u w:val="single"/>
        </w:rPr>
        <w:t>Table 3</w:t>
      </w:r>
      <w:r w:rsidR="00833EA6" w:rsidRPr="00833EA6">
        <w:rPr>
          <w:rStyle w:val="1AllTextBold"/>
          <w:b w:val="0"/>
          <w:bCs w:val="0"/>
          <w:u w:val="single"/>
        </w:rPr>
        <w:noBreakHyphen/>
        <w:t>B</w:t>
      </w:r>
      <w:r w:rsidRPr="00B86845">
        <w:rPr>
          <w:rStyle w:val="1AllTextBold"/>
          <w:b w:val="0"/>
          <w:bCs w:val="0"/>
          <w:u w:val="single"/>
        </w:rPr>
        <w:fldChar w:fldCharType="end"/>
      </w:r>
      <w:r>
        <w:t xml:space="preserve"> sets out the requirements for Milestone 1 for Providers who are already accredited or already in the process of being accredited.</w:t>
      </w:r>
    </w:p>
    <w:p w14:paraId="504C2C3A" w14:textId="370407BE" w:rsidR="007D2A28" w:rsidRDefault="007D2A28" w:rsidP="007D2A28">
      <w:pPr>
        <w:pStyle w:val="Caption"/>
        <w:keepNext/>
      </w:pPr>
      <w:bookmarkStart w:id="772" w:name="_Ref99450408"/>
      <w:r>
        <w:lastRenderedPageBreak/>
        <w:t xml:space="preserve">Table </w:t>
      </w:r>
      <w:r>
        <w:fldChar w:fldCharType="begin"/>
      </w:r>
      <w:r>
        <w:instrText>STYLEREF 1 \s</w:instrText>
      </w:r>
      <w:r>
        <w:fldChar w:fldCharType="separate"/>
      </w:r>
      <w:r w:rsidR="00833EA6">
        <w:rPr>
          <w:noProof/>
        </w:rPr>
        <w:t>3</w:t>
      </w:r>
      <w:r>
        <w:fldChar w:fldCharType="end"/>
      </w:r>
      <w:r>
        <w:noBreakHyphen/>
      </w:r>
      <w:r>
        <w:fldChar w:fldCharType="begin"/>
      </w:r>
      <w:r>
        <w:instrText>SEQ Table \* ALPHABETIC \s 1</w:instrText>
      </w:r>
      <w:r>
        <w:fldChar w:fldCharType="separate"/>
      </w:r>
      <w:r w:rsidR="00833EA6">
        <w:rPr>
          <w:noProof/>
        </w:rPr>
        <w:t>B</w:t>
      </w:r>
      <w:r>
        <w:fldChar w:fldCharType="end"/>
      </w:r>
      <w:bookmarkEnd w:id="772"/>
      <w:r>
        <w:t>: Requirements for the Milestone 1 process</w:t>
      </w:r>
    </w:p>
    <w:tbl>
      <w:tblPr>
        <w:tblStyle w:val="DESE"/>
        <w:tblW w:w="0" w:type="auto"/>
        <w:tblLook w:val="04A0" w:firstRow="1" w:lastRow="0" w:firstColumn="1" w:lastColumn="0" w:noHBand="0" w:noVBand="1"/>
      </w:tblPr>
      <w:tblGrid>
        <w:gridCol w:w="1696"/>
        <w:gridCol w:w="7310"/>
      </w:tblGrid>
      <w:tr w:rsidR="007D2A28" w:rsidRPr="009F2CB9" w14:paraId="25D81AC8" w14:textId="77777777" w:rsidTr="00037F06">
        <w:trPr>
          <w:cnfStyle w:val="100000000000" w:firstRow="1" w:lastRow="0" w:firstColumn="0" w:lastColumn="0" w:oddVBand="0" w:evenVBand="0" w:oddHBand="0" w:evenHBand="0" w:firstRowFirstColumn="0" w:firstRowLastColumn="0" w:lastRowFirstColumn="0" w:lastRowLastColumn="0"/>
          <w:trHeight w:val="548"/>
          <w:tblHeader/>
        </w:trPr>
        <w:tc>
          <w:tcPr>
            <w:cnfStyle w:val="001000000100" w:firstRow="0" w:lastRow="0" w:firstColumn="1" w:lastColumn="0" w:oddVBand="0" w:evenVBand="0" w:oddHBand="0" w:evenHBand="0" w:firstRowFirstColumn="1" w:firstRowLastColumn="0" w:lastRowFirstColumn="0" w:lastRowLastColumn="0"/>
            <w:tcW w:w="0" w:type="dxa"/>
          </w:tcPr>
          <w:p w14:paraId="15497BF9" w14:textId="77777777" w:rsidR="007D2A28" w:rsidRPr="00EE4E3B" w:rsidRDefault="007D2A28" w:rsidP="00037F06">
            <w:pPr>
              <w:pStyle w:val="TableColumnHeading"/>
              <w:spacing w:before="100" w:after="100"/>
            </w:pPr>
            <w:r w:rsidRPr="00EE4E3B">
              <w:t>Assessment method</w:t>
            </w:r>
          </w:p>
        </w:tc>
        <w:tc>
          <w:tcPr>
            <w:tcW w:w="0" w:type="dxa"/>
          </w:tcPr>
          <w:p w14:paraId="3F25BD33" w14:textId="77777777" w:rsidR="007D2A28" w:rsidRPr="009F2CB9"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9F2CB9">
              <w:t xml:space="preserve">Review of submitted RFFR </w:t>
            </w:r>
            <w:r>
              <w:t>q</w:t>
            </w:r>
            <w:r w:rsidRPr="009F2CB9">
              <w:t>uestionnaire and discussion</w:t>
            </w:r>
            <w:r>
              <w:t>.</w:t>
            </w:r>
          </w:p>
        </w:tc>
      </w:tr>
      <w:tr w:rsidR="007D2A28" w:rsidRPr="009F2CB9" w14:paraId="228CCE73"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6E88288B" w14:textId="77777777" w:rsidR="007D2A28" w:rsidRPr="00EE4E3B" w:rsidRDefault="007D2A28" w:rsidP="00037F06">
            <w:pPr>
              <w:pStyle w:val="TableFirstColumn"/>
              <w:keepNext w:val="0"/>
              <w:spacing w:before="100" w:after="100"/>
            </w:pPr>
            <w:r w:rsidRPr="00EE4E3B">
              <w:t>Submission deliverables</w:t>
            </w:r>
          </w:p>
        </w:tc>
        <w:tc>
          <w:tcPr>
            <w:tcW w:w="7310" w:type="dxa"/>
          </w:tcPr>
          <w:p w14:paraId="78885E0B"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RFFR </w:t>
            </w:r>
            <w:r>
              <w:t>q</w:t>
            </w:r>
            <w:r w:rsidRPr="009F2CB9">
              <w:t>uestionnaire submitted by the Provider as part of their RFP/RFT response</w:t>
            </w:r>
            <w:r>
              <w:t xml:space="preserve">. </w:t>
            </w:r>
          </w:p>
        </w:tc>
      </w:tr>
      <w:tr w:rsidR="007D2A28" w:rsidRPr="009F2CB9" w14:paraId="60D030C4"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0ED8CE66" w14:textId="77777777" w:rsidR="007D2A28" w:rsidRPr="00EE4E3B" w:rsidRDefault="007D2A28" w:rsidP="00037F06">
            <w:pPr>
              <w:pStyle w:val="TableFirstColumn"/>
              <w:keepNext w:val="0"/>
              <w:spacing w:before="100" w:after="100"/>
            </w:pPr>
            <w:r w:rsidRPr="00EE4E3B">
              <w:t>Key actions and outcomes</w:t>
            </w:r>
          </w:p>
        </w:tc>
        <w:tc>
          <w:tcPr>
            <w:tcW w:w="7310" w:type="dxa"/>
          </w:tcPr>
          <w:p w14:paraId="2E72D082"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t xml:space="preserve">The </w:t>
            </w:r>
            <w:r w:rsidRPr="009F2CB9">
              <w:t xml:space="preserve">Provider and Department representatives will discuss the Provider’s business, stakeholders, contractual obligations, information, systems and practices to assist the Provider to determine the scope of their </w:t>
            </w:r>
            <w:r>
              <w:t>I</w:t>
            </w:r>
            <w:r w:rsidRPr="009F2CB9">
              <w:t xml:space="preserve">nformation </w:t>
            </w:r>
            <w:r>
              <w:t>S</w:t>
            </w:r>
            <w:r w:rsidRPr="009F2CB9">
              <w:t xml:space="preserve">ecurity </w:t>
            </w:r>
            <w:r>
              <w:t>M</w:t>
            </w:r>
            <w:r w:rsidRPr="009F2CB9">
              <w:t xml:space="preserve">anagement </w:t>
            </w:r>
            <w:r>
              <w:t>S</w:t>
            </w:r>
            <w:r w:rsidRPr="009F2CB9">
              <w:t>ystem.</w:t>
            </w:r>
          </w:p>
          <w:p w14:paraId="05B5E093"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rPr>
                <w:b/>
                <w:bCs/>
              </w:rPr>
              <w:t>Unaccredited Providers</w:t>
            </w:r>
            <w:r w:rsidRPr="009F2CB9">
              <w:t xml:space="preserve">: The Department will confirm the Provider’s categorisation and the associated RFFR assurance requirements for completing Milestone 2 and 3.  Providers intending to deliver Services to fewer than 2,000 individuals will review additional risk factors with the Department to determine whether the Provider should be classified into </w:t>
            </w:r>
            <w:r>
              <w:t>C</w:t>
            </w:r>
            <w:r w:rsidRPr="009F2CB9">
              <w:t xml:space="preserve">ategory </w:t>
            </w:r>
            <w:r>
              <w:t xml:space="preserve">2A </w:t>
            </w:r>
            <w:r w:rsidRPr="009F2CB9">
              <w:t xml:space="preserve">or </w:t>
            </w:r>
            <w:r>
              <w:t>2B</w:t>
            </w:r>
            <w:r w:rsidRPr="009F2CB9">
              <w:t>.</w:t>
            </w:r>
          </w:p>
          <w:p w14:paraId="2D75169C" w14:textId="77777777" w:rsidR="007D2A28" w:rsidRPr="00D725B7"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rPr>
                <w:b/>
                <w:bCs/>
              </w:rPr>
              <w:t>Providers part</w:t>
            </w:r>
            <w:r>
              <w:rPr>
                <w:b/>
                <w:bCs/>
              </w:rPr>
              <w:t xml:space="preserve"> </w:t>
            </w:r>
            <w:r w:rsidRPr="009F2CB9">
              <w:rPr>
                <w:b/>
                <w:bCs/>
              </w:rPr>
              <w:t>way through an existing accreditation process</w:t>
            </w:r>
            <w:r w:rsidRPr="009F2CB9">
              <w:rPr>
                <w:color w:val="000000" w:themeColor="text1"/>
              </w:rPr>
              <w:t>:</w:t>
            </w:r>
            <w:r w:rsidRPr="009F2CB9">
              <w:t xml:space="preserve"> Existing Providers who are part way </w:t>
            </w:r>
            <w:r w:rsidRPr="00D725B7">
              <w:t>through an accreditation process for delivering Services under an existing Employment Deed should take steps as advised in the purchasing documentation.</w:t>
            </w:r>
          </w:p>
          <w:p w14:paraId="7FF122C7"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D725B7">
              <w:rPr>
                <w:b/>
                <w:bCs/>
                <w:color w:val="000000" w:themeColor="text1"/>
              </w:rPr>
              <w:t xml:space="preserve">Accredited Providers with new </w:t>
            </w:r>
            <w:r w:rsidRPr="009F2CB9">
              <w:rPr>
                <w:b/>
                <w:bCs/>
                <w:color w:val="000000" w:themeColor="text1"/>
              </w:rPr>
              <w:t>Deeds</w:t>
            </w:r>
            <w:r w:rsidRPr="009F2CB9">
              <w:rPr>
                <w:color w:val="000000" w:themeColor="text1"/>
              </w:rPr>
              <w:t>: The Department will review the extent of changes to the Provider’s scope of Services and</w:t>
            </w:r>
            <w:r w:rsidRPr="009F2CB9">
              <w:t xml:space="preserve"> </w:t>
            </w:r>
            <w:r w:rsidRPr="009F2CB9">
              <w:rPr>
                <w:color w:val="000000" w:themeColor="text1"/>
              </w:rPr>
              <w:t xml:space="preserve">determine if the Provider should be </w:t>
            </w:r>
            <w:r>
              <w:rPr>
                <w:color w:val="000000" w:themeColor="text1"/>
              </w:rPr>
              <w:t>in</w:t>
            </w:r>
            <w:r w:rsidRPr="009F2CB9">
              <w:rPr>
                <w:color w:val="000000" w:themeColor="text1"/>
              </w:rPr>
              <w:t xml:space="preserve"> a different category</w:t>
            </w:r>
            <w:r>
              <w:t xml:space="preserve"> </w:t>
            </w:r>
            <w:r w:rsidRPr="0001396E">
              <w:t>as a result of the new Deeds. In accordance with the terms of their accreditation, the Provider should consider whether their Information Security Management System requires review and update to ensure that people, locations, systems and information associated with services under the new Deeds are appropriately secured; and notify the Department</w:t>
            </w:r>
            <w:r w:rsidRPr="009F2CB9">
              <w:rPr>
                <w:color w:val="000000" w:themeColor="text1"/>
              </w:rPr>
              <w:t>. If no significant changes have occurred, accredited Providers do not need to complete Milestones 2 and 3 and need only maintain their RFFR accreditation</w:t>
            </w:r>
            <w:r>
              <w:rPr>
                <w:color w:val="000000" w:themeColor="text1"/>
              </w:rPr>
              <w:t>.</w:t>
            </w:r>
          </w:p>
        </w:tc>
      </w:tr>
      <w:tr w:rsidR="007D2A28" w:rsidRPr="009F2CB9" w14:paraId="7AD9503E"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2DEBAE70" w14:textId="77777777" w:rsidR="007D2A28" w:rsidRPr="00EE4E3B" w:rsidRDefault="007D2A28" w:rsidP="00037F06">
            <w:pPr>
              <w:pStyle w:val="TableFirstColumn"/>
              <w:keepNext w:val="0"/>
              <w:spacing w:before="100" w:after="100"/>
            </w:pPr>
            <w:r w:rsidRPr="00EE4E3B">
              <w:t xml:space="preserve">Next </w:t>
            </w:r>
            <w:r>
              <w:t>s</w:t>
            </w:r>
            <w:r w:rsidRPr="00EE4E3B">
              <w:t>teps</w:t>
            </w:r>
          </w:p>
        </w:tc>
        <w:tc>
          <w:tcPr>
            <w:tcW w:w="7310" w:type="dxa"/>
          </w:tcPr>
          <w:p w14:paraId="458FD35B"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For large organisations it is recommended Providers appoint a champion within the organisation to ensure compliance with </w:t>
            </w:r>
            <w:r>
              <w:t xml:space="preserve">the </w:t>
            </w:r>
            <w:r w:rsidRPr="009F2CB9">
              <w:t xml:space="preserve">RFFR </w:t>
            </w:r>
          </w:p>
          <w:p w14:paraId="39AC2DA4" w14:textId="3664A294"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Commence development of documentation required by the Provider’s category (see </w:t>
            </w:r>
            <w:r w:rsidRPr="00B86845">
              <w:rPr>
                <w:u w:val="single"/>
              </w:rPr>
              <w:fldChar w:fldCharType="begin"/>
            </w:r>
            <w:r w:rsidRPr="00B86845">
              <w:rPr>
                <w:u w:val="single"/>
              </w:rPr>
              <w:instrText xml:space="preserve"> REF _Ref98919604 \h  \* MERGEFORMAT </w:instrText>
            </w:r>
            <w:r w:rsidRPr="00B86845">
              <w:rPr>
                <w:u w:val="single"/>
              </w:rPr>
            </w:r>
            <w:r w:rsidRPr="00B86845">
              <w:rPr>
                <w:u w:val="single"/>
              </w:rPr>
              <w:fldChar w:fldCharType="separate"/>
            </w:r>
            <w:r w:rsidR="00833EA6" w:rsidRPr="00833EA6">
              <w:rPr>
                <w:szCs w:val="18"/>
                <w:u w:val="single"/>
              </w:rPr>
              <w:t xml:space="preserve">Table </w:t>
            </w:r>
            <w:r w:rsidR="00833EA6" w:rsidRPr="00833EA6">
              <w:rPr>
                <w:noProof/>
                <w:szCs w:val="18"/>
                <w:u w:val="single"/>
              </w:rPr>
              <w:t>3</w:t>
            </w:r>
            <w:r w:rsidR="00833EA6" w:rsidRPr="00833EA6">
              <w:rPr>
                <w:noProof/>
                <w:szCs w:val="18"/>
                <w:u w:val="single"/>
              </w:rPr>
              <w:noBreakHyphen/>
              <w:t>C</w:t>
            </w:r>
            <w:r w:rsidRPr="00B86845">
              <w:rPr>
                <w:u w:val="single"/>
              </w:rPr>
              <w:fldChar w:fldCharType="end"/>
            </w:r>
            <w:r w:rsidRPr="009F2CB9">
              <w:t xml:space="preserve"> below)</w:t>
            </w:r>
          </w:p>
          <w:p w14:paraId="1D5FAF6B"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Identify where existing security controls meet RFFR requirements, and where there are gaps requiring that additional controls be implemented. </w:t>
            </w:r>
          </w:p>
        </w:tc>
      </w:tr>
      <w:tr w:rsidR="007D2A28" w:rsidRPr="009F2CB9" w14:paraId="3C5DD297"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7DE85973" w14:textId="77777777" w:rsidR="007D2A28" w:rsidRPr="00EE4E3B" w:rsidRDefault="007D2A28" w:rsidP="00037F06">
            <w:pPr>
              <w:pStyle w:val="TableFirstColumn"/>
              <w:keepNext w:val="0"/>
              <w:spacing w:before="100" w:after="100"/>
            </w:pPr>
            <w:r w:rsidRPr="00EE4E3B">
              <w:t>Due dates</w:t>
            </w:r>
          </w:p>
        </w:tc>
        <w:tc>
          <w:tcPr>
            <w:tcW w:w="7310" w:type="dxa"/>
          </w:tcPr>
          <w:p w14:paraId="55BC8597"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Completed within one month of Deed execution</w:t>
            </w:r>
            <w:r>
              <w:t xml:space="preserve"> by the Department</w:t>
            </w:r>
            <w:r w:rsidRPr="009F2CB9">
              <w:t xml:space="preserve">.   </w:t>
            </w:r>
          </w:p>
        </w:tc>
      </w:tr>
    </w:tbl>
    <w:p w14:paraId="7664B16F" w14:textId="77777777" w:rsidR="007D2A28" w:rsidRPr="00EE4E3B" w:rsidRDefault="007D2A28" w:rsidP="007D2A28">
      <w:pPr>
        <w:pStyle w:val="Heading3"/>
      </w:pPr>
      <w:bookmarkStart w:id="773" w:name="_Toc95896814"/>
      <w:r w:rsidRPr="00EE4E3B">
        <w:t>Milestone 2</w:t>
      </w:r>
      <w:bookmarkEnd w:id="773"/>
      <w:r w:rsidRPr="00EE4E3B">
        <w:t xml:space="preserve"> </w:t>
      </w:r>
    </w:p>
    <w:p w14:paraId="0FF7F393" w14:textId="77777777" w:rsidR="007D2A28" w:rsidRDefault="007D2A28" w:rsidP="007D2A28">
      <w:r w:rsidRPr="009F2CB9">
        <w:t xml:space="preserve">Milestone 2 requires Providers to demonstrate their ISMS has been designed to reflect RFFR requirements applicable for their Category (as advised at Milestone 1). Providers are required to </w:t>
      </w:r>
      <w:r w:rsidRPr="009F2CB9">
        <w:lastRenderedPageBreak/>
        <w:t xml:space="preserve">demonstrate </w:t>
      </w:r>
      <w:r w:rsidRPr="009F2CB9">
        <w:rPr>
          <w:lang w:val="en-US"/>
        </w:rPr>
        <w:t>that appropriate security controls</w:t>
      </w:r>
      <w:r w:rsidRPr="009F2CB9">
        <w:t xml:space="preserve"> are planned to be implemented within the organisation through submission of required documentation. </w:t>
      </w:r>
    </w:p>
    <w:p w14:paraId="364818CF" w14:textId="77777777" w:rsidR="007D2A28" w:rsidRPr="009F2CB9" w:rsidRDefault="007D2A28" w:rsidP="007D2A28">
      <w:r w:rsidRPr="009F2CB9">
        <w:t xml:space="preserve">The process for completing Milestone 2 </w:t>
      </w:r>
      <w:r>
        <w:t>depends</w:t>
      </w:r>
      <w:r w:rsidRPr="009F2CB9">
        <w:t xml:space="preserve"> on the Provider</w:t>
      </w:r>
      <w:r>
        <w:t>’s</w:t>
      </w:r>
      <w:r w:rsidRPr="009F2CB9">
        <w:t xml:space="preserve"> </w:t>
      </w:r>
      <w:r>
        <w:t>c</w:t>
      </w:r>
      <w:r w:rsidRPr="009F2CB9">
        <w:t xml:space="preserve">ategory.  This Milestone does not apply to </w:t>
      </w:r>
      <w:r>
        <w:t xml:space="preserve">Category 2B </w:t>
      </w:r>
      <w:r w:rsidRPr="009F2CB9">
        <w:t>Providers who instead proceed directly to Milestone 3.</w:t>
      </w:r>
    </w:p>
    <w:p w14:paraId="06EC7ED7" w14:textId="77777777" w:rsidR="007D2A28" w:rsidRDefault="007D2A28" w:rsidP="007D2A28">
      <w:pPr>
        <w:rPr>
          <w:rFonts w:cstheme="minorHAnsi"/>
        </w:rPr>
      </w:pPr>
      <w:r>
        <w:rPr>
          <w:rFonts w:cstheme="minorHAnsi"/>
        </w:rPr>
        <w:t>Reference guides, materials and templates to support Milestone 2 written submissions are available from the Department</w:t>
      </w:r>
      <w:r w:rsidRPr="009F2CB9">
        <w:rPr>
          <w:rFonts w:cstheme="minorHAnsi"/>
        </w:rPr>
        <w:t>’s website</w:t>
      </w:r>
      <w:r w:rsidRPr="00D725B7">
        <w:rPr>
          <w:rFonts w:cstheme="minorHAnsi"/>
        </w:rPr>
        <w:t>.</w:t>
      </w:r>
      <w:r>
        <w:rPr>
          <w:rFonts w:cstheme="minorHAnsi"/>
        </w:rPr>
        <w:t xml:space="preserve"> It is not mandatory to use the Department’s templates.  </w:t>
      </w:r>
    </w:p>
    <w:p w14:paraId="39CAB614" w14:textId="75F6486D" w:rsidR="007D2A28" w:rsidRPr="00D725B7" w:rsidRDefault="007D2A28" w:rsidP="007D2A28">
      <w:pPr>
        <w:rPr>
          <w:rFonts w:cstheme="minorHAnsi"/>
        </w:rPr>
      </w:pPr>
      <w:r>
        <w:rPr>
          <w:rFonts w:cstheme="minorHAnsi"/>
        </w:rPr>
        <w:fldChar w:fldCharType="begin"/>
      </w:r>
      <w:r>
        <w:rPr>
          <w:rFonts w:cstheme="minorHAnsi"/>
        </w:rPr>
        <w:instrText xml:space="preserve"> REF _Ref98919604 \h  \* MERGEFORMAT </w:instrText>
      </w:r>
      <w:r>
        <w:rPr>
          <w:rFonts w:cstheme="minorHAnsi"/>
        </w:rPr>
      </w:r>
      <w:r>
        <w:rPr>
          <w:rFonts w:cstheme="minorHAnsi"/>
        </w:rP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C</w:t>
      </w:r>
      <w:r>
        <w:rPr>
          <w:rFonts w:cstheme="minorHAnsi"/>
        </w:rPr>
        <w:fldChar w:fldCharType="end"/>
      </w:r>
      <w:r w:rsidRPr="00D725B7">
        <w:rPr>
          <w:rFonts w:cstheme="minorHAnsi"/>
        </w:rPr>
        <w:t xml:space="preserve"> lists the requirements for Providers to achieve Milestone 2.</w:t>
      </w:r>
    </w:p>
    <w:p w14:paraId="30B7EB0B" w14:textId="49328580" w:rsidR="007D2A28" w:rsidRPr="009F2CB9" w:rsidRDefault="007D2A28" w:rsidP="007D2A28">
      <w:pPr>
        <w:spacing w:before="240" w:after="40" w:line="240" w:lineRule="auto"/>
        <w:rPr>
          <w:b/>
          <w:szCs w:val="18"/>
        </w:rPr>
      </w:pPr>
      <w:bookmarkStart w:id="774" w:name="_Ref98919604"/>
      <w:bookmarkStart w:id="775" w:name="_Ref99546933"/>
      <w:r w:rsidRPr="00D725B7">
        <w:rPr>
          <w:b/>
          <w:szCs w:val="18"/>
        </w:rPr>
        <w:t xml:space="preserve">Table </w:t>
      </w:r>
      <w:r>
        <w:rPr>
          <w:b/>
          <w:szCs w:val="18"/>
        </w:rPr>
        <w:fldChar w:fldCharType="begin"/>
      </w:r>
      <w:r>
        <w:rPr>
          <w:b/>
          <w:szCs w:val="18"/>
        </w:rPr>
        <w:instrText xml:space="preserve"> STYLEREF 1 \s </w:instrText>
      </w:r>
      <w:r>
        <w:rPr>
          <w:b/>
          <w:szCs w:val="18"/>
        </w:rPr>
        <w:fldChar w:fldCharType="separate"/>
      </w:r>
      <w:r w:rsidR="00833EA6">
        <w:rPr>
          <w:b/>
          <w:noProof/>
          <w:szCs w:val="18"/>
        </w:rPr>
        <w:t>3</w:t>
      </w:r>
      <w:r>
        <w:rPr>
          <w:b/>
          <w:szCs w:val="18"/>
        </w:rPr>
        <w:fldChar w:fldCharType="end"/>
      </w:r>
      <w:r>
        <w:rPr>
          <w:b/>
          <w:szCs w:val="18"/>
        </w:rPr>
        <w:noBreakHyphen/>
      </w:r>
      <w:r>
        <w:rPr>
          <w:b/>
          <w:szCs w:val="18"/>
        </w:rPr>
        <w:fldChar w:fldCharType="begin"/>
      </w:r>
      <w:r>
        <w:rPr>
          <w:b/>
          <w:szCs w:val="18"/>
        </w:rPr>
        <w:instrText xml:space="preserve"> SEQ Table \* ALPHABETIC \s 1 </w:instrText>
      </w:r>
      <w:r>
        <w:rPr>
          <w:b/>
          <w:szCs w:val="18"/>
        </w:rPr>
        <w:fldChar w:fldCharType="separate"/>
      </w:r>
      <w:r w:rsidR="00833EA6">
        <w:rPr>
          <w:b/>
          <w:noProof/>
          <w:szCs w:val="18"/>
        </w:rPr>
        <w:t>C</w:t>
      </w:r>
      <w:r>
        <w:rPr>
          <w:b/>
          <w:szCs w:val="18"/>
        </w:rPr>
        <w:fldChar w:fldCharType="end"/>
      </w:r>
      <w:bookmarkEnd w:id="774"/>
      <w:r>
        <w:t>:</w:t>
      </w:r>
      <w:r w:rsidRPr="00D725B7">
        <w:rPr>
          <w:b/>
          <w:szCs w:val="18"/>
        </w:rPr>
        <w:t xml:space="preserve"> Milestone 2 requirements</w:t>
      </w:r>
      <w:bookmarkEnd w:id="775"/>
    </w:p>
    <w:tbl>
      <w:tblPr>
        <w:tblStyle w:val="DESE"/>
        <w:tblW w:w="0" w:type="auto"/>
        <w:tblLook w:val="04A0" w:firstRow="1" w:lastRow="0" w:firstColumn="1" w:lastColumn="0" w:noHBand="0" w:noVBand="1"/>
      </w:tblPr>
      <w:tblGrid>
        <w:gridCol w:w="1831"/>
        <w:gridCol w:w="2630"/>
        <w:gridCol w:w="2419"/>
        <w:gridCol w:w="2136"/>
      </w:tblGrid>
      <w:tr w:rsidR="007D2A28" w:rsidRPr="009F2CB9" w14:paraId="583058EF" w14:textId="77777777" w:rsidTr="00037F06">
        <w:trPr>
          <w:cnfStyle w:val="100000000000" w:firstRow="1" w:lastRow="0" w:firstColumn="0" w:lastColumn="0" w:oddVBand="0" w:evenVBand="0" w:oddHBand="0" w:evenHBand="0" w:firstRowFirstColumn="0" w:firstRowLastColumn="0" w:lastRowFirstColumn="0" w:lastRowLastColumn="0"/>
          <w:trHeight w:val="470"/>
          <w:tblHeader/>
        </w:trPr>
        <w:tc>
          <w:tcPr>
            <w:cnfStyle w:val="001000000100" w:firstRow="0" w:lastRow="0" w:firstColumn="1" w:lastColumn="0" w:oddVBand="0" w:evenVBand="0" w:oddHBand="0" w:evenHBand="0" w:firstRowFirstColumn="1" w:firstRowLastColumn="0" w:lastRowFirstColumn="0" w:lastRowLastColumn="0"/>
            <w:tcW w:w="1696" w:type="dxa"/>
          </w:tcPr>
          <w:p w14:paraId="1AC0CD4E" w14:textId="77777777" w:rsidR="007D2A28" w:rsidRPr="00EE4E3B" w:rsidRDefault="007D2A28" w:rsidP="00037F06">
            <w:pPr>
              <w:pStyle w:val="TableColumnHeading"/>
              <w:spacing w:before="100" w:after="100"/>
            </w:pPr>
          </w:p>
        </w:tc>
        <w:tc>
          <w:tcPr>
            <w:tcW w:w="2670" w:type="dxa"/>
          </w:tcPr>
          <w:p w14:paraId="7190E7AC" w14:textId="77777777" w:rsidR="007D2A28" w:rsidRPr="00F80466"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AU"/>
              </w:rPr>
            </w:pPr>
            <w:r w:rsidRPr="00F80466">
              <w:rPr>
                <w:rFonts w:eastAsia="Times New Roman" w:cs="Times New Roman"/>
                <w:lang w:eastAsia="en-AU"/>
              </w:rPr>
              <w:t xml:space="preserve">Category </w:t>
            </w:r>
            <w:r>
              <w:t>1</w:t>
            </w:r>
            <w:r w:rsidRPr="00F80466">
              <w:rPr>
                <w:rFonts w:eastAsia="Times New Roman" w:cs="Times New Roman"/>
                <w:lang w:eastAsia="en-AU"/>
              </w:rPr>
              <w:t xml:space="preserve"> Provider</w:t>
            </w:r>
          </w:p>
        </w:tc>
        <w:tc>
          <w:tcPr>
            <w:tcW w:w="2433" w:type="dxa"/>
          </w:tcPr>
          <w:p w14:paraId="5F14B67B" w14:textId="77777777" w:rsidR="007D2A28" w:rsidRPr="00F80466"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AU"/>
              </w:rPr>
            </w:pPr>
            <w:r w:rsidRPr="00F80466">
              <w:rPr>
                <w:rFonts w:eastAsia="Times New Roman" w:cs="Times New Roman"/>
                <w:lang w:eastAsia="en-AU"/>
              </w:rPr>
              <w:t>Category 2A Provider</w:t>
            </w:r>
          </w:p>
        </w:tc>
        <w:tc>
          <w:tcPr>
            <w:tcW w:w="2217" w:type="dxa"/>
          </w:tcPr>
          <w:p w14:paraId="38A97668" w14:textId="77777777" w:rsidR="007D2A28" w:rsidRPr="00F80466"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AU"/>
              </w:rPr>
            </w:pPr>
            <w:r w:rsidRPr="00F80466">
              <w:rPr>
                <w:rFonts w:eastAsia="Times New Roman" w:cs="Times New Roman"/>
                <w:lang w:eastAsia="en-AU"/>
              </w:rPr>
              <w:t>Category 2B Provider</w:t>
            </w:r>
          </w:p>
        </w:tc>
      </w:tr>
      <w:tr w:rsidR="007D2A28" w:rsidRPr="009F2CB9" w14:paraId="06853F1A" w14:textId="77777777" w:rsidTr="00037F06">
        <w:trPr>
          <w:trHeight w:val="264"/>
        </w:trPr>
        <w:tc>
          <w:tcPr>
            <w:cnfStyle w:val="001000000000" w:firstRow="0" w:lastRow="0" w:firstColumn="1" w:lastColumn="0" w:oddVBand="0" w:evenVBand="0" w:oddHBand="0" w:evenHBand="0" w:firstRowFirstColumn="0" w:firstRowLastColumn="0" w:lastRowFirstColumn="0" w:lastRowLastColumn="0"/>
            <w:tcW w:w="1696" w:type="dxa"/>
          </w:tcPr>
          <w:p w14:paraId="51D0AAE8" w14:textId="77777777" w:rsidR="007D2A28" w:rsidRPr="00EE4E3B" w:rsidRDefault="007D2A28" w:rsidP="00037F06">
            <w:pPr>
              <w:pStyle w:val="TableFirstColumn"/>
              <w:keepNext w:val="0"/>
              <w:spacing w:before="100" w:after="100"/>
            </w:pPr>
            <w:r w:rsidRPr="00EE4E3B">
              <w:t xml:space="preserve">Submission deliverables </w:t>
            </w:r>
          </w:p>
        </w:tc>
        <w:tc>
          <w:tcPr>
            <w:tcW w:w="2670" w:type="dxa"/>
          </w:tcPr>
          <w:p w14:paraId="4D395734" w14:textId="77777777" w:rsidR="007D2A28" w:rsidRPr="009F2CB9" w:rsidRDefault="007D2A28" w:rsidP="00037F06">
            <w:pPr>
              <w:pStyle w:val="BulletLevel1"/>
              <w:cnfStyle w:val="000000000000" w:firstRow="0" w:lastRow="0" w:firstColumn="0" w:lastColumn="0" w:oddVBand="0" w:evenVBand="0" w:oddHBand="0" w:evenHBand="0" w:firstRowFirstColumn="0" w:firstRowLastColumn="0" w:lastRowFirstColumn="0" w:lastRowLastColumn="0"/>
            </w:pPr>
            <w:r w:rsidRPr="009F2CB9">
              <w:t xml:space="preserve">ISMS scope </w:t>
            </w:r>
          </w:p>
          <w:p w14:paraId="2BD34653"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Statement of Applicability (SoA)</w:t>
            </w:r>
            <w:r>
              <w:t xml:space="preserve"> </w:t>
            </w:r>
            <w:r w:rsidRPr="0001396E">
              <w:t>reflecting RFFR requirements</w:t>
            </w:r>
          </w:p>
          <w:p w14:paraId="633DAF39"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Independent assessor’s Stage 1 report</w:t>
            </w:r>
          </w:p>
        </w:tc>
        <w:tc>
          <w:tcPr>
            <w:tcW w:w="2433" w:type="dxa"/>
          </w:tcPr>
          <w:p w14:paraId="50780C13"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ISMS scope </w:t>
            </w:r>
          </w:p>
          <w:p w14:paraId="28742419"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SoA</w:t>
            </w:r>
            <w:r>
              <w:t xml:space="preserve"> </w:t>
            </w:r>
            <w:r w:rsidRPr="0001396E">
              <w:t>reflecting RFFR requirements</w:t>
            </w:r>
          </w:p>
          <w:p w14:paraId="0A999BD7"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ISMS Self-assessment report (conformance)</w:t>
            </w:r>
          </w:p>
        </w:tc>
        <w:tc>
          <w:tcPr>
            <w:tcW w:w="2217" w:type="dxa"/>
            <w:vMerge w:val="restart"/>
          </w:tcPr>
          <w:p w14:paraId="41FC48E5"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Not applicable</w:t>
            </w:r>
          </w:p>
        </w:tc>
      </w:tr>
      <w:tr w:rsidR="007D2A28" w:rsidRPr="009F2CB9" w14:paraId="59758813"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40D28DFB" w14:textId="77777777" w:rsidR="007D2A28" w:rsidRPr="00EE4E3B" w:rsidRDefault="007D2A28" w:rsidP="00037F06">
            <w:pPr>
              <w:pStyle w:val="TableFirstColumn"/>
              <w:keepNext w:val="0"/>
              <w:spacing w:before="100" w:after="100"/>
            </w:pPr>
            <w:r w:rsidRPr="00EE4E3B">
              <w:t>Implementation status</w:t>
            </w:r>
          </w:p>
        </w:tc>
        <w:tc>
          <w:tcPr>
            <w:tcW w:w="5103" w:type="dxa"/>
            <w:gridSpan w:val="2"/>
          </w:tcPr>
          <w:p w14:paraId="689D9F3D"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Provider’s ISMS</w:t>
            </w:r>
            <w:r>
              <w:t xml:space="preserve"> is</w:t>
            </w:r>
            <w:r w:rsidRPr="009F2CB9">
              <w:t xml:space="preserve"> expected to substantially conform with ISO</w:t>
            </w:r>
            <w:r>
              <w:t xml:space="preserve"> </w:t>
            </w:r>
            <w:r w:rsidRPr="009F2CB9">
              <w:t>27001 requirements, however applicable controls</w:t>
            </w:r>
            <w:r>
              <w:t xml:space="preserve"> </w:t>
            </w:r>
            <w:r w:rsidRPr="0001396E">
              <w:t>sourced from ISO 27001 Annex A and from the Australian Government Information Security Manual</w:t>
            </w:r>
            <w:r w:rsidRPr="009F2CB9">
              <w:t xml:space="preserve"> are not expected to be implemented at this stage</w:t>
            </w:r>
          </w:p>
        </w:tc>
        <w:tc>
          <w:tcPr>
            <w:tcW w:w="2217" w:type="dxa"/>
            <w:vMerge/>
          </w:tcPr>
          <w:p w14:paraId="01F2C4D3" w14:textId="77777777" w:rsidR="007D2A28" w:rsidRPr="009F2CB9" w:rsidRDefault="007D2A28" w:rsidP="00037F06">
            <w:pPr>
              <w:numPr>
                <w:ilvl w:val="0"/>
                <w:numId w:val="2"/>
              </w:numPr>
              <w:spacing w:before="60" w:after="60" w:line="23" w:lineRule="atLeast"/>
              <w:ind w:left="709" w:hanging="709"/>
              <w:cnfStyle w:val="000000000000" w:firstRow="0" w:lastRow="0" w:firstColumn="0" w:lastColumn="0" w:oddVBand="0" w:evenVBand="0" w:oddHBand="0" w:evenHBand="0" w:firstRowFirstColumn="0" w:firstRowLastColumn="0" w:lastRowFirstColumn="0" w:lastRowLastColumn="0"/>
              <w:rPr>
                <w:rFonts w:cstheme="minorHAnsi"/>
              </w:rPr>
            </w:pPr>
          </w:p>
        </w:tc>
      </w:tr>
      <w:tr w:rsidR="007D2A28" w:rsidRPr="009F2CB9" w14:paraId="57FE575F"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0CF22E4E" w14:textId="77777777" w:rsidR="007D2A28" w:rsidRPr="00EE4E3B" w:rsidRDefault="007D2A28" w:rsidP="00037F06">
            <w:pPr>
              <w:pStyle w:val="TableFirstColumn"/>
              <w:keepNext w:val="0"/>
              <w:spacing w:before="100" w:after="100"/>
            </w:pPr>
            <w:r w:rsidRPr="00EE4E3B">
              <w:t>Assessment method</w:t>
            </w:r>
          </w:p>
        </w:tc>
        <w:tc>
          <w:tcPr>
            <w:tcW w:w="2670" w:type="dxa"/>
          </w:tcPr>
          <w:p w14:paraId="41E711F2"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Independently issued</w:t>
            </w:r>
            <w:r>
              <w:t xml:space="preserve"> </w:t>
            </w:r>
            <w:r w:rsidRPr="0001396E">
              <w:t>assessed by a JAS-ANZ accredited ISO 27001 conformance assessment body</w:t>
            </w:r>
          </w:p>
        </w:tc>
        <w:tc>
          <w:tcPr>
            <w:tcW w:w="2433" w:type="dxa"/>
          </w:tcPr>
          <w:p w14:paraId="58A83FD0"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Self-assessed</w:t>
            </w:r>
            <w:r>
              <w:t xml:space="preserve"> </w:t>
            </w:r>
            <w:r w:rsidRPr="0001396E">
              <w:t>by business owners</w:t>
            </w:r>
          </w:p>
        </w:tc>
        <w:tc>
          <w:tcPr>
            <w:tcW w:w="2217" w:type="dxa"/>
            <w:vMerge/>
          </w:tcPr>
          <w:p w14:paraId="49A4F2AB" w14:textId="77777777" w:rsidR="007D2A28" w:rsidRPr="009F2CB9" w:rsidRDefault="007D2A28" w:rsidP="00037F06">
            <w:pPr>
              <w:numPr>
                <w:ilvl w:val="0"/>
                <w:numId w:val="2"/>
              </w:numPr>
              <w:spacing w:before="60" w:after="60" w:line="23" w:lineRule="atLeast"/>
              <w:ind w:left="709" w:hanging="709"/>
              <w:cnfStyle w:val="000000000000" w:firstRow="0" w:lastRow="0" w:firstColumn="0" w:lastColumn="0" w:oddVBand="0" w:evenVBand="0" w:oddHBand="0" w:evenHBand="0" w:firstRowFirstColumn="0" w:firstRowLastColumn="0" w:lastRowFirstColumn="0" w:lastRowLastColumn="0"/>
            </w:pPr>
          </w:p>
        </w:tc>
      </w:tr>
      <w:tr w:rsidR="007D2A28" w:rsidRPr="009F2CB9" w14:paraId="095F3F78"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536ABBC4" w14:textId="77777777" w:rsidR="007D2A28" w:rsidRPr="00EE4E3B" w:rsidRDefault="007D2A28" w:rsidP="00037F06">
            <w:pPr>
              <w:pStyle w:val="TableFirstColumn"/>
              <w:keepNext w:val="0"/>
              <w:spacing w:before="100" w:after="100"/>
            </w:pPr>
            <w:r w:rsidRPr="00EE4E3B">
              <w:t>Outcomes to progress to Milestone 3</w:t>
            </w:r>
          </w:p>
        </w:tc>
        <w:tc>
          <w:tcPr>
            <w:tcW w:w="2670" w:type="dxa"/>
          </w:tcPr>
          <w:p w14:paraId="40B22964"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Department acceptance of submission deliverables.   </w:t>
            </w:r>
          </w:p>
        </w:tc>
        <w:tc>
          <w:tcPr>
            <w:tcW w:w="2433" w:type="dxa"/>
          </w:tcPr>
          <w:p w14:paraId="0DEABD58"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Department acceptance of submission deliverables.   </w:t>
            </w:r>
          </w:p>
        </w:tc>
        <w:tc>
          <w:tcPr>
            <w:tcW w:w="2217" w:type="dxa"/>
            <w:vMerge/>
          </w:tcPr>
          <w:p w14:paraId="016E8E8C" w14:textId="77777777" w:rsidR="007D2A28" w:rsidRPr="009F2CB9" w:rsidRDefault="007D2A28" w:rsidP="00037F06">
            <w:pPr>
              <w:numPr>
                <w:ilvl w:val="0"/>
                <w:numId w:val="2"/>
              </w:numPr>
              <w:spacing w:before="60" w:after="60" w:line="23" w:lineRule="atLeast"/>
              <w:ind w:left="709" w:hanging="709"/>
              <w:cnfStyle w:val="000000000000" w:firstRow="0" w:lastRow="0" w:firstColumn="0" w:lastColumn="0" w:oddVBand="0" w:evenVBand="0" w:oddHBand="0" w:evenHBand="0" w:firstRowFirstColumn="0" w:firstRowLastColumn="0" w:lastRowFirstColumn="0" w:lastRowLastColumn="0"/>
            </w:pPr>
          </w:p>
        </w:tc>
      </w:tr>
      <w:tr w:rsidR="007D2A28" w:rsidRPr="009F2CB9" w14:paraId="51BB8224"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26129153" w14:textId="77777777" w:rsidR="007D2A28" w:rsidRPr="00EE4E3B" w:rsidRDefault="007D2A28" w:rsidP="00037F06">
            <w:pPr>
              <w:pStyle w:val="TableFirstColumn"/>
              <w:keepNext w:val="0"/>
              <w:spacing w:before="100" w:after="100"/>
            </w:pPr>
            <w:r w:rsidRPr="00EE4E3B">
              <w:t>Next steps</w:t>
            </w:r>
          </w:p>
        </w:tc>
        <w:tc>
          <w:tcPr>
            <w:tcW w:w="5103" w:type="dxa"/>
            <w:gridSpan w:val="2"/>
          </w:tcPr>
          <w:p w14:paraId="315DDB02"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01396E">
              <w:t>Implement the ISMS in accordance with its design</w:t>
            </w:r>
          </w:p>
        </w:tc>
        <w:tc>
          <w:tcPr>
            <w:tcW w:w="2217" w:type="dxa"/>
            <w:vMerge/>
          </w:tcPr>
          <w:p w14:paraId="78A7A03F" w14:textId="77777777" w:rsidR="007D2A28" w:rsidRPr="009F2CB9" w:rsidRDefault="007D2A28" w:rsidP="00037F06">
            <w:pPr>
              <w:numPr>
                <w:ilvl w:val="0"/>
                <w:numId w:val="2"/>
              </w:numPr>
              <w:spacing w:before="60" w:after="60" w:line="23" w:lineRule="atLeast"/>
              <w:ind w:left="709" w:hanging="709"/>
              <w:cnfStyle w:val="000000000000" w:firstRow="0" w:lastRow="0" w:firstColumn="0" w:lastColumn="0" w:oddVBand="0" w:evenVBand="0" w:oddHBand="0" w:evenHBand="0" w:firstRowFirstColumn="0" w:firstRowLastColumn="0" w:lastRowFirstColumn="0" w:lastRowLastColumn="0"/>
            </w:pPr>
          </w:p>
        </w:tc>
      </w:tr>
      <w:tr w:rsidR="007D2A28" w:rsidRPr="009F2CB9" w14:paraId="3F845576" w14:textId="77777777" w:rsidTr="00037F06">
        <w:tc>
          <w:tcPr>
            <w:cnfStyle w:val="001000000000" w:firstRow="0" w:lastRow="0" w:firstColumn="1" w:lastColumn="0" w:oddVBand="0" w:evenVBand="0" w:oddHBand="0" w:evenHBand="0" w:firstRowFirstColumn="0" w:firstRowLastColumn="0" w:lastRowFirstColumn="0" w:lastRowLastColumn="0"/>
            <w:tcW w:w="1696" w:type="dxa"/>
          </w:tcPr>
          <w:p w14:paraId="217C7ADE" w14:textId="77777777" w:rsidR="007D2A28" w:rsidRPr="00EE4E3B" w:rsidRDefault="007D2A28" w:rsidP="00037F06">
            <w:pPr>
              <w:pStyle w:val="TableFirstColumn"/>
              <w:keepNext w:val="0"/>
              <w:spacing w:before="100" w:after="100"/>
            </w:pPr>
            <w:r w:rsidRPr="00EE4E3B">
              <w:t>Due dates</w:t>
            </w:r>
          </w:p>
        </w:tc>
        <w:tc>
          <w:tcPr>
            <w:tcW w:w="5103" w:type="dxa"/>
            <w:gridSpan w:val="2"/>
          </w:tcPr>
          <w:p w14:paraId="3F825DAE"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To be completed within </w:t>
            </w:r>
            <w:r>
              <w:t>3</w:t>
            </w:r>
            <w:r w:rsidRPr="009F2CB9">
              <w:t xml:space="preserve"> months from the</w:t>
            </w:r>
            <w:r>
              <w:t xml:space="preserve"> Deed C</w:t>
            </w:r>
            <w:r w:rsidRPr="009F2CB9">
              <w:t xml:space="preserve">ommencement </w:t>
            </w:r>
            <w:r>
              <w:t>Date</w:t>
            </w:r>
          </w:p>
        </w:tc>
        <w:tc>
          <w:tcPr>
            <w:tcW w:w="2217" w:type="dxa"/>
            <w:vMerge/>
          </w:tcPr>
          <w:p w14:paraId="0750BD8C" w14:textId="77777777" w:rsidR="007D2A28" w:rsidRPr="009F2CB9" w:rsidRDefault="007D2A28" w:rsidP="00037F06">
            <w:pPr>
              <w:numPr>
                <w:ilvl w:val="0"/>
                <w:numId w:val="2"/>
              </w:numPr>
              <w:spacing w:before="60" w:after="60" w:line="23" w:lineRule="atLeast"/>
              <w:ind w:left="709" w:hanging="709"/>
              <w:cnfStyle w:val="000000000000" w:firstRow="0" w:lastRow="0" w:firstColumn="0" w:lastColumn="0" w:oddVBand="0" w:evenVBand="0" w:oddHBand="0" w:evenHBand="0" w:firstRowFirstColumn="0" w:firstRowLastColumn="0" w:lastRowFirstColumn="0" w:lastRowLastColumn="0"/>
            </w:pPr>
          </w:p>
        </w:tc>
      </w:tr>
    </w:tbl>
    <w:p w14:paraId="52CF7325" w14:textId="77777777" w:rsidR="007D2A28" w:rsidRPr="00EE4E3B" w:rsidRDefault="007D2A28" w:rsidP="007D2A28">
      <w:pPr>
        <w:pStyle w:val="Heading3"/>
      </w:pPr>
      <w:bookmarkStart w:id="776" w:name="_Toc95896815"/>
      <w:r w:rsidRPr="00EE4E3B">
        <w:t>Milestone 3</w:t>
      </w:r>
      <w:bookmarkEnd w:id="776"/>
    </w:p>
    <w:p w14:paraId="7B814621" w14:textId="77777777" w:rsidR="007D2A28" w:rsidRPr="00E350A7" w:rsidRDefault="007D2A28" w:rsidP="007D2A28">
      <w:r w:rsidRPr="7847E526">
        <w:t>Milestone 3 emphasis</w:t>
      </w:r>
      <w:r>
        <w:t xml:space="preserve">es </w:t>
      </w:r>
      <w:r w:rsidRPr="7847E526">
        <w:t xml:space="preserve">the Provider’s progress to conforming with </w:t>
      </w:r>
      <w:r w:rsidRPr="009F2CB9">
        <w:t xml:space="preserve">ISO 27001 </w:t>
      </w:r>
      <w:r w:rsidRPr="7847E526">
        <w:t xml:space="preserve">and implementing the controls applicable to the organisation. While all applicable controls are important, priority should be on ensuring conformance with controls that support the RFFR core expectations. </w:t>
      </w:r>
    </w:p>
    <w:p w14:paraId="296C4B36" w14:textId="77777777" w:rsidR="007D2A28" w:rsidRDefault="007D2A28" w:rsidP="007D2A28">
      <w:r w:rsidRPr="642206D3">
        <w:lastRenderedPageBreak/>
        <w:t xml:space="preserve">If not fully implemented at the point of the Milestone 3 submission, Providers are required to inform the Department </w:t>
      </w:r>
      <w:r>
        <w:t xml:space="preserve">of </w:t>
      </w:r>
      <w:r w:rsidRPr="642206D3">
        <w:t xml:space="preserve">their expectation as to when each applicable control will be fully in place and when any remaining areas of non-conformance will be addressed.  </w:t>
      </w:r>
    </w:p>
    <w:p w14:paraId="3A8E2DC2" w14:textId="77777777" w:rsidR="007D2A28" w:rsidRDefault="007D2A28" w:rsidP="007D2A28">
      <w:r w:rsidRPr="009F2CB9">
        <w:t>Providers should be aware that applicable but unimplemented controls (and remaining areas of non-conformance) will impact the Department’s assessment of residual risk associated with the Provider, and the Department’s decision to accredit the Provider.</w:t>
      </w:r>
      <w:r>
        <w:t xml:space="preserve"> </w:t>
      </w:r>
      <w:r w:rsidRPr="009F2CB9">
        <w:t xml:space="preserve">The Department does not discourage any Category </w:t>
      </w:r>
      <w:r>
        <w:t>2A and 2B</w:t>
      </w:r>
      <w:r w:rsidRPr="009F2CB9">
        <w:t xml:space="preserve"> Providers from seeking ISO 27001 certification as there may be significant perceived or actual benefits to other aspects of the </w:t>
      </w:r>
      <w:r w:rsidRPr="00D725B7">
        <w:t xml:space="preserve">Provider’s business. </w:t>
      </w:r>
      <w:r>
        <w:t xml:space="preserve"> </w:t>
      </w:r>
    </w:p>
    <w:p w14:paraId="7B7E4ED4" w14:textId="0DCF4E3E" w:rsidR="007D2A28" w:rsidRPr="00D725B7" w:rsidRDefault="007D2A28" w:rsidP="007D2A28">
      <w:pPr>
        <w:rPr>
          <w:rFonts w:cstheme="minorHAnsi"/>
        </w:rPr>
      </w:pPr>
      <w:r>
        <w:rPr>
          <w:rFonts w:cstheme="minorHAnsi"/>
          <w:b/>
          <w:bCs/>
          <w:lang w:val="en-US"/>
        </w:rPr>
        <w:fldChar w:fldCharType="begin"/>
      </w:r>
      <w:r>
        <w:rPr>
          <w:rFonts w:cstheme="minorHAnsi"/>
          <w:b/>
          <w:bCs/>
          <w:lang w:val="en-US"/>
        </w:rPr>
        <w:instrText xml:space="preserve"> REF _Ref98919621 \h  \* MERGEFORMAT </w:instrText>
      </w:r>
      <w:r>
        <w:rPr>
          <w:rFonts w:cstheme="minorHAnsi"/>
          <w:b/>
          <w:bCs/>
          <w:lang w:val="en-US"/>
        </w:rPr>
      </w:r>
      <w:r>
        <w:rPr>
          <w:rFonts w:cstheme="minorHAnsi"/>
          <w:b/>
          <w:bCs/>
          <w:lang w:val="en-US"/>
        </w:rP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D</w:t>
      </w:r>
      <w:r>
        <w:rPr>
          <w:rFonts w:cstheme="minorHAnsi"/>
          <w:b/>
          <w:bCs/>
          <w:lang w:val="en-US"/>
        </w:rPr>
        <w:fldChar w:fldCharType="end"/>
      </w:r>
      <w:r w:rsidRPr="00D725B7">
        <w:rPr>
          <w:rFonts w:cstheme="minorHAnsi"/>
        </w:rPr>
        <w:t xml:space="preserve"> lists the requirements for Providers to achieve Milestone 3.</w:t>
      </w:r>
    </w:p>
    <w:p w14:paraId="37A315AD" w14:textId="3CF3AB6E" w:rsidR="007D2A28" w:rsidRPr="009F2CB9" w:rsidRDefault="007D2A28" w:rsidP="007D2A28">
      <w:pPr>
        <w:spacing w:before="240" w:after="40" w:line="240" w:lineRule="auto"/>
        <w:rPr>
          <w:b/>
          <w:szCs w:val="18"/>
        </w:rPr>
      </w:pPr>
      <w:bookmarkStart w:id="777" w:name="_Ref98919621"/>
      <w:r w:rsidRPr="00D725B7">
        <w:rPr>
          <w:b/>
          <w:szCs w:val="18"/>
        </w:rPr>
        <w:t xml:space="preserve">Table </w:t>
      </w:r>
      <w:r>
        <w:rPr>
          <w:b/>
          <w:szCs w:val="18"/>
        </w:rPr>
        <w:fldChar w:fldCharType="begin"/>
      </w:r>
      <w:r>
        <w:rPr>
          <w:b/>
          <w:szCs w:val="18"/>
        </w:rPr>
        <w:instrText xml:space="preserve"> STYLEREF 1 \s </w:instrText>
      </w:r>
      <w:r>
        <w:rPr>
          <w:b/>
          <w:szCs w:val="18"/>
        </w:rPr>
        <w:fldChar w:fldCharType="separate"/>
      </w:r>
      <w:r w:rsidR="00833EA6">
        <w:rPr>
          <w:b/>
          <w:noProof/>
          <w:szCs w:val="18"/>
        </w:rPr>
        <w:t>3</w:t>
      </w:r>
      <w:r>
        <w:rPr>
          <w:b/>
          <w:szCs w:val="18"/>
        </w:rPr>
        <w:fldChar w:fldCharType="end"/>
      </w:r>
      <w:r>
        <w:rPr>
          <w:b/>
          <w:szCs w:val="18"/>
        </w:rPr>
        <w:noBreakHyphen/>
      </w:r>
      <w:r>
        <w:rPr>
          <w:b/>
          <w:szCs w:val="18"/>
        </w:rPr>
        <w:fldChar w:fldCharType="begin"/>
      </w:r>
      <w:r>
        <w:rPr>
          <w:b/>
          <w:szCs w:val="18"/>
        </w:rPr>
        <w:instrText xml:space="preserve"> SEQ Table \* ALPHABETIC \s 1 </w:instrText>
      </w:r>
      <w:r>
        <w:rPr>
          <w:b/>
          <w:szCs w:val="18"/>
        </w:rPr>
        <w:fldChar w:fldCharType="separate"/>
      </w:r>
      <w:r w:rsidR="00833EA6">
        <w:rPr>
          <w:b/>
          <w:noProof/>
          <w:szCs w:val="18"/>
        </w:rPr>
        <w:t>D</w:t>
      </w:r>
      <w:r>
        <w:rPr>
          <w:b/>
          <w:szCs w:val="18"/>
        </w:rPr>
        <w:fldChar w:fldCharType="end"/>
      </w:r>
      <w:bookmarkEnd w:id="777"/>
      <w:r>
        <w:t>:</w:t>
      </w:r>
      <w:r w:rsidRPr="00D725B7">
        <w:rPr>
          <w:b/>
          <w:szCs w:val="18"/>
        </w:rPr>
        <w:t xml:space="preserve"> Milestone 3 requirements</w:t>
      </w:r>
    </w:p>
    <w:tbl>
      <w:tblPr>
        <w:tblStyle w:val="DESE"/>
        <w:tblW w:w="0" w:type="auto"/>
        <w:tblLook w:val="04A0" w:firstRow="1" w:lastRow="0" w:firstColumn="1" w:lastColumn="0" w:noHBand="0" w:noVBand="1"/>
      </w:tblPr>
      <w:tblGrid>
        <w:gridCol w:w="1832"/>
        <w:gridCol w:w="2985"/>
        <w:gridCol w:w="2496"/>
        <w:gridCol w:w="1703"/>
      </w:tblGrid>
      <w:tr w:rsidR="007D2A28" w:rsidRPr="009F2CB9" w14:paraId="787DA802" w14:textId="77777777" w:rsidTr="00037F06">
        <w:trPr>
          <w:cnfStyle w:val="100000000000" w:firstRow="1" w:lastRow="0" w:firstColumn="0" w:lastColumn="0" w:oddVBand="0" w:evenVBand="0" w:oddHBand="0" w:evenHBand="0" w:firstRowFirstColumn="0" w:firstRowLastColumn="0" w:lastRowFirstColumn="0" w:lastRowLastColumn="0"/>
          <w:trHeight w:val="655"/>
          <w:tblHeader/>
        </w:trPr>
        <w:tc>
          <w:tcPr>
            <w:cnfStyle w:val="001000000100" w:firstRow="0" w:lastRow="0" w:firstColumn="1" w:lastColumn="0" w:oddVBand="0" w:evenVBand="0" w:oddHBand="0" w:evenHBand="0" w:firstRowFirstColumn="1" w:firstRowLastColumn="0" w:lastRowFirstColumn="0" w:lastRowLastColumn="0"/>
            <w:tcW w:w="1832" w:type="dxa"/>
          </w:tcPr>
          <w:p w14:paraId="06834EAA" w14:textId="77777777" w:rsidR="007D2A28" w:rsidRPr="00EE4E3B" w:rsidRDefault="007D2A28" w:rsidP="00037F06">
            <w:pPr>
              <w:pStyle w:val="TableColumnHeading"/>
              <w:spacing w:before="100" w:after="100"/>
            </w:pPr>
          </w:p>
        </w:tc>
        <w:tc>
          <w:tcPr>
            <w:tcW w:w="3408" w:type="dxa"/>
          </w:tcPr>
          <w:p w14:paraId="766D87CD" w14:textId="77777777" w:rsidR="007D2A28" w:rsidRPr="009F2CB9"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rPr>
                <w:rFonts w:eastAsia="Times New Roman" w:cs="Times New Roman"/>
                <w:sz w:val="26"/>
                <w:lang w:eastAsia="en-AU"/>
              </w:rPr>
            </w:pPr>
            <w:r w:rsidRPr="009F2CB9">
              <w:rPr>
                <w:rFonts w:eastAsia="Times New Roman" w:cs="Times New Roman"/>
                <w:sz w:val="26"/>
                <w:lang w:eastAsia="en-AU"/>
              </w:rPr>
              <w:t xml:space="preserve">Category </w:t>
            </w:r>
            <w:r>
              <w:t>1</w:t>
            </w:r>
            <w:r w:rsidRPr="009F2CB9">
              <w:rPr>
                <w:rFonts w:eastAsia="Times New Roman" w:cs="Times New Roman"/>
                <w:sz w:val="26"/>
                <w:lang w:eastAsia="en-AU"/>
              </w:rPr>
              <w:t xml:space="preserve"> Provider</w:t>
            </w:r>
          </w:p>
        </w:tc>
        <w:tc>
          <w:tcPr>
            <w:tcW w:w="2073" w:type="dxa"/>
          </w:tcPr>
          <w:p w14:paraId="62FFBE94" w14:textId="77777777" w:rsidR="007D2A28" w:rsidRPr="009F2CB9"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rPr>
                <w:rFonts w:eastAsia="Times New Roman" w:cs="Times New Roman"/>
                <w:sz w:val="26"/>
                <w:lang w:eastAsia="en-AU"/>
              </w:rPr>
            </w:pPr>
            <w:r w:rsidRPr="009F2CB9">
              <w:rPr>
                <w:rFonts w:eastAsia="Times New Roman" w:cs="Times New Roman"/>
                <w:sz w:val="26"/>
                <w:lang w:eastAsia="en-AU"/>
              </w:rPr>
              <w:t xml:space="preserve">Category </w:t>
            </w:r>
            <w:r>
              <w:rPr>
                <w:rFonts w:eastAsia="Times New Roman" w:cs="Times New Roman"/>
                <w:sz w:val="26"/>
                <w:lang w:eastAsia="en-AU"/>
              </w:rPr>
              <w:t xml:space="preserve">2A </w:t>
            </w:r>
            <w:r w:rsidRPr="009F2CB9">
              <w:rPr>
                <w:rFonts w:eastAsia="Times New Roman" w:cs="Times New Roman"/>
                <w:sz w:val="26"/>
                <w:lang w:eastAsia="en-AU"/>
              </w:rPr>
              <w:t>Provider</w:t>
            </w:r>
          </w:p>
        </w:tc>
        <w:tc>
          <w:tcPr>
            <w:tcW w:w="1703" w:type="dxa"/>
          </w:tcPr>
          <w:p w14:paraId="083F1E64" w14:textId="77777777" w:rsidR="007D2A28" w:rsidRPr="009F2CB9" w:rsidDel="00022E92"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rPr>
                <w:rFonts w:eastAsia="Times New Roman" w:cs="Times New Roman"/>
                <w:sz w:val="26"/>
                <w:lang w:eastAsia="en-AU"/>
              </w:rPr>
            </w:pPr>
            <w:r w:rsidRPr="009F2CB9">
              <w:rPr>
                <w:rFonts w:eastAsia="Times New Roman" w:cs="Times New Roman"/>
                <w:sz w:val="26"/>
                <w:lang w:eastAsia="en-AU"/>
              </w:rPr>
              <w:t xml:space="preserve">Category </w:t>
            </w:r>
            <w:r>
              <w:rPr>
                <w:rFonts w:eastAsia="Times New Roman" w:cs="Times New Roman"/>
                <w:sz w:val="26"/>
                <w:lang w:eastAsia="en-AU"/>
              </w:rPr>
              <w:t>2B</w:t>
            </w:r>
            <w:r w:rsidRPr="009F2CB9">
              <w:rPr>
                <w:rFonts w:eastAsia="Times New Roman" w:cs="Times New Roman"/>
                <w:sz w:val="26"/>
                <w:lang w:eastAsia="en-AU"/>
              </w:rPr>
              <w:t xml:space="preserve"> </w:t>
            </w:r>
            <w:r>
              <w:rPr>
                <w:rFonts w:eastAsia="Times New Roman" w:cs="Times New Roman"/>
                <w:sz w:val="26"/>
                <w:lang w:eastAsia="en-AU"/>
              </w:rPr>
              <w:t>P</w:t>
            </w:r>
            <w:r w:rsidRPr="009F2CB9">
              <w:rPr>
                <w:rFonts w:eastAsia="Times New Roman" w:cs="Times New Roman"/>
                <w:sz w:val="26"/>
                <w:lang w:eastAsia="en-AU"/>
              </w:rPr>
              <w:t>rovider</w:t>
            </w:r>
          </w:p>
        </w:tc>
      </w:tr>
      <w:tr w:rsidR="007D2A28" w:rsidRPr="009F2CB9" w14:paraId="4D4CB9DE" w14:textId="77777777" w:rsidTr="00874283">
        <w:trPr>
          <w:trHeight w:val="1211"/>
        </w:trPr>
        <w:tc>
          <w:tcPr>
            <w:cnfStyle w:val="001000000000" w:firstRow="0" w:lastRow="0" w:firstColumn="1" w:lastColumn="0" w:oddVBand="0" w:evenVBand="0" w:oddHBand="0" w:evenHBand="0" w:firstRowFirstColumn="0" w:firstRowLastColumn="0" w:lastRowFirstColumn="0" w:lastRowLastColumn="0"/>
            <w:tcW w:w="1832" w:type="dxa"/>
          </w:tcPr>
          <w:p w14:paraId="07A35216" w14:textId="77777777" w:rsidR="007D2A28" w:rsidRPr="00EE4E3B" w:rsidRDefault="007D2A28" w:rsidP="00037F06">
            <w:pPr>
              <w:pStyle w:val="TableFirstColumn"/>
              <w:keepNext w:val="0"/>
              <w:spacing w:before="100" w:after="100"/>
            </w:pPr>
            <w:r w:rsidRPr="00EE4E3B">
              <w:t>Submission deliverables</w:t>
            </w:r>
          </w:p>
        </w:tc>
        <w:tc>
          <w:tcPr>
            <w:tcW w:w="3408" w:type="dxa"/>
          </w:tcPr>
          <w:p w14:paraId="49E41F60" w14:textId="6B12FAF9" w:rsidR="000349DA" w:rsidRDefault="003C58E4" w:rsidP="003C58E4">
            <w:pPr>
              <w:pStyle w:val="BulletLevel1"/>
              <w:spacing w:before="100" w:after="100"/>
              <w:cnfStyle w:val="000000000000" w:firstRow="0" w:lastRow="0" w:firstColumn="0" w:lastColumn="0" w:oddVBand="0" w:evenVBand="0" w:oddHBand="0" w:evenHBand="0" w:firstRowFirstColumn="0" w:firstRowLastColumn="0" w:lastRowFirstColumn="0" w:lastRowLastColumn="0"/>
            </w:pPr>
            <w:r>
              <w:t>Updated Scope document describing any changes to the Provider's operating environment</w:t>
            </w:r>
          </w:p>
          <w:p w14:paraId="1F90C520" w14:textId="00A80C15" w:rsidR="007D2A28"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86931">
              <w:t>Updated S</w:t>
            </w:r>
            <w:r>
              <w:t>o</w:t>
            </w:r>
            <w:r w:rsidRPr="00986931">
              <w:t>A</w:t>
            </w:r>
            <w:r>
              <w:t xml:space="preserve"> </w:t>
            </w:r>
            <w:r w:rsidRPr="0001396E">
              <w:t>identifying the current implementation status of applicable controls, and the applicability decision for new or changed controls published since the SoA’s last review</w:t>
            </w:r>
          </w:p>
          <w:p w14:paraId="0FE719C5" w14:textId="6A7A9B2F" w:rsidR="007D2A28"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86931">
              <w:t>Independent assessor’s “Stage 2” report</w:t>
            </w:r>
            <w:r w:rsidR="003C58E4">
              <w:t>.</w:t>
            </w:r>
            <w:r w:rsidR="00D82FB3">
              <w:t xml:space="preserve"> This can be either an ISO27001 or DESE ISMS Scheme report. RFFR does not require a Provider to have both audits completed</w:t>
            </w:r>
            <w:r>
              <w:t xml:space="preserve"> </w:t>
            </w:r>
          </w:p>
          <w:p w14:paraId="2FD4566F" w14:textId="7CA03A47" w:rsidR="007D2A28" w:rsidRPr="00986931" w:rsidDel="00602D1C"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86931">
              <w:t>ISO 27001 or DESE ISMS Certificate</w:t>
            </w:r>
          </w:p>
        </w:tc>
        <w:tc>
          <w:tcPr>
            <w:tcW w:w="2073" w:type="dxa"/>
            <w:vAlign w:val="top"/>
          </w:tcPr>
          <w:p w14:paraId="0004BF30" w14:textId="77777777" w:rsidR="007D2A28" w:rsidRPr="00986931"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86931">
              <w:t>U</w:t>
            </w:r>
            <w:r>
              <w:softHyphen/>
            </w:r>
            <w:r w:rsidRPr="00986931">
              <w:t>pdated S</w:t>
            </w:r>
            <w:r>
              <w:t>oA</w:t>
            </w:r>
            <w:r w:rsidRPr="00986931">
              <w:t xml:space="preserve"> </w:t>
            </w:r>
            <w:r w:rsidRPr="0001396E">
              <w:t>identifying the current implementation status of applicable controls, and the applicability decision for new or changed controls published since the SoA’s last review</w:t>
            </w:r>
          </w:p>
          <w:p w14:paraId="51274644" w14:textId="77777777" w:rsidR="007D2A28" w:rsidRPr="00986931"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86931">
              <w:t>ISMS self-assessment report (implementation)</w:t>
            </w:r>
          </w:p>
        </w:tc>
        <w:tc>
          <w:tcPr>
            <w:tcW w:w="1703" w:type="dxa"/>
          </w:tcPr>
          <w:p w14:paraId="6ABF7086"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Management Assertion Letter</w:t>
            </w:r>
          </w:p>
        </w:tc>
      </w:tr>
      <w:tr w:rsidR="007D2A28" w:rsidRPr="009F2CB9" w14:paraId="0E1C4DF7" w14:textId="77777777" w:rsidTr="00037F06">
        <w:tc>
          <w:tcPr>
            <w:cnfStyle w:val="001000000000" w:firstRow="0" w:lastRow="0" w:firstColumn="1" w:lastColumn="0" w:oddVBand="0" w:evenVBand="0" w:oddHBand="0" w:evenHBand="0" w:firstRowFirstColumn="0" w:firstRowLastColumn="0" w:lastRowFirstColumn="0" w:lastRowLastColumn="0"/>
            <w:tcW w:w="1832" w:type="dxa"/>
          </w:tcPr>
          <w:p w14:paraId="138356CA" w14:textId="77777777" w:rsidR="007D2A28" w:rsidRPr="00EE4E3B" w:rsidRDefault="007D2A28" w:rsidP="00037F06">
            <w:pPr>
              <w:pStyle w:val="TableFirstColumn"/>
              <w:keepNext w:val="0"/>
              <w:spacing w:before="100" w:after="100"/>
            </w:pPr>
            <w:r w:rsidRPr="00EE4E3B">
              <w:t>Implementation status</w:t>
            </w:r>
          </w:p>
        </w:tc>
        <w:tc>
          <w:tcPr>
            <w:tcW w:w="5481" w:type="dxa"/>
            <w:gridSpan w:val="2"/>
          </w:tcPr>
          <w:p w14:paraId="30A52E65"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rPr>
                <w:rFonts w:ascii="Helvetica" w:hAnsi="Helvetica" w:cs="Helvetica"/>
                <w:sz w:val="21"/>
                <w:szCs w:val="21"/>
                <w:shd w:val="clear" w:color="auto" w:fill="FFFFFF"/>
              </w:rPr>
            </w:pPr>
            <w:r w:rsidRPr="009F2CB9">
              <w:t>Provider’s ISMS conforms with ISO</w:t>
            </w:r>
            <w:r>
              <w:t xml:space="preserve"> </w:t>
            </w:r>
            <w:r w:rsidRPr="009F2CB9">
              <w:t>27001 and controls applicable to the organisation have been implemented</w:t>
            </w:r>
          </w:p>
        </w:tc>
        <w:tc>
          <w:tcPr>
            <w:tcW w:w="1703" w:type="dxa"/>
          </w:tcPr>
          <w:p w14:paraId="4BF19635"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Controls supporting specific security objectives have been implemented</w:t>
            </w:r>
          </w:p>
        </w:tc>
      </w:tr>
      <w:tr w:rsidR="007D2A28" w:rsidRPr="009F2CB9" w14:paraId="380D1113" w14:textId="77777777" w:rsidTr="00037F06">
        <w:tc>
          <w:tcPr>
            <w:cnfStyle w:val="001000000000" w:firstRow="0" w:lastRow="0" w:firstColumn="1" w:lastColumn="0" w:oddVBand="0" w:evenVBand="0" w:oddHBand="0" w:evenHBand="0" w:firstRowFirstColumn="0" w:firstRowLastColumn="0" w:lastRowFirstColumn="0" w:lastRowLastColumn="0"/>
            <w:tcW w:w="1832" w:type="dxa"/>
          </w:tcPr>
          <w:p w14:paraId="6EE7C6FB" w14:textId="77777777" w:rsidR="007D2A28" w:rsidRPr="00EE4E3B" w:rsidRDefault="007D2A28" w:rsidP="00037F06">
            <w:pPr>
              <w:pStyle w:val="TableFirstColumn"/>
              <w:keepNext w:val="0"/>
              <w:spacing w:before="100" w:after="100"/>
            </w:pPr>
            <w:r w:rsidRPr="00EE4E3B">
              <w:t>Assessment method</w:t>
            </w:r>
          </w:p>
        </w:tc>
        <w:tc>
          <w:tcPr>
            <w:tcW w:w="3408" w:type="dxa"/>
          </w:tcPr>
          <w:p w14:paraId="4CC98B9C"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Independently assessed</w:t>
            </w:r>
          </w:p>
        </w:tc>
        <w:tc>
          <w:tcPr>
            <w:tcW w:w="2073" w:type="dxa"/>
          </w:tcPr>
          <w:p w14:paraId="6AFDC665"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Self-assessed</w:t>
            </w:r>
          </w:p>
        </w:tc>
        <w:tc>
          <w:tcPr>
            <w:tcW w:w="1703" w:type="dxa"/>
          </w:tcPr>
          <w:p w14:paraId="24B11205"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Self-assessed</w:t>
            </w:r>
          </w:p>
        </w:tc>
      </w:tr>
      <w:tr w:rsidR="007D2A28" w:rsidRPr="009F2CB9" w14:paraId="49965F58" w14:textId="77777777" w:rsidTr="00037F06">
        <w:tc>
          <w:tcPr>
            <w:cnfStyle w:val="001000000000" w:firstRow="0" w:lastRow="0" w:firstColumn="1" w:lastColumn="0" w:oddVBand="0" w:evenVBand="0" w:oddHBand="0" w:evenHBand="0" w:firstRowFirstColumn="0" w:firstRowLastColumn="0" w:lastRowFirstColumn="0" w:lastRowLastColumn="0"/>
            <w:tcW w:w="1832" w:type="dxa"/>
          </w:tcPr>
          <w:p w14:paraId="6854D5C6" w14:textId="77777777" w:rsidR="007D2A28" w:rsidRPr="00EE4E3B" w:rsidRDefault="007D2A28" w:rsidP="00037F06">
            <w:pPr>
              <w:pStyle w:val="TableFirstColumn"/>
              <w:keepNext w:val="0"/>
              <w:spacing w:before="100" w:after="100"/>
            </w:pPr>
            <w:r w:rsidRPr="00EE4E3B">
              <w:lastRenderedPageBreak/>
              <w:t>Outcomes to complete process</w:t>
            </w:r>
          </w:p>
        </w:tc>
        <w:tc>
          <w:tcPr>
            <w:tcW w:w="7184" w:type="dxa"/>
            <w:gridSpan w:val="3"/>
          </w:tcPr>
          <w:p w14:paraId="1999FEE6"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Department acceptance of submission deliverables</w:t>
            </w:r>
          </w:p>
          <w:p w14:paraId="43D47B9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RFFR accreditation</w:t>
            </w:r>
          </w:p>
        </w:tc>
      </w:tr>
      <w:tr w:rsidR="007D2A28" w:rsidRPr="009F2CB9" w14:paraId="1CE12939" w14:textId="77777777" w:rsidTr="00037F06">
        <w:tc>
          <w:tcPr>
            <w:cnfStyle w:val="001000000000" w:firstRow="0" w:lastRow="0" w:firstColumn="1" w:lastColumn="0" w:oddVBand="0" w:evenVBand="0" w:oddHBand="0" w:evenHBand="0" w:firstRowFirstColumn="0" w:firstRowLastColumn="0" w:lastRowFirstColumn="0" w:lastRowLastColumn="0"/>
            <w:tcW w:w="1832" w:type="dxa"/>
          </w:tcPr>
          <w:p w14:paraId="28D486BE" w14:textId="77777777" w:rsidR="007D2A28" w:rsidRPr="00EE4E3B" w:rsidRDefault="007D2A28" w:rsidP="00037F06">
            <w:pPr>
              <w:pStyle w:val="TableFirstColumn"/>
              <w:keepNext w:val="0"/>
              <w:spacing w:before="100" w:after="100"/>
            </w:pPr>
            <w:r w:rsidRPr="00EE4E3B">
              <w:t xml:space="preserve">Next steps </w:t>
            </w:r>
          </w:p>
        </w:tc>
        <w:tc>
          <w:tcPr>
            <w:tcW w:w="5481" w:type="dxa"/>
            <w:gridSpan w:val="2"/>
          </w:tcPr>
          <w:p w14:paraId="7C41DD5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Address any remaining minor non-conformances</w:t>
            </w:r>
          </w:p>
          <w:p w14:paraId="05D56D43"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Implement remaining applicable controls (if any)</w:t>
            </w:r>
          </w:p>
          <w:p w14:paraId="67CD533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Monitor the ISMS</w:t>
            </w:r>
          </w:p>
        </w:tc>
        <w:tc>
          <w:tcPr>
            <w:tcW w:w="1703" w:type="dxa"/>
          </w:tcPr>
          <w:p w14:paraId="4AFE67CE"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Monitor performance of security controls</w:t>
            </w:r>
          </w:p>
        </w:tc>
      </w:tr>
      <w:tr w:rsidR="007D2A28" w:rsidRPr="009F2CB9" w14:paraId="381B4B3E" w14:textId="77777777" w:rsidTr="00037F06">
        <w:tc>
          <w:tcPr>
            <w:cnfStyle w:val="001000000000" w:firstRow="0" w:lastRow="0" w:firstColumn="1" w:lastColumn="0" w:oddVBand="0" w:evenVBand="0" w:oddHBand="0" w:evenHBand="0" w:firstRowFirstColumn="0" w:firstRowLastColumn="0" w:lastRowFirstColumn="0" w:lastRowLastColumn="0"/>
            <w:tcW w:w="1832" w:type="dxa"/>
          </w:tcPr>
          <w:p w14:paraId="04F72BF4" w14:textId="77777777" w:rsidR="007D2A28" w:rsidRPr="00EE4E3B" w:rsidRDefault="007D2A28" w:rsidP="00037F06">
            <w:pPr>
              <w:pStyle w:val="TableFirstColumn"/>
              <w:keepNext w:val="0"/>
              <w:spacing w:before="100" w:after="100"/>
            </w:pPr>
            <w:r w:rsidRPr="00EE4E3B">
              <w:t>Due dates</w:t>
            </w:r>
          </w:p>
        </w:tc>
        <w:tc>
          <w:tcPr>
            <w:tcW w:w="5481" w:type="dxa"/>
            <w:gridSpan w:val="2"/>
          </w:tcPr>
          <w:p w14:paraId="195DE49E"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rPr>
                <w:rFonts w:cstheme="minorHAnsi"/>
              </w:rPr>
            </w:pPr>
            <w:r w:rsidRPr="009F2CB9">
              <w:t xml:space="preserve">To be completed within </w:t>
            </w:r>
            <w:r>
              <w:t>9</w:t>
            </w:r>
            <w:r w:rsidRPr="009F2CB9">
              <w:t xml:space="preserve"> months from the </w:t>
            </w:r>
            <w:r>
              <w:t>Deed C</w:t>
            </w:r>
            <w:r w:rsidRPr="009F2CB9">
              <w:t xml:space="preserve">ommencement </w:t>
            </w:r>
            <w:r>
              <w:t>Date</w:t>
            </w:r>
          </w:p>
        </w:tc>
        <w:tc>
          <w:tcPr>
            <w:tcW w:w="1703" w:type="dxa"/>
          </w:tcPr>
          <w:p w14:paraId="421844FC" w14:textId="77777777" w:rsidR="007D2A28" w:rsidRPr="009F2CB9" w:rsidRDefault="007D2A28" w:rsidP="00037F06">
            <w:pPr>
              <w:pStyle w:val="TableText"/>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To be completed within </w:t>
            </w:r>
            <w:r>
              <w:t>9</w:t>
            </w:r>
            <w:r w:rsidRPr="009F2CB9">
              <w:t xml:space="preserve"> months from the </w:t>
            </w:r>
            <w:r>
              <w:t>Deed C</w:t>
            </w:r>
            <w:r w:rsidRPr="009F2CB9">
              <w:t xml:space="preserve">ommencement </w:t>
            </w:r>
            <w:r>
              <w:t>Date</w:t>
            </w:r>
            <w:r w:rsidRPr="009F2CB9">
              <w:t xml:space="preserve"> </w:t>
            </w:r>
          </w:p>
        </w:tc>
      </w:tr>
    </w:tbl>
    <w:p w14:paraId="0A225F3F" w14:textId="77777777" w:rsidR="007D2A28" w:rsidRPr="00550237" w:rsidRDefault="007D2A28" w:rsidP="007D2A28">
      <w:pPr>
        <w:pStyle w:val="Heading2"/>
      </w:pPr>
      <w:bookmarkStart w:id="778" w:name="_Toc95233340"/>
      <w:bookmarkStart w:id="779" w:name="_Toc96000585"/>
      <w:bookmarkStart w:id="780" w:name="_Toc95896816"/>
      <w:r w:rsidRPr="00550237">
        <w:t>Submission deliverables</w:t>
      </w:r>
      <w:bookmarkEnd w:id="778"/>
      <w:bookmarkEnd w:id="779"/>
      <w:bookmarkEnd w:id="780"/>
      <w:r w:rsidRPr="00550237">
        <w:t xml:space="preserve"> </w:t>
      </w:r>
    </w:p>
    <w:p w14:paraId="63AC9F91" w14:textId="77777777" w:rsidR="007D2A28" w:rsidRPr="00EE4E3B" w:rsidRDefault="007D2A28" w:rsidP="007D2A28">
      <w:pPr>
        <w:pStyle w:val="Heading3"/>
      </w:pPr>
      <w:bookmarkStart w:id="781" w:name="_Toc95896817"/>
      <w:r w:rsidRPr="00EE4E3B">
        <w:t>Submission milestones</w:t>
      </w:r>
      <w:bookmarkEnd w:id="781"/>
    </w:p>
    <w:p w14:paraId="707279E7" w14:textId="05F2C9C5" w:rsidR="007D2A28" w:rsidRDefault="007D2A28" w:rsidP="007D2A28">
      <w:r>
        <w:fldChar w:fldCharType="begin"/>
      </w:r>
      <w:r>
        <w:instrText xml:space="preserve"> REF _Ref98919703 \h  \* MERGEFORMAT </w:instrText>
      </w:r>
      <w: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E</w:t>
      </w:r>
      <w:r>
        <w:fldChar w:fldCharType="end"/>
      </w:r>
      <w:r w:rsidRPr="00EB2049">
        <w:t xml:space="preserve"> below provides a high-level description of the deliverables that need to be submitted to the Department as</w:t>
      </w:r>
      <w:r w:rsidRPr="009F2CB9">
        <w:t xml:space="preserve"> part of the accreditation process. The Department does not require the use of any specific template, except for the RFFR questionnaire completed </w:t>
      </w:r>
      <w:r>
        <w:t xml:space="preserve">for Milestone 1 </w:t>
      </w:r>
      <w:r w:rsidRPr="009F2CB9">
        <w:t xml:space="preserve">as part of the Provider’s RFT/RFP response. Standard templates for each deliverable are available from the Department and may be optionally used as a basis for working through the accreditation process. </w:t>
      </w:r>
    </w:p>
    <w:p w14:paraId="72BB9943" w14:textId="46150422" w:rsidR="007D2A28" w:rsidRPr="00D725B7" w:rsidRDefault="007D2A28" w:rsidP="007D2A28">
      <w:r w:rsidRPr="009F2CB9">
        <w:t xml:space="preserve">Each of the submission </w:t>
      </w:r>
      <w:r w:rsidRPr="00D725B7">
        <w:t xml:space="preserve">deliverables in </w:t>
      </w:r>
      <w:r>
        <w:fldChar w:fldCharType="begin"/>
      </w:r>
      <w:r>
        <w:instrText xml:space="preserve"> REF _Ref98919703 \h  \* MERGEFORMAT </w:instrText>
      </w:r>
      <w: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E</w:t>
      </w:r>
      <w:r>
        <w:fldChar w:fldCharType="end"/>
      </w:r>
      <w:r w:rsidRPr="00D725B7">
        <w:t xml:space="preserve"> is described in more detail in </w:t>
      </w:r>
      <w:r>
        <w:fldChar w:fldCharType="begin"/>
      </w:r>
      <w:r>
        <w:instrText xml:space="preserve"> REF _Ref98919713 \h  \* MERGEFORMAT </w:instrText>
      </w:r>
      <w: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F</w:t>
      </w:r>
      <w:r>
        <w:fldChar w:fldCharType="end"/>
      </w:r>
      <w:r>
        <w:t>.</w:t>
      </w:r>
    </w:p>
    <w:p w14:paraId="21F39368" w14:textId="61E17EE0" w:rsidR="007D2A28" w:rsidRPr="009F2CB9" w:rsidRDefault="007D2A28" w:rsidP="007D2A28">
      <w:pPr>
        <w:spacing w:before="240" w:after="40" w:line="240" w:lineRule="auto"/>
        <w:rPr>
          <w:rFonts w:cstheme="minorHAnsi"/>
          <w:b/>
          <w:szCs w:val="18"/>
        </w:rPr>
      </w:pPr>
      <w:bookmarkStart w:id="782" w:name="_Ref98919703"/>
      <w:r w:rsidRPr="00D725B7">
        <w:rPr>
          <w:b/>
          <w:szCs w:val="18"/>
        </w:rPr>
        <w:t xml:space="preserve">Table </w:t>
      </w:r>
      <w:r>
        <w:rPr>
          <w:b/>
          <w:szCs w:val="18"/>
        </w:rPr>
        <w:fldChar w:fldCharType="begin"/>
      </w:r>
      <w:r>
        <w:rPr>
          <w:b/>
          <w:szCs w:val="18"/>
        </w:rPr>
        <w:instrText xml:space="preserve"> STYLEREF 1 \s </w:instrText>
      </w:r>
      <w:r>
        <w:rPr>
          <w:b/>
          <w:szCs w:val="18"/>
        </w:rPr>
        <w:fldChar w:fldCharType="separate"/>
      </w:r>
      <w:r w:rsidR="00833EA6">
        <w:rPr>
          <w:b/>
          <w:noProof/>
          <w:szCs w:val="18"/>
        </w:rPr>
        <w:t>3</w:t>
      </w:r>
      <w:r>
        <w:rPr>
          <w:b/>
          <w:szCs w:val="18"/>
        </w:rPr>
        <w:fldChar w:fldCharType="end"/>
      </w:r>
      <w:r>
        <w:rPr>
          <w:b/>
          <w:szCs w:val="18"/>
        </w:rPr>
        <w:noBreakHyphen/>
      </w:r>
      <w:r>
        <w:rPr>
          <w:b/>
          <w:szCs w:val="18"/>
        </w:rPr>
        <w:fldChar w:fldCharType="begin"/>
      </w:r>
      <w:r>
        <w:rPr>
          <w:b/>
          <w:szCs w:val="18"/>
        </w:rPr>
        <w:instrText xml:space="preserve"> SEQ Table \* ALPHABETIC \s 1 </w:instrText>
      </w:r>
      <w:r>
        <w:rPr>
          <w:b/>
          <w:szCs w:val="18"/>
        </w:rPr>
        <w:fldChar w:fldCharType="separate"/>
      </w:r>
      <w:r w:rsidR="00833EA6">
        <w:rPr>
          <w:b/>
          <w:noProof/>
          <w:szCs w:val="18"/>
        </w:rPr>
        <w:t>E</w:t>
      </w:r>
      <w:r>
        <w:rPr>
          <w:b/>
          <w:szCs w:val="18"/>
        </w:rPr>
        <w:fldChar w:fldCharType="end"/>
      </w:r>
      <w:bookmarkEnd w:id="782"/>
      <w:r>
        <w:t>:</w:t>
      </w:r>
      <w:r w:rsidRPr="00D725B7">
        <w:rPr>
          <w:b/>
          <w:szCs w:val="18"/>
        </w:rPr>
        <w:t xml:space="preserve"> Provider Milestones Deliverables</w:t>
      </w:r>
    </w:p>
    <w:tbl>
      <w:tblPr>
        <w:tblStyle w:val="DESE"/>
        <w:tblW w:w="5000" w:type="pct"/>
        <w:tblLook w:val="04A0" w:firstRow="1" w:lastRow="0" w:firstColumn="1" w:lastColumn="0" w:noHBand="0" w:noVBand="1"/>
      </w:tblPr>
      <w:tblGrid>
        <w:gridCol w:w="1506"/>
        <w:gridCol w:w="2166"/>
        <w:gridCol w:w="2848"/>
        <w:gridCol w:w="2496"/>
      </w:tblGrid>
      <w:tr w:rsidR="007D2A28" w:rsidRPr="00A90A57" w14:paraId="26753D37" w14:textId="77777777" w:rsidTr="00037F0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941" w:type="pct"/>
          </w:tcPr>
          <w:p w14:paraId="186ABE32" w14:textId="77777777" w:rsidR="007D2A28" w:rsidRPr="00EE4E3B" w:rsidRDefault="007D2A28" w:rsidP="00037F06">
            <w:pPr>
              <w:pStyle w:val="TableColumnHeading"/>
              <w:spacing w:before="100" w:after="100"/>
            </w:pPr>
          </w:p>
        </w:tc>
        <w:tc>
          <w:tcPr>
            <w:tcW w:w="990" w:type="pct"/>
          </w:tcPr>
          <w:p w14:paraId="520F4D98" w14:textId="77777777" w:rsidR="007D2A28" w:rsidRPr="00EE4E3B"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EE4E3B">
              <w:t>Milestone 1</w:t>
            </w:r>
          </w:p>
        </w:tc>
        <w:tc>
          <w:tcPr>
            <w:tcW w:w="1685" w:type="pct"/>
          </w:tcPr>
          <w:p w14:paraId="30209A5C" w14:textId="77777777" w:rsidR="007D2A28" w:rsidRPr="00EE4E3B"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EE4E3B">
              <w:t>Milestone 2</w:t>
            </w:r>
          </w:p>
        </w:tc>
        <w:tc>
          <w:tcPr>
            <w:tcW w:w="1384" w:type="pct"/>
          </w:tcPr>
          <w:p w14:paraId="6DCE829A" w14:textId="77777777" w:rsidR="007D2A28" w:rsidRPr="00EE4E3B"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EE4E3B">
              <w:t>Milestone 3</w:t>
            </w:r>
          </w:p>
        </w:tc>
      </w:tr>
      <w:tr w:rsidR="007D2A28" w:rsidRPr="009F2CB9" w14:paraId="2C708979" w14:textId="77777777" w:rsidTr="00037F06">
        <w:tc>
          <w:tcPr>
            <w:cnfStyle w:val="001000000000" w:firstRow="0" w:lastRow="0" w:firstColumn="1" w:lastColumn="0" w:oddVBand="0" w:evenVBand="0" w:oddHBand="0" w:evenHBand="0" w:firstRowFirstColumn="0" w:firstRowLastColumn="0" w:lastRowFirstColumn="0" w:lastRowLastColumn="0"/>
            <w:tcW w:w="941" w:type="pct"/>
          </w:tcPr>
          <w:p w14:paraId="7ABA36C7" w14:textId="77777777" w:rsidR="007D2A28" w:rsidRPr="009F2CB9" w:rsidRDefault="007D2A28" w:rsidP="00037F06">
            <w:pPr>
              <w:pStyle w:val="TableFirstColumn"/>
              <w:keepNext w:val="0"/>
              <w:spacing w:before="100" w:after="100"/>
            </w:pPr>
            <w:r w:rsidRPr="009F2CB9">
              <w:t>Category</w:t>
            </w:r>
            <w:r>
              <w:t xml:space="preserve"> 1</w:t>
            </w:r>
            <w:r w:rsidRPr="009F2CB9">
              <w:t xml:space="preserve"> </w:t>
            </w:r>
            <w:r>
              <w:t>P</w:t>
            </w:r>
            <w:r w:rsidRPr="009F2CB9">
              <w:t>roviders</w:t>
            </w:r>
          </w:p>
        </w:tc>
        <w:tc>
          <w:tcPr>
            <w:tcW w:w="990" w:type="pct"/>
          </w:tcPr>
          <w:p w14:paraId="54D45B4A"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RFFR </w:t>
            </w:r>
            <w:r>
              <w:t>q</w:t>
            </w:r>
            <w:r w:rsidRPr="009F2CB9">
              <w:t>uestionnaire &amp; Interview</w:t>
            </w:r>
          </w:p>
        </w:tc>
        <w:tc>
          <w:tcPr>
            <w:tcW w:w="1685" w:type="pct"/>
          </w:tcPr>
          <w:p w14:paraId="71BF0E6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ISMS Scope </w:t>
            </w:r>
          </w:p>
          <w:p w14:paraId="4998948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SoA</w:t>
            </w:r>
          </w:p>
          <w:p w14:paraId="7D86FCD8"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Independent assessor’s “Stage 1” report</w:t>
            </w:r>
          </w:p>
        </w:tc>
        <w:tc>
          <w:tcPr>
            <w:tcW w:w="1384" w:type="pct"/>
          </w:tcPr>
          <w:p w14:paraId="3E9EE9B3"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ISMS Scope</w:t>
            </w:r>
          </w:p>
          <w:p w14:paraId="71783BFC"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SoA</w:t>
            </w:r>
          </w:p>
          <w:p w14:paraId="2CA22916" w14:textId="77777777" w:rsidR="007D2A28"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Independent assessor’s “Stage 2” report</w:t>
            </w:r>
          </w:p>
          <w:p w14:paraId="640EF241"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ISO</w:t>
            </w:r>
            <w:r>
              <w:t xml:space="preserve"> </w:t>
            </w:r>
            <w:r w:rsidRPr="009F2CB9">
              <w:t>27001 certificate or DESE ISMS certificate</w:t>
            </w:r>
          </w:p>
        </w:tc>
      </w:tr>
      <w:tr w:rsidR="007D2A28" w:rsidRPr="009F2CB9" w14:paraId="25C4E130" w14:textId="77777777" w:rsidTr="00037F06">
        <w:tc>
          <w:tcPr>
            <w:cnfStyle w:val="001000000000" w:firstRow="0" w:lastRow="0" w:firstColumn="1" w:lastColumn="0" w:oddVBand="0" w:evenVBand="0" w:oddHBand="0" w:evenHBand="0" w:firstRowFirstColumn="0" w:firstRowLastColumn="0" w:lastRowFirstColumn="0" w:lastRowLastColumn="0"/>
            <w:tcW w:w="941" w:type="pct"/>
          </w:tcPr>
          <w:p w14:paraId="7456A2F9" w14:textId="77777777" w:rsidR="007D2A28" w:rsidRPr="009F2CB9" w:rsidRDefault="007D2A28" w:rsidP="00037F06">
            <w:pPr>
              <w:pStyle w:val="TableFirstColumn"/>
              <w:keepNext w:val="0"/>
              <w:spacing w:before="100" w:after="100"/>
            </w:pPr>
            <w:r w:rsidRPr="009F2CB9">
              <w:t>Category</w:t>
            </w:r>
            <w:r>
              <w:t xml:space="preserve"> 2A</w:t>
            </w:r>
            <w:r w:rsidRPr="009F2CB9">
              <w:t xml:space="preserve"> </w:t>
            </w:r>
            <w:r>
              <w:t>P</w:t>
            </w:r>
            <w:r w:rsidRPr="009F2CB9">
              <w:t>roviders</w:t>
            </w:r>
          </w:p>
        </w:tc>
        <w:tc>
          <w:tcPr>
            <w:tcW w:w="990" w:type="pct"/>
          </w:tcPr>
          <w:p w14:paraId="3AB71741"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RFFR </w:t>
            </w:r>
            <w:r>
              <w:t>q</w:t>
            </w:r>
            <w:r w:rsidRPr="009F2CB9">
              <w:t>uestionnaire &amp; Interview</w:t>
            </w:r>
          </w:p>
        </w:tc>
        <w:tc>
          <w:tcPr>
            <w:tcW w:w="1685" w:type="pct"/>
          </w:tcPr>
          <w:p w14:paraId="1D03E890"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ISMS Scope</w:t>
            </w:r>
          </w:p>
          <w:p w14:paraId="39FDAEE2"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SoA</w:t>
            </w:r>
          </w:p>
          <w:p w14:paraId="542AF462"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ISMS Self-assessment report (conformance)</w:t>
            </w:r>
          </w:p>
        </w:tc>
        <w:tc>
          <w:tcPr>
            <w:tcW w:w="1384" w:type="pct"/>
          </w:tcPr>
          <w:p w14:paraId="0EEE3D1B"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ISMS Scope </w:t>
            </w:r>
          </w:p>
          <w:p w14:paraId="64AADEB1"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SoA</w:t>
            </w:r>
          </w:p>
          <w:p w14:paraId="0A2E1AC0"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ISMS Self-assessment report (implementation)</w:t>
            </w:r>
          </w:p>
        </w:tc>
      </w:tr>
      <w:tr w:rsidR="007D2A28" w:rsidRPr="009F2CB9" w14:paraId="5B728C36" w14:textId="77777777" w:rsidTr="00037F06">
        <w:tc>
          <w:tcPr>
            <w:cnfStyle w:val="001000000000" w:firstRow="0" w:lastRow="0" w:firstColumn="1" w:lastColumn="0" w:oddVBand="0" w:evenVBand="0" w:oddHBand="0" w:evenHBand="0" w:firstRowFirstColumn="0" w:firstRowLastColumn="0" w:lastRowFirstColumn="0" w:lastRowLastColumn="0"/>
            <w:tcW w:w="941" w:type="pct"/>
          </w:tcPr>
          <w:p w14:paraId="0CFFB313" w14:textId="77777777" w:rsidR="007D2A28" w:rsidRPr="009F2CB9" w:rsidRDefault="007D2A28" w:rsidP="00037F06">
            <w:pPr>
              <w:pStyle w:val="TableFirstColumn"/>
              <w:keepNext w:val="0"/>
              <w:spacing w:before="100" w:after="100"/>
            </w:pPr>
            <w:r w:rsidRPr="009F2CB9">
              <w:lastRenderedPageBreak/>
              <w:t xml:space="preserve">Category </w:t>
            </w:r>
            <w:r>
              <w:t>2B P</w:t>
            </w:r>
            <w:r w:rsidRPr="009F2CB9">
              <w:t>roviders</w:t>
            </w:r>
          </w:p>
        </w:tc>
        <w:tc>
          <w:tcPr>
            <w:tcW w:w="990" w:type="pct"/>
          </w:tcPr>
          <w:p w14:paraId="4885A210"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9F2CB9">
              <w:t xml:space="preserve">RFFR </w:t>
            </w:r>
            <w:r>
              <w:t>q</w:t>
            </w:r>
            <w:r w:rsidRPr="009F2CB9">
              <w:t>uestionnaire &amp; Interview</w:t>
            </w:r>
          </w:p>
        </w:tc>
        <w:tc>
          <w:tcPr>
            <w:tcW w:w="1685" w:type="pct"/>
          </w:tcPr>
          <w:p w14:paraId="49A72890"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t>Not applicable</w:t>
            </w:r>
            <w:r w:rsidRPr="009F2CB9">
              <w:t xml:space="preserve"> </w:t>
            </w:r>
          </w:p>
          <w:p w14:paraId="2CCBF39B" w14:textId="77777777" w:rsidR="007D2A28" w:rsidRPr="009F2CB9" w:rsidRDefault="007D2A28" w:rsidP="00037F06">
            <w:pPr>
              <w:pStyle w:val="BulletLevel1"/>
              <w:numPr>
                <w:ilvl w:val="0"/>
                <w:numId w:val="0"/>
              </w:numPr>
              <w:spacing w:before="100" w:after="100"/>
              <w:cnfStyle w:val="000000000000" w:firstRow="0" w:lastRow="0" w:firstColumn="0" w:lastColumn="0" w:oddVBand="0" w:evenVBand="0" w:oddHBand="0" w:evenHBand="0" w:firstRowFirstColumn="0" w:firstRowLastColumn="0" w:lastRowFirstColumn="0" w:lastRowLastColumn="0"/>
            </w:pPr>
          </w:p>
        </w:tc>
        <w:tc>
          <w:tcPr>
            <w:tcW w:w="1384" w:type="pct"/>
          </w:tcPr>
          <w:p w14:paraId="274D4C3D" w14:textId="77777777" w:rsidR="007D2A28" w:rsidRPr="009F2CB9"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01396E">
              <w:t>Management Assertion Letter</w:t>
            </w:r>
          </w:p>
        </w:tc>
      </w:tr>
    </w:tbl>
    <w:p w14:paraId="5479DB78" w14:textId="77777777" w:rsidR="007D2A28" w:rsidRPr="00EE4E3B" w:rsidRDefault="007D2A28" w:rsidP="007D2A28">
      <w:pPr>
        <w:pStyle w:val="Heading3"/>
      </w:pPr>
      <w:bookmarkStart w:id="783" w:name="_Toc95896818"/>
      <w:r w:rsidRPr="00EE4E3B">
        <w:t>Deliverable descriptions</w:t>
      </w:r>
      <w:bookmarkEnd w:id="783"/>
      <w:r w:rsidRPr="00EE4E3B">
        <w:t xml:space="preserve"> </w:t>
      </w:r>
    </w:p>
    <w:p w14:paraId="61E55AFD" w14:textId="09D4C045" w:rsidR="007D2A28" w:rsidRPr="00D725B7" w:rsidRDefault="007D2A28" w:rsidP="007D2A28">
      <w:r>
        <w:fldChar w:fldCharType="begin"/>
      </w:r>
      <w:r>
        <w:instrText xml:space="preserve"> REF _Ref98919713 \h  \* MERGEFORMAT </w:instrText>
      </w:r>
      <w:r>
        <w:fldChar w:fldCharType="separate"/>
      </w:r>
      <w:r w:rsidR="00833EA6" w:rsidRPr="00833EA6">
        <w:rPr>
          <w:bCs/>
          <w:szCs w:val="18"/>
          <w:u w:val="single"/>
        </w:rPr>
        <w:t xml:space="preserve">Table </w:t>
      </w:r>
      <w:r w:rsidR="00833EA6" w:rsidRPr="00833EA6">
        <w:rPr>
          <w:bCs/>
          <w:noProof/>
          <w:szCs w:val="18"/>
          <w:u w:val="single"/>
        </w:rPr>
        <w:t>3</w:t>
      </w:r>
      <w:r w:rsidR="00833EA6" w:rsidRPr="00833EA6">
        <w:rPr>
          <w:bCs/>
          <w:noProof/>
          <w:szCs w:val="18"/>
          <w:u w:val="single"/>
        </w:rPr>
        <w:noBreakHyphen/>
        <w:t>F</w:t>
      </w:r>
      <w:r>
        <w:fldChar w:fldCharType="end"/>
      </w:r>
      <w:r w:rsidRPr="00D725B7">
        <w:t xml:space="preserve"> below provides a detailed description of, and criteria for completing, each deliverable of the RFFR process. </w:t>
      </w:r>
    </w:p>
    <w:p w14:paraId="36E0984B" w14:textId="76D31728" w:rsidR="007D2A28" w:rsidRPr="009F2CB9" w:rsidRDefault="007D2A28" w:rsidP="007D2A28">
      <w:pPr>
        <w:spacing w:before="240" w:after="40" w:line="240" w:lineRule="auto"/>
        <w:rPr>
          <w:b/>
          <w:szCs w:val="18"/>
        </w:rPr>
      </w:pPr>
      <w:bookmarkStart w:id="784" w:name="_Ref98919713"/>
      <w:r w:rsidRPr="00D725B7">
        <w:rPr>
          <w:b/>
          <w:szCs w:val="18"/>
        </w:rPr>
        <w:t xml:space="preserve">Table </w:t>
      </w:r>
      <w:r>
        <w:rPr>
          <w:b/>
          <w:szCs w:val="18"/>
        </w:rPr>
        <w:fldChar w:fldCharType="begin"/>
      </w:r>
      <w:r>
        <w:rPr>
          <w:b/>
          <w:szCs w:val="18"/>
        </w:rPr>
        <w:instrText xml:space="preserve"> STYLEREF 1 \s </w:instrText>
      </w:r>
      <w:r>
        <w:rPr>
          <w:b/>
          <w:szCs w:val="18"/>
        </w:rPr>
        <w:fldChar w:fldCharType="separate"/>
      </w:r>
      <w:r w:rsidR="00833EA6">
        <w:rPr>
          <w:b/>
          <w:noProof/>
          <w:szCs w:val="18"/>
        </w:rPr>
        <w:t>3</w:t>
      </w:r>
      <w:r>
        <w:rPr>
          <w:b/>
          <w:szCs w:val="18"/>
        </w:rPr>
        <w:fldChar w:fldCharType="end"/>
      </w:r>
      <w:r>
        <w:rPr>
          <w:b/>
          <w:szCs w:val="18"/>
        </w:rPr>
        <w:noBreakHyphen/>
      </w:r>
      <w:r>
        <w:rPr>
          <w:b/>
          <w:szCs w:val="18"/>
        </w:rPr>
        <w:fldChar w:fldCharType="begin"/>
      </w:r>
      <w:r>
        <w:rPr>
          <w:b/>
          <w:szCs w:val="18"/>
        </w:rPr>
        <w:instrText xml:space="preserve"> SEQ Table \* ALPHABETIC \s 1 </w:instrText>
      </w:r>
      <w:r>
        <w:rPr>
          <w:b/>
          <w:szCs w:val="18"/>
        </w:rPr>
        <w:fldChar w:fldCharType="separate"/>
      </w:r>
      <w:r w:rsidR="00833EA6">
        <w:rPr>
          <w:b/>
          <w:noProof/>
          <w:szCs w:val="18"/>
        </w:rPr>
        <w:t>F</w:t>
      </w:r>
      <w:r>
        <w:rPr>
          <w:b/>
          <w:szCs w:val="18"/>
        </w:rPr>
        <w:fldChar w:fldCharType="end"/>
      </w:r>
      <w:bookmarkEnd w:id="784"/>
      <w:r>
        <w:t>:</w:t>
      </w:r>
      <w:r w:rsidRPr="00D725B7">
        <w:rPr>
          <w:b/>
          <w:szCs w:val="18"/>
        </w:rPr>
        <w:t xml:space="preserve"> Deliverable descriptions</w:t>
      </w:r>
    </w:p>
    <w:tbl>
      <w:tblPr>
        <w:tblStyle w:val="DESE"/>
        <w:tblW w:w="9067" w:type="dxa"/>
        <w:tblLook w:val="04A0" w:firstRow="1" w:lastRow="0" w:firstColumn="1" w:lastColumn="0" w:noHBand="0" w:noVBand="1"/>
      </w:tblPr>
      <w:tblGrid>
        <w:gridCol w:w="1605"/>
        <w:gridCol w:w="7462"/>
      </w:tblGrid>
      <w:tr w:rsidR="007D2A28" w:rsidRPr="009F2CB9" w14:paraId="4239F5D3" w14:textId="77777777" w:rsidTr="00037F06">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5" w:type="dxa"/>
          </w:tcPr>
          <w:p w14:paraId="613F3CCD" w14:textId="77777777" w:rsidR="007D2A28" w:rsidRPr="009F2CB9" w:rsidRDefault="007D2A28" w:rsidP="00037F06">
            <w:pPr>
              <w:pStyle w:val="TableColumnHeading"/>
            </w:pPr>
            <w:r w:rsidRPr="009F2CB9">
              <w:t>Submission Document</w:t>
            </w:r>
          </w:p>
        </w:tc>
        <w:tc>
          <w:tcPr>
            <w:tcW w:w="7462" w:type="dxa"/>
          </w:tcPr>
          <w:p w14:paraId="520C7038" w14:textId="77777777" w:rsidR="007D2A28" w:rsidRPr="009F2CB9"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rsidRPr="009F2CB9">
              <w:t>Description</w:t>
            </w:r>
          </w:p>
        </w:tc>
      </w:tr>
      <w:tr w:rsidR="007D2A28" w:rsidRPr="009F2CB9" w14:paraId="38888F33" w14:textId="77777777" w:rsidTr="00037F06">
        <w:trPr>
          <w:trHeight w:val="1471"/>
        </w:trPr>
        <w:tc>
          <w:tcPr>
            <w:cnfStyle w:val="001000000000" w:firstRow="0" w:lastRow="0" w:firstColumn="1" w:lastColumn="0" w:oddVBand="0" w:evenVBand="0" w:oddHBand="0" w:evenHBand="0" w:firstRowFirstColumn="0" w:firstRowLastColumn="0" w:lastRowFirstColumn="0" w:lastRowLastColumn="0"/>
            <w:tcW w:w="1605" w:type="dxa"/>
          </w:tcPr>
          <w:p w14:paraId="4498858E" w14:textId="77777777" w:rsidR="007D2A28" w:rsidRPr="009F2CB9" w:rsidRDefault="007D2A28" w:rsidP="00037F06">
            <w:pPr>
              <w:pStyle w:val="TableFirstColumn"/>
              <w:keepNext w:val="0"/>
            </w:pPr>
            <w:r w:rsidRPr="009F2CB9">
              <w:t xml:space="preserve">RFFR </w:t>
            </w:r>
            <w:r>
              <w:t>q</w:t>
            </w:r>
            <w:r w:rsidRPr="009F2CB9">
              <w:t xml:space="preserve">uestionnaire </w:t>
            </w:r>
          </w:p>
        </w:tc>
        <w:tc>
          <w:tcPr>
            <w:tcW w:w="7462" w:type="dxa"/>
          </w:tcPr>
          <w:p w14:paraId="2A4873A0"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Submitted with the Provider’s RFT/RFP response</w:t>
            </w:r>
            <w:r>
              <w:t xml:space="preserve"> where required</w:t>
            </w:r>
            <w:r w:rsidRPr="009F2CB9">
              <w:t>, the questionnaire seeks information regarding the Provider</w:t>
            </w:r>
            <w:r>
              <w:t>’</w:t>
            </w:r>
            <w:r w:rsidRPr="009F2CB9">
              <w:t xml:space="preserve">s business, their IT security posture and their readiness to meet RFFR requirements. Discussing the completed questionnaire with the Department marks completion of Milestone 1 and confirms the Provider’s </w:t>
            </w:r>
            <w:r>
              <w:t>c</w:t>
            </w:r>
            <w:r w:rsidRPr="009F2CB9">
              <w:t>ategor</w:t>
            </w:r>
            <w:r>
              <w:t>y</w:t>
            </w:r>
            <w:r w:rsidRPr="009F2CB9">
              <w:t>.</w:t>
            </w:r>
          </w:p>
        </w:tc>
      </w:tr>
      <w:tr w:rsidR="007D2A28" w:rsidRPr="009F2CB9" w14:paraId="2FF01E6B" w14:textId="77777777" w:rsidTr="00037F06">
        <w:trPr>
          <w:trHeight w:val="1266"/>
        </w:trPr>
        <w:tc>
          <w:tcPr>
            <w:cnfStyle w:val="001000000000" w:firstRow="0" w:lastRow="0" w:firstColumn="1" w:lastColumn="0" w:oddVBand="0" w:evenVBand="0" w:oddHBand="0" w:evenHBand="0" w:firstRowFirstColumn="0" w:firstRowLastColumn="0" w:lastRowFirstColumn="0" w:lastRowLastColumn="0"/>
            <w:tcW w:w="1605" w:type="dxa"/>
          </w:tcPr>
          <w:p w14:paraId="69EA7BB4" w14:textId="77777777" w:rsidR="007D2A28" w:rsidRPr="009F2CB9" w:rsidRDefault="007D2A28" w:rsidP="00037F06">
            <w:pPr>
              <w:pStyle w:val="TableFirstColumn"/>
              <w:keepNext w:val="0"/>
            </w:pPr>
            <w:r w:rsidRPr="009F2CB9">
              <w:t>ISMS scope document</w:t>
            </w:r>
          </w:p>
          <w:p w14:paraId="6398A2F9" w14:textId="77777777" w:rsidR="007D2A28" w:rsidRPr="009F2CB9" w:rsidRDefault="007D2A28" w:rsidP="00037F06">
            <w:pPr>
              <w:pStyle w:val="TableFirstColumn"/>
              <w:keepNext w:val="0"/>
              <w:rPr>
                <w:rFonts w:ascii="Calibri" w:hAnsi="Calibri" w:cs="Times New Roman"/>
                <w:sz w:val="26"/>
                <w:lang w:eastAsia="en-AU"/>
              </w:rPr>
            </w:pPr>
          </w:p>
        </w:tc>
        <w:tc>
          <w:tcPr>
            <w:tcW w:w="7462" w:type="dxa"/>
          </w:tcPr>
          <w:p w14:paraId="71B10A96"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The purpose of this document is to clearly define the boundaries of the I</w:t>
            </w:r>
            <w:r>
              <w:t>SMS</w:t>
            </w:r>
            <w:r w:rsidRPr="009F2CB9">
              <w:t xml:space="preserve"> to provide the </w:t>
            </w:r>
            <w:r>
              <w:t>D</w:t>
            </w:r>
            <w:r w:rsidRPr="009F2CB9">
              <w:t xml:space="preserve">epartment </w:t>
            </w:r>
            <w:r>
              <w:t xml:space="preserve">with </w:t>
            </w:r>
            <w:r w:rsidRPr="009F2CB9">
              <w:t xml:space="preserve">an understanding of the Provider’s business and context, in conformance with ISO 27001 Clause 4. It should also provide a high-level description of how the Provider intends to meet RFFR </w:t>
            </w:r>
            <w:r>
              <w:t>c</w:t>
            </w:r>
            <w:r w:rsidRPr="009F2CB9">
              <w:t xml:space="preserve">ore </w:t>
            </w:r>
            <w:r>
              <w:t>e</w:t>
            </w:r>
            <w:r w:rsidRPr="009F2CB9">
              <w:t xml:space="preserve">xpectation areas. A template scope document is available from the </w:t>
            </w:r>
            <w:r>
              <w:t>D</w:t>
            </w:r>
            <w:r w:rsidRPr="009F2CB9">
              <w:t>epartment.</w:t>
            </w:r>
          </w:p>
        </w:tc>
      </w:tr>
      <w:tr w:rsidR="007D2A28" w:rsidRPr="009F2CB9" w14:paraId="5526EF61" w14:textId="77777777" w:rsidTr="00037F06">
        <w:trPr>
          <w:trHeight w:val="1352"/>
        </w:trPr>
        <w:tc>
          <w:tcPr>
            <w:cnfStyle w:val="001000000000" w:firstRow="0" w:lastRow="0" w:firstColumn="1" w:lastColumn="0" w:oddVBand="0" w:evenVBand="0" w:oddHBand="0" w:evenHBand="0" w:firstRowFirstColumn="0" w:firstRowLastColumn="0" w:lastRowFirstColumn="0" w:lastRowLastColumn="0"/>
            <w:tcW w:w="1605" w:type="dxa"/>
          </w:tcPr>
          <w:p w14:paraId="29CBC783" w14:textId="77777777" w:rsidR="007D2A28" w:rsidRPr="009F2CB9" w:rsidRDefault="007D2A28" w:rsidP="00037F06">
            <w:pPr>
              <w:pStyle w:val="TableFirstColumn"/>
              <w:keepNext w:val="0"/>
            </w:pPr>
            <w:r w:rsidRPr="009F2CB9">
              <w:t>Statement of Applicability (S</w:t>
            </w:r>
            <w:r>
              <w:t>o</w:t>
            </w:r>
            <w:r w:rsidRPr="009F2CB9">
              <w:t>A)</w:t>
            </w:r>
          </w:p>
        </w:tc>
        <w:tc>
          <w:tcPr>
            <w:tcW w:w="7462" w:type="dxa"/>
          </w:tcPr>
          <w:p w14:paraId="09B1C1DD"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The SoA demonstrates the Provider’s consideration of each of the security controls sourced from ISO 27001’s Annex A and ISM’s OFFICIAL security controls and the determination of which controls will form part of the Provider’s ISMS.  It also communicates the rationale for determining that individual controls are “not applicable” to the Provider’s business.  </w:t>
            </w:r>
          </w:p>
          <w:p w14:paraId="0366E387"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For applicable controls, the SoA should indicate relevant policies/procedures or other documentation demonstrating that the control has been included in the Provider’s business and should indicate the current implementation status of each applicable control.  </w:t>
            </w:r>
          </w:p>
          <w:p w14:paraId="1D3353EA"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The SoA is a mandatory artefact required to conform with ISO 27001 Clause 6. An ISO to ISM controls mapping document is available from the Department to assist with developing the SoA. </w:t>
            </w:r>
          </w:p>
        </w:tc>
      </w:tr>
      <w:tr w:rsidR="007D2A28" w:rsidRPr="009F2CB9" w14:paraId="7A9CFF90" w14:textId="77777777" w:rsidTr="00037F06">
        <w:trPr>
          <w:trHeight w:val="1471"/>
        </w:trPr>
        <w:tc>
          <w:tcPr>
            <w:cnfStyle w:val="001000000000" w:firstRow="0" w:lastRow="0" w:firstColumn="1" w:lastColumn="0" w:oddVBand="0" w:evenVBand="0" w:oddHBand="0" w:evenHBand="0" w:firstRowFirstColumn="0" w:firstRowLastColumn="0" w:lastRowFirstColumn="0" w:lastRowLastColumn="0"/>
            <w:tcW w:w="1605" w:type="dxa"/>
          </w:tcPr>
          <w:p w14:paraId="51BA3EFE" w14:textId="77777777" w:rsidR="007D2A28" w:rsidRPr="009F2CB9" w:rsidRDefault="007D2A28" w:rsidP="00037F06">
            <w:pPr>
              <w:pStyle w:val="TableFirstColumn"/>
              <w:keepNext w:val="0"/>
            </w:pPr>
            <w:r w:rsidRPr="009F2CB9">
              <w:t>Independent assessor’s “stage 1” report</w:t>
            </w:r>
          </w:p>
        </w:tc>
        <w:tc>
          <w:tcPr>
            <w:tcW w:w="7462" w:type="dxa"/>
          </w:tcPr>
          <w:p w14:paraId="710F7F8C"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rPr>
                <w:rFonts w:cstheme="minorHAnsi"/>
              </w:rPr>
            </w:pPr>
            <w:r w:rsidRPr="009F2CB9">
              <w:t xml:space="preserve">For Category </w:t>
            </w:r>
            <w:r>
              <w:t>1</w:t>
            </w:r>
            <w:r w:rsidRPr="009F2CB9">
              <w:t xml:space="preserve"> Providers (or other </w:t>
            </w:r>
            <w:r>
              <w:t>P</w:t>
            </w:r>
            <w:r w:rsidRPr="009F2CB9">
              <w:t xml:space="preserve">roviders who see benefit in obtaining an industry certification). This is the first of </w:t>
            </w:r>
            <w:r w:rsidDel="005A02CF">
              <w:t>2</w:t>
            </w:r>
            <w:r w:rsidRPr="009F2CB9">
              <w:t xml:space="preserve"> independent assessments required to achieve ISO 27001 or DESE ISMS </w:t>
            </w:r>
            <w:r>
              <w:t>S</w:t>
            </w:r>
            <w:r w:rsidRPr="009F2CB9">
              <w:t xml:space="preserve">cheme certification.  Performed by a JAS-ANZ registered certification assessment body, the stage 1 report verifies the extent to which the Provider’s ISMS has been designed to conform with the requirements of ISO 27001 and identifies design gaps to be addressed prior to commencing the stage 2 assessment.  </w:t>
            </w:r>
            <w:r w:rsidRPr="009F2CB9">
              <w:rPr>
                <w:rFonts w:cstheme="minorHAnsi"/>
              </w:rPr>
              <w:t xml:space="preserve">Because RFFR requires a customised SoA it is critical that the report states that the assessment was performed over the ISMS as </w:t>
            </w:r>
            <w:r w:rsidRPr="009F2CB9">
              <w:rPr>
                <w:rFonts w:cstheme="minorHAnsi"/>
              </w:rPr>
              <w:lastRenderedPageBreak/>
              <w:t>described by that customised SoA – with a clear report reference to the SoA by version/ date.</w:t>
            </w:r>
          </w:p>
        </w:tc>
      </w:tr>
      <w:tr w:rsidR="007D2A28" w:rsidRPr="009F2CB9" w14:paraId="20452C58" w14:textId="77777777" w:rsidTr="00037F06">
        <w:trPr>
          <w:trHeight w:val="383"/>
        </w:trPr>
        <w:tc>
          <w:tcPr>
            <w:cnfStyle w:val="001000000000" w:firstRow="0" w:lastRow="0" w:firstColumn="1" w:lastColumn="0" w:oddVBand="0" w:evenVBand="0" w:oddHBand="0" w:evenHBand="0" w:firstRowFirstColumn="0" w:firstRowLastColumn="0" w:lastRowFirstColumn="0" w:lastRowLastColumn="0"/>
            <w:tcW w:w="1605" w:type="dxa"/>
          </w:tcPr>
          <w:p w14:paraId="7405321E" w14:textId="77777777" w:rsidR="007D2A28" w:rsidRPr="009F2CB9" w:rsidRDefault="007D2A28" w:rsidP="00037F06">
            <w:pPr>
              <w:pStyle w:val="TableFirstColumn"/>
              <w:keepNext w:val="0"/>
            </w:pPr>
            <w:r w:rsidRPr="009F2CB9">
              <w:lastRenderedPageBreak/>
              <w:t>Independent assessor’s “stage 2” report</w:t>
            </w:r>
          </w:p>
        </w:tc>
        <w:tc>
          <w:tcPr>
            <w:tcW w:w="7462" w:type="dxa"/>
          </w:tcPr>
          <w:p w14:paraId="06609E04"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For Category </w:t>
            </w:r>
            <w:r>
              <w:t>1</w:t>
            </w:r>
            <w:r w:rsidRPr="009F2CB9">
              <w:t xml:space="preserve"> Providers (or other </w:t>
            </w:r>
            <w:r>
              <w:t>P</w:t>
            </w:r>
            <w:r w:rsidRPr="009F2CB9">
              <w:t xml:space="preserve">roviders who see benefit in obtaining an industry certification).  This is the second of </w:t>
            </w:r>
            <w:r w:rsidDel="009C7BAE">
              <w:t>2</w:t>
            </w:r>
            <w:r w:rsidRPr="009F2CB9">
              <w:t xml:space="preserve"> independent assessments required to achieve ISO 27001 or DESE ISMS </w:t>
            </w:r>
            <w:r>
              <w:t>S</w:t>
            </w:r>
            <w:r w:rsidRPr="009F2CB9">
              <w:t>cheme certification and is a key source of assurance that the Provider has implemented the controls identified as applicable in the SoA.  Performed by a JAS-ANZ registered certification assessment body, the stage 2 report validates that the implemented ISMS conforms with the requirements of ISO 27001 and that applicable controls are in place and operating.</w:t>
            </w:r>
          </w:p>
          <w:p w14:paraId="439AAF55"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rPr>
                <w:rFonts w:cstheme="minorHAnsi"/>
              </w:rPr>
            </w:pPr>
            <w:r w:rsidRPr="009F2CB9">
              <w:rPr>
                <w:rFonts w:cstheme="minorHAnsi"/>
              </w:rPr>
              <w:t xml:space="preserve">Because RFFR requires a customised SoA it is critical that the report states that the assessment was performed over the ISMS as described by that customised SoA – with a clear report reference to the SoA by version/ date - and that the report provides information regarding the status of both Annex A- and ISM-sourced applicable controls (particularly applicable controls that support RFFR core expectation areas - </w:t>
            </w:r>
            <w:r w:rsidRPr="009F2CB9">
              <w:t>see section 4.9)</w:t>
            </w:r>
            <w:r w:rsidRPr="009F2CB9">
              <w:rPr>
                <w:rFonts w:cstheme="minorHAnsi"/>
              </w:rPr>
              <w:t>.</w:t>
            </w:r>
          </w:p>
        </w:tc>
      </w:tr>
      <w:tr w:rsidR="007D2A28" w:rsidRPr="009F2CB9" w14:paraId="7635C34A" w14:textId="77777777" w:rsidTr="00037F06">
        <w:trPr>
          <w:trHeight w:val="1471"/>
        </w:trPr>
        <w:tc>
          <w:tcPr>
            <w:cnfStyle w:val="001000000000" w:firstRow="0" w:lastRow="0" w:firstColumn="1" w:lastColumn="0" w:oddVBand="0" w:evenVBand="0" w:oddHBand="0" w:evenHBand="0" w:firstRowFirstColumn="0" w:firstRowLastColumn="0" w:lastRowFirstColumn="0" w:lastRowLastColumn="0"/>
            <w:tcW w:w="1605" w:type="dxa"/>
          </w:tcPr>
          <w:p w14:paraId="18C2E4FE" w14:textId="77777777" w:rsidR="007D2A28" w:rsidRPr="009F2CB9" w:rsidRDefault="007D2A28" w:rsidP="00037F06">
            <w:pPr>
              <w:pStyle w:val="TableFirstColumn"/>
              <w:keepNext w:val="0"/>
            </w:pPr>
            <w:r w:rsidRPr="009F2CB9">
              <w:t>ISO 27001 certificate or DESE ISMS Scheme certificate</w:t>
            </w:r>
          </w:p>
        </w:tc>
        <w:tc>
          <w:tcPr>
            <w:tcW w:w="7462" w:type="dxa"/>
          </w:tcPr>
          <w:p w14:paraId="07D7A085" w14:textId="29E8BEB0"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rPr>
                <w:rFonts w:cstheme="minorHAnsi"/>
              </w:rPr>
            </w:pPr>
            <w:r w:rsidRPr="009F2CB9">
              <w:rPr>
                <w:rFonts w:cstheme="minorHAnsi"/>
              </w:rPr>
              <w:t xml:space="preserve">Issued after the Provider has demonstrated plans to address </w:t>
            </w:r>
            <w:r>
              <w:rPr>
                <w:rFonts w:cstheme="minorHAnsi"/>
              </w:rPr>
              <w:t xml:space="preserve">any </w:t>
            </w:r>
            <w:r w:rsidRPr="009F2CB9">
              <w:rPr>
                <w:rFonts w:cstheme="minorHAnsi"/>
              </w:rPr>
              <w:t>non-conformances identified in the stage 2 report and the independent assessor has recommended the Provider for certification.  The DESE ISMS Scheme certificate is an adaptation of the ISO 27001 certificate.</w:t>
            </w:r>
          </w:p>
        </w:tc>
      </w:tr>
      <w:tr w:rsidR="007D2A28" w:rsidRPr="009F2CB9" w14:paraId="4B2DD997" w14:textId="77777777" w:rsidTr="00037F06">
        <w:tc>
          <w:tcPr>
            <w:cnfStyle w:val="001000000000" w:firstRow="0" w:lastRow="0" w:firstColumn="1" w:lastColumn="0" w:oddVBand="0" w:evenVBand="0" w:oddHBand="0" w:evenHBand="0" w:firstRowFirstColumn="0" w:firstRowLastColumn="0" w:lastRowFirstColumn="0" w:lastRowLastColumn="0"/>
            <w:tcW w:w="1605" w:type="dxa"/>
          </w:tcPr>
          <w:p w14:paraId="0791D7D6" w14:textId="77777777" w:rsidR="007D2A28" w:rsidRPr="009F2CB9" w:rsidRDefault="007D2A28" w:rsidP="00037F06">
            <w:pPr>
              <w:pStyle w:val="TableFirstColumn"/>
              <w:keepNext w:val="0"/>
              <w:rPr>
                <w:rFonts w:cstheme="minorHAnsi"/>
              </w:rPr>
            </w:pPr>
            <w:r w:rsidRPr="009F2CB9">
              <w:rPr>
                <w:rFonts w:cstheme="minorHAnsi"/>
              </w:rPr>
              <w:t>ISMS Self-Assessment report</w:t>
            </w:r>
          </w:p>
        </w:tc>
        <w:tc>
          <w:tcPr>
            <w:tcW w:w="7462" w:type="dxa"/>
          </w:tcPr>
          <w:p w14:paraId="0111DA3A"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rPr>
                <w:rFonts w:cstheme="minorHAnsi"/>
              </w:rPr>
            </w:pPr>
            <w:r w:rsidRPr="009F2CB9">
              <w:rPr>
                <w:rFonts w:cstheme="minorHAnsi"/>
              </w:rPr>
              <w:t xml:space="preserve">For Category </w:t>
            </w:r>
            <w:r>
              <w:rPr>
                <w:rFonts w:cstheme="minorHAnsi"/>
              </w:rPr>
              <w:t>2A</w:t>
            </w:r>
            <w:r w:rsidRPr="009F2CB9">
              <w:rPr>
                <w:rFonts w:cstheme="minorHAnsi"/>
              </w:rPr>
              <w:t xml:space="preserve"> </w:t>
            </w:r>
            <w:r>
              <w:rPr>
                <w:rFonts w:cstheme="minorHAnsi"/>
              </w:rPr>
              <w:t>P</w:t>
            </w:r>
            <w:r w:rsidRPr="009F2CB9">
              <w:rPr>
                <w:rFonts w:cstheme="minorHAnsi"/>
              </w:rPr>
              <w:t>roviders only, the self-assessment report is the Department’s source of assurance that the ISMS described by the Provider’s SoA has been designed (for Milestone 2) and implemented (for Milestone 3) in accordance with ISO</w:t>
            </w:r>
            <w:r>
              <w:rPr>
                <w:rFonts w:cstheme="minorHAnsi"/>
              </w:rPr>
              <w:t xml:space="preserve"> </w:t>
            </w:r>
            <w:r w:rsidRPr="009F2CB9">
              <w:rPr>
                <w:rFonts w:cstheme="minorHAnsi"/>
              </w:rPr>
              <w:t>27001 and RFFR requirements.</w:t>
            </w:r>
          </w:p>
          <w:p w14:paraId="24EDA05D" w14:textId="57BEF325"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It is critical that the self-assessment report be signed off by a person/s with appropriate authority to make declarations on behalf of the Provider, that it attest to the Provider’s ISMS conformance with ISO</w:t>
            </w:r>
            <w:r>
              <w:t xml:space="preserve"> </w:t>
            </w:r>
            <w:r w:rsidRPr="009F2CB9">
              <w:t>27001 requirements, and (for Milestone 3) that it attest</w:t>
            </w:r>
            <w:r w:rsidR="00817712">
              <w:t>s</w:t>
            </w:r>
            <w:r w:rsidRPr="009F2CB9">
              <w:t xml:space="preserve"> to the implementation status of controls identified as applicable in the Provider’s SoA.  A template self-assessment report is available from the Department.</w:t>
            </w:r>
          </w:p>
        </w:tc>
      </w:tr>
      <w:tr w:rsidR="007D2A28" w:rsidRPr="009F2CB9" w14:paraId="18E3CE9E" w14:textId="77777777" w:rsidTr="00037F06">
        <w:tc>
          <w:tcPr>
            <w:cnfStyle w:val="001000000000" w:firstRow="0" w:lastRow="0" w:firstColumn="1" w:lastColumn="0" w:oddVBand="0" w:evenVBand="0" w:oddHBand="0" w:evenHBand="0" w:firstRowFirstColumn="0" w:firstRowLastColumn="0" w:lastRowFirstColumn="0" w:lastRowLastColumn="0"/>
            <w:tcW w:w="1605" w:type="dxa"/>
          </w:tcPr>
          <w:p w14:paraId="390157FA" w14:textId="77777777" w:rsidR="007D2A28" w:rsidRPr="009F2CB9" w:rsidRDefault="007D2A28" w:rsidP="00037F06">
            <w:pPr>
              <w:pStyle w:val="TableFirstColumn"/>
              <w:keepNext w:val="0"/>
              <w:rPr>
                <w:rFonts w:cstheme="minorHAnsi"/>
              </w:rPr>
            </w:pPr>
            <w:r w:rsidRPr="009F2CB9">
              <w:t>Management Assertion Letter</w:t>
            </w:r>
          </w:p>
        </w:tc>
        <w:tc>
          <w:tcPr>
            <w:tcW w:w="7462" w:type="dxa"/>
          </w:tcPr>
          <w:p w14:paraId="0398D303"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rPr>
                <w:rFonts w:cstheme="minorHAnsi"/>
              </w:rPr>
            </w:pPr>
            <w:r w:rsidRPr="009F2CB9">
              <w:t xml:space="preserve">For Category </w:t>
            </w:r>
            <w:r>
              <w:t>2B</w:t>
            </w:r>
            <w:r w:rsidRPr="009F2CB9">
              <w:t xml:space="preserve"> </w:t>
            </w:r>
            <w:r>
              <w:t>P</w:t>
            </w:r>
            <w:r w:rsidRPr="009F2CB9">
              <w:t xml:space="preserve">roviders only, the </w:t>
            </w:r>
            <w:r>
              <w:rPr>
                <w:rFonts w:cstheme="minorHAnsi"/>
              </w:rPr>
              <w:t>M</w:t>
            </w:r>
            <w:r w:rsidRPr="00C06574">
              <w:rPr>
                <w:rFonts w:cstheme="minorHAnsi"/>
              </w:rPr>
              <w:t xml:space="preserve">anagement </w:t>
            </w:r>
            <w:r>
              <w:rPr>
                <w:rFonts w:cstheme="minorHAnsi"/>
              </w:rPr>
              <w:t>A</w:t>
            </w:r>
            <w:r w:rsidRPr="00C06574">
              <w:rPr>
                <w:rFonts w:cstheme="minorHAnsi"/>
              </w:rPr>
              <w:t xml:space="preserve">ssertion </w:t>
            </w:r>
            <w:r>
              <w:rPr>
                <w:rFonts w:cstheme="minorHAnsi"/>
              </w:rPr>
              <w:t>L</w:t>
            </w:r>
            <w:r w:rsidRPr="009F2CB9">
              <w:t>etter is the Department’s source of assurance that the Provider represents minimal risk and has implemented security controls that respond to relevant security objectives.  The letter covers a description of the Provider’s systems and controls, attests that the description is accurate and that the described controls are appropriate to meet specific security objectives.</w:t>
            </w:r>
          </w:p>
        </w:tc>
      </w:tr>
    </w:tbl>
    <w:p w14:paraId="767A4389" w14:textId="77777777" w:rsidR="007D2A28" w:rsidRPr="00EE4E3B" w:rsidRDefault="007D2A28" w:rsidP="007D2A28">
      <w:pPr>
        <w:pStyle w:val="Heading3"/>
      </w:pPr>
      <w:bookmarkStart w:id="785" w:name="_Toc95896819"/>
      <w:r w:rsidRPr="00EE4E3B">
        <w:lastRenderedPageBreak/>
        <w:t>Considerations for accreditation commencement</w:t>
      </w:r>
      <w:bookmarkEnd w:id="785"/>
    </w:p>
    <w:p w14:paraId="4B7DCB31" w14:textId="5B2285BB" w:rsidR="007D2A28" w:rsidRDefault="007D2A28" w:rsidP="007D2A28">
      <w:pPr>
        <w:spacing w:line="264" w:lineRule="auto"/>
      </w:pPr>
      <w:r>
        <w:fldChar w:fldCharType="begin"/>
      </w:r>
      <w:r>
        <w:instrText xml:space="preserve"> REF _Ref98920243 \h </w:instrText>
      </w:r>
      <w:r>
        <w:fldChar w:fldCharType="separate"/>
      </w:r>
      <w:r w:rsidR="00833EA6">
        <w:t xml:space="preserve">Table </w:t>
      </w:r>
      <w:r w:rsidR="00833EA6">
        <w:rPr>
          <w:noProof/>
        </w:rPr>
        <w:t>3</w:t>
      </w:r>
      <w:r w:rsidR="00833EA6">
        <w:noBreakHyphen/>
      </w:r>
      <w:r w:rsidR="00833EA6">
        <w:rPr>
          <w:noProof/>
        </w:rPr>
        <w:t>G</w:t>
      </w:r>
      <w:r>
        <w:fldChar w:fldCharType="end"/>
      </w:r>
      <w:r>
        <w:t xml:space="preserve"> </w:t>
      </w:r>
      <w:r w:rsidRPr="00D725B7">
        <w:t xml:space="preserve">provides guidance to Category </w:t>
      </w:r>
      <w:r>
        <w:t>1,</w:t>
      </w:r>
      <w:r w:rsidRPr="00D725B7">
        <w:t xml:space="preserve"> 2A and </w:t>
      </w:r>
      <w:r>
        <w:t>2</w:t>
      </w:r>
      <w:r w:rsidRPr="00D725B7">
        <w:t>B Providers on areas of focus to consider before commencing the RFFR accreditation process.</w:t>
      </w:r>
    </w:p>
    <w:p w14:paraId="33E8EA59" w14:textId="11E3D159" w:rsidR="007D2A28" w:rsidRDefault="007D2A28" w:rsidP="007D2A28">
      <w:pPr>
        <w:pStyle w:val="Caption"/>
        <w:keepNext/>
      </w:pPr>
      <w:bookmarkStart w:id="786" w:name="_Ref98920243"/>
      <w:r>
        <w:t xml:space="preserve">Table </w:t>
      </w:r>
      <w:r>
        <w:fldChar w:fldCharType="begin"/>
      </w:r>
      <w:r>
        <w:instrText>STYLEREF 1 \s</w:instrText>
      </w:r>
      <w:r>
        <w:fldChar w:fldCharType="separate"/>
      </w:r>
      <w:r w:rsidR="00833EA6">
        <w:rPr>
          <w:noProof/>
        </w:rPr>
        <w:t>3</w:t>
      </w:r>
      <w:r>
        <w:fldChar w:fldCharType="end"/>
      </w:r>
      <w:r>
        <w:noBreakHyphen/>
      </w:r>
      <w:r>
        <w:fldChar w:fldCharType="begin"/>
      </w:r>
      <w:r>
        <w:instrText>SEQ Table \* ALPHABETIC \s 1</w:instrText>
      </w:r>
      <w:r>
        <w:fldChar w:fldCharType="separate"/>
      </w:r>
      <w:r w:rsidR="00833EA6">
        <w:rPr>
          <w:noProof/>
        </w:rPr>
        <w:t>G</w:t>
      </w:r>
      <w:r>
        <w:fldChar w:fldCharType="end"/>
      </w:r>
      <w:bookmarkEnd w:id="786"/>
      <w:r>
        <w:t>: Considerations for accreditation commencement</w:t>
      </w:r>
    </w:p>
    <w:tbl>
      <w:tblPr>
        <w:tblStyle w:val="DESE"/>
        <w:tblW w:w="0" w:type="auto"/>
        <w:tblLook w:val="04A0" w:firstRow="1" w:lastRow="0" w:firstColumn="1" w:lastColumn="0" w:noHBand="0" w:noVBand="1"/>
      </w:tblPr>
      <w:tblGrid>
        <w:gridCol w:w="1691"/>
        <w:gridCol w:w="7315"/>
      </w:tblGrid>
      <w:tr w:rsidR="007D2A28" w:rsidRPr="009F2CB9" w14:paraId="47DBBDC5" w14:textId="77777777" w:rsidTr="00037F06">
        <w:trPr>
          <w:cnfStyle w:val="100000000000" w:firstRow="1" w:lastRow="0" w:firstColumn="0" w:lastColumn="0" w:oddVBand="0" w:evenVBand="0" w:oddHBand="0" w:evenHBand="0" w:firstRowFirstColumn="0" w:firstRowLastColumn="0" w:lastRowFirstColumn="0" w:lastRowLastColumn="0"/>
          <w:trHeight w:val="447"/>
          <w:tblHeader/>
        </w:trPr>
        <w:tc>
          <w:tcPr>
            <w:cnfStyle w:val="001000000100" w:firstRow="0" w:lastRow="0" w:firstColumn="1" w:lastColumn="0" w:oddVBand="0" w:evenVBand="0" w:oddHBand="0" w:evenHBand="0" w:firstRowFirstColumn="1" w:firstRowLastColumn="0" w:lastRowFirstColumn="0" w:lastRowLastColumn="0"/>
            <w:tcW w:w="1691" w:type="dxa"/>
          </w:tcPr>
          <w:p w14:paraId="0973201E" w14:textId="77777777" w:rsidR="007D2A28" w:rsidRPr="009F2CB9" w:rsidRDefault="007D2A28" w:rsidP="00037F06">
            <w:pPr>
              <w:pStyle w:val="TableColumnHeading"/>
            </w:pPr>
            <w:r w:rsidRPr="009F2CB9">
              <w:t>Area</w:t>
            </w:r>
          </w:p>
        </w:tc>
        <w:tc>
          <w:tcPr>
            <w:tcW w:w="7315" w:type="dxa"/>
          </w:tcPr>
          <w:p w14:paraId="20A3D2D3" w14:textId="77777777" w:rsidR="007D2A28" w:rsidRPr="009F2CB9"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rsidRPr="009F2CB9">
              <w:t>Description</w:t>
            </w:r>
          </w:p>
        </w:tc>
      </w:tr>
      <w:tr w:rsidR="007D2A28" w:rsidRPr="009F2CB9" w14:paraId="537CBB49" w14:textId="77777777" w:rsidTr="00037F06">
        <w:trPr>
          <w:trHeight w:val="977"/>
        </w:trPr>
        <w:tc>
          <w:tcPr>
            <w:cnfStyle w:val="001000000000" w:firstRow="0" w:lastRow="0" w:firstColumn="1" w:lastColumn="0" w:oddVBand="0" w:evenVBand="0" w:oddHBand="0" w:evenHBand="0" w:firstRowFirstColumn="0" w:firstRowLastColumn="0" w:lastRowFirstColumn="0" w:lastRowLastColumn="0"/>
            <w:tcW w:w="1691" w:type="dxa"/>
          </w:tcPr>
          <w:p w14:paraId="540C1598" w14:textId="77777777" w:rsidR="007D2A28" w:rsidRPr="009F2CB9" w:rsidRDefault="007D2A28" w:rsidP="00037F06">
            <w:pPr>
              <w:pStyle w:val="TableFirstColumn"/>
              <w:keepNext w:val="0"/>
            </w:pPr>
            <w:r w:rsidRPr="009F2CB9">
              <w:t>Sponsor</w:t>
            </w:r>
          </w:p>
        </w:tc>
        <w:tc>
          <w:tcPr>
            <w:tcW w:w="7315" w:type="dxa"/>
          </w:tcPr>
          <w:p w14:paraId="6EA538B0"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Identify a sponsor within the organisation to support the RFFR certification</w:t>
            </w:r>
            <w:r>
              <w:t xml:space="preserve"> process</w:t>
            </w:r>
            <w:r w:rsidRPr="009F2CB9">
              <w:t>.  The sponsor will help guide and support the accreditation process, including ensuring that appropriate resources are available to complete RFFR accreditation.</w:t>
            </w:r>
          </w:p>
        </w:tc>
      </w:tr>
      <w:tr w:rsidR="007D2A28" w:rsidRPr="009F2CB9" w14:paraId="55F086B6" w14:textId="77777777" w:rsidTr="00037F06">
        <w:tc>
          <w:tcPr>
            <w:cnfStyle w:val="001000000000" w:firstRow="0" w:lastRow="0" w:firstColumn="1" w:lastColumn="0" w:oddVBand="0" w:evenVBand="0" w:oddHBand="0" w:evenHBand="0" w:firstRowFirstColumn="0" w:firstRowLastColumn="0" w:lastRowFirstColumn="0" w:lastRowLastColumn="0"/>
            <w:tcW w:w="1691" w:type="dxa"/>
          </w:tcPr>
          <w:p w14:paraId="7329C964" w14:textId="77777777" w:rsidR="007D2A28" w:rsidRPr="009F2CB9" w:rsidRDefault="007D2A28" w:rsidP="00037F06">
            <w:pPr>
              <w:pStyle w:val="TableFirstColumn"/>
              <w:keepNext w:val="0"/>
            </w:pPr>
            <w:r w:rsidRPr="009F2CB9">
              <w:t>Scope</w:t>
            </w:r>
          </w:p>
        </w:tc>
        <w:tc>
          <w:tcPr>
            <w:tcW w:w="7315" w:type="dxa"/>
          </w:tcPr>
          <w:p w14:paraId="251FF46C"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Determine the scope of the ISMS. Consider the organisational context and business activities performed at each site, stakeholders and their needs, physical boundaries, legal and contractual requirements, and logical boundaries (systems and data).  The scope should communicate key aspects of the Provider’s business, the importance of security and state what the ISMS will be protecting.</w:t>
            </w:r>
          </w:p>
        </w:tc>
      </w:tr>
      <w:tr w:rsidR="007D2A28" w:rsidRPr="009F2CB9" w14:paraId="7D200D27" w14:textId="77777777" w:rsidTr="00037F06">
        <w:tc>
          <w:tcPr>
            <w:cnfStyle w:val="001000000000" w:firstRow="0" w:lastRow="0" w:firstColumn="1" w:lastColumn="0" w:oddVBand="0" w:evenVBand="0" w:oddHBand="0" w:evenHBand="0" w:firstRowFirstColumn="0" w:firstRowLastColumn="0" w:lastRowFirstColumn="0" w:lastRowLastColumn="0"/>
            <w:tcW w:w="1691" w:type="dxa"/>
          </w:tcPr>
          <w:p w14:paraId="076CC5CB" w14:textId="77777777" w:rsidR="007D2A28" w:rsidRPr="009F2CB9" w:rsidRDefault="007D2A28" w:rsidP="00037F06">
            <w:pPr>
              <w:pStyle w:val="TableFirstColumn"/>
              <w:keepNext w:val="0"/>
            </w:pPr>
            <w:r w:rsidRPr="009F2CB9">
              <w:t>Gap Analysis</w:t>
            </w:r>
          </w:p>
        </w:tc>
        <w:tc>
          <w:tcPr>
            <w:tcW w:w="7315" w:type="dxa"/>
          </w:tcPr>
          <w:p w14:paraId="72ECAFC5"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Before</w:t>
            </w:r>
            <w:r w:rsidRPr="009F2CB9">
              <w:t xml:space="preserve"> the Milestone 2 submission</w:t>
            </w:r>
            <w:r>
              <w:t>,</w:t>
            </w:r>
            <w:r w:rsidRPr="009F2CB9">
              <w:t xml:space="preserve"> </w:t>
            </w:r>
            <w:r>
              <w:t>P</w:t>
            </w:r>
            <w:r w:rsidRPr="009F2CB9">
              <w:t xml:space="preserve">roviders should perform an initial review and gap assessment to identify areas of current conformance with ISO 27001 and areas requiring future focus.  The gap assessment should also identify if the Provider already has some applicable controls in place and which require action to implement.  As a </w:t>
            </w:r>
            <w:r>
              <w:t>m</w:t>
            </w:r>
            <w:r w:rsidRPr="009F2CB9">
              <w:t xml:space="preserve">anagement </w:t>
            </w:r>
            <w:r>
              <w:t>r</w:t>
            </w:r>
            <w:r w:rsidRPr="009F2CB9">
              <w:t>eview of the ISMS, this assessment is itself a requirement of ISO</w:t>
            </w:r>
            <w:r>
              <w:t xml:space="preserve"> </w:t>
            </w:r>
            <w:r w:rsidRPr="009F2CB9">
              <w:t>27001.  Performing the gap assessment prior to Milestone 2 will ensure time to address non-conformances and to plan improvements before the Provider’s final submission.</w:t>
            </w:r>
          </w:p>
        </w:tc>
      </w:tr>
      <w:tr w:rsidR="007D2A28" w:rsidRPr="009F2CB9" w14:paraId="0254EFE5" w14:textId="77777777" w:rsidTr="00037F06">
        <w:tc>
          <w:tcPr>
            <w:cnfStyle w:val="001000000000" w:firstRow="0" w:lastRow="0" w:firstColumn="1" w:lastColumn="0" w:oddVBand="0" w:evenVBand="0" w:oddHBand="0" w:evenHBand="0" w:firstRowFirstColumn="0" w:firstRowLastColumn="0" w:lastRowFirstColumn="0" w:lastRowLastColumn="0"/>
            <w:tcW w:w="1691" w:type="dxa"/>
          </w:tcPr>
          <w:p w14:paraId="51A58348" w14:textId="77777777" w:rsidR="007D2A28" w:rsidRPr="009F2CB9" w:rsidRDefault="007D2A28" w:rsidP="00037F06">
            <w:pPr>
              <w:pStyle w:val="TableFirstColumn"/>
              <w:keepNext w:val="0"/>
            </w:pPr>
            <w:r w:rsidRPr="009F2CB9">
              <w:t>Certifying Assessment Body</w:t>
            </w:r>
          </w:p>
        </w:tc>
        <w:tc>
          <w:tcPr>
            <w:tcW w:w="7315" w:type="dxa"/>
          </w:tcPr>
          <w:p w14:paraId="55AA5392" w14:textId="77777777" w:rsidR="007D2A28" w:rsidRPr="009F2CB9" w:rsidRDefault="007D2A28" w:rsidP="00037F06">
            <w:pPr>
              <w:pStyle w:val="TableText"/>
              <w:cnfStyle w:val="000000000000" w:firstRow="0" w:lastRow="0" w:firstColumn="0" w:lastColumn="0" w:oddVBand="0" w:evenVBand="0" w:oddHBand="0" w:evenHBand="0" w:firstRowFirstColumn="0" w:firstRowLastColumn="0" w:lastRowFirstColumn="0" w:lastRowLastColumn="0"/>
            </w:pPr>
            <w:r w:rsidRPr="009F2CB9">
              <w:t xml:space="preserve">For Category </w:t>
            </w:r>
            <w:r>
              <w:t>1</w:t>
            </w:r>
            <w:r w:rsidRPr="009F2CB9">
              <w:t xml:space="preserve"> </w:t>
            </w:r>
            <w:r>
              <w:t>P</w:t>
            </w:r>
            <w:r w:rsidRPr="009F2CB9">
              <w:t>roviders</w:t>
            </w:r>
            <w:r>
              <w:t xml:space="preserve"> </w:t>
            </w:r>
            <w:r w:rsidRPr="009E3DCA">
              <w:t>(or other Providers who see benefit in obtaining an industry certification)</w:t>
            </w:r>
            <w:r w:rsidRPr="009F2CB9">
              <w:t xml:space="preserve">, identify a suitable </w:t>
            </w:r>
            <w:r>
              <w:t>C</w:t>
            </w:r>
            <w:r w:rsidRPr="009F2CB9">
              <w:t xml:space="preserve">ertifying </w:t>
            </w:r>
            <w:r>
              <w:t>A</w:t>
            </w:r>
            <w:r w:rsidRPr="009F2CB9">
              <w:t xml:space="preserve">ssessment </w:t>
            </w:r>
            <w:r>
              <w:t>B</w:t>
            </w:r>
            <w:r w:rsidRPr="009F2CB9">
              <w:t>ody</w:t>
            </w:r>
            <w:r>
              <w:t xml:space="preserve"> (CAB)</w:t>
            </w:r>
            <w:r w:rsidRPr="009F2CB9">
              <w:t xml:space="preserve"> to work with your organisation to provide the independent assessments required under the ISO 27001 requirements (</w:t>
            </w:r>
            <w:r w:rsidRPr="00EB2049">
              <w:t>see 4.7.4 below</w:t>
            </w:r>
            <w:r w:rsidRPr="009F2CB9">
              <w:t xml:space="preserve">). </w:t>
            </w:r>
          </w:p>
        </w:tc>
      </w:tr>
    </w:tbl>
    <w:p w14:paraId="0F83CE3B" w14:textId="77777777" w:rsidR="007D2A28" w:rsidRPr="00EE4E3B" w:rsidRDefault="007D2A28" w:rsidP="007D2A28">
      <w:pPr>
        <w:pStyle w:val="Heading3"/>
      </w:pPr>
      <w:bookmarkStart w:id="787" w:name="_Toc95896820"/>
      <w:r w:rsidRPr="00EE4E3B">
        <w:t>Certifying Assessment Bodies</w:t>
      </w:r>
      <w:bookmarkEnd w:id="787"/>
      <w:r w:rsidRPr="00EE4E3B">
        <w:t xml:space="preserve"> </w:t>
      </w:r>
    </w:p>
    <w:p w14:paraId="4E8B5D17" w14:textId="77777777" w:rsidR="007D2A28" w:rsidRPr="004249BB" w:rsidRDefault="007D2A28" w:rsidP="007D2A28">
      <w:r>
        <w:t xml:space="preserve">To seek certification under the RFFR program, the </w:t>
      </w:r>
      <w:r w:rsidRPr="009F2CB9">
        <w:t>Department</w:t>
      </w:r>
      <w:r>
        <w:t xml:space="preserve"> requires Category 1 Providers to be independently certified by a CAB/assessor. Providers are required to engage a CAB that is accredited or otherwise recognised by JAS-ANZ to </w:t>
      </w:r>
      <w:r w:rsidRPr="004249BB">
        <w:t xml:space="preserve">issue ISO 27001 </w:t>
      </w:r>
      <w:r>
        <w:t xml:space="preserve">or DESE ISMS Scheme </w:t>
      </w:r>
      <w:r w:rsidRPr="004249BB">
        <w:t>assessment reports and certificates</w:t>
      </w:r>
      <w:r>
        <w:t xml:space="preserve"> in Australia</w:t>
      </w:r>
      <w:r w:rsidRPr="004249BB">
        <w:t xml:space="preserve">. </w:t>
      </w:r>
    </w:p>
    <w:p w14:paraId="537F19EA" w14:textId="77777777" w:rsidR="007D2A28" w:rsidRPr="00DD46B3" w:rsidRDefault="007D2A28" w:rsidP="007D2A28">
      <w:pPr>
        <w:rPr>
          <w:rFonts w:cstheme="minorHAnsi"/>
          <w:color w:val="287BB3"/>
          <w:sz w:val="21"/>
          <w:szCs w:val="21"/>
          <w:u w:val="single"/>
        </w:rPr>
      </w:pPr>
      <w:r w:rsidRPr="004249BB">
        <w:t xml:space="preserve">JAS-ANZ is the accreditation authority for </w:t>
      </w:r>
      <w:r>
        <w:t>CABs</w:t>
      </w:r>
      <w:r w:rsidRPr="004249BB">
        <w:t xml:space="preserve"> in Australia and New Zealand.</w:t>
      </w:r>
      <w:r>
        <w:t xml:space="preserve"> A list of </w:t>
      </w:r>
      <w:r w:rsidRPr="004249BB">
        <w:t>certifiers who can issue an ISO 27001</w:t>
      </w:r>
      <w:r>
        <w:t xml:space="preserve"> or DESE ISMS Scheme</w:t>
      </w:r>
      <w:r w:rsidRPr="004249BB">
        <w:t xml:space="preserve"> assessment reports and certificates can be found </w:t>
      </w:r>
      <w:r>
        <w:t xml:space="preserve">at </w:t>
      </w:r>
      <w:hyperlink r:id="rId69" w:history="1">
        <w:r w:rsidRPr="009D194C">
          <w:rPr>
            <w:rStyle w:val="Hyperlink"/>
          </w:rPr>
          <w:t>JAS-ANZ's website</w:t>
        </w:r>
      </w:hyperlink>
      <w:r>
        <w:t>.</w:t>
      </w:r>
    </w:p>
    <w:p w14:paraId="4E1208B0" w14:textId="77777777" w:rsidR="007D2A28" w:rsidRDefault="007D2A28" w:rsidP="007D2A28">
      <w:r>
        <w:t xml:space="preserve">Category 2 Providers are not required to be independently certified by a CAB auditor. Category 2A Providers can self-assess and declare their conformance with ISO 27001 and the implementation status of applicable controls. </w:t>
      </w:r>
      <w:r w:rsidRPr="0001396E">
        <w:t>Category 2B providers can provide a description of their business, systems and information and attest to their implementation of required security controls in the form of a management assertion letter.</w:t>
      </w:r>
    </w:p>
    <w:p w14:paraId="24E42A3F" w14:textId="77777777" w:rsidR="007D2A28" w:rsidRDefault="007D2A28" w:rsidP="007D2A28">
      <w:pPr>
        <w:pStyle w:val="Heading2"/>
      </w:pPr>
      <w:bookmarkStart w:id="788" w:name="_Toc95233341"/>
      <w:bookmarkStart w:id="789" w:name="_Toc96000586"/>
      <w:bookmarkStart w:id="790" w:name="_Toc95896821"/>
      <w:r>
        <w:lastRenderedPageBreak/>
        <w:t>Accreditation maintenance</w:t>
      </w:r>
      <w:bookmarkEnd w:id="788"/>
      <w:bookmarkEnd w:id="789"/>
      <w:bookmarkEnd w:id="790"/>
      <w:r>
        <w:t xml:space="preserve"> </w:t>
      </w:r>
    </w:p>
    <w:p w14:paraId="60357259" w14:textId="4483BF8A" w:rsidR="007D2A28" w:rsidRPr="00E92C5F" w:rsidRDefault="007D2A28" w:rsidP="007D2A28">
      <w:pPr>
        <w:spacing w:line="264" w:lineRule="auto"/>
      </w:pPr>
      <w:r w:rsidRPr="00FA03DC">
        <w:t xml:space="preserve">During the lifespan of </w:t>
      </w:r>
      <w:r>
        <w:t>their</w:t>
      </w:r>
      <w:r w:rsidRPr="00FA03DC">
        <w:t xml:space="preserve"> </w:t>
      </w:r>
      <w:r w:rsidRPr="00D725B7">
        <w:t xml:space="preserve">Employment </w:t>
      </w:r>
      <w:r>
        <w:t xml:space="preserve">Deed/s, </w:t>
      </w:r>
      <w:r w:rsidRPr="00FA03DC">
        <w:t xml:space="preserve">Providers are required to </w:t>
      </w:r>
      <w:r>
        <w:t>maintain their RFFR</w:t>
      </w:r>
      <w:r w:rsidRPr="00FA03DC">
        <w:t xml:space="preserve"> </w:t>
      </w:r>
      <w:r>
        <w:t xml:space="preserve">accreditation status through </w:t>
      </w:r>
      <w:r w:rsidRPr="00FA03DC">
        <w:t>annual</w:t>
      </w:r>
      <w:r>
        <w:t xml:space="preserve"> reporting </w:t>
      </w:r>
      <w:r w:rsidRPr="00D725B7">
        <w:t xml:space="preserve">(each financial year) </w:t>
      </w:r>
      <w:r>
        <w:t xml:space="preserve">and surveillance audits to ensure compliance to the standards (see </w:t>
      </w:r>
      <w:r w:rsidRPr="00B86845">
        <w:rPr>
          <w:u w:val="single"/>
        </w:rPr>
        <w:fldChar w:fldCharType="begin"/>
      </w:r>
      <w:r w:rsidRPr="00B86845">
        <w:rPr>
          <w:u w:val="single"/>
        </w:rPr>
        <w:instrText xml:space="preserve"> REF _Ref98920600 \h </w:instrText>
      </w:r>
      <w:r>
        <w:rPr>
          <w:u w:val="single"/>
        </w:rPr>
        <w:instrText xml:space="preserve"> \* MERGEFORMAT </w:instrText>
      </w:r>
      <w:r w:rsidRPr="00B86845">
        <w:rPr>
          <w:u w:val="single"/>
        </w:rPr>
      </w:r>
      <w:r w:rsidRPr="00B86845">
        <w:rPr>
          <w:u w:val="single"/>
        </w:rPr>
        <w:fldChar w:fldCharType="separate"/>
      </w:r>
      <w:r w:rsidR="00833EA6" w:rsidRPr="00833EA6">
        <w:rPr>
          <w:u w:val="single"/>
        </w:rPr>
        <w:t xml:space="preserve">Table </w:t>
      </w:r>
      <w:r w:rsidR="00833EA6" w:rsidRPr="00833EA6">
        <w:rPr>
          <w:noProof/>
          <w:u w:val="single"/>
        </w:rPr>
        <w:t>3</w:t>
      </w:r>
      <w:r w:rsidR="00833EA6" w:rsidRPr="00833EA6">
        <w:rPr>
          <w:noProof/>
          <w:u w:val="single"/>
        </w:rPr>
        <w:noBreakHyphen/>
        <w:t>H</w:t>
      </w:r>
      <w:r w:rsidRPr="00B86845">
        <w:rPr>
          <w:u w:val="single"/>
        </w:rPr>
        <w:fldChar w:fldCharType="end"/>
      </w:r>
      <w:r>
        <w:t xml:space="preserve"> below). Providers with an existing accreditation will need to complete the annual and 3 yearly audits based on the dates when the accreditation was granted. </w:t>
      </w:r>
    </w:p>
    <w:p w14:paraId="7D70BAC3" w14:textId="77777777" w:rsidR="007D2A28" w:rsidRDefault="007D2A28" w:rsidP="007D2A28">
      <w:pPr>
        <w:spacing w:line="264" w:lineRule="auto"/>
      </w:pPr>
      <w:r>
        <w:t xml:space="preserve">If, at any time during the accreditation maintenance period, a change to a Provider’s or Subcontractor’s circumstances alters the risk profile of the organisation, the Department will reassess the Provider’s accreditation status. This includes when the Provider or </w:t>
      </w:r>
      <w:r w:rsidRPr="00D725B7">
        <w:t>Subcontractor</w:t>
      </w:r>
      <w:r>
        <w:t>:</w:t>
      </w:r>
    </w:p>
    <w:p w14:paraId="68B9C366" w14:textId="77777777" w:rsidR="007D2A28" w:rsidRPr="00D725B7" w:rsidRDefault="007D2A28" w:rsidP="007D2A28">
      <w:pPr>
        <w:pStyle w:val="BulletLevel1"/>
      </w:pPr>
      <w:r w:rsidRPr="00D725B7">
        <w:t>enters a new Deed with the Department</w:t>
      </w:r>
    </w:p>
    <w:p w14:paraId="398A03EF" w14:textId="77777777" w:rsidR="007D2A28" w:rsidRDefault="007D2A28" w:rsidP="007D2A28">
      <w:pPr>
        <w:pStyle w:val="BulletLevel1"/>
      </w:pPr>
      <w:r w:rsidRPr="00D725B7">
        <w:t>changes its subcontracting arrangements</w:t>
      </w:r>
      <w:r>
        <w:t xml:space="preserve"> (from one Subcontractor to another, or introduces a new Subcontractor)</w:t>
      </w:r>
    </w:p>
    <w:p w14:paraId="7EC5C688" w14:textId="77777777" w:rsidR="007D2A28" w:rsidRDefault="007D2A28" w:rsidP="007D2A28">
      <w:pPr>
        <w:pStyle w:val="BulletLevel1"/>
      </w:pPr>
      <w:r>
        <w:t xml:space="preserve">changes its </w:t>
      </w:r>
      <w:r w:rsidRPr="00CC1B8B">
        <w:t xml:space="preserve">Third Party IT </w:t>
      </w:r>
      <w:r>
        <w:t>V</w:t>
      </w:r>
      <w:r w:rsidRPr="00A76B75">
        <w:t>endors</w:t>
      </w:r>
      <w:r>
        <w:t xml:space="preserve"> who are supporting their IT environments</w:t>
      </w:r>
    </w:p>
    <w:p w14:paraId="045E4007" w14:textId="77777777" w:rsidR="007D2A28" w:rsidRPr="00814386" w:rsidRDefault="007D2A28" w:rsidP="007D2A28">
      <w:pPr>
        <w:pStyle w:val="BulletLevel1"/>
      </w:pPr>
      <w:r w:rsidRPr="00F27C17">
        <w:t>has</w:t>
      </w:r>
      <w:r>
        <w:t xml:space="preserve"> a change in classification from Category 2 to Category 1 </w:t>
      </w:r>
    </w:p>
    <w:p w14:paraId="2ECB0052" w14:textId="77777777" w:rsidR="007D2A28" w:rsidRDefault="007D2A28" w:rsidP="007D2A28">
      <w:pPr>
        <w:spacing w:line="264" w:lineRule="auto"/>
      </w:pPr>
      <w:r>
        <w:t xml:space="preserve">The </w:t>
      </w:r>
      <w:r w:rsidRPr="000C6CDB">
        <w:t xml:space="preserve">Provider must </w:t>
      </w:r>
      <w:r>
        <w:t>n</w:t>
      </w:r>
      <w:r w:rsidRPr="000C6CDB">
        <w:t xml:space="preserve">otify the Department </w:t>
      </w:r>
      <w:r>
        <w:t xml:space="preserve">within 5 Business Days of a change in circumstance. </w:t>
      </w:r>
    </w:p>
    <w:p w14:paraId="3CD810F9" w14:textId="77777777" w:rsidR="007D2A28" w:rsidRDefault="007D2A28" w:rsidP="007D2A28">
      <w:r w:rsidRPr="00914009">
        <w:t>ISM controls are regularly added and changed</w:t>
      </w:r>
      <w:r>
        <w:t>.</w:t>
      </w:r>
      <w:r w:rsidRPr="00914009">
        <w:t xml:space="preserve"> </w:t>
      </w:r>
      <w:r>
        <w:t>P</w:t>
      </w:r>
      <w:r w:rsidRPr="00914009">
        <w:t xml:space="preserve">roviders should regularly review these to </w:t>
      </w:r>
      <w:r>
        <w:t>consider</w:t>
      </w:r>
      <w:r w:rsidRPr="00914009">
        <w:t xml:space="preserve"> whether the controls are applicable to their business and </w:t>
      </w:r>
      <w:r>
        <w:t xml:space="preserve">whether any of the controls </w:t>
      </w:r>
      <w:r w:rsidRPr="00914009">
        <w:t xml:space="preserve">should form part of their </w:t>
      </w:r>
      <w:r>
        <w:t xml:space="preserve">accredited </w:t>
      </w:r>
      <w:r w:rsidRPr="00914009">
        <w:t xml:space="preserve">ISMS. </w:t>
      </w:r>
      <w:r>
        <w:t>T</w:t>
      </w:r>
      <w:r w:rsidRPr="00914009">
        <w:t>he SoA should be regularly revised to demonstrate the Provider's consideration of new or changed ISM controls.</w:t>
      </w:r>
      <w:r>
        <w:t xml:space="preserve"> </w:t>
      </w:r>
      <w:r w:rsidRPr="00F93ED8">
        <w:t>Where a new or changed control is determined to be applicable but has not been fully implemented by the time of the Provider's annual submission, Providers should ensure their SoA also includes details of their planned actions to address these matters and an expected completion date for each.</w:t>
      </w:r>
    </w:p>
    <w:p w14:paraId="480FE95D" w14:textId="06D236A0" w:rsidR="007D2A28" w:rsidRPr="00814386" w:rsidRDefault="007D2A28" w:rsidP="007D2A28">
      <w:pPr>
        <w:spacing w:line="264" w:lineRule="auto"/>
      </w:pPr>
      <w:r w:rsidRPr="006B27B6">
        <w:rPr>
          <w:rStyle w:val="1AllTextBold"/>
        </w:rPr>
        <w:fldChar w:fldCharType="begin"/>
      </w:r>
      <w:r w:rsidRPr="006B27B6">
        <w:rPr>
          <w:rStyle w:val="1AllTextBold"/>
        </w:rPr>
        <w:instrText xml:space="preserve"> REF _Ref98920600 \h </w:instrText>
      </w:r>
      <w:r>
        <w:rPr>
          <w:rStyle w:val="1AllTextBold"/>
        </w:rPr>
        <w:instrText xml:space="preserve"> \* MERGEFORMAT </w:instrText>
      </w:r>
      <w:r w:rsidRPr="006B27B6">
        <w:rPr>
          <w:rStyle w:val="1AllTextBold"/>
        </w:rPr>
      </w:r>
      <w:r w:rsidRPr="006B27B6">
        <w:rPr>
          <w:rStyle w:val="1AllTextBold"/>
        </w:rPr>
        <w:fldChar w:fldCharType="separate"/>
      </w:r>
      <w:r w:rsidR="00833EA6" w:rsidRPr="00833EA6">
        <w:rPr>
          <w:rStyle w:val="1AllTextBold"/>
          <w:b w:val="0"/>
          <w:bCs w:val="0"/>
          <w:u w:val="single"/>
        </w:rPr>
        <w:t>Table 3</w:t>
      </w:r>
      <w:r w:rsidR="00833EA6" w:rsidRPr="00833EA6">
        <w:rPr>
          <w:rStyle w:val="1AllTextBold"/>
          <w:b w:val="0"/>
          <w:bCs w:val="0"/>
          <w:u w:val="single"/>
        </w:rPr>
        <w:noBreakHyphen/>
        <w:t>H</w:t>
      </w:r>
      <w:r w:rsidRPr="006B27B6">
        <w:rPr>
          <w:rStyle w:val="1AllTextBold"/>
        </w:rPr>
        <w:fldChar w:fldCharType="end"/>
      </w:r>
      <w:r w:rsidRPr="006B27B6">
        <w:rPr>
          <w:rStyle w:val="1AllTextBold"/>
        </w:rPr>
        <w:t xml:space="preserve"> </w:t>
      </w:r>
      <w:r w:rsidRPr="00814386">
        <w:t xml:space="preserve">details the requirements for Providers to maintain their accreditation once accreditation has been granted. Note the timing of the annual and 3 yearly audits applies from the date of accreditation.  </w:t>
      </w:r>
    </w:p>
    <w:p w14:paraId="25786483" w14:textId="0A933E88" w:rsidR="007D2A28" w:rsidRDefault="007D2A28" w:rsidP="007D2A28">
      <w:pPr>
        <w:pStyle w:val="Caption"/>
        <w:keepNext/>
      </w:pPr>
      <w:bookmarkStart w:id="791" w:name="_Ref98920600"/>
      <w:r>
        <w:t xml:space="preserve">Table </w:t>
      </w:r>
      <w:r>
        <w:fldChar w:fldCharType="begin"/>
      </w:r>
      <w:r>
        <w:instrText>STYLEREF 1 \s</w:instrText>
      </w:r>
      <w:r>
        <w:fldChar w:fldCharType="separate"/>
      </w:r>
      <w:r w:rsidR="00833EA6">
        <w:rPr>
          <w:noProof/>
        </w:rPr>
        <w:t>3</w:t>
      </w:r>
      <w:r>
        <w:fldChar w:fldCharType="end"/>
      </w:r>
      <w:r>
        <w:noBreakHyphen/>
      </w:r>
      <w:r>
        <w:fldChar w:fldCharType="begin"/>
      </w:r>
      <w:r>
        <w:instrText>SEQ Table \* ALPHABETIC \s 1</w:instrText>
      </w:r>
      <w:r>
        <w:fldChar w:fldCharType="separate"/>
      </w:r>
      <w:r w:rsidR="00833EA6">
        <w:rPr>
          <w:noProof/>
        </w:rPr>
        <w:t>H</w:t>
      </w:r>
      <w:r>
        <w:fldChar w:fldCharType="end"/>
      </w:r>
      <w:bookmarkEnd w:id="791"/>
      <w:r>
        <w:t xml:space="preserve">: </w:t>
      </w:r>
      <w:r w:rsidRPr="00610991">
        <w:t>Ongoing accreditation requirements</w:t>
      </w:r>
    </w:p>
    <w:tbl>
      <w:tblPr>
        <w:tblStyle w:val="DESE"/>
        <w:tblW w:w="5000" w:type="pct"/>
        <w:tblLook w:val="04A0" w:firstRow="1" w:lastRow="0" w:firstColumn="1" w:lastColumn="0" w:noHBand="0" w:noVBand="1"/>
      </w:tblPr>
      <w:tblGrid>
        <w:gridCol w:w="2221"/>
        <w:gridCol w:w="3789"/>
        <w:gridCol w:w="3006"/>
      </w:tblGrid>
      <w:tr w:rsidR="007D2A28" w:rsidRPr="006018FB" w14:paraId="51576C82" w14:textId="77777777" w:rsidTr="00037F06">
        <w:trPr>
          <w:cnfStyle w:val="100000000000" w:firstRow="1" w:lastRow="0" w:firstColumn="0" w:lastColumn="0" w:oddVBand="0" w:evenVBand="0" w:oddHBand="0" w:evenHBand="0" w:firstRowFirstColumn="0" w:firstRowLastColumn="0" w:lastRowFirstColumn="0" w:lastRowLastColumn="0"/>
          <w:trHeight w:val="584"/>
          <w:tblHeader/>
        </w:trPr>
        <w:tc>
          <w:tcPr>
            <w:cnfStyle w:val="001000000100" w:firstRow="0" w:lastRow="0" w:firstColumn="1" w:lastColumn="0" w:oddVBand="0" w:evenVBand="0" w:oddHBand="0" w:evenHBand="0" w:firstRowFirstColumn="1" w:firstRowLastColumn="0" w:lastRowFirstColumn="0" w:lastRowLastColumn="0"/>
            <w:tcW w:w="1232" w:type="pct"/>
            <w:hideMark/>
          </w:tcPr>
          <w:p w14:paraId="16B4B342" w14:textId="77777777" w:rsidR="007D2A28" w:rsidRPr="006018FB" w:rsidRDefault="007D2A28" w:rsidP="00037F06">
            <w:pPr>
              <w:pStyle w:val="TableColumnHeading"/>
              <w:spacing w:before="100" w:after="100"/>
            </w:pPr>
            <w:r w:rsidRPr="006018FB">
              <w:t>Accreditation type</w:t>
            </w:r>
          </w:p>
        </w:tc>
        <w:tc>
          <w:tcPr>
            <w:tcW w:w="2101" w:type="pct"/>
            <w:hideMark/>
          </w:tcPr>
          <w:p w14:paraId="2D4DB143" w14:textId="77777777" w:rsidR="007D2A28" w:rsidRPr="006018FB"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6018FB">
              <w:t>Annually</w:t>
            </w:r>
          </w:p>
        </w:tc>
        <w:tc>
          <w:tcPr>
            <w:tcW w:w="1667" w:type="pct"/>
            <w:hideMark/>
          </w:tcPr>
          <w:p w14:paraId="1896195B" w14:textId="77777777" w:rsidR="007D2A28" w:rsidRPr="006018FB" w:rsidRDefault="007D2A28" w:rsidP="00037F06">
            <w:pPr>
              <w:pStyle w:val="TableColumnHeading"/>
              <w:spacing w:before="100" w:after="100"/>
              <w:cnfStyle w:val="100000000000" w:firstRow="1" w:lastRow="0" w:firstColumn="0" w:lastColumn="0" w:oddVBand="0" w:evenVBand="0" w:oddHBand="0" w:evenHBand="0" w:firstRowFirstColumn="0" w:firstRowLastColumn="0" w:lastRowFirstColumn="0" w:lastRowLastColumn="0"/>
            </w:pPr>
            <w:r w:rsidRPr="006018FB">
              <w:t>Every 3 years</w:t>
            </w:r>
          </w:p>
        </w:tc>
      </w:tr>
      <w:tr w:rsidR="007D2A28" w:rsidRPr="006018FB" w14:paraId="6B92849E" w14:textId="77777777" w:rsidTr="00037F06">
        <w:trPr>
          <w:trHeight w:val="584"/>
        </w:trPr>
        <w:tc>
          <w:tcPr>
            <w:cnfStyle w:val="001000000000" w:firstRow="0" w:lastRow="0" w:firstColumn="1" w:lastColumn="0" w:oddVBand="0" w:evenVBand="0" w:oddHBand="0" w:evenHBand="0" w:firstRowFirstColumn="0" w:firstRowLastColumn="0" w:lastRowFirstColumn="0" w:lastRowLastColumn="0"/>
            <w:tcW w:w="1232" w:type="pct"/>
            <w:hideMark/>
          </w:tcPr>
          <w:p w14:paraId="21EA96C3" w14:textId="77777777" w:rsidR="007D2A28" w:rsidRPr="006018FB" w:rsidRDefault="007D2A28" w:rsidP="00037F06">
            <w:pPr>
              <w:pStyle w:val="TableFirstColumn"/>
              <w:keepNext w:val="0"/>
              <w:spacing w:before="100" w:after="100"/>
            </w:pPr>
            <w:r w:rsidRPr="006018FB">
              <w:t>Certified ISMS</w:t>
            </w:r>
            <w:r>
              <w:t xml:space="preserve"> </w:t>
            </w:r>
            <w:r w:rsidRPr="00DE3528">
              <w:t>(</w:t>
            </w:r>
            <w:r>
              <w:t>Category 1 Providers</w:t>
            </w:r>
            <w:r w:rsidRPr="00DE3528">
              <w:t>)</w:t>
            </w:r>
          </w:p>
        </w:tc>
        <w:tc>
          <w:tcPr>
            <w:tcW w:w="2101" w:type="pct"/>
            <w:hideMark/>
          </w:tcPr>
          <w:p w14:paraId="3FA68105"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 xml:space="preserve">Surveillance audit by </w:t>
            </w:r>
            <w:r>
              <w:t xml:space="preserve">CAB </w:t>
            </w:r>
            <w:r w:rsidRPr="00554AFF">
              <w:t>covering the Provider’s updated SoA</w:t>
            </w:r>
          </w:p>
        </w:tc>
        <w:tc>
          <w:tcPr>
            <w:tcW w:w="1667" w:type="pct"/>
            <w:hideMark/>
          </w:tcPr>
          <w:p w14:paraId="71B06FE9"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Recertification by CAB</w:t>
            </w:r>
          </w:p>
          <w:p w14:paraId="18C22858" w14:textId="60E83A61"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 xml:space="preserve">Reaccreditation by </w:t>
            </w:r>
            <w:r w:rsidR="00C3173D" w:rsidRPr="006018FB">
              <w:t>DE</w:t>
            </w:r>
            <w:r w:rsidR="00C3173D">
              <w:t>WR</w:t>
            </w:r>
          </w:p>
        </w:tc>
      </w:tr>
      <w:tr w:rsidR="007D2A28" w:rsidRPr="006018FB" w14:paraId="00E7E669" w14:textId="77777777" w:rsidTr="00037F06">
        <w:trPr>
          <w:trHeight w:val="1712"/>
        </w:trPr>
        <w:tc>
          <w:tcPr>
            <w:cnfStyle w:val="001000000000" w:firstRow="0" w:lastRow="0" w:firstColumn="1" w:lastColumn="0" w:oddVBand="0" w:evenVBand="0" w:oddHBand="0" w:evenHBand="0" w:firstRowFirstColumn="0" w:firstRowLastColumn="0" w:lastRowFirstColumn="0" w:lastRowLastColumn="0"/>
            <w:tcW w:w="1232" w:type="pct"/>
            <w:hideMark/>
          </w:tcPr>
          <w:p w14:paraId="6EF69AA1" w14:textId="77777777" w:rsidR="007D2A28" w:rsidRDefault="007D2A28" w:rsidP="00037F06">
            <w:pPr>
              <w:pStyle w:val="TableFirstColumn"/>
              <w:keepNext w:val="0"/>
              <w:spacing w:before="100" w:after="100"/>
            </w:pPr>
            <w:r w:rsidRPr="006018FB">
              <w:t>Self-assessed ISMS</w:t>
            </w:r>
          </w:p>
          <w:p w14:paraId="05970ECC" w14:textId="77777777" w:rsidR="007D2A28" w:rsidRDefault="007D2A28" w:rsidP="00037F06">
            <w:pPr>
              <w:pStyle w:val="TableFirstColumn"/>
              <w:keepNext w:val="0"/>
              <w:spacing w:before="100" w:after="100"/>
            </w:pPr>
            <w:r w:rsidRPr="00DE3528">
              <w:t>(</w:t>
            </w:r>
            <w:r>
              <w:t>Category 2A</w:t>
            </w:r>
            <w:r w:rsidRPr="00DE3528">
              <w:t xml:space="preserve"> Providers)</w:t>
            </w:r>
          </w:p>
          <w:p w14:paraId="0F1F68C7" w14:textId="77777777" w:rsidR="007D2A28" w:rsidRPr="006018FB" w:rsidRDefault="007D2A28" w:rsidP="00037F06">
            <w:pPr>
              <w:pStyle w:val="TableFirstColumn"/>
              <w:keepNext w:val="0"/>
              <w:spacing w:before="100" w:after="100"/>
            </w:pPr>
          </w:p>
        </w:tc>
        <w:tc>
          <w:tcPr>
            <w:tcW w:w="2101" w:type="pct"/>
            <w:hideMark/>
          </w:tcPr>
          <w:p w14:paraId="43034467"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Self-assessment report (incl. description of changes since last report)</w:t>
            </w:r>
            <w:r>
              <w:t xml:space="preserve"> </w:t>
            </w:r>
            <w:r w:rsidRPr="00850B6C">
              <w:t>covering the Provider’s updated SoA</w:t>
            </w:r>
          </w:p>
          <w:p w14:paraId="6F640067" w14:textId="48149047" w:rsidR="007D2A28" w:rsidRPr="006018FB" w:rsidRDefault="00C3173D"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DE</w:t>
            </w:r>
            <w:r>
              <w:t>WR</w:t>
            </w:r>
            <w:r w:rsidRPr="006018FB">
              <w:t xml:space="preserve"> </w:t>
            </w:r>
            <w:r w:rsidR="007D2A28" w:rsidRPr="006018FB">
              <w:t>determines</w:t>
            </w:r>
            <w:r w:rsidR="007D2A28">
              <w:t xml:space="preserve"> whether</w:t>
            </w:r>
            <w:r w:rsidR="007D2A28" w:rsidRPr="006018FB">
              <w:t xml:space="preserve"> need to upscale to a Certified ISMS </w:t>
            </w:r>
          </w:p>
        </w:tc>
        <w:tc>
          <w:tcPr>
            <w:tcW w:w="1667" w:type="pct"/>
            <w:hideMark/>
          </w:tcPr>
          <w:p w14:paraId="6A705937"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Self-assessment report</w:t>
            </w:r>
          </w:p>
          <w:p w14:paraId="731B7F19" w14:textId="57EFC2FE"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 xml:space="preserve">Reaccreditation by </w:t>
            </w:r>
            <w:r w:rsidR="00C3173D" w:rsidRPr="006018FB">
              <w:t>DE</w:t>
            </w:r>
            <w:r w:rsidR="00C3173D">
              <w:t>WR</w:t>
            </w:r>
          </w:p>
        </w:tc>
      </w:tr>
      <w:tr w:rsidR="007D2A28" w:rsidRPr="006018FB" w14:paraId="5DF2A2EE" w14:textId="77777777" w:rsidTr="00037F06">
        <w:trPr>
          <w:trHeight w:val="584"/>
        </w:trPr>
        <w:tc>
          <w:tcPr>
            <w:cnfStyle w:val="001000000000" w:firstRow="0" w:lastRow="0" w:firstColumn="1" w:lastColumn="0" w:oddVBand="0" w:evenVBand="0" w:oddHBand="0" w:evenHBand="0" w:firstRowFirstColumn="0" w:firstRowLastColumn="0" w:lastRowFirstColumn="0" w:lastRowLastColumn="0"/>
            <w:tcW w:w="1232" w:type="pct"/>
            <w:hideMark/>
          </w:tcPr>
          <w:p w14:paraId="5B7EF53A" w14:textId="77777777" w:rsidR="007D2A28" w:rsidRDefault="007D2A28" w:rsidP="00037F06">
            <w:pPr>
              <w:pStyle w:val="TableFirstColumn"/>
              <w:keepNext w:val="0"/>
              <w:spacing w:before="100" w:after="100"/>
            </w:pPr>
            <w:r w:rsidRPr="006018FB">
              <w:t>Management attestation</w:t>
            </w:r>
          </w:p>
          <w:p w14:paraId="30929CEC" w14:textId="77777777" w:rsidR="007D2A28" w:rsidRPr="006018FB" w:rsidRDefault="007D2A28" w:rsidP="00037F06">
            <w:pPr>
              <w:pStyle w:val="TableFirstColumn"/>
              <w:keepNext w:val="0"/>
              <w:spacing w:before="100" w:after="100"/>
            </w:pPr>
            <w:r>
              <w:t>(Category 2B Providers)</w:t>
            </w:r>
          </w:p>
        </w:tc>
        <w:tc>
          <w:tcPr>
            <w:tcW w:w="2101" w:type="pct"/>
            <w:hideMark/>
          </w:tcPr>
          <w:p w14:paraId="039AC96D"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Annual attestation &amp; description (incl. description of changes since last attestation)</w:t>
            </w:r>
          </w:p>
          <w:p w14:paraId="642E1D35" w14:textId="241863E4" w:rsidR="007D2A28" w:rsidRPr="006018FB" w:rsidRDefault="00C3173D"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DE</w:t>
            </w:r>
            <w:r>
              <w:t>WR</w:t>
            </w:r>
            <w:r w:rsidRPr="006018FB">
              <w:t xml:space="preserve"> </w:t>
            </w:r>
            <w:r w:rsidR="007D2A28" w:rsidRPr="006018FB">
              <w:t xml:space="preserve">determines </w:t>
            </w:r>
            <w:r w:rsidR="007D2A28">
              <w:t xml:space="preserve">whether </w:t>
            </w:r>
            <w:r w:rsidR="007D2A28" w:rsidRPr="006018FB">
              <w:t>need to upscale to a self-assessed ISMS</w:t>
            </w:r>
          </w:p>
        </w:tc>
        <w:tc>
          <w:tcPr>
            <w:tcW w:w="1667" w:type="pct"/>
            <w:hideMark/>
          </w:tcPr>
          <w:p w14:paraId="58236673" w14:textId="77777777"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t>A</w:t>
            </w:r>
            <w:r w:rsidRPr="006018FB">
              <w:t>ttestation &amp; description</w:t>
            </w:r>
          </w:p>
          <w:p w14:paraId="611E2EB4" w14:textId="56BCDE98" w:rsidR="007D2A28" w:rsidRPr="006018FB" w:rsidRDefault="007D2A28" w:rsidP="00037F06">
            <w:pPr>
              <w:pStyle w:val="BulletLevel1"/>
              <w:spacing w:before="100" w:after="100"/>
              <w:cnfStyle w:val="000000000000" w:firstRow="0" w:lastRow="0" w:firstColumn="0" w:lastColumn="0" w:oddVBand="0" w:evenVBand="0" w:oddHBand="0" w:evenHBand="0" w:firstRowFirstColumn="0" w:firstRowLastColumn="0" w:lastRowFirstColumn="0" w:lastRowLastColumn="0"/>
            </w:pPr>
            <w:r w:rsidRPr="006018FB">
              <w:t xml:space="preserve">Reaccreditation by </w:t>
            </w:r>
            <w:r w:rsidR="00C3173D" w:rsidRPr="006018FB">
              <w:t>DE</w:t>
            </w:r>
            <w:r w:rsidR="00C3173D">
              <w:t>WR</w:t>
            </w:r>
          </w:p>
        </w:tc>
      </w:tr>
    </w:tbl>
    <w:p w14:paraId="406161BF" w14:textId="77777777" w:rsidR="007D2A28" w:rsidRPr="00025B49" w:rsidRDefault="007D2A28" w:rsidP="007D2A28">
      <w:pPr>
        <w:pStyle w:val="Heading2"/>
      </w:pPr>
      <w:bookmarkStart w:id="792" w:name="_Toc95233342"/>
      <w:bookmarkStart w:id="793" w:name="_Toc96000587"/>
      <w:r w:rsidRPr="004375E8">
        <w:lastRenderedPageBreak/>
        <w:t xml:space="preserve">Core expectations of </w:t>
      </w:r>
      <w:r w:rsidRPr="001D29FC">
        <w:t>Provider</w:t>
      </w:r>
      <w:r w:rsidRPr="00025B49">
        <w:t>s</w:t>
      </w:r>
      <w:r>
        <w:t xml:space="preserve"> under the RFFR</w:t>
      </w:r>
      <w:bookmarkEnd w:id="792"/>
      <w:bookmarkEnd w:id="793"/>
    </w:p>
    <w:p w14:paraId="72EFBBB1" w14:textId="77777777" w:rsidR="007D2A28" w:rsidRPr="009F2CB9" w:rsidRDefault="007D2A28" w:rsidP="007D2A28">
      <w:r w:rsidRPr="009F2CB9">
        <w:t xml:space="preserve">Providers </w:t>
      </w:r>
      <w:r>
        <w:t xml:space="preserve">must, </w:t>
      </w:r>
      <w:r w:rsidRPr="009F2CB9">
        <w:t>as a minimum</w:t>
      </w:r>
      <w:r>
        <w:t>,</w:t>
      </w:r>
      <w:r w:rsidRPr="009F2CB9">
        <w:t xml:space="preserve"> implement and manage </w:t>
      </w:r>
      <w:r>
        <w:t>the following</w:t>
      </w:r>
      <w:r w:rsidRPr="009F2CB9">
        <w:t xml:space="preserve"> core expectations to maintain and enhance their security posture:</w:t>
      </w:r>
    </w:p>
    <w:p w14:paraId="7200774C" w14:textId="77777777" w:rsidR="007D2A28" w:rsidRPr="009F2CB9" w:rsidRDefault="00833EA6" w:rsidP="007D2A28">
      <w:pPr>
        <w:pStyle w:val="BulletLevel1"/>
        <w:rPr>
          <w:rFonts w:eastAsiaTheme="minorEastAsia"/>
        </w:rPr>
      </w:pPr>
      <w:hyperlink w:anchor="_RFFR_Core_Expectations:" w:history="1">
        <w:r w:rsidR="007D2A28" w:rsidRPr="00B821F7">
          <w:rPr>
            <w:rStyle w:val="Hyperlink"/>
            <w:b/>
            <w:bCs/>
          </w:rPr>
          <w:t>Personnel security</w:t>
        </w:r>
      </w:hyperlink>
      <w:r w:rsidR="007D2A28" w:rsidRPr="009F2CB9">
        <w:rPr>
          <w:b/>
          <w:bCs/>
        </w:rPr>
        <w:t xml:space="preserve"> - </w:t>
      </w:r>
      <w:r w:rsidR="007D2A28" w:rsidRPr="009F2CB9">
        <w:t xml:space="preserve">implement security control measures including mature </w:t>
      </w:r>
      <w:r w:rsidR="007D2A28">
        <w:t>P</w:t>
      </w:r>
      <w:r w:rsidR="007D2A28" w:rsidRPr="009F2CB9">
        <w:t>ersonnel onboarding practices</w:t>
      </w:r>
      <w:r w:rsidR="007D2A28">
        <w:t xml:space="preserve">. </w:t>
      </w:r>
    </w:p>
    <w:p w14:paraId="16EDA482" w14:textId="77777777" w:rsidR="007D2A28" w:rsidRPr="009F2CB9" w:rsidRDefault="00833EA6" w:rsidP="007D2A28">
      <w:pPr>
        <w:pStyle w:val="BulletLevel1"/>
        <w:rPr>
          <w:rFonts w:eastAsiaTheme="minorEastAsia"/>
        </w:rPr>
      </w:pPr>
      <w:hyperlink w:anchor="_RFFR_Core_Expectations:_1" w:history="1">
        <w:r w:rsidR="007D2A28" w:rsidRPr="00B821F7">
          <w:rPr>
            <w:rStyle w:val="Hyperlink"/>
            <w:b/>
            <w:bCs/>
          </w:rPr>
          <w:t>Physical security</w:t>
        </w:r>
      </w:hyperlink>
      <w:r w:rsidR="007D2A28" w:rsidRPr="009F2CB9">
        <w:t xml:space="preserve"> - implement appropriate physical security measures over IT equipment and storage media</w:t>
      </w:r>
      <w:r w:rsidR="007D2A28">
        <w:t xml:space="preserve">. </w:t>
      </w:r>
    </w:p>
    <w:p w14:paraId="35CCD97B" w14:textId="77777777" w:rsidR="007D2A28" w:rsidRPr="009F2CB9" w:rsidRDefault="00833EA6" w:rsidP="007D2A28">
      <w:pPr>
        <w:pStyle w:val="BulletLevel1"/>
      </w:pPr>
      <w:hyperlink w:anchor="_Essential_Eight_cyber" w:history="1">
        <w:r w:rsidR="007D2A28" w:rsidRPr="00B821F7">
          <w:rPr>
            <w:rStyle w:val="Hyperlink"/>
            <w:b/>
            <w:bCs/>
          </w:rPr>
          <w:t>Essential Eight</w:t>
        </w:r>
      </w:hyperlink>
      <w:r w:rsidR="007D2A28" w:rsidRPr="009F2CB9">
        <w:rPr>
          <w:b/>
          <w:bCs/>
        </w:rPr>
        <w:t xml:space="preserve"> </w:t>
      </w:r>
      <w:r w:rsidR="007D2A28" w:rsidRPr="009F2CB9">
        <w:t>- identify a target level of maturity in each of the Essential Eight cyber security strategies published by the Australian Cyber Security Centre, develop a plan to achieve target maturity</w:t>
      </w:r>
      <w:r w:rsidR="007D2A28">
        <w:t>,</w:t>
      </w:r>
      <w:r w:rsidR="007D2A28" w:rsidRPr="009F2CB9">
        <w:t xml:space="preserve"> and achieve a base level maturity in the first instance</w:t>
      </w:r>
      <w:r w:rsidR="007D2A28">
        <w:t xml:space="preserve">. </w:t>
      </w:r>
    </w:p>
    <w:p w14:paraId="0EC01DC0" w14:textId="77777777" w:rsidR="007D2A28" w:rsidRPr="009F2CB9" w:rsidRDefault="007D2A28" w:rsidP="007D2A28">
      <w:r w:rsidRPr="00814386">
        <w:t xml:space="preserve">Providers should </w:t>
      </w:r>
      <w:r w:rsidRPr="005D770D">
        <w:t>implement</w:t>
      </w:r>
      <w:r w:rsidRPr="00814386">
        <w:t xml:space="preserve"> controls for:</w:t>
      </w:r>
    </w:p>
    <w:p w14:paraId="7B420EF6" w14:textId="77777777" w:rsidR="007D2A28" w:rsidRPr="009F2CB9" w:rsidRDefault="007D2A28" w:rsidP="007D2A28">
      <w:pPr>
        <w:pStyle w:val="BulletLevel1"/>
        <w:rPr>
          <w:rFonts w:eastAsiaTheme="minorEastAsia"/>
        </w:rPr>
      </w:pPr>
      <w:r w:rsidRPr="009F2CB9">
        <w:rPr>
          <w:b/>
          <w:bCs/>
        </w:rPr>
        <w:t>Information Security Monitoring –</w:t>
      </w:r>
      <w:r>
        <w:t xml:space="preserve"> </w:t>
      </w:r>
      <w:r w:rsidRPr="009F2CB9">
        <w:t xml:space="preserve">to manage vulnerabilities in their IT systems, and to manage changes to their IT systems. </w:t>
      </w:r>
    </w:p>
    <w:p w14:paraId="3044E6C2" w14:textId="77777777" w:rsidR="007D2A28" w:rsidRPr="009F2CB9" w:rsidRDefault="007D2A28" w:rsidP="007D2A28">
      <w:pPr>
        <w:pStyle w:val="BulletLevel1"/>
      </w:pPr>
      <w:r w:rsidRPr="009F2CB9">
        <w:rPr>
          <w:b/>
          <w:bCs/>
        </w:rPr>
        <w:t>Incident management</w:t>
      </w:r>
      <w:r w:rsidRPr="009F2CB9">
        <w:t xml:space="preserve"> –</w:t>
      </w:r>
      <w:r>
        <w:t xml:space="preserve"> </w:t>
      </w:r>
      <w:r w:rsidRPr="009F2CB9">
        <w:t xml:space="preserve">designed to detect and respond to cyber security incidents, to report incidents internally and to external stakeholders (including the Department) as appropriate, and to keep appropriate </w:t>
      </w:r>
      <w:r>
        <w:t>R</w:t>
      </w:r>
      <w:r w:rsidRPr="009F2CB9">
        <w:t>ecords of security incidents.  As a key element of security incident detection, Providers should implement controls to log security-related events occurring in their IT systems and to audit these logs on a regular basis.</w:t>
      </w:r>
    </w:p>
    <w:p w14:paraId="5E556FD3" w14:textId="77777777" w:rsidR="007D2A28" w:rsidRPr="00411CB9" w:rsidRDefault="007D2A28" w:rsidP="007D2A28">
      <w:pPr>
        <w:pStyle w:val="BulletLevel1"/>
        <w:rPr>
          <w:color w:val="000000" w:themeColor="text1"/>
          <w:sz w:val="20"/>
          <w:szCs w:val="20"/>
        </w:rPr>
      </w:pPr>
      <w:r w:rsidRPr="009F2CB9">
        <w:rPr>
          <w:b/>
          <w:bCs/>
        </w:rPr>
        <w:t xml:space="preserve">Restricted access controls </w:t>
      </w:r>
      <w:r w:rsidRPr="009F2CB9">
        <w:t>–</w:t>
      </w:r>
      <w:r>
        <w:t xml:space="preserve"> </w:t>
      </w:r>
      <w:r w:rsidRPr="009F2CB9">
        <w:t>to enable strong user identification and authentication practices for privileged accounts, user accounts, and service accounts.</w:t>
      </w:r>
    </w:p>
    <w:p w14:paraId="0EAFD935" w14:textId="77777777" w:rsidR="007D2A28" w:rsidRPr="009F2CB9" w:rsidRDefault="007D2A28" w:rsidP="007D2A28">
      <w:pPr>
        <w:spacing w:after="160" w:line="259" w:lineRule="auto"/>
        <w:rPr>
          <w:rFonts w:eastAsiaTheme="minorEastAsia"/>
        </w:rPr>
      </w:pPr>
      <w:r w:rsidRPr="009F2CB9">
        <w:rPr>
          <w:rFonts w:eastAsiaTheme="minorEastAsia"/>
        </w:rPr>
        <w:t xml:space="preserve">Providers </w:t>
      </w:r>
      <w:r>
        <w:t>should</w:t>
      </w:r>
      <w:r w:rsidRPr="009F2CB9">
        <w:rPr>
          <w:rFonts w:eastAsiaTheme="minorEastAsia"/>
        </w:rPr>
        <w:t xml:space="preserve"> implement security controls that are responsive to</w:t>
      </w:r>
      <w:r w:rsidRPr="0E4B084F">
        <w:rPr>
          <w:rFonts w:eastAsiaTheme="minorEastAsia"/>
        </w:rPr>
        <w:t>:</w:t>
      </w:r>
      <w:r w:rsidRPr="009F2CB9">
        <w:rPr>
          <w:rFonts w:eastAsiaTheme="minorEastAsia"/>
        </w:rPr>
        <w:t xml:space="preserve"> </w:t>
      </w:r>
    </w:p>
    <w:p w14:paraId="0B2C7AC8" w14:textId="77777777" w:rsidR="007D2A28" w:rsidRPr="009F2CB9" w:rsidRDefault="007D2A28" w:rsidP="007D2A28">
      <w:pPr>
        <w:pStyle w:val="BulletLevel1"/>
        <w:rPr>
          <w:rFonts w:eastAsiaTheme="minorEastAsia"/>
        </w:rPr>
      </w:pPr>
      <w:r w:rsidRPr="009F2CB9">
        <w:rPr>
          <w:b/>
          <w:bCs/>
        </w:rPr>
        <w:t>Specific Deed obligations</w:t>
      </w:r>
      <w:r w:rsidRPr="009F2CB9">
        <w:t xml:space="preserve"> - such as data sovereignty</w:t>
      </w:r>
    </w:p>
    <w:p w14:paraId="446F0ACC" w14:textId="77777777" w:rsidR="007D2A28" w:rsidRPr="009F2CB9" w:rsidRDefault="007D2A28" w:rsidP="007D2A28">
      <w:pPr>
        <w:pStyle w:val="BulletLevel1"/>
      </w:pPr>
      <w:r w:rsidRPr="009F2CB9">
        <w:t>Specific or unique Provider security risks</w:t>
      </w:r>
    </w:p>
    <w:p w14:paraId="72FDFA2A" w14:textId="77777777" w:rsidR="007D2A28" w:rsidRDefault="007D2A28" w:rsidP="007D2A28">
      <w:pPr>
        <w:pStyle w:val="BulletLevel1"/>
      </w:pPr>
      <w:r w:rsidRPr="004C0420">
        <w:rPr>
          <w:b/>
          <w:bCs/>
        </w:rPr>
        <w:t>Continual improvement</w:t>
      </w:r>
      <w:r>
        <w:t xml:space="preserve"> - Commit to continual improvement as Cyber risks change and develop</w:t>
      </w:r>
    </w:p>
    <w:p w14:paraId="14731718" w14:textId="77777777" w:rsidR="007D2A28" w:rsidRDefault="007D2A28" w:rsidP="007D2A28">
      <w:pPr>
        <w:spacing w:before="240" w:line="259" w:lineRule="auto"/>
      </w:pPr>
      <w:r>
        <w:t>Providers are expected to demonstrate their responses to these core expectations through the submission of documentation at each RFFR milestone as detailed.</w:t>
      </w:r>
    </w:p>
    <w:p w14:paraId="1E49B4AF" w14:textId="77777777" w:rsidR="007D2A28" w:rsidRPr="00EE4E3B" w:rsidRDefault="007D2A28" w:rsidP="007D2A28">
      <w:pPr>
        <w:pStyle w:val="Heading3"/>
      </w:pPr>
      <w:bookmarkStart w:id="794" w:name="_Toc95896823"/>
      <w:r w:rsidRPr="00EE4E3B">
        <w:t>RFFR Core Expectations: Personnel security</w:t>
      </w:r>
      <w:bookmarkEnd w:id="794"/>
    </w:p>
    <w:p w14:paraId="0CA56390" w14:textId="77777777" w:rsidR="007D2A28" w:rsidRDefault="007D2A28" w:rsidP="007D2A28">
      <w:pPr>
        <w:spacing w:line="264" w:lineRule="auto"/>
      </w:pPr>
      <w:r>
        <w:t>As part of processes to bring new people into the organisation, Providers must</w:t>
      </w:r>
    </w:p>
    <w:p w14:paraId="3FE93174" w14:textId="77777777" w:rsidR="007D2A28" w:rsidRDefault="007D2A28" w:rsidP="007D2A28">
      <w:pPr>
        <w:pStyle w:val="BulletLevel1"/>
        <w:rPr>
          <w:rFonts w:eastAsiaTheme="minorEastAsia"/>
        </w:rPr>
      </w:pPr>
      <w:r>
        <w:t>identify the individual and positively confirm the individual’s identity</w:t>
      </w:r>
    </w:p>
    <w:p w14:paraId="701AF412" w14:textId="77777777" w:rsidR="007D2A28" w:rsidRDefault="007D2A28" w:rsidP="007D2A28">
      <w:pPr>
        <w:pStyle w:val="BulletLevel1"/>
      </w:pPr>
      <w:r>
        <w:t>verify the competency of the individual by verifying qualifications, certifications and experience provided on their CV</w:t>
      </w:r>
    </w:p>
    <w:p w14:paraId="55125AF0" w14:textId="77777777" w:rsidR="007D2A28" w:rsidRPr="009F2CB9" w:rsidRDefault="007D2A28" w:rsidP="007D2A28">
      <w:pPr>
        <w:pStyle w:val="BulletLevel1"/>
      </w:pPr>
      <w:r w:rsidRPr="009F2CB9">
        <w:t>obtain a satisfactory police check for the individual</w:t>
      </w:r>
    </w:p>
    <w:p w14:paraId="3C378187" w14:textId="77777777" w:rsidR="007D2A28" w:rsidRDefault="007D2A28" w:rsidP="007D2A28">
      <w:pPr>
        <w:pStyle w:val="BulletLevel1"/>
      </w:pPr>
      <w:r w:rsidRPr="009F2CB9">
        <w:t>satisfactorily complete</w:t>
      </w:r>
      <w:r>
        <w:t xml:space="preserve"> Working with Vulnerable People checks as required by individual states / territories</w:t>
      </w:r>
    </w:p>
    <w:p w14:paraId="3870F7CD" w14:textId="77777777" w:rsidR="007D2A28" w:rsidRDefault="007D2A28" w:rsidP="007D2A28">
      <w:pPr>
        <w:pStyle w:val="BulletLevel1"/>
      </w:pPr>
      <w:r>
        <w:t>confirm the individual has a valid right to work in Australia – a person who is not an Australian citizen must hold appropriate work entitlements</w:t>
      </w:r>
    </w:p>
    <w:p w14:paraId="60DF528E" w14:textId="77777777" w:rsidR="007D2A28" w:rsidRDefault="007D2A28" w:rsidP="007D2A28">
      <w:pPr>
        <w:pStyle w:val="BulletLevel1"/>
      </w:pPr>
      <w:r>
        <w:t>verify that the individual has successfully completed initial and ongoing security awareness training programs with content and timing tailored to their role</w:t>
      </w:r>
    </w:p>
    <w:p w14:paraId="726EFEAE" w14:textId="77777777" w:rsidR="007D2A28" w:rsidRDefault="007D2A28" w:rsidP="007D2A28">
      <w:pPr>
        <w:pStyle w:val="BulletLevel1"/>
      </w:pPr>
      <w:r>
        <w:t>execute employment contracts which state that responsibilities for information security and non-disclosure requirements continue post termination</w:t>
      </w:r>
    </w:p>
    <w:p w14:paraId="272D4509" w14:textId="77777777" w:rsidR="007D2A28" w:rsidRPr="009F2CB9" w:rsidRDefault="007D2A28" w:rsidP="007D2A28">
      <w:pPr>
        <w:pStyle w:val="BulletLevel1"/>
      </w:pPr>
      <w:r w:rsidRPr="009F2CB9">
        <w:lastRenderedPageBreak/>
        <w:t>implement higher levels of assurance for individuals that have privileged or administrative level</w:t>
      </w:r>
      <w:r>
        <w:t xml:space="preserve"> acces</w:t>
      </w:r>
      <w:r w:rsidRPr="009F2CB9">
        <w:t xml:space="preserve">s. The additional </w:t>
      </w:r>
      <w:r>
        <w:t>P</w:t>
      </w:r>
      <w:r w:rsidRPr="009F2CB9">
        <w:t>ersonnel expectations include that individuals must be Australian citizens or permanent residents to give them sufficient connection with Australia and be willing and able to undertake a suitability background check</w:t>
      </w:r>
      <w:r>
        <w:t>.</w:t>
      </w:r>
    </w:p>
    <w:p w14:paraId="0EBE2C6F" w14:textId="77777777" w:rsidR="007D2A28" w:rsidRPr="00317ECD" w:rsidRDefault="007D2A28" w:rsidP="007D2A28">
      <w:pPr>
        <w:spacing w:line="264" w:lineRule="auto"/>
        <w:ind w:left="720"/>
        <w:rPr>
          <w:sz w:val="2"/>
          <w:szCs w:val="2"/>
        </w:rPr>
      </w:pPr>
    </w:p>
    <w:p w14:paraId="30BB60B6" w14:textId="77777777" w:rsidR="007D2A28" w:rsidRPr="00EE4E3B" w:rsidRDefault="007D2A28" w:rsidP="007D2A28">
      <w:pPr>
        <w:pStyle w:val="Heading3"/>
      </w:pPr>
      <w:bookmarkStart w:id="795" w:name="_Toc95896824"/>
      <w:r w:rsidRPr="00EE4E3B">
        <w:t>RFFR Core Expectations: Physical security</w:t>
      </w:r>
      <w:bookmarkEnd w:id="795"/>
    </w:p>
    <w:p w14:paraId="1F79FD69" w14:textId="77777777" w:rsidR="007D2A28" w:rsidRPr="009F2CB9" w:rsidRDefault="007D2A28" w:rsidP="007D2A28">
      <w:pPr>
        <w:spacing w:line="264" w:lineRule="auto"/>
      </w:pPr>
      <w:r w:rsidRPr="009F2CB9">
        <w:t>Providers are required to implement physical security measures that minimise the risk of information and physical assets being:</w:t>
      </w:r>
    </w:p>
    <w:p w14:paraId="25FB7013" w14:textId="77777777" w:rsidR="007D2A28" w:rsidRPr="009F2CB9" w:rsidRDefault="007D2A28" w:rsidP="007D2A28">
      <w:pPr>
        <w:pStyle w:val="BulletLevel1"/>
      </w:pPr>
      <w:r w:rsidRPr="009F2CB9">
        <w:t>made inoperable or inaccessible, or</w:t>
      </w:r>
    </w:p>
    <w:p w14:paraId="3A0754F5" w14:textId="77777777" w:rsidR="007D2A28" w:rsidRDefault="007D2A28" w:rsidP="007D2A28">
      <w:pPr>
        <w:pStyle w:val="BulletLevel1"/>
      </w:pPr>
      <w:r>
        <w:t>accessed, used or removed without appropriate authorisation.</w:t>
      </w:r>
    </w:p>
    <w:p w14:paraId="4652FC7E" w14:textId="77777777" w:rsidR="007D2A28" w:rsidRDefault="007D2A28" w:rsidP="007D2A28">
      <w:pPr>
        <w:spacing w:line="264" w:lineRule="auto"/>
      </w:pPr>
      <w:r>
        <w:t xml:space="preserve">All Providers are expected to meet physical security expectations. Permanent facilities are to be commercial-grade facilities located within Australia. A facility is any physical space where business is performed to support the provision of government services. For example, a facility can be a building, a floor of a building or a designated space on the floor of a building. Providers allowing staff to work from home need to consider how the home environment can be configured to protect staff, program data and IT physical assets in the same manner as in the office environment. Personnel are to be aware of their environment when they </w:t>
      </w:r>
      <w:r w:rsidRPr="009F2CB9">
        <w:t xml:space="preserve">transport or store their devices, and when they </w:t>
      </w:r>
      <w:r>
        <w:t>use mobile devices to access and communicate program data, especially in public areas. In such locations Personnel are to take extra care to ensure conversations are not overheard and data is not observed.</w:t>
      </w:r>
    </w:p>
    <w:p w14:paraId="78AD3E2B" w14:textId="77777777" w:rsidR="007D2A28" w:rsidRPr="00EE4E3B" w:rsidRDefault="007D2A28" w:rsidP="007D2A28">
      <w:pPr>
        <w:pStyle w:val="Heading3"/>
      </w:pPr>
      <w:bookmarkStart w:id="796" w:name="_Essential_Eight_cyber"/>
      <w:bookmarkStart w:id="797" w:name="_Toc95896825"/>
      <w:bookmarkEnd w:id="796"/>
      <w:r w:rsidRPr="00EE4E3B">
        <w:t>Essential Eight cyber security strategies</w:t>
      </w:r>
      <w:bookmarkEnd w:id="797"/>
      <w:r w:rsidRPr="00EE4E3B">
        <w:t xml:space="preserve"> </w:t>
      </w:r>
    </w:p>
    <w:p w14:paraId="2936F401" w14:textId="77777777" w:rsidR="007D2A28" w:rsidRDefault="007D2A28" w:rsidP="007D2A28">
      <w:pPr>
        <w:tabs>
          <w:tab w:val="left" w:pos="7097"/>
        </w:tabs>
      </w:pPr>
      <w:r>
        <w:t xml:space="preserve">The Australian Cyber Security Centre (ACSC) has developed the Essential Eight strategies to mitigate cyber security </w:t>
      </w:r>
      <w:r w:rsidRPr="009F2CB9">
        <w:t>threats</w:t>
      </w:r>
      <w:r>
        <w:t xml:space="preserve">.  </w:t>
      </w:r>
    </w:p>
    <w:p w14:paraId="3C3B91EC" w14:textId="77777777" w:rsidR="007D2A28" w:rsidRDefault="007D2A28" w:rsidP="007D2A28">
      <w:pPr>
        <w:tabs>
          <w:tab w:val="left" w:pos="7097"/>
        </w:tabs>
      </w:pPr>
      <w:r w:rsidRPr="009F2CB9">
        <w:t xml:space="preserve">Providers </w:t>
      </w:r>
      <w:r>
        <w:t>must</w:t>
      </w:r>
      <w:r w:rsidRPr="009F2CB9">
        <w:t xml:space="preserve"> determine a target maturity level for the Essential Eight cyber security strategies that reflects the organisation’s risk profile, and develop plans to achieve target levels over time.  The Department requires that Providers initially implement controls supporting the Essential Eight cyber security strategies to achieve Maturity Level One on the </w:t>
      </w:r>
      <w:hyperlink r:id="rId70" w:history="1">
        <w:r w:rsidRPr="00ED003D">
          <w:rPr>
            <w:rStyle w:val="Hyperlink"/>
          </w:rPr>
          <w:t>ACSC’s published maturity model</w:t>
        </w:r>
      </w:hyperlink>
      <w:r>
        <w:t>.</w:t>
      </w:r>
      <w:r w:rsidRPr="009F2CB9">
        <w:t xml:space="preserve"> </w:t>
      </w:r>
      <w:r>
        <w:t xml:space="preserve"> </w:t>
      </w:r>
    </w:p>
    <w:p w14:paraId="5459D01E" w14:textId="77777777" w:rsidR="007D2A28" w:rsidRPr="009F2CB9" w:rsidRDefault="007D2A28" w:rsidP="007D2A28">
      <w:pPr>
        <w:tabs>
          <w:tab w:val="left" w:pos="7097"/>
        </w:tabs>
      </w:pPr>
      <w:r>
        <w:t xml:space="preserve">Detailed implementation guidance is also available from the </w:t>
      </w:r>
      <w:hyperlink r:id="rId71" w:history="1">
        <w:r w:rsidRPr="00ED003D">
          <w:rPr>
            <w:rStyle w:val="Hyperlink"/>
          </w:rPr>
          <w:t>ACSC's website</w:t>
        </w:r>
      </w:hyperlink>
      <w:r>
        <w:t>.</w:t>
      </w:r>
    </w:p>
    <w:p w14:paraId="1491F062" w14:textId="5C0B81AE" w:rsidR="007D2A28" w:rsidRDefault="007D2A28" w:rsidP="007D2A28">
      <w:pPr>
        <w:pStyle w:val="Caption"/>
        <w:keepNext/>
      </w:pPr>
      <w:r>
        <w:t xml:space="preserve">Table </w:t>
      </w:r>
      <w:r>
        <w:fldChar w:fldCharType="begin"/>
      </w:r>
      <w:r>
        <w:instrText>STYLEREF 1 \s</w:instrText>
      </w:r>
      <w:r>
        <w:fldChar w:fldCharType="separate"/>
      </w:r>
      <w:r w:rsidR="00833EA6">
        <w:rPr>
          <w:noProof/>
        </w:rPr>
        <w:t>3</w:t>
      </w:r>
      <w:r>
        <w:fldChar w:fldCharType="end"/>
      </w:r>
      <w:r>
        <w:noBreakHyphen/>
      </w:r>
      <w:r>
        <w:fldChar w:fldCharType="begin"/>
      </w:r>
      <w:r>
        <w:instrText>SEQ Table \* ALPHABETIC \s 1</w:instrText>
      </w:r>
      <w:r>
        <w:fldChar w:fldCharType="separate"/>
      </w:r>
      <w:r w:rsidR="00833EA6">
        <w:rPr>
          <w:noProof/>
        </w:rPr>
        <w:t>I</w:t>
      </w:r>
      <w:r>
        <w:fldChar w:fldCharType="end"/>
      </w:r>
      <w:r>
        <w:t>: Essential Eight cyber security strategies</w:t>
      </w:r>
    </w:p>
    <w:tbl>
      <w:tblPr>
        <w:tblStyle w:val="DESE"/>
        <w:tblW w:w="0" w:type="auto"/>
        <w:tblLook w:val="04A0" w:firstRow="1" w:lastRow="0" w:firstColumn="1" w:lastColumn="0" w:noHBand="0" w:noVBand="1"/>
      </w:tblPr>
      <w:tblGrid>
        <w:gridCol w:w="1980"/>
        <w:gridCol w:w="7036"/>
      </w:tblGrid>
      <w:tr w:rsidR="007D2A28" w14:paraId="3B0963F9" w14:textId="77777777" w:rsidTr="0032235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0" w:type="dxa"/>
          </w:tcPr>
          <w:p w14:paraId="3DBF9F24" w14:textId="77777777" w:rsidR="007D2A28" w:rsidRPr="00671D0B" w:rsidRDefault="007D2A28" w:rsidP="00037F06">
            <w:pPr>
              <w:pStyle w:val="TableColumnHeading"/>
            </w:pPr>
            <w:r w:rsidRPr="00671D0B">
              <w:t>Control</w:t>
            </w:r>
          </w:p>
        </w:tc>
        <w:tc>
          <w:tcPr>
            <w:tcW w:w="0" w:type="dxa"/>
          </w:tcPr>
          <w:p w14:paraId="7B49031D" w14:textId="77777777" w:rsidR="007D2A28" w:rsidRPr="00671D0B" w:rsidRDefault="007D2A28" w:rsidP="00037F06">
            <w:pPr>
              <w:pStyle w:val="TableColumnHeading"/>
              <w:cnfStyle w:val="100000000000" w:firstRow="1" w:lastRow="0" w:firstColumn="0" w:lastColumn="0" w:oddVBand="0" w:evenVBand="0" w:oddHBand="0" w:evenHBand="0" w:firstRowFirstColumn="0" w:firstRowLastColumn="0" w:lastRowFirstColumn="0" w:lastRowLastColumn="0"/>
            </w:pPr>
            <w:r w:rsidRPr="00671D0B">
              <w:t xml:space="preserve">Description </w:t>
            </w:r>
          </w:p>
        </w:tc>
      </w:tr>
      <w:tr w:rsidR="007D2A28" w14:paraId="282EB664"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724D2BC9" w14:textId="77777777" w:rsidR="007D2A28" w:rsidRPr="00AE147D" w:rsidRDefault="007D2A28" w:rsidP="00037F06">
            <w:pPr>
              <w:pStyle w:val="TableFirstColumn"/>
              <w:keepNext w:val="0"/>
            </w:pPr>
            <w:r>
              <w:t>A</w:t>
            </w:r>
            <w:r w:rsidRPr="00AE147D">
              <w:t xml:space="preserve">pplication </w:t>
            </w:r>
            <w:r>
              <w:t>Control</w:t>
            </w:r>
          </w:p>
        </w:tc>
        <w:tc>
          <w:tcPr>
            <w:tcW w:w="7036" w:type="dxa"/>
          </w:tcPr>
          <w:p w14:paraId="1595A02E"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control the execution of unauthorised software. This prevents unknown and potentially malicious programs executing in your environment.</w:t>
            </w:r>
          </w:p>
        </w:tc>
      </w:tr>
      <w:tr w:rsidR="007D2A28" w14:paraId="5F64CFAB"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2317DE37" w14:textId="77777777" w:rsidR="007D2A28" w:rsidRPr="00AE147D" w:rsidRDefault="007D2A28" w:rsidP="00037F06">
            <w:pPr>
              <w:pStyle w:val="TableFirstColumn"/>
              <w:keepNext w:val="0"/>
            </w:pPr>
            <w:r>
              <w:t>P</w:t>
            </w:r>
            <w:r w:rsidRPr="00AE147D">
              <w:t xml:space="preserve">atch </w:t>
            </w:r>
            <w:r>
              <w:t>A</w:t>
            </w:r>
            <w:r w:rsidRPr="00AE147D">
              <w:t>pplications</w:t>
            </w:r>
          </w:p>
        </w:tc>
        <w:tc>
          <w:tcPr>
            <w:tcW w:w="7036" w:type="dxa"/>
          </w:tcPr>
          <w:p w14:paraId="65B4AD2F"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remediate known security vulnerabilities in application software. Security vulnerabilities in applications can be used to execute malicious code. Using the latest version of applications and promptly applying patches when vulnerabilities have been identified will keep your environment robust.</w:t>
            </w:r>
          </w:p>
        </w:tc>
      </w:tr>
      <w:tr w:rsidR="007D2A28" w14:paraId="75080139"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397FCD08" w14:textId="77777777" w:rsidR="007D2A28" w:rsidRPr="00AE147D" w:rsidRDefault="007D2A28" w:rsidP="00037F06">
            <w:pPr>
              <w:pStyle w:val="TableFirstColumn"/>
              <w:keepNext w:val="0"/>
            </w:pPr>
            <w:r w:rsidRPr="00AE147D">
              <w:t>Configure Microsoft Office macro settings</w:t>
            </w:r>
          </w:p>
        </w:tc>
        <w:tc>
          <w:tcPr>
            <w:tcW w:w="7036" w:type="dxa"/>
          </w:tcPr>
          <w:p w14:paraId="76E973AF"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block untrusted macros. Microsoft Office macros can be used to deliver and execute malicious code. This strategy will only allow macros from trusted locations with limited write access, or those digitally signed with a trusted certificate, to run.</w:t>
            </w:r>
          </w:p>
        </w:tc>
      </w:tr>
      <w:tr w:rsidR="007D2A28" w14:paraId="5A08E277"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4F23E343" w14:textId="77777777" w:rsidR="007D2A28" w:rsidRPr="00AE147D" w:rsidRDefault="007D2A28" w:rsidP="00037F06">
            <w:pPr>
              <w:pStyle w:val="TableFirstColumn"/>
              <w:keepNext w:val="0"/>
            </w:pPr>
            <w:r>
              <w:lastRenderedPageBreak/>
              <w:t>A</w:t>
            </w:r>
            <w:r w:rsidRPr="00AE147D">
              <w:t xml:space="preserve">pplication </w:t>
            </w:r>
            <w:r>
              <w:t>H</w:t>
            </w:r>
            <w:r w:rsidRPr="00AE147D">
              <w:t>ardening</w:t>
            </w:r>
          </w:p>
        </w:tc>
        <w:tc>
          <w:tcPr>
            <w:tcW w:w="7036" w:type="dxa"/>
          </w:tcPr>
          <w:p w14:paraId="2ED26F69"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protect against vulnerable functionality. Flash, ads and Java on the internet are popular ways to deliver and execute malicious code. This strategy requires the removal of unneeded features in Microsoft Office, web browsers and PDF viewers.</w:t>
            </w:r>
          </w:p>
        </w:tc>
      </w:tr>
      <w:tr w:rsidR="007D2A28" w14:paraId="472366E2"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21E4C879" w14:textId="77777777" w:rsidR="007D2A28" w:rsidRPr="00AE147D" w:rsidRDefault="007D2A28" w:rsidP="00037F06">
            <w:pPr>
              <w:pStyle w:val="TableFirstColumn"/>
              <w:keepNext w:val="0"/>
            </w:pPr>
            <w:r>
              <w:t>R</w:t>
            </w:r>
            <w:r w:rsidRPr="00AE147D">
              <w:t xml:space="preserve">estrict </w:t>
            </w:r>
            <w:r>
              <w:t>A</w:t>
            </w:r>
            <w:r w:rsidRPr="00AE147D">
              <w:t xml:space="preserve">dministrative </w:t>
            </w:r>
            <w:r>
              <w:t>P</w:t>
            </w:r>
            <w:r w:rsidRPr="00AE147D">
              <w:t xml:space="preserve">rivileges </w:t>
            </w:r>
          </w:p>
        </w:tc>
        <w:tc>
          <w:tcPr>
            <w:tcW w:w="7036" w:type="dxa"/>
          </w:tcPr>
          <w:p w14:paraId="60EB8A3E"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limit powerful access to systems. The access required by administrator accounts means they hold the keys to your IT kingdom. When compromised, adversaries use these accounts to gain full access to information and systems and move around Provider networks. Reduce this risk by minimising the number of these accounts and the level of privileges assigned to each account. Do not allow these accounts to be used to read email or web browsing.</w:t>
            </w:r>
          </w:p>
        </w:tc>
      </w:tr>
      <w:tr w:rsidR="007D2A28" w14:paraId="3ADD3B6B"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342EB755" w14:textId="77777777" w:rsidR="007D2A28" w:rsidRPr="00AE147D" w:rsidRDefault="007D2A28" w:rsidP="00037F06">
            <w:pPr>
              <w:pStyle w:val="TableFirstColumn"/>
              <w:keepNext w:val="0"/>
            </w:pPr>
            <w:r>
              <w:t>P</w:t>
            </w:r>
            <w:r w:rsidRPr="00AE147D">
              <w:t xml:space="preserve">atch </w:t>
            </w:r>
            <w:r>
              <w:t>O</w:t>
            </w:r>
            <w:r w:rsidRPr="00AE147D">
              <w:t xml:space="preserve">perating </w:t>
            </w:r>
            <w:r>
              <w:t>S</w:t>
            </w:r>
            <w:r w:rsidRPr="00AE147D">
              <w:t>ystems</w:t>
            </w:r>
          </w:p>
        </w:tc>
        <w:tc>
          <w:tcPr>
            <w:tcW w:w="7036" w:type="dxa"/>
          </w:tcPr>
          <w:p w14:paraId="7F3BF970"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remediate known security vulnerabilities. Security vulnerabilities in operating systems can be used to further the compromise of systems. Do not use unsupported versions. Using the latest version of operating systems and promptly applying patches when vulnerabilities have been identified will limit the extent of cyber security incidents.</w:t>
            </w:r>
          </w:p>
        </w:tc>
      </w:tr>
      <w:tr w:rsidR="007D2A28" w14:paraId="777C0E24"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543D49EB" w14:textId="77777777" w:rsidR="007D2A28" w:rsidRPr="00AE147D" w:rsidRDefault="007D2A28" w:rsidP="00037F06">
            <w:pPr>
              <w:pStyle w:val="TableFirstColumn"/>
              <w:keepNext w:val="0"/>
            </w:pPr>
            <w:r>
              <w:t>M</w:t>
            </w:r>
            <w:r w:rsidRPr="00AE147D">
              <w:t>ulti-</w:t>
            </w:r>
            <w:r>
              <w:t>F</w:t>
            </w:r>
            <w:r w:rsidRPr="00AE147D">
              <w:t xml:space="preserve">actor </w:t>
            </w:r>
            <w:r>
              <w:t>A</w:t>
            </w:r>
            <w:r w:rsidRPr="00AE147D">
              <w:t>uthentication</w:t>
            </w:r>
          </w:p>
        </w:tc>
        <w:tc>
          <w:tcPr>
            <w:tcW w:w="7036" w:type="dxa"/>
          </w:tcPr>
          <w:p w14:paraId="4E49923D"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protect against user accounts being inappropriately accessed. Stronger user authentication makes it harder for adversaries to access information and systems. This is particularly important when users perform higher risk activities such as gaining access remotely, performing administrative functions or when accessing sensitive data.  Providers should note that multiple password challenges in series do not constitute multi-factor authentication (MFA) – MFA requires a combination of 2 or more factors made up of secret information (such as an ID/password combination); data uniquely bound to a physical device (such as an authenticator app on a registered smartphone or a one-time SMS code), and data uniquely bound to a physical person (a biometric measure such as facial recognition or a fingerprint).</w:t>
            </w:r>
          </w:p>
        </w:tc>
      </w:tr>
      <w:tr w:rsidR="007D2A28" w14:paraId="384B144D" w14:textId="77777777" w:rsidTr="00037F06">
        <w:tc>
          <w:tcPr>
            <w:cnfStyle w:val="001000000000" w:firstRow="0" w:lastRow="0" w:firstColumn="1" w:lastColumn="0" w:oddVBand="0" w:evenVBand="0" w:oddHBand="0" w:evenHBand="0" w:firstRowFirstColumn="0" w:firstRowLastColumn="0" w:lastRowFirstColumn="0" w:lastRowLastColumn="0"/>
            <w:tcW w:w="1980" w:type="dxa"/>
          </w:tcPr>
          <w:p w14:paraId="6D376F11" w14:textId="77777777" w:rsidR="007D2A28" w:rsidRPr="00AE147D" w:rsidRDefault="007D2A28" w:rsidP="00037F06">
            <w:pPr>
              <w:pStyle w:val="TableFirstColumn"/>
              <w:keepNext w:val="0"/>
            </w:pPr>
            <w:r>
              <w:t>Regular B</w:t>
            </w:r>
            <w:r w:rsidRPr="00AE147D">
              <w:t>ackups</w:t>
            </w:r>
          </w:p>
        </w:tc>
        <w:tc>
          <w:tcPr>
            <w:tcW w:w="7036" w:type="dxa"/>
          </w:tcPr>
          <w:p w14:paraId="02ACBFEA" w14:textId="77777777" w:rsidR="007D2A28" w:rsidRDefault="007D2A28" w:rsidP="00037F06">
            <w:pPr>
              <w:pStyle w:val="TableText"/>
              <w:cnfStyle w:val="000000000000" w:firstRow="0" w:lastRow="0" w:firstColumn="0" w:lastColumn="0" w:oddVBand="0" w:evenVBand="0" w:oddHBand="0" w:evenHBand="0" w:firstRowFirstColumn="0" w:firstRowLastColumn="0" w:lastRowFirstColumn="0" w:lastRowLastColumn="0"/>
            </w:pPr>
            <w:r>
              <w:t>to maintain the availability of critical data and systems. This strategy assists with accessing information following a cyber security incident. Backups of data, software and configuration settings, stored disconnected from your main environment, can be used to recover from an incident. Regular testing of backups ensure it can be recovered, and that all critical data is covered by the backup regimen.</w:t>
            </w:r>
          </w:p>
        </w:tc>
      </w:tr>
    </w:tbl>
    <w:p w14:paraId="3356B2D4" w14:textId="77777777" w:rsidR="007D2A28" w:rsidRDefault="007D2A28" w:rsidP="007D2A28">
      <w:pPr>
        <w:pStyle w:val="Heading2"/>
      </w:pPr>
      <w:bookmarkStart w:id="798" w:name="_Toc95233343"/>
      <w:bookmarkStart w:id="799" w:name="_Toc96000588"/>
      <w:bookmarkStart w:id="800" w:name="_Toc95896826"/>
      <w:r>
        <w:t>General requirements</w:t>
      </w:r>
      <w:bookmarkEnd w:id="798"/>
      <w:bookmarkEnd w:id="799"/>
      <w:bookmarkEnd w:id="800"/>
    </w:p>
    <w:p w14:paraId="20174C3B" w14:textId="77777777" w:rsidR="007D2A28" w:rsidRPr="00EE4E3B" w:rsidRDefault="007D2A28" w:rsidP="007D2A28">
      <w:pPr>
        <w:pStyle w:val="Heading3"/>
      </w:pPr>
      <w:bookmarkStart w:id="801" w:name="_Toc95896827"/>
      <w:r>
        <w:t>Security</w:t>
      </w:r>
      <w:r w:rsidRPr="00EE4E3B">
        <w:t xml:space="preserve"> </w:t>
      </w:r>
      <w:r>
        <w:t>C</w:t>
      </w:r>
      <w:r w:rsidRPr="00EE4E3B">
        <w:t>ontact</w:t>
      </w:r>
      <w:bookmarkEnd w:id="801"/>
      <w:r w:rsidRPr="00EE4E3B">
        <w:t xml:space="preserve"> </w:t>
      </w:r>
    </w:p>
    <w:p w14:paraId="38D42569" w14:textId="77777777" w:rsidR="007D2A28" w:rsidRDefault="007D2A28" w:rsidP="007D2A28">
      <w:pPr>
        <w:spacing w:line="264" w:lineRule="auto"/>
      </w:pPr>
      <w:r>
        <w:t xml:space="preserve">Providers are required to nominate one or more Security Contact officers who will act as point of contact during the </w:t>
      </w:r>
      <w:r w:rsidRPr="00814386">
        <w:t>term</w:t>
      </w:r>
      <w:r>
        <w:t xml:space="preserve"> of their Employment Deed</w:t>
      </w:r>
      <w:r w:rsidRPr="00814386">
        <w:t>.</w:t>
      </w:r>
      <w:r>
        <w:t xml:space="preserve"> Providers are required to ensure that the contact information for Security Contact officers remains current and if there is a relevant change of Personnel that Providers update the Department within 5</w:t>
      </w:r>
      <w:r w:rsidRPr="009F2CB9">
        <w:t xml:space="preserve"> Business Days</w:t>
      </w:r>
      <w:r>
        <w:t xml:space="preserve"> of the change.</w:t>
      </w:r>
    </w:p>
    <w:p w14:paraId="3DAC0CE7" w14:textId="77777777" w:rsidR="007D2A28" w:rsidRPr="00814386" w:rsidRDefault="007D2A28" w:rsidP="007D2A28">
      <w:pPr>
        <w:pStyle w:val="Heading3"/>
      </w:pPr>
      <w:bookmarkStart w:id="802" w:name="_Toc95896828"/>
      <w:r w:rsidRPr="00814386">
        <w:lastRenderedPageBreak/>
        <w:t xml:space="preserve">Subcontractor </w:t>
      </w:r>
      <w:r>
        <w:t xml:space="preserve">and Third Party IT Vendor </w:t>
      </w:r>
      <w:r w:rsidRPr="00814386">
        <w:t>requirements</w:t>
      </w:r>
      <w:bookmarkEnd w:id="802"/>
      <w:r w:rsidRPr="00814386">
        <w:t xml:space="preserve"> </w:t>
      </w:r>
    </w:p>
    <w:p w14:paraId="0C77D901" w14:textId="77777777" w:rsidR="007D2A28" w:rsidRPr="009F2CB9" w:rsidRDefault="007D2A28" w:rsidP="007D2A28">
      <w:pPr>
        <w:spacing w:line="264" w:lineRule="auto"/>
      </w:pPr>
      <w:r w:rsidRPr="009F2CB9">
        <w:t xml:space="preserve">Providers are responsible for ensuring that any Subcontractors used in the provision of the Services </w:t>
      </w:r>
      <w:r>
        <w:t xml:space="preserve">and any Third Party IT Vendors supporting the Provider's Services </w:t>
      </w:r>
      <w:r w:rsidRPr="009F2CB9">
        <w:t xml:space="preserve">also comply with the security, privacy and data sovereignty requirements of </w:t>
      </w:r>
      <w:r w:rsidRPr="00814386">
        <w:t>their Employment</w:t>
      </w:r>
      <w:r w:rsidRPr="009F2CB9">
        <w:t xml:space="preserve"> Deed.</w:t>
      </w:r>
    </w:p>
    <w:p w14:paraId="6CCCC218" w14:textId="77777777" w:rsidR="007D2A28" w:rsidRPr="009F2CB9" w:rsidRDefault="007D2A28" w:rsidP="007D2A28">
      <w:pPr>
        <w:spacing w:line="264" w:lineRule="auto"/>
      </w:pPr>
      <w:r w:rsidRPr="009F2CB9">
        <w:t>The Provider must:</w:t>
      </w:r>
    </w:p>
    <w:p w14:paraId="063EFE8B" w14:textId="77777777" w:rsidR="007D2A28" w:rsidRDefault="007D2A28" w:rsidP="007D2A28">
      <w:pPr>
        <w:pStyle w:val="BulletLevel1"/>
      </w:pPr>
      <w:r w:rsidRPr="00DA431C">
        <w:t xml:space="preserve">ensure that its Subcontractors successfully complete the required </w:t>
      </w:r>
      <w:r>
        <w:t>P</w:t>
      </w:r>
      <w:r w:rsidRPr="009466DC">
        <w:t>ersonnel</w:t>
      </w:r>
      <w:r w:rsidRPr="00DA431C">
        <w:t xml:space="preserve"> vetting processes, and bear any costs associated with doing so</w:t>
      </w:r>
      <w:r>
        <w:t>.</w:t>
      </w:r>
    </w:p>
    <w:p w14:paraId="39B7DCA9" w14:textId="77777777" w:rsidR="007D2A28" w:rsidRDefault="007D2A28" w:rsidP="007D2A28">
      <w:pPr>
        <w:pStyle w:val="BulletLevel1"/>
      </w:pPr>
      <w:r>
        <w:t xml:space="preserve">ensure that its Subcontractors and its Third Party IT Vendors are aware of, and comply with, the same security requirements that are placed on the Provider by the Department.  </w:t>
      </w:r>
      <w:r w:rsidRPr="009466DC">
        <w:t xml:space="preserve">This </w:t>
      </w:r>
      <w:r w:rsidRPr="009F2CB9">
        <w:t>includes</w:t>
      </w:r>
      <w:r>
        <w:t xml:space="preserve"> consideration and implementation of ISM OFFICIAL controls that are relevant to the scope of services provided by the Subcontractor or Third Party IT service provider.</w:t>
      </w:r>
    </w:p>
    <w:p w14:paraId="5D9901C8" w14:textId="77777777" w:rsidR="007D2A28" w:rsidRPr="00EE4E3B" w:rsidRDefault="007D2A28" w:rsidP="007D2A28">
      <w:pPr>
        <w:pStyle w:val="Heading3"/>
      </w:pPr>
      <w:bookmarkStart w:id="803" w:name="_Toc95896829"/>
      <w:r w:rsidRPr="00EE4E3B">
        <w:t>Access and information security assurance for External IT Systems</w:t>
      </w:r>
      <w:bookmarkEnd w:id="803"/>
    </w:p>
    <w:p w14:paraId="51E62CF2" w14:textId="77777777" w:rsidR="007D2A28" w:rsidRPr="00221338" w:rsidRDefault="007D2A28" w:rsidP="007D2A28">
      <w:pPr>
        <w:spacing w:line="264" w:lineRule="auto"/>
      </w:pPr>
      <w:r>
        <w:t xml:space="preserve">Providers (including any </w:t>
      </w:r>
      <w:r w:rsidRPr="009F2CB9">
        <w:t>Subcontractors</w:t>
      </w:r>
      <w:r>
        <w:t xml:space="preserve">) who use </w:t>
      </w:r>
      <w:r w:rsidRPr="642206D3">
        <w:t>an External IT System in association with the delivery of the Services m</w:t>
      </w:r>
      <w:r>
        <w:t xml:space="preserve">ust ensure that any External IT System used: </w:t>
      </w:r>
    </w:p>
    <w:p w14:paraId="06573136" w14:textId="77777777" w:rsidR="007D2A28" w:rsidRDefault="007D2A28" w:rsidP="007D2A28">
      <w:pPr>
        <w:pStyle w:val="BulletLevel1"/>
      </w:pPr>
      <w:r w:rsidRPr="009F2CB9">
        <w:rPr>
          <w:lang w:eastAsia="en-AU"/>
        </w:rPr>
        <w:t xml:space="preserve">does not negatively impact the performance, availability or data integrity of the </w:t>
      </w:r>
      <w:r w:rsidRPr="00814386">
        <w:rPr>
          <w:lang w:eastAsia="en-AU"/>
        </w:rPr>
        <w:t>Department’s IT Systems</w:t>
      </w:r>
    </w:p>
    <w:p w14:paraId="5A078A4E" w14:textId="77777777" w:rsidR="007D2A28" w:rsidRPr="00C0023D" w:rsidRDefault="007D2A28" w:rsidP="007D2A28">
      <w:pPr>
        <w:pStyle w:val="BulletLevel1"/>
      </w:pPr>
      <w:r w:rsidRPr="00814386">
        <w:rPr>
          <w:lang w:eastAsia="en-AU"/>
        </w:rPr>
        <w:t xml:space="preserve">does not breach </w:t>
      </w:r>
      <w:r w:rsidRPr="00814386">
        <w:t xml:space="preserve">Employment </w:t>
      </w:r>
      <w:r w:rsidRPr="00814386">
        <w:rPr>
          <w:lang w:eastAsia="en-AU"/>
        </w:rPr>
        <w:t>D</w:t>
      </w:r>
      <w:r w:rsidDel="00DA1016">
        <w:t>eed</w:t>
      </w:r>
      <w:r>
        <w:t xml:space="preserve"> requirements relating to security, privacy and data sovereignty</w:t>
      </w:r>
    </w:p>
    <w:p w14:paraId="6E51BA2F" w14:textId="77777777" w:rsidR="007D2A28" w:rsidRPr="00C0023D" w:rsidRDefault="007D2A28" w:rsidP="007D2A28">
      <w:pPr>
        <w:pStyle w:val="BulletLevel1"/>
      </w:pPr>
      <w:r w:rsidRPr="009F2CB9">
        <w:rPr>
          <w:lang w:eastAsia="en-AU"/>
        </w:rPr>
        <w:t>meets the relevant requirements of the ESAF</w:t>
      </w:r>
    </w:p>
    <w:p w14:paraId="506093D6" w14:textId="77777777" w:rsidR="007D2A28" w:rsidRPr="00C0023D" w:rsidRDefault="007D2A28" w:rsidP="007D2A28">
      <w:pPr>
        <w:pStyle w:val="BulletLevel1"/>
      </w:pPr>
      <w:r w:rsidRPr="009F2CB9">
        <w:rPr>
          <w:lang w:eastAsia="en-AU"/>
        </w:rPr>
        <w:t>does not introduce or</w:t>
      </w:r>
      <w:r w:rsidRPr="642206D3">
        <w:t xml:space="preserve"> permit the introduction of Malicious Code into the Department’s IT Systems</w:t>
      </w:r>
    </w:p>
    <w:p w14:paraId="24144ED6" w14:textId="77777777" w:rsidR="007D2A28" w:rsidRPr="00C0023D" w:rsidRDefault="007D2A28" w:rsidP="007D2A28">
      <w:pPr>
        <w:pStyle w:val="BulletLevel1"/>
      </w:pPr>
      <w:r w:rsidRPr="009F2CB9">
        <w:rPr>
          <w:lang w:eastAsia="en-AU"/>
        </w:rPr>
        <w:t>has secure log ons for each operator such that each operator’s logon is uniquely identifiable to the Department and entries are traceable, and have date and time stamps</w:t>
      </w:r>
      <w:r>
        <w:rPr>
          <w:lang w:eastAsia="en-AU"/>
        </w:rPr>
        <w:t>, and</w:t>
      </w:r>
    </w:p>
    <w:p w14:paraId="3A213645" w14:textId="77777777" w:rsidR="007D2A28" w:rsidRPr="005C6A04" w:rsidRDefault="007D2A28" w:rsidP="007D2A28">
      <w:pPr>
        <w:pStyle w:val="BulletLevel1"/>
        <w:rPr>
          <w:lang w:eastAsia="en-AU"/>
        </w:rPr>
      </w:pPr>
      <w:r w:rsidRPr="005C6A04">
        <w:rPr>
          <w:lang w:eastAsia="en-AU"/>
        </w:rPr>
        <w:t>does no</w:t>
      </w:r>
      <w:r w:rsidRPr="642206D3">
        <w:t>t default answers to questions or input fields where the Department’s IT Systems has no default setting</w:t>
      </w:r>
    </w:p>
    <w:p w14:paraId="272BB655" w14:textId="77777777" w:rsidR="007D2A28" w:rsidRPr="005C6A04" w:rsidRDefault="007D2A28" w:rsidP="007D2A28">
      <w:pPr>
        <w:pStyle w:val="BulletLevel1"/>
        <w:rPr>
          <w:lang w:eastAsia="en-AU"/>
        </w:rPr>
      </w:pPr>
      <w:r w:rsidRPr="005C6A04">
        <w:t>is not used to Access the Department’s IT Systems without the Department’s written approval.</w:t>
      </w:r>
    </w:p>
    <w:p w14:paraId="52FE965F" w14:textId="77777777" w:rsidR="007D2A28" w:rsidRPr="00EE4E3B" w:rsidRDefault="007D2A28" w:rsidP="007D2A28">
      <w:pPr>
        <w:pStyle w:val="Heading3"/>
      </w:pPr>
      <w:bookmarkStart w:id="804" w:name="_Toc95896830"/>
      <w:r w:rsidRPr="00EE4E3B">
        <w:t>Cloud Services Providers</w:t>
      </w:r>
      <w:bookmarkEnd w:id="804"/>
    </w:p>
    <w:p w14:paraId="0BDB9CE5" w14:textId="77777777" w:rsidR="007D2A28" w:rsidRDefault="007D2A28" w:rsidP="007D2A28">
      <w:pPr>
        <w:spacing w:line="264" w:lineRule="auto"/>
      </w:pPr>
      <w:r>
        <w:t xml:space="preserve">In November 2021, the Digital Transformation Agency (DTA) released the Hosting Certification Framework. This Framework states that all information defined as government information must be hosted with the appropriate level of privacy, sovereignty and security controls. </w:t>
      </w:r>
    </w:p>
    <w:p w14:paraId="031EC3A1" w14:textId="77777777" w:rsidR="007D2A28" w:rsidRDefault="007D2A28" w:rsidP="007D2A28">
      <w:pPr>
        <w:spacing w:line="264" w:lineRule="auto"/>
        <w:rPr>
          <w:rFonts w:ascii="Calibri" w:eastAsia="Times New Roman" w:hAnsi="Calibri" w:cs="Times New Roman"/>
          <w:lang w:eastAsia="en-AU"/>
        </w:rPr>
      </w:pPr>
      <w:r>
        <w:t xml:space="preserve">The DTA maintains a list of </w:t>
      </w:r>
      <w:hyperlink r:id="rId72" w:history="1">
        <w:r w:rsidRPr="003A56ED">
          <w:rPr>
            <w:rStyle w:val="Hyperlink"/>
          </w:rPr>
          <w:t>Certified Cloud Hosting Services</w:t>
        </w:r>
      </w:hyperlink>
      <w:r>
        <w:t xml:space="preserve">. The Department will provide advice to Providers on what this will mean towards achieving RFFR accreditation. However, it is important to note that Providers remain </w:t>
      </w:r>
      <w:r w:rsidRPr="00F7743A">
        <w:t xml:space="preserve">responsible for protecting the confidentiality, integrity, and availability of data through </w:t>
      </w:r>
      <w:r>
        <w:t>their</w:t>
      </w:r>
      <w:r w:rsidRPr="00F7743A">
        <w:t xml:space="preserve"> own assurance and risk management activitie</w:t>
      </w:r>
      <w:r>
        <w:t>s.</w:t>
      </w:r>
    </w:p>
    <w:p w14:paraId="4E43A113" w14:textId="77777777" w:rsidR="007D2A28" w:rsidRPr="00EE4E3B" w:rsidRDefault="007D2A28" w:rsidP="007D2A28">
      <w:pPr>
        <w:pStyle w:val="Heading3"/>
      </w:pPr>
      <w:bookmarkStart w:id="805" w:name="_Toc95896831"/>
      <w:r w:rsidRPr="00EE4E3B">
        <w:t>Breaches of security requirements</w:t>
      </w:r>
      <w:bookmarkEnd w:id="805"/>
    </w:p>
    <w:p w14:paraId="1387287B" w14:textId="77777777" w:rsidR="007D2A28" w:rsidRPr="00E35249" w:rsidRDefault="007D2A28" w:rsidP="007D2A28">
      <w:pPr>
        <w:spacing w:line="264" w:lineRule="auto"/>
      </w:pPr>
      <w:r>
        <w:t xml:space="preserve">Where the Department considers that the Provider has breached </w:t>
      </w:r>
      <w:r w:rsidRPr="00814386">
        <w:t>their Employment</w:t>
      </w:r>
      <w:r>
        <w:t xml:space="preserve"> Deed, including RFFR or security requirements, </w:t>
      </w:r>
      <w:r w:rsidRPr="00F74196">
        <w:t xml:space="preserve">or there is a risk of such a breach, </w:t>
      </w:r>
      <w:r>
        <w:t xml:space="preserve">the Department may </w:t>
      </w:r>
      <w:r w:rsidRPr="00F74196">
        <w:t xml:space="preserve">immediately </w:t>
      </w:r>
      <w:r>
        <w:t xml:space="preserve">suspend Access, or require the Provider to cease all Access, to the Department’s IT Systems. </w:t>
      </w:r>
      <w:r w:rsidRPr="00F74196">
        <w:t>Where the Department determines that the Provider is in breach of, or has previously breached</w:t>
      </w:r>
      <w:r>
        <w:t xml:space="preserve">, relevant </w:t>
      </w:r>
      <w:r>
        <w:lastRenderedPageBreak/>
        <w:t>requirements, the Department may immediately take action including any one or more of the following:</w:t>
      </w:r>
    </w:p>
    <w:p w14:paraId="4328A13E" w14:textId="77777777" w:rsidR="007D2A28" w:rsidRPr="00C0023D" w:rsidRDefault="007D2A28" w:rsidP="007D2A28">
      <w:pPr>
        <w:pStyle w:val="BulletLevel1"/>
      </w:pPr>
      <w:r w:rsidRPr="009F2CB9">
        <w:rPr>
          <w:rFonts w:ascii="Calibri" w:eastAsia="Times New Roman" w:hAnsi="Calibri" w:cs="Times New Roman"/>
          <w:lang w:eastAsia="en-AU"/>
        </w:rPr>
        <w:t>suspending, terminating, or requiring the c</w:t>
      </w:r>
      <w:r w:rsidRPr="00C0023D">
        <w:t xml:space="preserve">essation of all </w:t>
      </w:r>
      <w:r>
        <w:t>a</w:t>
      </w:r>
      <w:r w:rsidRPr="00C0023D">
        <w:t xml:space="preserve">ccess to the Department’s IT Systems for any </w:t>
      </w:r>
      <w:r>
        <w:t xml:space="preserve">Provider </w:t>
      </w:r>
      <w:r w:rsidRPr="00C0023D">
        <w:t xml:space="preserve">Personnel, Subcontractor, Third Party IT Vendor, External IT System or the Provider; </w:t>
      </w:r>
    </w:p>
    <w:p w14:paraId="08BEA7F6" w14:textId="77777777" w:rsidR="007D2A28" w:rsidRPr="00C0023D" w:rsidRDefault="007D2A28" w:rsidP="007D2A28">
      <w:pPr>
        <w:pStyle w:val="BulletLevel1"/>
      </w:pPr>
      <w:r w:rsidRPr="009F2CB9">
        <w:rPr>
          <w:lang w:eastAsia="en-AU"/>
        </w:rPr>
        <w:t xml:space="preserve">requiring the Provider to obtain new logon IDs for any </w:t>
      </w:r>
      <w:r>
        <w:t xml:space="preserve">Provider </w:t>
      </w:r>
      <w:r w:rsidRPr="009F2CB9">
        <w:rPr>
          <w:lang w:eastAsia="en-AU"/>
        </w:rPr>
        <w:t xml:space="preserve">Personnel, Subcontractor or Third Party IT Vendor and, if so required, the Provider must promptly obtain such new logons; or </w:t>
      </w:r>
    </w:p>
    <w:p w14:paraId="153E3314" w14:textId="77777777" w:rsidR="007D2A28" w:rsidRPr="00810181" w:rsidRDefault="007D2A28" w:rsidP="007D2A28">
      <w:pPr>
        <w:pStyle w:val="BulletLevel1"/>
      </w:pPr>
      <w:r w:rsidRPr="009551E9">
        <w:rPr>
          <w:rFonts w:ascii="Calibri" w:eastAsia="Times New Roman" w:hAnsi="Calibri" w:cs="Times New Roman"/>
          <w:lang w:eastAsia="en-AU"/>
        </w:rPr>
        <w:t>requiring the Provider to prepare and implement an IT security plan to the De</w:t>
      </w:r>
      <w:r w:rsidRPr="00C0023D">
        <w:t xml:space="preserve">partment’s satisfaction, and if so required, the Provider must do so within the timeframe required by the Department. </w:t>
      </w:r>
    </w:p>
    <w:p w14:paraId="17722EE3" w14:textId="0A1F8DB9" w:rsidR="00701CD5" w:rsidRPr="00D15411" w:rsidRDefault="00701CD5" w:rsidP="00E61691">
      <w:pPr>
        <w:pStyle w:val="1AllTextNormalParagraph"/>
      </w:pPr>
      <w:bookmarkStart w:id="806" w:name="_Toc87444856"/>
      <w:bookmarkStart w:id="807" w:name="_Toc87451905"/>
      <w:bookmarkStart w:id="808" w:name="_Toc87451954"/>
      <w:bookmarkStart w:id="809" w:name="_Toc87452001"/>
      <w:bookmarkStart w:id="810" w:name="_Toc87444857"/>
      <w:bookmarkStart w:id="811" w:name="_Toc87451906"/>
      <w:bookmarkStart w:id="812" w:name="_Toc87451955"/>
      <w:bookmarkStart w:id="813" w:name="_Toc87452002"/>
      <w:bookmarkStart w:id="814" w:name="_Toc87444858"/>
      <w:bookmarkStart w:id="815" w:name="_Toc87451907"/>
      <w:bookmarkStart w:id="816" w:name="_Toc87451956"/>
      <w:bookmarkStart w:id="817" w:name="_Toc87452003"/>
      <w:bookmarkStart w:id="818" w:name="_Toc87444859"/>
      <w:bookmarkStart w:id="819" w:name="_Toc87451908"/>
      <w:bookmarkStart w:id="820" w:name="_Toc87451957"/>
      <w:bookmarkStart w:id="821" w:name="_Toc87452004"/>
      <w:bookmarkStart w:id="822" w:name="_Toc87444860"/>
      <w:bookmarkStart w:id="823" w:name="_Toc87451909"/>
      <w:bookmarkStart w:id="824" w:name="_Toc87451958"/>
      <w:bookmarkStart w:id="825" w:name="_Toc87452005"/>
      <w:bookmarkStart w:id="826" w:name="_Toc87444861"/>
      <w:bookmarkStart w:id="827" w:name="_Toc87451910"/>
      <w:bookmarkStart w:id="828" w:name="_Toc87451959"/>
      <w:bookmarkStart w:id="829" w:name="_Toc87452006"/>
      <w:bookmarkStart w:id="830" w:name="_Toc87444862"/>
      <w:bookmarkStart w:id="831" w:name="_Toc87451911"/>
      <w:bookmarkStart w:id="832" w:name="_Toc87451960"/>
      <w:bookmarkStart w:id="833" w:name="_Toc87452007"/>
      <w:bookmarkStart w:id="834" w:name="_Toc87444863"/>
      <w:bookmarkStart w:id="835" w:name="_Toc87451912"/>
      <w:bookmarkStart w:id="836" w:name="_Toc87451961"/>
      <w:bookmarkStart w:id="837" w:name="_Toc87452008"/>
      <w:bookmarkStart w:id="838" w:name="_Toc88058423"/>
      <w:bookmarkStart w:id="839" w:name="_Toc88127613"/>
      <w:bookmarkStart w:id="840" w:name="_Toc88058424"/>
      <w:bookmarkStart w:id="841" w:name="_Toc88127614"/>
      <w:bookmarkStart w:id="842" w:name="_Recognising_challenging_behaviour"/>
      <w:bookmarkStart w:id="843" w:name="_Managing_a_challenging"/>
      <w:bookmarkStart w:id="844" w:name="_General_considerations"/>
      <w:bookmarkStart w:id="845" w:name="_Incident_reporting_and"/>
      <w:bookmarkStart w:id="846" w:name="_Incident_reporting"/>
      <w:bookmarkStart w:id="847" w:name="_Completing_a_Job"/>
      <w:bookmarkStart w:id="848" w:name="_Post-incident_servicing"/>
      <w:bookmarkStart w:id="849" w:name="_Servicing_Strategies"/>
      <w:bookmarkStart w:id="850" w:name="_Service_Channel_Restrictions"/>
      <w:bookmarkStart w:id="851" w:name="_One_Main_Contact"/>
      <w:bookmarkEnd w:id="122"/>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sectPr w:rsidR="00701CD5" w:rsidRPr="00D15411" w:rsidSect="00687616">
      <w:headerReference w:type="default" r:id="rId73"/>
      <w:pgSz w:w="11906" w:h="16838"/>
      <w:pgMar w:top="1440" w:right="1440" w:bottom="1440" w:left="1440" w:header="142"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FEE92" w14:textId="77777777" w:rsidR="00687616" w:rsidRDefault="00687616" w:rsidP="00977D5C">
      <w:pPr>
        <w:spacing w:line="240" w:lineRule="auto"/>
      </w:pPr>
      <w:r>
        <w:separator/>
      </w:r>
    </w:p>
  </w:endnote>
  <w:endnote w:type="continuationSeparator" w:id="0">
    <w:p w14:paraId="39D66B85" w14:textId="77777777" w:rsidR="00687616" w:rsidRDefault="00687616" w:rsidP="00977D5C">
      <w:pPr>
        <w:spacing w:line="240" w:lineRule="auto"/>
      </w:pPr>
      <w:r>
        <w:continuationSeparator/>
      </w:r>
    </w:p>
  </w:endnote>
  <w:endnote w:type="continuationNotice" w:id="1">
    <w:p w14:paraId="5C8937C8" w14:textId="77777777" w:rsidR="00687616" w:rsidRDefault="006876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7A7C" w14:textId="286F1676" w:rsidR="00026BD0" w:rsidRPr="00054DE8" w:rsidRDefault="00026BD0" w:rsidP="00530B68">
    <w:pPr>
      <w:pStyle w:val="Footer"/>
      <w:rPr>
        <w:szCs w:val="20"/>
      </w:rPr>
    </w:pPr>
    <w:r w:rsidRPr="001F19A3">
      <w:rPr>
        <w:szCs w:val="20"/>
      </w:rPr>
      <w:t xml:space="preserve">Effective from: </w:t>
    </w:r>
    <w:r w:rsidR="000F098F">
      <w:t>1</w:t>
    </w:r>
    <w:r w:rsidR="008B10EF">
      <w:t xml:space="preserve"> </w:t>
    </w:r>
    <w:r w:rsidR="00DF178C">
      <w:t xml:space="preserve">April </w:t>
    </w:r>
    <w:r w:rsidR="000F098F">
      <w:t>202</w:t>
    </w:r>
    <w:r w:rsidR="003279EF">
      <w:t>4</w:t>
    </w:r>
    <w:r w:rsidRPr="001F19A3">
      <w:rPr>
        <w:szCs w:val="20"/>
      </w:rPr>
      <w:tab/>
    </w:r>
    <w:r w:rsidRPr="001F19A3">
      <w:rPr>
        <w:szCs w:val="20"/>
      </w:rPr>
      <w:tab/>
      <w:t xml:space="preserve">Page </w:t>
    </w:r>
    <w:r w:rsidRPr="00565483">
      <w:rPr>
        <w:b/>
        <w:bCs/>
        <w:szCs w:val="20"/>
      </w:rPr>
      <w:fldChar w:fldCharType="begin"/>
    </w:r>
    <w:r w:rsidRPr="00565483">
      <w:rPr>
        <w:b/>
        <w:bCs/>
        <w:szCs w:val="20"/>
      </w:rPr>
      <w:instrText xml:space="preserve"> PAGE   \* MERGEFORMAT </w:instrText>
    </w:r>
    <w:r w:rsidRPr="00565483">
      <w:rPr>
        <w:b/>
        <w:bCs/>
        <w:szCs w:val="20"/>
      </w:rPr>
      <w:fldChar w:fldCharType="separate"/>
    </w:r>
    <w:r w:rsidRPr="00565483">
      <w:rPr>
        <w:b/>
        <w:bCs/>
        <w:szCs w:val="20"/>
      </w:rPr>
      <w:t>1</w:t>
    </w:r>
    <w:r w:rsidRPr="00565483">
      <w:rPr>
        <w:b/>
        <w:bCs/>
        <w:szCs w:val="20"/>
      </w:rPr>
      <w:fldChar w:fldCharType="end"/>
    </w:r>
    <w:r w:rsidRPr="001F19A3">
      <w:rPr>
        <w:szCs w:val="20"/>
      </w:rPr>
      <w:t xml:space="preserve"> of </w:t>
    </w:r>
    <w:r w:rsidRPr="00565483">
      <w:rPr>
        <w:b/>
        <w:bCs/>
        <w:szCs w:val="20"/>
      </w:rPr>
      <w:fldChar w:fldCharType="begin"/>
    </w:r>
    <w:r w:rsidRPr="00565483">
      <w:rPr>
        <w:b/>
        <w:bCs/>
        <w:szCs w:val="20"/>
      </w:rPr>
      <w:instrText xml:space="preserve"> NUMPAGES   \* MERGEFORMAT </w:instrText>
    </w:r>
    <w:r w:rsidRPr="00565483">
      <w:rPr>
        <w:b/>
        <w:bCs/>
        <w:szCs w:val="20"/>
      </w:rPr>
      <w:fldChar w:fldCharType="separate"/>
    </w:r>
    <w:r w:rsidRPr="00565483">
      <w:rPr>
        <w:b/>
        <w:bCs/>
        <w:szCs w:val="20"/>
      </w:rPr>
      <w:t>8</w:t>
    </w:r>
    <w:r w:rsidRPr="00565483">
      <w:rPr>
        <w:b/>
        <w:bCs/>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6151D" w14:textId="77777777" w:rsidR="007D2A28" w:rsidRPr="009C1535" w:rsidRDefault="007D2A28" w:rsidP="00761E4F">
    <w:pPr>
      <w:pStyle w:val="Footer"/>
      <w:pBdr>
        <w:top w:val="single" w:sz="4" w:space="1" w:color="767171" w:themeColor="background2" w:themeShade="80"/>
      </w:pBdr>
    </w:pPr>
    <w:r w:rsidRPr="00417F48">
      <w:rPr>
        <w:szCs w:val="20"/>
        <w:highlight w:val="yellow"/>
      </w:rPr>
      <w:t>Effective</w:t>
    </w:r>
    <w:r>
      <w:rPr>
        <w:szCs w:val="20"/>
        <w:highlight w:val="yellow"/>
      </w:rPr>
      <w:t xml:space="preserve"> </w:t>
    </w:r>
    <w:r w:rsidRPr="00417F48">
      <w:rPr>
        <w:szCs w:val="20"/>
        <w:highlight w:val="yellow"/>
      </w:rPr>
      <w:t>from:</w:t>
    </w:r>
    <w:r>
      <w:rPr>
        <w:szCs w:val="20"/>
        <w:highlight w:val="yellow"/>
      </w:rPr>
      <w:t xml:space="preserve"> </w:t>
    </w:r>
    <w:r w:rsidRPr="00417F48">
      <w:rPr>
        <w:szCs w:val="20"/>
        <w:highlight w:val="yellow"/>
      </w:rPr>
      <w:t>1</w:t>
    </w:r>
    <w:r>
      <w:rPr>
        <w:szCs w:val="20"/>
        <w:highlight w:val="yellow"/>
      </w:rPr>
      <w:t xml:space="preserve"> </w:t>
    </w:r>
    <w:r w:rsidRPr="00417F48">
      <w:rPr>
        <w:szCs w:val="20"/>
        <w:highlight w:val="yellow"/>
      </w:rPr>
      <w:t>January</w:t>
    </w:r>
    <w:r>
      <w:rPr>
        <w:szCs w:val="20"/>
        <w:highlight w:val="yellow"/>
      </w:rPr>
      <w:t xml:space="preserve"> </w:t>
    </w:r>
    <w:r w:rsidRPr="00417F48">
      <w:rPr>
        <w:szCs w:val="20"/>
        <w:highlight w:val="yellow"/>
      </w:rPr>
      <w:t>2020</w:t>
    </w:r>
    <w:r w:rsidRPr="00417F48">
      <w:rPr>
        <w:szCs w:val="20"/>
        <w:highlight w:val="yellow"/>
      </w:rPr>
      <w:tab/>
      <w:t>Version</w:t>
    </w:r>
    <w:r>
      <w:rPr>
        <w:szCs w:val="20"/>
        <w:highlight w:val="yellow"/>
      </w:rPr>
      <w:t xml:space="preserve"> 2.3 </w:t>
    </w:r>
    <w:r w:rsidRPr="00417F48">
      <w:rPr>
        <w:szCs w:val="20"/>
        <w:highlight w:val="yellow"/>
      </w:rPr>
      <w:t>TRIM</w:t>
    </w:r>
    <w:r>
      <w:rPr>
        <w:szCs w:val="20"/>
        <w:highlight w:val="yellow"/>
      </w:rPr>
      <w:t xml:space="preserve"> </w:t>
    </w:r>
    <w:r w:rsidRPr="00417F48">
      <w:rPr>
        <w:szCs w:val="20"/>
        <w:highlight w:val="yellow"/>
      </w:rPr>
      <w:t>ID:</w:t>
    </w:r>
    <w:r w:rsidRPr="001F19A3">
      <w:rPr>
        <w:szCs w:val="20"/>
      </w:rPr>
      <w:tab/>
      <w:t>Page</w:t>
    </w:r>
    <w:r>
      <w:rPr>
        <w:szCs w:val="20"/>
      </w:rPr>
      <w:t xml:space="preserve"> </w:t>
    </w:r>
    <w:r w:rsidRPr="001F19A3">
      <w:rPr>
        <w:szCs w:val="20"/>
      </w:rPr>
      <w:fldChar w:fldCharType="begin"/>
    </w:r>
    <w:r w:rsidRPr="001F19A3">
      <w:rPr>
        <w:szCs w:val="20"/>
      </w:rPr>
      <w:instrText xml:space="preserve"> PAGE   \* MERGEFORMAT </w:instrText>
    </w:r>
    <w:r w:rsidRPr="001F19A3">
      <w:rPr>
        <w:szCs w:val="20"/>
      </w:rPr>
      <w:fldChar w:fldCharType="separate"/>
    </w:r>
    <w:r>
      <w:rPr>
        <w:noProof/>
        <w:szCs w:val="20"/>
      </w:rPr>
      <w:t>4</w:t>
    </w:r>
    <w:r w:rsidRPr="001F19A3">
      <w:rPr>
        <w:szCs w:val="20"/>
      </w:rPr>
      <w:fldChar w:fldCharType="end"/>
    </w:r>
    <w:r>
      <w:rPr>
        <w:szCs w:val="20"/>
      </w:rPr>
      <w:t xml:space="preserve"> </w:t>
    </w:r>
    <w:r w:rsidRPr="001F19A3">
      <w:rPr>
        <w:szCs w:val="20"/>
      </w:rPr>
      <w:t>of</w:t>
    </w:r>
    <w:r>
      <w:rPr>
        <w:szCs w:val="20"/>
      </w:rPr>
      <w:t xml:space="preserve"> </w:t>
    </w:r>
    <w:r w:rsidRPr="001F19A3">
      <w:rPr>
        <w:szCs w:val="20"/>
      </w:rPr>
      <w:fldChar w:fldCharType="begin"/>
    </w:r>
    <w:r w:rsidRPr="001F19A3">
      <w:rPr>
        <w:szCs w:val="20"/>
      </w:rPr>
      <w:instrText xml:space="preserve"> NUMPAGES   \* MERGEFORMAT </w:instrText>
    </w:r>
    <w:r w:rsidRPr="001F19A3">
      <w:rPr>
        <w:szCs w:val="20"/>
      </w:rPr>
      <w:fldChar w:fldCharType="separate"/>
    </w:r>
    <w:r>
      <w:rPr>
        <w:noProof/>
        <w:szCs w:val="20"/>
      </w:rPr>
      <w:t>29</w:t>
    </w:r>
    <w:r w:rsidRPr="001F19A3">
      <w:rP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24B15" w14:textId="77777777" w:rsidR="00687616" w:rsidRDefault="00687616" w:rsidP="00977D5C">
      <w:pPr>
        <w:spacing w:line="240" w:lineRule="auto"/>
      </w:pPr>
      <w:r>
        <w:separator/>
      </w:r>
    </w:p>
  </w:footnote>
  <w:footnote w:type="continuationSeparator" w:id="0">
    <w:p w14:paraId="52B00CFD" w14:textId="77777777" w:rsidR="00687616" w:rsidRDefault="00687616" w:rsidP="00977D5C">
      <w:pPr>
        <w:spacing w:line="240" w:lineRule="auto"/>
      </w:pPr>
      <w:r>
        <w:continuationSeparator/>
      </w:r>
    </w:p>
  </w:footnote>
  <w:footnote w:type="continuationNotice" w:id="1">
    <w:p w14:paraId="5D180C23" w14:textId="77777777" w:rsidR="00687616" w:rsidRDefault="00687616">
      <w:pPr>
        <w:spacing w:line="240" w:lineRule="auto"/>
      </w:pPr>
    </w:p>
  </w:footnote>
  <w:footnote w:id="2">
    <w:p w14:paraId="31585CE0" w14:textId="69063C72" w:rsidR="00932696" w:rsidRDefault="00932696">
      <w:pPr>
        <w:pStyle w:val="FootnoteText"/>
      </w:pPr>
      <w:r>
        <w:rPr>
          <w:rStyle w:val="FootnoteReference"/>
        </w:rPr>
        <w:footnoteRef/>
      </w:r>
      <w:r>
        <w:t xml:space="preserve"> </w:t>
      </w:r>
      <w:r w:rsidR="001D0D7E">
        <w:t xml:space="preserve">The Privacy </w:t>
      </w:r>
      <w:r w:rsidR="005C642D">
        <w:t xml:space="preserve">Consent Form for Time to Work Employment Services can be found </w:t>
      </w:r>
      <w:r w:rsidR="005858F9">
        <w:t xml:space="preserve">on the </w:t>
      </w:r>
      <w:hyperlink r:id="rId1" w:history="1">
        <w:r w:rsidR="005858F9" w:rsidRPr="005858F9">
          <w:rPr>
            <w:rStyle w:val="Hyperlink"/>
          </w:rPr>
          <w:t>Provider Portal</w:t>
        </w:r>
      </w:hyperlink>
      <w:r w:rsidR="005858F9">
        <w:t>.</w:t>
      </w:r>
    </w:p>
  </w:footnote>
  <w:footnote w:id="3">
    <w:p w14:paraId="630CEF38" w14:textId="2A7E33CF" w:rsidR="00665633" w:rsidRDefault="00665633">
      <w:pPr>
        <w:pStyle w:val="FootnoteText"/>
      </w:pPr>
      <w:r>
        <w:rPr>
          <w:rStyle w:val="FootnoteReference"/>
        </w:rPr>
        <w:footnoteRef/>
      </w:r>
      <w:r>
        <w:t xml:space="preserve"> </w:t>
      </w:r>
      <w:r w:rsidR="00A650AE">
        <w:t xml:space="preserve">The Privacy Notification and Consent Form in Harvest Trail Services is contained in the relevant Direct Registration Form. HTS Providers should refer to the </w:t>
      </w:r>
      <w:hyperlink r:id="rId2" w:history="1">
        <w:r w:rsidR="00A650AE" w:rsidRPr="002A3265">
          <w:rPr>
            <w:rStyle w:val="Hyperlink"/>
          </w:rPr>
          <w:t>Delivering Harvest Trail Services Guidelines</w:t>
        </w:r>
      </w:hyperlink>
      <w:r w:rsidR="00A650AE">
        <w:t xml:space="preserve"> for more information.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26BD0" w14:paraId="41E1F9A6" w14:textId="77777777" w:rsidTr="00BF6921">
      <w:tc>
        <w:tcPr>
          <w:tcW w:w="3005" w:type="dxa"/>
        </w:tcPr>
        <w:p w14:paraId="4146EA18" w14:textId="77777777" w:rsidR="00026BD0" w:rsidRDefault="00026BD0" w:rsidP="00BF6921">
          <w:pPr>
            <w:pStyle w:val="Header"/>
            <w:ind w:left="-115"/>
          </w:pPr>
        </w:p>
      </w:tc>
      <w:tc>
        <w:tcPr>
          <w:tcW w:w="3005" w:type="dxa"/>
        </w:tcPr>
        <w:p w14:paraId="588F7BE7" w14:textId="77777777" w:rsidR="00026BD0" w:rsidRDefault="00026BD0" w:rsidP="00BF6921">
          <w:pPr>
            <w:pStyle w:val="Header"/>
            <w:jc w:val="center"/>
          </w:pPr>
        </w:p>
      </w:tc>
      <w:tc>
        <w:tcPr>
          <w:tcW w:w="3005" w:type="dxa"/>
        </w:tcPr>
        <w:p w14:paraId="1391226A" w14:textId="77777777" w:rsidR="00026BD0" w:rsidRDefault="00026BD0" w:rsidP="00BF6921">
          <w:pPr>
            <w:pStyle w:val="Header"/>
            <w:ind w:right="-115"/>
            <w:jc w:val="right"/>
          </w:pPr>
        </w:p>
      </w:tc>
    </w:tr>
  </w:tbl>
  <w:p w14:paraId="1533378A" w14:textId="77777777" w:rsidR="00026BD0" w:rsidRDefault="00026B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C4AC" w14:textId="77777777" w:rsidR="007D2A28" w:rsidRDefault="007D2A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FF723" w14:textId="77777777" w:rsidR="007D2A28" w:rsidRDefault="007D2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754ABEA"/>
    <w:lvl w:ilvl="0">
      <w:start w:val="1"/>
      <w:numFmt w:val="decimal"/>
      <w:lvlText w:val="%1."/>
      <w:lvlJc w:val="left"/>
      <w:pPr>
        <w:tabs>
          <w:tab w:val="num" w:pos="360"/>
        </w:tabs>
        <w:ind w:left="360" w:hanging="360"/>
      </w:pPr>
    </w:lvl>
  </w:abstractNum>
  <w:abstractNum w:abstractNumId="1" w15:restartNumberingAfterBreak="0">
    <w:nsid w:val="0071197F"/>
    <w:multiLevelType w:val="hybridMultilevel"/>
    <w:tmpl w:val="7FD69A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074B6B06"/>
    <w:multiLevelType w:val="hybridMultilevel"/>
    <w:tmpl w:val="E48ED28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3" w15:restartNumberingAfterBreak="0">
    <w:nsid w:val="07521319"/>
    <w:multiLevelType w:val="multilevel"/>
    <w:tmpl w:val="AD4E1A6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C75F11"/>
    <w:multiLevelType w:val="hybridMultilevel"/>
    <w:tmpl w:val="CAE0A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61366C"/>
    <w:multiLevelType w:val="hybridMultilevel"/>
    <w:tmpl w:val="F40866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3664FD"/>
    <w:multiLevelType w:val="hybridMultilevel"/>
    <w:tmpl w:val="9E34E28E"/>
    <w:lvl w:ilvl="0" w:tplc="0C090015">
      <w:start w:val="1"/>
      <w:numFmt w:val="upperLetter"/>
      <w:pStyle w:val="ListStyleLevel4"/>
      <w:lvlText w:val="%1."/>
      <w:lvlJc w:val="left"/>
      <w:pPr>
        <w:ind w:left="2705" w:hanging="360"/>
      </w:pPr>
    </w:lvl>
    <w:lvl w:ilvl="1" w:tplc="0C090019" w:tentative="1">
      <w:start w:val="1"/>
      <w:numFmt w:val="lowerLetter"/>
      <w:lvlText w:val="%2."/>
      <w:lvlJc w:val="left"/>
      <w:pPr>
        <w:ind w:left="3425" w:hanging="360"/>
      </w:pPr>
    </w:lvl>
    <w:lvl w:ilvl="2" w:tplc="0C09001B" w:tentative="1">
      <w:start w:val="1"/>
      <w:numFmt w:val="lowerRoman"/>
      <w:lvlText w:val="%3."/>
      <w:lvlJc w:val="right"/>
      <w:pPr>
        <w:ind w:left="4145" w:hanging="180"/>
      </w:pPr>
    </w:lvl>
    <w:lvl w:ilvl="3" w:tplc="0C09000F" w:tentative="1">
      <w:start w:val="1"/>
      <w:numFmt w:val="decimal"/>
      <w:lvlText w:val="%4."/>
      <w:lvlJc w:val="left"/>
      <w:pPr>
        <w:ind w:left="4865" w:hanging="360"/>
      </w:pPr>
    </w:lvl>
    <w:lvl w:ilvl="4" w:tplc="0C090019" w:tentative="1">
      <w:start w:val="1"/>
      <w:numFmt w:val="lowerLetter"/>
      <w:lvlText w:val="%5."/>
      <w:lvlJc w:val="left"/>
      <w:pPr>
        <w:ind w:left="5585" w:hanging="360"/>
      </w:pPr>
    </w:lvl>
    <w:lvl w:ilvl="5" w:tplc="0C09001B" w:tentative="1">
      <w:start w:val="1"/>
      <w:numFmt w:val="lowerRoman"/>
      <w:lvlText w:val="%6."/>
      <w:lvlJc w:val="right"/>
      <w:pPr>
        <w:ind w:left="6305" w:hanging="180"/>
      </w:pPr>
    </w:lvl>
    <w:lvl w:ilvl="6" w:tplc="0C09000F" w:tentative="1">
      <w:start w:val="1"/>
      <w:numFmt w:val="decimal"/>
      <w:lvlText w:val="%7."/>
      <w:lvlJc w:val="left"/>
      <w:pPr>
        <w:ind w:left="7025" w:hanging="360"/>
      </w:pPr>
    </w:lvl>
    <w:lvl w:ilvl="7" w:tplc="0C090019" w:tentative="1">
      <w:start w:val="1"/>
      <w:numFmt w:val="lowerLetter"/>
      <w:lvlText w:val="%8."/>
      <w:lvlJc w:val="left"/>
      <w:pPr>
        <w:ind w:left="7745" w:hanging="360"/>
      </w:pPr>
    </w:lvl>
    <w:lvl w:ilvl="8" w:tplc="0C09001B" w:tentative="1">
      <w:start w:val="1"/>
      <w:numFmt w:val="lowerRoman"/>
      <w:lvlText w:val="%9."/>
      <w:lvlJc w:val="right"/>
      <w:pPr>
        <w:ind w:left="8465" w:hanging="180"/>
      </w:pPr>
    </w:lvl>
  </w:abstractNum>
  <w:abstractNum w:abstractNumId="7" w15:restartNumberingAfterBreak="0">
    <w:nsid w:val="1E776379"/>
    <w:multiLevelType w:val="hybridMultilevel"/>
    <w:tmpl w:val="CE5EA8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3E05A7"/>
    <w:multiLevelType w:val="hybridMultilevel"/>
    <w:tmpl w:val="064832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4B85C7D"/>
    <w:multiLevelType w:val="hybridMultilevel"/>
    <w:tmpl w:val="F25A28CE"/>
    <w:lvl w:ilvl="0" w:tplc="0C090001">
      <w:start w:val="1"/>
      <w:numFmt w:val="bullet"/>
      <w:lvlText w:val=""/>
      <w:lvlJc w:val="left"/>
      <w:pPr>
        <w:ind w:left="769" w:hanging="360"/>
      </w:pPr>
      <w:rPr>
        <w:rFonts w:ascii="Symbol" w:hAnsi="Symbol" w:hint="default"/>
      </w:rPr>
    </w:lvl>
    <w:lvl w:ilvl="1" w:tplc="0C090003" w:tentative="1">
      <w:start w:val="1"/>
      <w:numFmt w:val="bullet"/>
      <w:lvlText w:val="o"/>
      <w:lvlJc w:val="left"/>
      <w:pPr>
        <w:ind w:left="1489" w:hanging="360"/>
      </w:pPr>
      <w:rPr>
        <w:rFonts w:ascii="Courier New" w:hAnsi="Courier New" w:cs="Courier New" w:hint="default"/>
      </w:rPr>
    </w:lvl>
    <w:lvl w:ilvl="2" w:tplc="0C090005" w:tentative="1">
      <w:start w:val="1"/>
      <w:numFmt w:val="bullet"/>
      <w:lvlText w:val=""/>
      <w:lvlJc w:val="left"/>
      <w:pPr>
        <w:ind w:left="2209" w:hanging="360"/>
      </w:pPr>
      <w:rPr>
        <w:rFonts w:ascii="Wingdings" w:hAnsi="Wingdings" w:hint="default"/>
      </w:rPr>
    </w:lvl>
    <w:lvl w:ilvl="3" w:tplc="0C090001" w:tentative="1">
      <w:start w:val="1"/>
      <w:numFmt w:val="bullet"/>
      <w:lvlText w:val=""/>
      <w:lvlJc w:val="left"/>
      <w:pPr>
        <w:ind w:left="2929" w:hanging="360"/>
      </w:pPr>
      <w:rPr>
        <w:rFonts w:ascii="Symbol" w:hAnsi="Symbol" w:hint="default"/>
      </w:rPr>
    </w:lvl>
    <w:lvl w:ilvl="4" w:tplc="0C090003" w:tentative="1">
      <w:start w:val="1"/>
      <w:numFmt w:val="bullet"/>
      <w:lvlText w:val="o"/>
      <w:lvlJc w:val="left"/>
      <w:pPr>
        <w:ind w:left="3649" w:hanging="360"/>
      </w:pPr>
      <w:rPr>
        <w:rFonts w:ascii="Courier New" w:hAnsi="Courier New" w:cs="Courier New" w:hint="default"/>
      </w:rPr>
    </w:lvl>
    <w:lvl w:ilvl="5" w:tplc="0C090005" w:tentative="1">
      <w:start w:val="1"/>
      <w:numFmt w:val="bullet"/>
      <w:lvlText w:val=""/>
      <w:lvlJc w:val="left"/>
      <w:pPr>
        <w:ind w:left="4369" w:hanging="360"/>
      </w:pPr>
      <w:rPr>
        <w:rFonts w:ascii="Wingdings" w:hAnsi="Wingdings" w:hint="default"/>
      </w:rPr>
    </w:lvl>
    <w:lvl w:ilvl="6" w:tplc="0C090001" w:tentative="1">
      <w:start w:val="1"/>
      <w:numFmt w:val="bullet"/>
      <w:lvlText w:val=""/>
      <w:lvlJc w:val="left"/>
      <w:pPr>
        <w:ind w:left="5089" w:hanging="360"/>
      </w:pPr>
      <w:rPr>
        <w:rFonts w:ascii="Symbol" w:hAnsi="Symbol" w:hint="default"/>
      </w:rPr>
    </w:lvl>
    <w:lvl w:ilvl="7" w:tplc="0C090003" w:tentative="1">
      <w:start w:val="1"/>
      <w:numFmt w:val="bullet"/>
      <w:lvlText w:val="o"/>
      <w:lvlJc w:val="left"/>
      <w:pPr>
        <w:ind w:left="5809" w:hanging="360"/>
      </w:pPr>
      <w:rPr>
        <w:rFonts w:ascii="Courier New" w:hAnsi="Courier New" w:cs="Courier New" w:hint="default"/>
      </w:rPr>
    </w:lvl>
    <w:lvl w:ilvl="8" w:tplc="0C090005" w:tentative="1">
      <w:start w:val="1"/>
      <w:numFmt w:val="bullet"/>
      <w:lvlText w:val=""/>
      <w:lvlJc w:val="left"/>
      <w:pPr>
        <w:ind w:left="6529" w:hanging="360"/>
      </w:pPr>
      <w:rPr>
        <w:rFonts w:ascii="Wingdings" w:hAnsi="Wingdings" w:hint="default"/>
      </w:rPr>
    </w:lvl>
  </w:abstractNum>
  <w:abstractNum w:abstractNumId="10" w15:restartNumberingAfterBreak="0">
    <w:nsid w:val="254636B8"/>
    <w:multiLevelType w:val="multilevel"/>
    <w:tmpl w:val="E370F3E4"/>
    <w:lvl w:ilvl="0">
      <w:start w:val="1"/>
      <w:numFmt w:val="decimal"/>
      <w:pStyle w:val="Heading1"/>
      <w:lvlText w:val="Chapter %1."/>
      <w:lvlJc w:val="left"/>
      <w:pPr>
        <w:tabs>
          <w:tab w:val="num" w:pos="4112"/>
        </w:tabs>
        <w:ind w:left="4112" w:hanging="1985"/>
      </w:pPr>
      <w:rPr>
        <w:rFonts w:hint="default"/>
      </w:rPr>
    </w:lvl>
    <w:lvl w:ilvl="1">
      <w:start w:val="1"/>
      <w:numFmt w:val="decimal"/>
      <w:pStyle w:val="Heading2"/>
      <w:lvlText w:val="%1.%2."/>
      <w:lvlJc w:val="left"/>
      <w:pPr>
        <w:tabs>
          <w:tab w:val="num" w:pos="1276"/>
        </w:tabs>
        <w:ind w:left="1276" w:hanging="1134"/>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134"/>
        </w:tabs>
        <w:ind w:left="1134" w:hanging="1134"/>
      </w:pPr>
      <w:rPr>
        <w:specVanish w:val="0"/>
      </w:rPr>
    </w:lvl>
    <w:lvl w:ilvl="3">
      <w:start w:val="1"/>
      <w:numFmt w:val="upperLetter"/>
      <w:pStyle w:val="AttachmentHeading"/>
      <w:lvlText w:val="Attachment %1%4."/>
      <w:lvlJc w:val="left"/>
      <w:pPr>
        <w:tabs>
          <w:tab w:val="num" w:pos="1134"/>
        </w:tabs>
        <w:ind w:left="1134" w:hanging="1134"/>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8DE75B2"/>
    <w:multiLevelType w:val="hybridMultilevel"/>
    <w:tmpl w:val="CC5A3410"/>
    <w:lvl w:ilvl="0" w:tplc="A3A8ED2C">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12" w15:restartNumberingAfterBreak="0">
    <w:nsid w:val="31704A0E"/>
    <w:multiLevelType w:val="hybridMultilevel"/>
    <w:tmpl w:val="B4CA5A14"/>
    <w:lvl w:ilvl="0" w:tplc="07F82968">
      <w:start w:val="1"/>
      <w:numFmt w:val="bullet"/>
      <w:pStyle w:val="DocumentaryEvidencePoint"/>
      <w:lvlText w:val=""/>
      <w:lvlJc w:val="center"/>
      <w:pPr>
        <w:ind w:left="644" w:hanging="360"/>
      </w:pPr>
      <w:rPr>
        <w:rFonts w:ascii="Wingdings" w:hAnsi="Wingdings" w:hint="default"/>
        <w:b w:val="0"/>
        <w:i w:val="0"/>
        <w:color w:val="287DB2" w:themeColor="accent6"/>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1B111CA"/>
    <w:multiLevelType w:val="hybridMultilevel"/>
    <w:tmpl w:val="A588D342"/>
    <w:lvl w:ilvl="0" w:tplc="936E78BE">
      <w:start w:val="1"/>
      <w:numFmt w:val="bullet"/>
      <w:pStyle w:val="WHS"/>
      <w:lvlText w:val=""/>
      <w:lvlJc w:val="center"/>
      <w:pPr>
        <w:ind w:left="360" w:hanging="360"/>
      </w:pPr>
      <w:rPr>
        <w:rFonts w:ascii="Wingdings 2" w:hAnsi="Wingdings 2" w:hint="default"/>
        <w:b/>
        <w:i w:val="0"/>
        <w:color w:val="F26322" w:themeColor="accent2"/>
        <w:sz w:val="32"/>
        <w:szCs w:val="3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35327890"/>
    <w:multiLevelType w:val="multilevel"/>
    <w:tmpl w:val="F9C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D5FD3"/>
    <w:multiLevelType w:val="hybridMultilevel"/>
    <w:tmpl w:val="C96A8C92"/>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6" w15:restartNumberingAfterBreak="0">
    <w:nsid w:val="38195EBD"/>
    <w:multiLevelType w:val="hybridMultilevel"/>
    <w:tmpl w:val="5404A6C8"/>
    <w:lvl w:ilvl="0" w:tplc="79F2CF26">
      <w:start w:val="1"/>
      <w:numFmt w:val="lowerLetter"/>
      <w:pStyle w:val="ListStyleLevel2"/>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D442A382">
      <w:start w:val="1"/>
      <w:numFmt w:val="lowerRoman"/>
      <w:pStyle w:val="ListStyleLevel3"/>
      <w:lvlText w:val="(%6)"/>
      <w:lvlJc w:val="right"/>
      <w:pPr>
        <w:ind w:left="4680" w:hanging="180"/>
      </w:pPr>
      <w:rPr>
        <w:rFonts w:hint="default"/>
      </w:r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3934300E"/>
    <w:multiLevelType w:val="hybridMultilevel"/>
    <w:tmpl w:val="DFA2DEDC"/>
    <w:lvl w:ilvl="0" w:tplc="0C090001">
      <w:start w:val="1"/>
      <w:numFmt w:val="bullet"/>
      <w:lvlText w:val=""/>
      <w:lvlJc w:val="left"/>
      <w:pPr>
        <w:ind w:left="720" w:hanging="360"/>
      </w:pPr>
      <w:rPr>
        <w:rFonts w:ascii="Symbol" w:hAnsi="Symbol" w:hint="default"/>
      </w:rPr>
    </w:lvl>
    <w:lvl w:ilvl="1" w:tplc="31063FF6">
      <w:start w:val="1"/>
      <w:numFmt w:val="lowerLetter"/>
      <w:lvlText w:val="%2."/>
      <w:lvlJc w:val="left"/>
      <w:pPr>
        <w:ind w:left="1440" w:hanging="360"/>
      </w:pPr>
      <w:rPr>
        <w:rFonts w:asciiTheme="minorHAnsi" w:eastAsiaTheme="minorHAnsi" w:hAnsiTheme="minorHAnsi" w:cstheme="minorBidi"/>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E061CB5"/>
    <w:multiLevelType w:val="hybridMultilevel"/>
    <w:tmpl w:val="7510630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4D49364B"/>
    <w:multiLevelType w:val="multilevel"/>
    <w:tmpl w:val="4A1E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557DB"/>
    <w:multiLevelType w:val="multilevel"/>
    <w:tmpl w:val="7EA2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931B78"/>
    <w:multiLevelType w:val="hybridMultilevel"/>
    <w:tmpl w:val="6AA49D2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22" w15:restartNumberingAfterBreak="0">
    <w:nsid w:val="55DF1F44"/>
    <w:multiLevelType w:val="hybridMultilevel"/>
    <w:tmpl w:val="D248CEDE"/>
    <w:lvl w:ilvl="0" w:tplc="B3FC70BA">
      <w:start w:val="1"/>
      <w:numFmt w:val="bullet"/>
      <w:pStyle w:val="Systemstep"/>
      <w:lvlText w:val=""/>
      <w:lvlJc w:val="center"/>
      <w:pPr>
        <w:ind w:left="644" w:hanging="360"/>
      </w:pPr>
      <w:rPr>
        <w:rFonts w:ascii="Wingdings" w:hAnsi="Wingdings" w:hint="default"/>
        <w:b w:val="0"/>
        <w:i w:val="0"/>
        <w:color w:val="B6006A" w:themeColor="accent4"/>
        <w:sz w:val="32"/>
        <w:szCs w:val="24"/>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start w:val="1"/>
      <w:numFmt w:val="bullet"/>
      <w:lvlText w:val=""/>
      <w:lvlJc w:val="left"/>
      <w:pPr>
        <w:ind w:left="4320" w:hanging="360"/>
      </w:pPr>
      <w:rPr>
        <w:rFonts w:ascii="Symbol" w:hAnsi="Symbol" w:hint="default"/>
      </w:rPr>
    </w:lvl>
    <w:lvl w:ilvl="4" w:tplc="0C090003">
      <w:start w:val="1"/>
      <w:numFmt w:val="bullet"/>
      <w:lvlText w:val="o"/>
      <w:lvlJc w:val="left"/>
      <w:pPr>
        <w:ind w:left="5040" w:hanging="360"/>
      </w:pPr>
      <w:rPr>
        <w:rFonts w:ascii="Courier New" w:hAnsi="Courier New" w:cs="Courier New" w:hint="default"/>
      </w:rPr>
    </w:lvl>
    <w:lvl w:ilvl="5" w:tplc="0C090005">
      <w:start w:val="1"/>
      <w:numFmt w:val="bullet"/>
      <w:lvlText w:val=""/>
      <w:lvlJc w:val="left"/>
      <w:pPr>
        <w:ind w:left="5760" w:hanging="360"/>
      </w:pPr>
      <w:rPr>
        <w:rFonts w:ascii="Wingdings" w:hAnsi="Wingdings" w:hint="default"/>
      </w:rPr>
    </w:lvl>
    <w:lvl w:ilvl="6" w:tplc="0C090001">
      <w:start w:val="1"/>
      <w:numFmt w:val="bullet"/>
      <w:lvlText w:val=""/>
      <w:lvlJc w:val="left"/>
      <w:pPr>
        <w:ind w:left="6480" w:hanging="360"/>
      </w:pPr>
      <w:rPr>
        <w:rFonts w:ascii="Symbol" w:hAnsi="Symbol" w:hint="default"/>
      </w:rPr>
    </w:lvl>
    <w:lvl w:ilvl="7" w:tplc="0C090003">
      <w:start w:val="1"/>
      <w:numFmt w:val="bullet"/>
      <w:lvlText w:val="o"/>
      <w:lvlJc w:val="left"/>
      <w:pPr>
        <w:ind w:left="7200" w:hanging="360"/>
      </w:pPr>
      <w:rPr>
        <w:rFonts w:ascii="Courier New" w:hAnsi="Courier New" w:cs="Courier New" w:hint="default"/>
      </w:rPr>
    </w:lvl>
    <w:lvl w:ilvl="8" w:tplc="0C090005">
      <w:start w:val="1"/>
      <w:numFmt w:val="bullet"/>
      <w:lvlText w:val=""/>
      <w:lvlJc w:val="left"/>
      <w:pPr>
        <w:ind w:left="7920" w:hanging="360"/>
      </w:pPr>
      <w:rPr>
        <w:rFonts w:ascii="Wingdings" w:hAnsi="Wingdings" w:hint="default"/>
      </w:rPr>
    </w:lvl>
  </w:abstractNum>
  <w:abstractNum w:abstractNumId="23" w15:restartNumberingAfterBreak="0">
    <w:nsid w:val="5DC519C1"/>
    <w:multiLevelType w:val="hybridMultilevel"/>
    <w:tmpl w:val="1278D5C0"/>
    <w:lvl w:ilvl="0" w:tplc="BABAE58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6713EE"/>
    <w:multiLevelType w:val="multilevel"/>
    <w:tmpl w:val="827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A162A"/>
    <w:multiLevelType w:val="hybridMultilevel"/>
    <w:tmpl w:val="0BC60E6A"/>
    <w:lvl w:ilvl="0" w:tplc="0C090003">
      <w:start w:val="1"/>
      <w:numFmt w:val="bullet"/>
      <w:lvlText w:val="o"/>
      <w:lvlJc w:val="left"/>
      <w:pPr>
        <w:ind w:left="720" w:hanging="360"/>
      </w:pPr>
      <w:rPr>
        <w:rFonts w:ascii="Courier New" w:hAnsi="Courier New" w:cs="Courier New" w:hint="default"/>
      </w:rPr>
    </w:lvl>
    <w:lvl w:ilvl="1" w:tplc="31063FF6">
      <w:start w:val="1"/>
      <w:numFmt w:val="lowerLetter"/>
      <w:lvlText w:val="%2."/>
      <w:lvlJc w:val="left"/>
      <w:pPr>
        <w:ind w:left="1440" w:hanging="360"/>
      </w:pPr>
      <w:rPr>
        <w:rFonts w:asciiTheme="minorHAnsi" w:eastAsiaTheme="minorHAnsi" w:hAnsiTheme="minorHAnsi" w:cstheme="minorBidi"/>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027671"/>
    <w:multiLevelType w:val="multilevel"/>
    <w:tmpl w:val="4AA2ACA2"/>
    <w:lvl w:ilvl="0">
      <w:start w:val="1"/>
      <w:numFmt w:val="decimal"/>
      <w:lvlText w:val="Chapter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2631" w:hanging="504"/>
      </w:pPr>
      <w:rPr>
        <w:rFonts w:hint="default"/>
      </w:rPr>
    </w:lvl>
    <w:lvl w:ilvl="3">
      <w:start w:val="1"/>
      <w:numFmt w:val="upperLetter"/>
      <w:lvlText w:val="Attachment %1%4 "/>
      <w:lvlJc w:val="left"/>
      <w:pPr>
        <w:ind w:left="1728" w:hanging="648"/>
      </w:pPr>
      <w:rPr>
        <w:rFonts w:hint="default"/>
      </w:rPr>
    </w:lvl>
    <w:lvl w:ilvl="4">
      <w:start w:val="1"/>
      <w:numFmt w:val="decimal"/>
      <w:lvlText w:val="%1.%2.%3.%4.%5."/>
      <w:lvlJc w:val="left"/>
      <w:pPr>
        <w:ind w:left="2232" w:hanging="792"/>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2B83F97"/>
    <w:multiLevelType w:val="hybridMultilevel"/>
    <w:tmpl w:val="26828CE0"/>
    <w:lvl w:ilvl="0" w:tplc="F620ACA6">
      <w:start w:val="1"/>
      <w:numFmt w:val="bullet"/>
      <w:pStyle w:val="SupportingDocumentBulletList"/>
      <w:lvlText w:val=""/>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2ED4B66"/>
    <w:multiLevelType w:val="multilevel"/>
    <w:tmpl w:val="B276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BB2E10"/>
    <w:multiLevelType w:val="multilevel"/>
    <w:tmpl w:val="482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CE2EF3"/>
    <w:multiLevelType w:val="multilevel"/>
    <w:tmpl w:val="99D876BE"/>
    <w:lvl w:ilvl="0">
      <w:start w:val="1"/>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5F4558F"/>
    <w:multiLevelType w:val="hybridMultilevel"/>
    <w:tmpl w:val="263AF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C727836"/>
    <w:multiLevelType w:val="multilevel"/>
    <w:tmpl w:val="6B02CD18"/>
    <w:lvl w:ilvl="0">
      <w:start w:val="1"/>
      <w:numFmt w:val="bullet"/>
      <w:pStyle w:val="BulletLevel1"/>
      <w:lvlText w:val=""/>
      <w:lvlJc w:val="left"/>
      <w:pPr>
        <w:tabs>
          <w:tab w:val="num" w:pos="1418"/>
        </w:tabs>
        <w:ind w:left="1418" w:hanging="567"/>
      </w:pPr>
      <w:rPr>
        <w:rFonts w:ascii="Symbol" w:hAnsi="Symbol" w:hint="default"/>
      </w:rPr>
    </w:lvl>
    <w:lvl w:ilvl="1">
      <w:start w:val="1"/>
      <w:numFmt w:val="bullet"/>
      <w:pStyle w:val="BulletLevel2"/>
      <w:lvlText w:val="o"/>
      <w:lvlJc w:val="left"/>
      <w:pPr>
        <w:tabs>
          <w:tab w:val="num" w:pos="2155"/>
        </w:tabs>
        <w:ind w:left="2041" w:hanging="340"/>
      </w:pPr>
      <w:rPr>
        <w:rFonts w:ascii="Courier New" w:hAnsi="Courier New" w:hint="default"/>
      </w:rPr>
    </w:lvl>
    <w:lvl w:ilvl="2">
      <w:start w:val="1"/>
      <w:numFmt w:val="bullet"/>
      <w:pStyle w:val="BulletLevel3"/>
      <w:lvlText w:val=""/>
      <w:lvlJc w:val="left"/>
      <w:pPr>
        <w:tabs>
          <w:tab w:val="num" w:pos="2835"/>
        </w:tabs>
        <w:ind w:left="2835" w:hanging="510"/>
      </w:pPr>
      <w:rPr>
        <w:rFonts w:ascii="Symbol" w:hAnsi="Symbol" w:hint="default"/>
      </w:rPr>
    </w:lvl>
    <w:lvl w:ilvl="3">
      <w:start w:val="1"/>
      <w:numFmt w:val="bullet"/>
      <w:pStyle w:val="BulletLevel4"/>
      <w:lvlText w:val=""/>
      <w:lvlJc w:val="left"/>
      <w:pPr>
        <w:ind w:left="3459" w:hanging="397"/>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1233542747">
    <w:abstractNumId w:val="22"/>
  </w:num>
  <w:num w:numId="2" w16cid:durableId="1655523136">
    <w:abstractNumId w:val="12"/>
  </w:num>
  <w:num w:numId="3" w16cid:durableId="1833134850">
    <w:abstractNumId w:val="13"/>
  </w:num>
  <w:num w:numId="4" w16cid:durableId="1984843785">
    <w:abstractNumId w:val="11"/>
  </w:num>
  <w:num w:numId="5" w16cid:durableId="2102795087">
    <w:abstractNumId w:val="32"/>
  </w:num>
  <w:num w:numId="6" w16cid:durableId="1779645167">
    <w:abstractNumId w:val="27"/>
  </w:num>
  <w:num w:numId="7" w16cid:durableId="1416169091">
    <w:abstractNumId w:val="12"/>
    <w:lvlOverride w:ilvl="0">
      <w:startOverride w:val="1"/>
    </w:lvlOverride>
  </w:num>
  <w:num w:numId="8" w16cid:durableId="412970846">
    <w:abstractNumId w:val="10"/>
  </w:num>
  <w:num w:numId="9" w16cid:durableId="682511057">
    <w:abstractNumId w:val="0"/>
  </w:num>
  <w:num w:numId="10" w16cid:durableId="167910434">
    <w:abstractNumId w:val="6"/>
  </w:num>
  <w:num w:numId="11" w16cid:durableId="106781424">
    <w:abstractNumId w:val="15"/>
  </w:num>
  <w:num w:numId="12" w16cid:durableId="46917876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30260932">
    <w:abstractNumId w:val="28"/>
  </w:num>
  <w:num w:numId="14" w16cid:durableId="1070736003">
    <w:abstractNumId w:val="31"/>
  </w:num>
  <w:num w:numId="15" w16cid:durableId="542134304">
    <w:abstractNumId w:val="4"/>
  </w:num>
  <w:num w:numId="16" w16cid:durableId="1657495765">
    <w:abstractNumId w:val="24"/>
  </w:num>
  <w:num w:numId="17" w16cid:durableId="1815559145">
    <w:abstractNumId w:val="14"/>
  </w:num>
  <w:num w:numId="18" w16cid:durableId="1175222954">
    <w:abstractNumId w:val="8"/>
  </w:num>
  <w:num w:numId="19" w16cid:durableId="851380935">
    <w:abstractNumId w:val="17"/>
  </w:num>
  <w:num w:numId="20" w16cid:durableId="192621900">
    <w:abstractNumId w:val="25"/>
  </w:num>
  <w:num w:numId="21" w16cid:durableId="1592156593">
    <w:abstractNumId w:val="18"/>
  </w:num>
  <w:num w:numId="22" w16cid:durableId="167601961">
    <w:abstractNumId w:val="5"/>
  </w:num>
  <w:num w:numId="23" w16cid:durableId="1655453362">
    <w:abstractNumId w:val="16"/>
  </w:num>
  <w:num w:numId="24" w16cid:durableId="16762245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00957890">
    <w:abstractNumId w:val="23"/>
  </w:num>
  <w:num w:numId="26" w16cid:durableId="1949778809">
    <w:abstractNumId w:val="7"/>
  </w:num>
  <w:num w:numId="27" w16cid:durableId="1341659168">
    <w:abstractNumId w:val="25"/>
  </w:num>
  <w:num w:numId="28" w16cid:durableId="639385528">
    <w:abstractNumId w:val="32"/>
  </w:num>
  <w:num w:numId="29" w16cid:durableId="933129095">
    <w:abstractNumId w:val="19"/>
  </w:num>
  <w:num w:numId="30" w16cid:durableId="1314407454">
    <w:abstractNumId w:val="20"/>
  </w:num>
  <w:num w:numId="31" w16cid:durableId="227426537">
    <w:abstractNumId w:val="29"/>
  </w:num>
  <w:num w:numId="32" w16cid:durableId="1113673824">
    <w:abstractNumId w:val="3"/>
  </w:num>
  <w:num w:numId="33" w16cid:durableId="341575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8173373">
    <w:abstractNumId w:val="2"/>
  </w:num>
  <w:num w:numId="35" w16cid:durableId="1280258522">
    <w:abstractNumId w:val="21"/>
  </w:num>
  <w:num w:numId="36" w16cid:durableId="596715859">
    <w:abstractNumId w:val="1"/>
  </w:num>
  <w:num w:numId="37" w16cid:durableId="1173255252">
    <w:abstractNumId w:val="30"/>
  </w:num>
  <w:num w:numId="38" w16cid:durableId="160584841">
    <w:abstractNumId w:val="32"/>
  </w:num>
  <w:num w:numId="39" w16cid:durableId="728069365">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efaultTableStyle w:val="DES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31"/>
    <w:rsid w:val="000009D3"/>
    <w:rsid w:val="00002640"/>
    <w:rsid w:val="000031A3"/>
    <w:rsid w:val="000041F0"/>
    <w:rsid w:val="00005C79"/>
    <w:rsid w:val="00005CCC"/>
    <w:rsid w:val="00006E9A"/>
    <w:rsid w:val="00007AF9"/>
    <w:rsid w:val="000109D4"/>
    <w:rsid w:val="00010E72"/>
    <w:rsid w:val="00010FE4"/>
    <w:rsid w:val="000112EC"/>
    <w:rsid w:val="00011376"/>
    <w:rsid w:val="00011613"/>
    <w:rsid w:val="0001396E"/>
    <w:rsid w:val="00014A2C"/>
    <w:rsid w:val="00014B05"/>
    <w:rsid w:val="000150D8"/>
    <w:rsid w:val="000151FE"/>
    <w:rsid w:val="00015C14"/>
    <w:rsid w:val="00015C41"/>
    <w:rsid w:val="00015D70"/>
    <w:rsid w:val="0001608A"/>
    <w:rsid w:val="00017018"/>
    <w:rsid w:val="00017052"/>
    <w:rsid w:val="0001759F"/>
    <w:rsid w:val="0002185D"/>
    <w:rsid w:val="00021F6A"/>
    <w:rsid w:val="000222D1"/>
    <w:rsid w:val="00022DAC"/>
    <w:rsid w:val="00023886"/>
    <w:rsid w:val="00024A07"/>
    <w:rsid w:val="00025410"/>
    <w:rsid w:val="00025612"/>
    <w:rsid w:val="00026BD0"/>
    <w:rsid w:val="00027E64"/>
    <w:rsid w:val="00027F53"/>
    <w:rsid w:val="000307C9"/>
    <w:rsid w:val="000314BB"/>
    <w:rsid w:val="0003178E"/>
    <w:rsid w:val="00031E5D"/>
    <w:rsid w:val="000323FA"/>
    <w:rsid w:val="000349DA"/>
    <w:rsid w:val="00036E5F"/>
    <w:rsid w:val="0003765B"/>
    <w:rsid w:val="00041585"/>
    <w:rsid w:val="000444A0"/>
    <w:rsid w:val="0004499C"/>
    <w:rsid w:val="00044EE1"/>
    <w:rsid w:val="000469F1"/>
    <w:rsid w:val="0005093A"/>
    <w:rsid w:val="00050D00"/>
    <w:rsid w:val="000518DD"/>
    <w:rsid w:val="000528CF"/>
    <w:rsid w:val="000532B9"/>
    <w:rsid w:val="0005408D"/>
    <w:rsid w:val="0005463D"/>
    <w:rsid w:val="0005479F"/>
    <w:rsid w:val="00056294"/>
    <w:rsid w:val="0005683B"/>
    <w:rsid w:val="00056B54"/>
    <w:rsid w:val="000619D4"/>
    <w:rsid w:val="000622E4"/>
    <w:rsid w:val="00062D8A"/>
    <w:rsid w:val="00062FC9"/>
    <w:rsid w:val="00063D56"/>
    <w:rsid w:val="000640D5"/>
    <w:rsid w:val="00064B30"/>
    <w:rsid w:val="00065BDD"/>
    <w:rsid w:val="00066028"/>
    <w:rsid w:val="000660DD"/>
    <w:rsid w:val="00066A3C"/>
    <w:rsid w:val="0006729A"/>
    <w:rsid w:val="0007057E"/>
    <w:rsid w:val="00070FBE"/>
    <w:rsid w:val="00073162"/>
    <w:rsid w:val="00074A17"/>
    <w:rsid w:val="00074F45"/>
    <w:rsid w:val="00076DE3"/>
    <w:rsid w:val="000771F5"/>
    <w:rsid w:val="00077F01"/>
    <w:rsid w:val="0008044B"/>
    <w:rsid w:val="0008219E"/>
    <w:rsid w:val="00082406"/>
    <w:rsid w:val="00082860"/>
    <w:rsid w:val="00082EFA"/>
    <w:rsid w:val="0008343D"/>
    <w:rsid w:val="00084CE8"/>
    <w:rsid w:val="00085992"/>
    <w:rsid w:val="00087B9B"/>
    <w:rsid w:val="00091880"/>
    <w:rsid w:val="00092869"/>
    <w:rsid w:val="00093D61"/>
    <w:rsid w:val="0009471A"/>
    <w:rsid w:val="00096D0D"/>
    <w:rsid w:val="00097A58"/>
    <w:rsid w:val="000A03AA"/>
    <w:rsid w:val="000A1E42"/>
    <w:rsid w:val="000A5E37"/>
    <w:rsid w:val="000A62E4"/>
    <w:rsid w:val="000A79E4"/>
    <w:rsid w:val="000B017B"/>
    <w:rsid w:val="000B0512"/>
    <w:rsid w:val="000B0987"/>
    <w:rsid w:val="000B0DF1"/>
    <w:rsid w:val="000B1794"/>
    <w:rsid w:val="000B25D9"/>
    <w:rsid w:val="000B330C"/>
    <w:rsid w:val="000B3EFF"/>
    <w:rsid w:val="000B53F2"/>
    <w:rsid w:val="000B5E35"/>
    <w:rsid w:val="000B5E44"/>
    <w:rsid w:val="000B6D1E"/>
    <w:rsid w:val="000C006A"/>
    <w:rsid w:val="000C090D"/>
    <w:rsid w:val="000C16CC"/>
    <w:rsid w:val="000C21C7"/>
    <w:rsid w:val="000C2977"/>
    <w:rsid w:val="000C4E29"/>
    <w:rsid w:val="000C4FE0"/>
    <w:rsid w:val="000C5625"/>
    <w:rsid w:val="000C652A"/>
    <w:rsid w:val="000C66B3"/>
    <w:rsid w:val="000D4C65"/>
    <w:rsid w:val="000D4D08"/>
    <w:rsid w:val="000D589E"/>
    <w:rsid w:val="000D5CC1"/>
    <w:rsid w:val="000D5F78"/>
    <w:rsid w:val="000D6231"/>
    <w:rsid w:val="000D7213"/>
    <w:rsid w:val="000D791F"/>
    <w:rsid w:val="000E06C7"/>
    <w:rsid w:val="000E19D1"/>
    <w:rsid w:val="000E3102"/>
    <w:rsid w:val="000E40A6"/>
    <w:rsid w:val="000E5232"/>
    <w:rsid w:val="000E5E7B"/>
    <w:rsid w:val="000E65E8"/>
    <w:rsid w:val="000E6705"/>
    <w:rsid w:val="000E6A13"/>
    <w:rsid w:val="000E710E"/>
    <w:rsid w:val="000E751C"/>
    <w:rsid w:val="000F0029"/>
    <w:rsid w:val="000F0088"/>
    <w:rsid w:val="000F02EF"/>
    <w:rsid w:val="000F098F"/>
    <w:rsid w:val="000F13B2"/>
    <w:rsid w:val="000F211B"/>
    <w:rsid w:val="000F39EE"/>
    <w:rsid w:val="000F50D2"/>
    <w:rsid w:val="000F56AE"/>
    <w:rsid w:val="000F598A"/>
    <w:rsid w:val="000F7334"/>
    <w:rsid w:val="000F7631"/>
    <w:rsid w:val="001006B2"/>
    <w:rsid w:val="00101626"/>
    <w:rsid w:val="0010183E"/>
    <w:rsid w:val="00101C32"/>
    <w:rsid w:val="0010223A"/>
    <w:rsid w:val="001036D0"/>
    <w:rsid w:val="001049FE"/>
    <w:rsid w:val="0010535F"/>
    <w:rsid w:val="00105CC1"/>
    <w:rsid w:val="00107C3E"/>
    <w:rsid w:val="00110AD1"/>
    <w:rsid w:val="00110E96"/>
    <w:rsid w:val="00113237"/>
    <w:rsid w:val="00113CB6"/>
    <w:rsid w:val="00114BB7"/>
    <w:rsid w:val="00114C5B"/>
    <w:rsid w:val="00114F93"/>
    <w:rsid w:val="00115304"/>
    <w:rsid w:val="0011653D"/>
    <w:rsid w:val="00117077"/>
    <w:rsid w:val="0011724E"/>
    <w:rsid w:val="00120527"/>
    <w:rsid w:val="001231FB"/>
    <w:rsid w:val="001235B0"/>
    <w:rsid w:val="00123649"/>
    <w:rsid w:val="001238B1"/>
    <w:rsid w:val="00124A10"/>
    <w:rsid w:val="00124C0B"/>
    <w:rsid w:val="00125191"/>
    <w:rsid w:val="00126086"/>
    <w:rsid w:val="00126191"/>
    <w:rsid w:val="00131533"/>
    <w:rsid w:val="001353AE"/>
    <w:rsid w:val="001361F2"/>
    <w:rsid w:val="00137E4A"/>
    <w:rsid w:val="00140F2F"/>
    <w:rsid w:val="0014162F"/>
    <w:rsid w:val="00141E2F"/>
    <w:rsid w:val="00142BE9"/>
    <w:rsid w:val="00143109"/>
    <w:rsid w:val="001433C8"/>
    <w:rsid w:val="00143415"/>
    <w:rsid w:val="00145AF8"/>
    <w:rsid w:val="00145D3B"/>
    <w:rsid w:val="00146240"/>
    <w:rsid w:val="00146329"/>
    <w:rsid w:val="00146D75"/>
    <w:rsid w:val="0014796A"/>
    <w:rsid w:val="00151FE8"/>
    <w:rsid w:val="001537C0"/>
    <w:rsid w:val="00153A30"/>
    <w:rsid w:val="001555DA"/>
    <w:rsid w:val="00155BA6"/>
    <w:rsid w:val="00155E35"/>
    <w:rsid w:val="00162749"/>
    <w:rsid w:val="00162A51"/>
    <w:rsid w:val="00163395"/>
    <w:rsid w:val="00164102"/>
    <w:rsid w:val="00165F31"/>
    <w:rsid w:val="001704CB"/>
    <w:rsid w:val="00172CD3"/>
    <w:rsid w:val="00173605"/>
    <w:rsid w:val="00174382"/>
    <w:rsid w:val="001754F1"/>
    <w:rsid w:val="0017632B"/>
    <w:rsid w:val="00176BE5"/>
    <w:rsid w:val="00177233"/>
    <w:rsid w:val="001776FC"/>
    <w:rsid w:val="00177C44"/>
    <w:rsid w:val="001805FA"/>
    <w:rsid w:val="001822C4"/>
    <w:rsid w:val="00184E5D"/>
    <w:rsid w:val="00186131"/>
    <w:rsid w:val="001866A8"/>
    <w:rsid w:val="001866EB"/>
    <w:rsid w:val="00186BBE"/>
    <w:rsid w:val="0019039D"/>
    <w:rsid w:val="00190F19"/>
    <w:rsid w:val="001921DD"/>
    <w:rsid w:val="001923B1"/>
    <w:rsid w:val="001925D5"/>
    <w:rsid w:val="00194808"/>
    <w:rsid w:val="00194E82"/>
    <w:rsid w:val="001954C7"/>
    <w:rsid w:val="001965FA"/>
    <w:rsid w:val="0019681F"/>
    <w:rsid w:val="00196FE8"/>
    <w:rsid w:val="00197EDF"/>
    <w:rsid w:val="001A07E9"/>
    <w:rsid w:val="001A0FEA"/>
    <w:rsid w:val="001A15C3"/>
    <w:rsid w:val="001A16D9"/>
    <w:rsid w:val="001A1795"/>
    <w:rsid w:val="001A19BD"/>
    <w:rsid w:val="001A1F70"/>
    <w:rsid w:val="001A271C"/>
    <w:rsid w:val="001A3098"/>
    <w:rsid w:val="001A57C0"/>
    <w:rsid w:val="001A5FB3"/>
    <w:rsid w:val="001A6A19"/>
    <w:rsid w:val="001B0053"/>
    <w:rsid w:val="001B34C7"/>
    <w:rsid w:val="001B4B5D"/>
    <w:rsid w:val="001B5588"/>
    <w:rsid w:val="001B63DD"/>
    <w:rsid w:val="001B6C06"/>
    <w:rsid w:val="001B6D28"/>
    <w:rsid w:val="001C1A20"/>
    <w:rsid w:val="001C2451"/>
    <w:rsid w:val="001C2C93"/>
    <w:rsid w:val="001C346E"/>
    <w:rsid w:val="001C4719"/>
    <w:rsid w:val="001C5D29"/>
    <w:rsid w:val="001D0B6A"/>
    <w:rsid w:val="001D0D7E"/>
    <w:rsid w:val="001D33AB"/>
    <w:rsid w:val="001D3AB0"/>
    <w:rsid w:val="001D4AF2"/>
    <w:rsid w:val="001D5CAF"/>
    <w:rsid w:val="001D64A4"/>
    <w:rsid w:val="001D6BD5"/>
    <w:rsid w:val="001D6CEB"/>
    <w:rsid w:val="001D7F0E"/>
    <w:rsid w:val="001E026A"/>
    <w:rsid w:val="001E048A"/>
    <w:rsid w:val="001E080C"/>
    <w:rsid w:val="001E1734"/>
    <w:rsid w:val="001E270D"/>
    <w:rsid w:val="001E3450"/>
    <w:rsid w:val="001E36A9"/>
    <w:rsid w:val="001E4977"/>
    <w:rsid w:val="001E5272"/>
    <w:rsid w:val="001E5397"/>
    <w:rsid w:val="001F07E2"/>
    <w:rsid w:val="001F21AB"/>
    <w:rsid w:val="001F24BD"/>
    <w:rsid w:val="001F2811"/>
    <w:rsid w:val="001F2ADD"/>
    <w:rsid w:val="001F3FF8"/>
    <w:rsid w:val="001F4040"/>
    <w:rsid w:val="001F74AE"/>
    <w:rsid w:val="001F7D9F"/>
    <w:rsid w:val="00202E8D"/>
    <w:rsid w:val="002038DF"/>
    <w:rsid w:val="002044BB"/>
    <w:rsid w:val="00210A74"/>
    <w:rsid w:val="0021234C"/>
    <w:rsid w:val="0021257A"/>
    <w:rsid w:val="0021417A"/>
    <w:rsid w:val="002147A6"/>
    <w:rsid w:val="0021620F"/>
    <w:rsid w:val="00216E55"/>
    <w:rsid w:val="002175A1"/>
    <w:rsid w:val="0022089A"/>
    <w:rsid w:val="002209F1"/>
    <w:rsid w:val="00221695"/>
    <w:rsid w:val="00222E75"/>
    <w:rsid w:val="00223421"/>
    <w:rsid w:val="00223460"/>
    <w:rsid w:val="0022347C"/>
    <w:rsid w:val="00224496"/>
    <w:rsid w:val="00224682"/>
    <w:rsid w:val="00224743"/>
    <w:rsid w:val="0022504C"/>
    <w:rsid w:val="00225EC8"/>
    <w:rsid w:val="0022696A"/>
    <w:rsid w:val="002303C9"/>
    <w:rsid w:val="002304B7"/>
    <w:rsid w:val="00230D56"/>
    <w:rsid w:val="00230D7C"/>
    <w:rsid w:val="00233F60"/>
    <w:rsid w:val="0023539B"/>
    <w:rsid w:val="00236E4D"/>
    <w:rsid w:val="00236F57"/>
    <w:rsid w:val="00237C79"/>
    <w:rsid w:val="00237FAD"/>
    <w:rsid w:val="00240209"/>
    <w:rsid w:val="00240418"/>
    <w:rsid w:val="00241301"/>
    <w:rsid w:val="00242192"/>
    <w:rsid w:val="0024250C"/>
    <w:rsid w:val="00242DD6"/>
    <w:rsid w:val="0024391C"/>
    <w:rsid w:val="00243DC1"/>
    <w:rsid w:val="002443AB"/>
    <w:rsid w:val="00244C9C"/>
    <w:rsid w:val="00245661"/>
    <w:rsid w:val="00246091"/>
    <w:rsid w:val="00246793"/>
    <w:rsid w:val="00246922"/>
    <w:rsid w:val="00246DBA"/>
    <w:rsid w:val="00250B4F"/>
    <w:rsid w:val="002513FE"/>
    <w:rsid w:val="002515A9"/>
    <w:rsid w:val="00251929"/>
    <w:rsid w:val="00252526"/>
    <w:rsid w:val="002534B0"/>
    <w:rsid w:val="0025395F"/>
    <w:rsid w:val="00254981"/>
    <w:rsid w:val="00261711"/>
    <w:rsid w:val="00262270"/>
    <w:rsid w:val="0026230D"/>
    <w:rsid w:val="0026303C"/>
    <w:rsid w:val="0026329C"/>
    <w:rsid w:val="00263405"/>
    <w:rsid w:val="002643AF"/>
    <w:rsid w:val="00264992"/>
    <w:rsid w:val="00264B97"/>
    <w:rsid w:val="0026547C"/>
    <w:rsid w:val="00265FFE"/>
    <w:rsid w:val="00270438"/>
    <w:rsid w:val="002705B1"/>
    <w:rsid w:val="002705F7"/>
    <w:rsid w:val="00270660"/>
    <w:rsid w:val="002706A7"/>
    <w:rsid w:val="002718A1"/>
    <w:rsid w:val="002724C4"/>
    <w:rsid w:val="0027323F"/>
    <w:rsid w:val="0027363B"/>
    <w:rsid w:val="00273D93"/>
    <w:rsid w:val="00275C49"/>
    <w:rsid w:val="00276E6D"/>
    <w:rsid w:val="00280363"/>
    <w:rsid w:val="002807BE"/>
    <w:rsid w:val="00280CF5"/>
    <w:rsid w:val="00281207"/>
    <w:rsid w:val="002822F1"/>
    <w:rsid w:val="00282EB6"/>
    <w:rsid w:val="00285234"/>
    <w:rsid w:val="002859DD"/>
    <w:rsid w:val="00286E6E"/>
    <w:rsid w:val="0028703B"/>
    <w:rsid w:val="00287119"/>
    <w:rsid w:val="00287C24"/>
    <w:rsid w:val="0029034F"/>
    <w:rsid w:val="002905B1"/>
    <w:rsid w:val="00290F41"/>
    <w:rsid w:val="0029181E"/>
    <w:rsid w:val="00293069"/>
    <w:rsid w:val="002941BD"/>
    <w:rsid w:val="002945B1"/>
    <w:rsid w:val="00294BB6"/>
    <w:rsid w:val="00294FDD"/>
    <w:rsid w:val="00295A3D"/>
    <w:rsid w:val="0029621F"/>
    <w:rsid w:val="002969FF"/>
    <w:rsid w:val="00296D4C"/>
    <w:rsid w:val="00297C4F"/>
    <w:rsid w:val="002A0F9B"/>
    <w:rsid w:val="002A1413"/>
    <w:rsid w:val="002A159E"/>
    <w:rsid w:val="002A15BC"/>
    <w:rsid w:val="002A1D1E"/>
    <w:rsid w:val="002A2543"/>
    <w:rsid w:val="002A2D39"/>
    <w:rsid w:val="002A2E13"/>
    <w:rsid w:val="002A30F3"/>
    <w:rsid w:val="002A3383"/>
    <w:rsid w:val="002A36B0"/>
    <w:rsid w:val="002A38C4"/>
    <w:rsid w:val="002A460A"/>
    <w:rsid w:val="002A4EDF"/>
    <w:rsid w:val="002A57BC"/>
    <w:rsid w:val="002A6187"/>
    <w:rsid w:val="002A62A9"/>
    <w:rsid w:val="002A76D4"/>
    <w:rsid w:val="002A7BF9"/>
    <w:rsid w:val="002A7ECB"/>
    <w:rsid w:val="002B0CC2"/>
    <w:rsid w:val="002B245A"/>
    <w:rsid w:val="002B2A60"/>
    <w:rsid w:val="002B3751"/>
    <w:rsid w:val="002B3F10"/>
    <w:rsid w:val="002B4977"/>
    <w:rsid w:val="002B57DD"/>
    <w:rsid w:val="002B6208"/>
    <w:rsid w:val="002B684F"/>
    <w:rsid w:val="002B68D8"/>
    <w:rsid w:val="002B6E19"/>
    <w:rsid w:val="002B6F60"/>
    <w:rsid w:val="002B7F91"/>
    <w:rsid w:val="002C14B8"/>
    <w:rsid w:val="002C154B"/>
    <w:rsid w:val="002C1C6A"/>
    <w:rsid w:val="002C1CE4"/>
    <w:rsid w:val="002C2AFF"/>
    <w:rsid w:val="002C3418"/>
    <w:rsid w:val="002C35D3"/>
    <w:rsid w:val="002C385B"/>
    <w:rsid w:val="002C563A"/>
    <w:rsid w:val="002C79C5"/>
    <w:rsid w:val="002C7F54"/>
    <w:rsid w:val="002D0651"/>
    <w:rsid w:val="002D0ABD"/>
    <w:rsid w:val="002D0C04"/>
    <w:rsid w:val="002D0C24"/>
    <w:rsid w:val="002D0CAC"/>
    <w:rsid w:val="002D1555"/>
    <w:rsid w:val="002D1C83"/>
    <w:rsid w:val="002D2B64"/>
    <w:rsid w:val="002D464C"/>
    <w:rsid w:val="002D4E1D"/>
    <w:rsid w:val="002D4E8A"/>
    <w:rsid w:val="002D7E74"/>
    <w:rsid w:val="002D7EC5"/>
    <w:rsid w:val="002E0DC1"/>
    <w:rsid w:val="002E212F"/>
    <w:rsid w:val="002E23E2"/>
    <w:rsid w:val="002E3A61"/>
    <w:rsid w:val="002E47FD"/>
    <w:rsid w:val="002E5557"/>
    <w:rsid w:val="002E5EB2"/>
    <w:rsid w:val="002E5FE9"/>
    <w:rsid w:val="002E6F9F"/>
    <w:rsid w:val="002F0616"/>
    <w:rsid w:val="002F0B91"/>
    <w:rsid w:val="002F0CDA"/>
    <w:rsid w:val="002F111A"/>
    <w:rsid w:val="002F15D5"/>
    <w:rsid w:val="002F1660"/>
    <w:rsid w:val="002F5B18"/>
    <w:rsid w:val="002F65B0"/>
    <w:rsid w:val="002F7F67"/>
    <w:rsid w:val="0030049B"/>
    <w:rsid w:val="00301C65"/>
    <w:rsid w:val="00303B83"/>
    <w:rsid w:val="00305937"/>
    <w:rsid w:val="003064AD"/>
    <w:rsid w:val="003101FE"/>
    <w:rsid w:val="003105B1"/>
    <w:rsid w:val="00311722"/>
    <w:rsid w:val="003125E3"/>
    <w:rsid w:val="003145F0"/>
    <w:rsid w:val="003149DA"/>
    <w:rsid w:val="00316060"/>
    <w:rsid w:val="003167EC"/>
    <w:rsid w:val="00317592"/>
    <w:rsid w:val="00321184"/>
    <w:rsid w:val="003213E4"/>
    <w:rsid w:val="00321B42"/>
    <w:rsid w:val="00321B94"/>
    <w:rsid w:val="00322353"/>
    <w:rsid w:val="00322FAB"/>
    <w:rsid w:val="003234F3"/>
    <w:rsid w:val="00323B0E"/>
    <w:rsid w:val="00324004"/>
    <w:rsid w:val="00325346"/>
    <w:rsid w:val="00325FE1"/>
    <w:rsid w:val="0032617E"/>
    <w:rsid w:val="003279EF"/>
    <w:rsid w:val="00327FBC"/>
    <w:rsid w:val="00331520"/>
    <w:rsid w:val="003329DD"/>
    <w:rsid w:val="00333F08"/>
    <w:rsid w:val="003349EE"/>
    <w:rsid w:val="00334F2A"/>
    <w:rsid w:val="0033781E"/>
    <w:rsid w:val="003404C3"/>
    <w:rsid w:val="0034477D"/>
    <w:rsid w:val="00344821"/>
    <w:rsid w:val="003448AC"/>
    <w:rsid w:val="00344C16"/>
    <w:rsid w:val="0034678B"/>
    <w:rsid w:val="003541AC"/>
    <w:rsid w:val="00355298"/>
    <w:rsid w:val="00355828"/>
    <w:rsid w:val="00357B07"/>
    <w:rsid w:val="003609DB"/>
    <w:rsid w:val="00360DBF"/>
    <w:rsid w:val="003611D7"/>
    <w:rsid w:val="0036126D"/>
    <w:rsid w:val="00361297"/>
    <w:rsid w:val="00361C3D"/>
    <w:rsid w:val="00363067"/>
    <w:rsid w:val="003639C5"/>
    <w:rsid w:val="00364604"/>
    <w:rsid w:val="00364F9A"/>
    <w:rsid w:val="003651B4"/>
    <w:rsid w:val="003654B9"/>
    <w:rsid w:val="003663DC"/>
    <w:rsid w:val="00366A46"/>
    <w:rsid w:val="003675AA"/>
    <w:rsid w:val="00367C52"/>
    <w:rsid w:val="00370920"/>
    <w:rsid w:val="003709BD"/>
    <w:rsid w:val="0037148C"/>
    <w:rsid w:val="003719A9"/>
    <w:rsid w:val="00371DA1"/>
    <w:rsid w:val="00372E7E"/>
    <w:rsid w:val="00372EB7"/>
    <w:rsid w:val="00373683"/>
    <w:rsid w:val="00373CC9"/>
    <w:rsid w:val="00374A93"/>
    <w:rsid w:val="003757AC"/>
    <w:rsid w:val="00375FA0"/>
    <w:rsid w:val="00377688"/>
    <w:rsid w:val="00377CC7"/>
    <w:rsid w:val="00380B67"/>
    <w:rsid w:val="00381816"/>
    <w:rsid w:val="003827DA"/>
    <w:rsid w:val="00383CBD"/>
    <w:rsid w:val="00385AF7"/>
    <w:rsid w:val="0038660B"/>
    <w:rsid w:val="00386F81"/>
    <w:rsid w:val="00390577"/>
    <w:rsid w:val="00391DF2"/>
    <w:rsid w:val="0039223B"/>
    <w:rsid w:val="0039365A"/>
    <w:rsid w:val="00394CD0"/>
    <w:rsid w:val="0039516D"/>
    <w:rsid w:val="0039635C"/>
    <w:rsid w:val="00397D2F"/>
    <w:rsid w:val="003A122E"/>
    <w:rsid w:val="003A56ED"/>
    <w:rsid w:val="003A68DF"/>
    <w:rsid w:val="003A7076"/>
    <w:rsid w:val="003B137D"/>
    <w:rsid w:val="003B37BD"/>
    <w:rsid w:val="003B6193"/>
    <w:rsid w:val="003B659F"/>
    <w:rsid w:val="003B6ACA"/>
    <w:rsid w:val="003B6D4B"/>
    <w:rsid w:val="003B6E2E"/>
    <w:rsid w:val="003B76E6"/>
    <w:rsid w:val="003B7DCD"/>
    <w:rsid w:val="003C09C1"/>
    <w:rsid w:val="003C0A97"/>
    <w:rsid w:val="003C0F90"/>
    <w:rsid w:val="003C11AA"/>
    <w:rsid w:val="003C187E"/>
    <w:rsid w:val="003C259C"/>
    <w:rsid w:val="003C41E7"/>
    <w:rsid w:val="003C4CED"/>
    <w:rsid w:val="003C565C"/>
    <w:rsid w:val="003C58E4"/>
    <w:rsid w:val="003C6B27"/>
    <w:rsid w:val="003C7C94"/>
    <w:rsid w:val="003D03FB"/>
    <w:rsid w:val="003D2C2F"/>
    <w:rsid w:val="003D3635"/>
    <w:rsid w:val="003D6168"/>
    <w:rsid w:val="003D69AF"/>
    <w:rsid w:val="003D6BC5"/>
    <w:rsid w:val="003D79F1"/>
    <w:rsid w:val="003E1E1C"/>
    <w:rsid w:val="003E419D"/>
    <w:rsid w:val="003E5D19"/>
    <w:rsid w:val="003E6F86"/>
    <w:rsid w:val="003E7153"/>
    <w:rsid w:val="003E7492"/>
    <w:rsid w:val="003E7DE5"/>
    <w:rsid w:val="003F1D75"/>
    <w:rsid w:val="003F22D2"/>
    <w:rsid w:val="003F5728"/>
    <w:rsid w:val="003F73FB"/>
    <w:rsid w:val="004005AD"/>
    <w:rsid w:val="00400DE3"/>
    <w:rsid w:val="004010A3"/>
    <w:rsid w:val="00401479"/>
    <w:rsid w:val="004026D9"/>
    <w:rsid w:val="00402A1A"/>
    <w:rsid w:val="00404349"/>
    <w:rsid w:val="00404829"/>
    <w:rsid w:val="00404F05"/>
    <w:rsid w:val="00405520"/>
    <w:rsid w:val="0040564F"/>
    <w:rsid w:val="00405CE5"/>
    <w:rsid w:val="00407894"/>
    <w:rsid w:val="0041024B"/>
    <w:rsid w:val="00410B33"/>
    <w:rsid w:val="00411CB9"/>
    <w:rsid w:val="00411EA5"/>
    <w:rsid w:val="00413824"/>
    <w:rsid w:val="00414FFE"/>
    <w:rsid w:val="0041640E"/>
    <w:rsid w:val="0041691C"/>
    <w:rsid w:val="0041727E"/>
    <w:rsid w:val="0041733D"/>
    <w:rsid w:val="004175C5"/>
    <w:rsid w:val="00417820"/>
    <w:rsid w:val="00417BD7"/>
    <w:rsid w:val="00421CF9"/>
    <w:rsid w:val="00422E0A"/>
    <w:rsid w:val="004236B5"/>
    <w:rsid w:val="00423BFB"/>
    <w:rsid w:val="00425F94"/>
    <w:rsid w:val="00426103"/>
    <w:rsid w:val="004267AB"/>
    <w:rsid w:val="00427F98"/>
    <w:rsid w:val="004300E7"/>
    <w:rsid w:val="00430626"/>
    <w:rsid w:val="0043088F"/>
    <w:rsid w:val="0043105C"/>
    <w:rsid w:val="004315E3"/>
    <w:rsid w:val="00431E5F"/>
    <w:rsid w:val="004321AC"/>
    <w:rsid w:val="00432BCF"/>
    <w:rsid w:val="004330A8"/>
    <w:rsid w:val="00433334"/>
    <w:rsid w:val="00434055"/>
    <w:rsid w:val="00434DC0"/>
    <w:rsid w:val="00435B1A"/>
    <w:rsid w:val="00436D09"/>
    <w:rsid w:val="004402B9"/>
    <w:rsid w:val="004415DF"/>
    <w:rsid w:val="004423C6"/>
    <w:rsid w:val="00442452"/>
    <w:rsid w:val="004427E3"/>
    <w:rsid w:val="00443470"/>
    <w:rsid w:val="00444A37"/>
    <w:rsid w:val="00444AB1"/>
    <w:rsid w:val="004469B6"/>
    <w:rsid w:val="00446A4E"/>
    <w:rsid w:val="004473DE"/>
    <w:rsid w:val="004508CC"/>
    <w:rsid w:val="00450999"/>
    <w:rsid w:val="00451A64"/>
    <w:rsid w:val="00453FDE"/>
    <w:rsid w:val="00454A8B"/>
    <w:rsid w:val="00454C00"/>
    <w:rsid w:val="0045594A"/>
    <w:rsid w:val="00455CC4"/>
    <w:rsid w:val="00455D6B"/>
    <w:rsid w:val="004571BB"/>
    <w:rsid w:val="00461CD0"/>
    <w:rsid w:val="0046571A"/>
    <w:rsid w:val="004668CC"/>
    <w:rsid w:val="00470ACD"/>
    <w:rsid w:val="00470DE6"/>
    <w:rsid w:val="004710CF"/>
    <w:rsid w:val="00471C2B"/>
    <w:rsid w:val="00471FB1"/>
    <w:rsid w:val="00474599"/>
    <w:rsid w:val="00474B16"/>
    <w:rsid w:val="00476AF8"/>
    <w:rsid w:val="0047745E"/>
    <w:rsid w:val="00477467"/>
    <w:rsid w:val="00477510"/>
    <w:rsid w:val="004811E0"/>
    <w:rsid w:val="00481304"/>
    <w:rsid w:val="0048495A"/>
    <w:rsid w:val="00484F7D"/>
    <w:rsid w:val="00485A1D"/>
    <w:rsid w:val="00487D70"/>
    <w:rsid w:val="00487F02"/>
    <w:rsid w:val="0049179A"/>
    <w:rsid w:val="0049276F"/>
    <w:rsid w:val="004931F4"/>
    <w:rsid w:val="0049735A"/>
    <w:rsid w:val="004A0C38"/>
    <w:rsid w:val="004A1E39"/>
    <w:rsid w:val="004A3460"/>
    <w:rsid w:val="004A3D18"/>
    <w:rsid w:val="004A4FA8"/>
    <w:rsid w:val="004A509C"/>
    <w:rsid w:val="004A51DE"/>
    <w:rsid w:val="004A5541"/>
    <w:rsid w:val="004A5CDE"/>
    <w:rsid w:val="004B03AA"/>
    <w:rsid w:val="004B0460"/>
    <w:rsid w:val="004B1020"/>
    <w:rsid w:val="004B16B9"/>
    <w:rsid w:val="004B1F6E"/>
    <w:rsid w:val="004B360E"/>
    <w:rsid w:val="004B392A"/>
    <w:rsid w:val="004B4301"/>
    <w:rsid w:val="004B47C3"/>
    <w:rsid w:val="004B5828"/>
    <w:rsid w:val="004B6920"/>
    <w:rsid w:val="004B6963"/>
    <w:rsid w:val="004C0CE1"/>
    <w:rsid w:val="004C0DA2"/>
    <w:rsid w:val="004C26C6"/>
    <w:rsid w:val="004C2DEB"/>
    <w:rsid w:val="004C2E24"/>
    <w:rsid w:val="004C3771"/>
    <w:rsid w:val="004C3E4A"/>
    <w:rsid w:val="004C47D8"/>
    <w:rsid w:val="004C4B97"/>
    <w:rsid w:val="004C7F25"/>
    <w:rsid w:val="004D3114"/>
    <w:rsid w:val="004D5F0C"/>
    <w:rsid w:val="004D6AFE"/>
    <w:rsid w:val="004D71E8"/>
    <w:rsid w:val="004D74FF"/>
    <w:rsid w:val="004D7660"/>
    <w:rsid w:val="004D7787"/>
    <w:rsid w:val="004D7CDA"/>
    <w:rsid w:val="004E13C3"/>
    <w:rsid w:val="004E2604"/>
    <w:rsid w:val="004E2BA7"/>
    <w:rsid w:val="004E5573"/>
    <w:rsid w:val="004E5814"/>
    <w:rsid w:val="004E5CA7"/>
    <w:rsid w:val="004E7294"/>
    <w:rsid w:val="004E766C"/>
    <w:rsid w:val="004F055C"/>
    <w:rsid w:val="004F0FEF"/>
    <w:rsid w:val="004F1923"/>
    <w:rsid w:val="004F235D"/>
    <w:rsid w:val="004F2B6B"/>
    <w:rsid w:val="004F2FF2"/>
    <w:rsid w:val="004F4EFD"/>
    <w:rsid w:val="004F52A2"/>
    <w:rsid w:val="004F7EA4"/>
    <w:rsid w:val="00500D8A"/>
    <w:rsid w:val="005014D0"/>
    <w:rsid w:val="00501C3B"/>
    <w:rsid w:val="00501FEF"/>
    <w:rsid w:val="00502219"/>
    <w:rsid w:val="00502B09"/>
    <w:rsid w:val="005031F8"/>
    <w:rsid w:val="00504900"/>
    <w:rsid w:val="00504B15"/>
    <w:rsid w:val="00506AEA"/>
    <w:rsid w:val="0051056E"/>
    <w:rsid w:val="00511705"/>
    <w:rsid w:val="00511DB4"/>
    <w:rsid w:val="00512653"/>
    <w:rsid w:val="00512D62"/>
    <w:rsid w:val="005139FC"/>
    <w:rsid w:val="00514416"/>
    <w:rsid w:val="005145CF"/>
    <w:rsid w:val="00514670"/>
    <w:rsid w:val="005164AC"/>
    <w:rsid w:val="00516FD5"/>
    <w:rsid w:val="005172E4"/>
    <w:rsid w:val="0052079C"/>
    <w:rsid w:val="005222B6"/>
    <w:rsid w:val="005224DC"/>
    <w:rsid w:val="005229C4"/>
    <w:rsid w:val="00523805"/>
    <w:rsid w:val="00523B05"/>
    <w:rsid w:val="005246E7"/>
    <w:rsid w:val="005248BD"/>
    <w:rsid w:val="00525143"/>
    <w:rsid w:val="005265FC"/>
    <w:rsid w:val="00526F10"/>
    <w:rsid w:val="00527CEC"/>
    <w:rsid w:val="00527E8C"/>
    <w:rsid w:val="005301FC"/>
    <w:rsid w:val="00530B68"/>
    <w:rsid w:val="00531F1C"/>
    <w:rsid w:val="00532A39"/>
    <w:rsid w:val="00532CD9"/>
    <w:rsid w:val="0053330C"/>
    <w:rsid w:val="0053433C"/>
    <w:rsid w:val="0053475D"/>
    <w:rsid w:val="005352D7"/>
    <w:rsid w:val="00535394"/>
    <w:rsid w:val="005354CD"/>
    <w:rsid w:val="00535E7E"/>
    <w:rsid w:val="005373B1"/>
    <w:rsid w:val="00541AB3"/>
    <w:rsid w:val="0054201A"/>
    <w:rsid w:val="00542CA3"/>
    <w:rsid w:val="0054398F"/>
    <w:rsid w:val="00544509"/>
    <w:rsid w:val="00545547"/>
    <w:rsid w:val="00547ABB"/>
    <w:rsid w:val="00547D02"/>
    <w:rsid w:val="00547DBD"/>
    <w:rsid w:val="0055118C"/>
    <w:rsid w:val="0055146A"/>
    <w:rsid w:val="005518B2"/>
    <w:rsid w:val="00552A06"/>
    <w:rsid w:val="005537CF"/>
    <w:rsid w:val="00553968"/>
    <w:rsid w:val="00554184"/>
    <w:rsid w:val="00554AFF"/>
    <w:rsid w:val="00554FD6"/>
    <w:rsid w:val="0055531E"/>
    <w:rsid w:val="005556DD"/>
    <w:rsid w:val="00555D52"/>
    <w:rsid w:val="00556104"/>
    <w:rsid w:val="0056013D"/>
    <w:rsid w:val="005602E6"/>
    <w:rsid w:val="0056287E"/>
    <w:rsid w:val="00562E4E"/>
    <w:rsid w:val="00565136"/>
    <w:rsid w:val="00565483"/>
    <w:rsid w:val="00565742"/>
    <w:rsid w:val="005667FB"/>
    <w:rsid w:val="00566871"/>
    <w:rsid w:val="005670AA"/>
    <w:rsid w:val="0056733B"/>
    <w:rsid w:val="0056772E"/>
    <w:rsid w:val="00567A07"/>
    <w:rsid w:val="005705C1"/>
    <w:rsid w:val="00570C09"/>
    <w:rsid w:val="00570F8B"/>
    <w:rsid w:val="00572986"/>
    <w:rsid w:val="005729BF"/>
    <w:rsid w:val="00573231"/>
    <w:rsid w:val="0057387E"/>
    <w:rsid w:val="00574614"/>
    <w:rsid w:val="005746CF"/>
    <w:rsid w:val="00575A3C"/>
    <w:rsid w:val="00575C40"/>
    <w:rsid w:val="00580188"/>
    <w:rsid w:val="005858F9"/>
    <w:rsid w:val="0058641E"/>
    <w:rsid w:val="0058665C"/>
    <w:rsid w:val="0058683A"/>
    <w:rsid w:val="005875FD"/>
    <w:rsid w:val="00590E27"/>
    <w:rsid w:val="00591984"/>
    <w:rsid w:val="00591AC1"/>
    <w:rsid w:val="0059278C"/>
    <w:rsid w:val="00594351"/>
    <w:rsid w:val="00594664"/>
    <w:rsid w:val="005962E3"/>
    <w:rsid w:val="00596371"/>
    <w:rsid w:val="005964D0"/>
    <w:rsid w:val="0059674E"/>
    <w:rsid w:val="00596F8C"/>
    <w:rsid w:val="00597587"/>
    <w:rsid w:val="005A02CF"/>
    <w:rsid w:val="005A0707"/>
    <w:rsid w:val="005A2292"/>
    <w:rsid w:val="005A33A3"/>
    <w:rsid w:val="005A37E8"/>
    <w:rsid w:val="005A393C"/>
    <w:rsid w:val="005A5061"/>
    <w:rsid w:val="005A59AC"/>
    <w:rsid w:val="005A66CE"/>
    <w:rsid w:val="005A6C6B"/>
    <w:rsid w:val="005A7727"/>
    <w:rsid w:val="005B00CB"/>
    <w:rsid w:val="005B19BE"/>
    <w:rsid w:val="005B1B8A"/>
    <w:rsid w:val="005B1EA1"/>
    <w:rsid w:val="005B2111"/>
    <w:rsid w:val="005B28C0"/>
    <w:rsid w:val="005B2AE7"/>
    <w:rsid w:val="005B35CB"/>
    <w:rsid w:val="005B3746"/>
    <w:rsid w:val="005B3917"/>
    <w:rsid w:val="005B4D3A"/>
    <w:rsid w:val="005B58C5"/>
    <w:rsid w:val="005B6D4B"/>
    <w:rsid w:val="005B712E"/>
    <w:rsid w:val="005C01A5"/>
    <w:rsid w:val="005C044E"/>
    <w:rsid w:val="005C1630"/>
    <w:rsid w:val="005C1B57"/>
    <w:rsid w:val="005C27A0"/>
    <w:rsid w:val="005C3435"/>
    <w:rsid w:val="005C3C56"/>
    <w:rsid w:val="005C6285"/>
    <w:rsid w:val="005C642D"/>
    <w:rsid w:val="005C6DD2"/>
    <w:rsid w:val="005C721C"/>
    <w:rsid w:val="005C7F64"/>
    <w:rsid w:val="005D0D21"/>
    <w:rsid w:val="005D0EAC"/>
    <w:rsid w:val="005D1FB6"/>
    <w:rsid w:val="005D234C"/>
    <w:rsid w:val="005D23D2"/>
    <w:rsid w:val="005D2BD0"/>
    <w:rsid w:val="005D321E"/>
    <w:rsid w:val="005D38A5"/>
    <w:rsid w:val="005D3907"/>
    <w:rsid w:val="005D3D0B"/>
    <w:rsid w:val="005D3F8C"/>
    <w:rsid w:val="005D547F"/>
    <w:rsid w:val="005D653B"/>
    <w:rsid w:val="005D6E9C"/>
    <w:rsid w:val="005D7651"/>
    <w:rsid w:val="005D7C5B"/>
    <w:rsid w:val="005E0DBE"/>
    <w:rsid w:val="005E1ECF"/>
    <w:rsid w:val="005E35A7"/>
    <w:rsid w:val="005E3E10"/>
    <w:rsid w:val="005E4E28"/>
    <w:rsid w:val="005E5567"/>
    <w:rsid w:val="005E5C27"/>
    <w:rsid w:val="005E685E"/>
    <w:rsid w:val="005E7AE9"/>
    <w:rsid w:val="005E7B72"/>
    <w:rsid w:val="005E7C4E"/>
    <w:rsid w:val="005F1DBC"/>
    <w:rsid w:val="005F25A2"/>
    <w:rsid w:val="005F3836"/>
    <w:rsid w:val="005F4C02"/>
    <w:rsid w:val="005F6E5D"/>
    <w:rsid w:val="0060025F"/>
    <w:rsid w:val="00600482"/>
    <w:rsid w:val="00601717"/>
    <w:rsid w:val="006020F0"/>
    <w:rsid w:val="00602B9B"/>
    <w:rsid w:val="00602E7B"/>
    <w:rsid w:val="00604759"/>
    <w:rsid w:val="00604BA8"/>
    <w:rsid w:val="00604D0A"/>
    <w:rsid w:val="00605EA8"/>
    <w:rsid w:val="0060690C"/>
    <w:rsid w:val="0060704D"/>
    <w:rsid w:val="0061024D"/>
    <w:rsid w:val="00611EAC"/>
    <w:rsid w:val="00612567"/>
    <w:rsid w:val="006125D4"/>
    <w:rsid w:val="0061316E"/>
    <w:rsid w:val="00613A55"/>
    <w:rsid w:val="006157E3"/>
    <w:rsid w:val="00616AEE"/>
    <w:rsid w:val="00617945"/>
    <w:rsid w:val="00617FBD"/>
    <w:rsid w:val="0062164F"/>
    <w:rsid w:val="006216C6"/>
    <w:rsid w:val="0062184B"/>
    <w:rsid w:val="006246B1"/>
    <w:rsid w:val="00624713"/>
    <w:rsid w:val="00625B23"/>
    <w:rsid w:val="006274FB"/>
    <w:rsid w:val="006277B0"/>
    <w:rsid w:val="0063213A"/>
    <w:rsid w:val="00633AA1"/>
    <w:rsid w:val="00636463"/>
    <w:rsid w:val="006368C2"/>
    <w:rsid w:val="00636CDB"/>
    <w:rsid w:val="00636FDF"/>
    <w:rsid w:val="0063722A"/>
    <w:rsid w:val="006428CA"/>
    <w:rsid w:val="00642D32"/>
    <w:rsid w:val="00642DB3"/>
    <w:rsid w:val="00642DDC"/>
    <w:rsid w:val="0064354D"/>
    <w:rsid w:val="006436CB"/>
    <w:rsid w:val="006449F1"/>
    <w:rsid w:val="00646C02"/>
    <w:rsid w:val="00646C5B"/>
    <w:rsid w:val="006515A1"/>
    <w:rsid w:val="00652DD4"/>
    <w:rsid w:val="006543E4"/>
    <w:rsid w:val="00654768"/>
    <w:rsid w:val="006562A7"/>
    <w:rsid w:val="00656410"/>
    <w:rsid w:val="00656D6F"/>
    <w:rsid w:val="0065772A"/>
    <w:rsid w:val="00657DE3"/>
    <w:rsid w:val="006629F3"/>
    <w:rsid w:val="00662F4C"/>
    <w:rsid w:val="00663D55"/>
    <w:rsid w:val="00663DF3"/>
    <w:rsid w:val="00663E18"/>
    <w:rsid w:val="0066459A"/>
    <w:rsid w:val="00664817"/>
    <w:rsid w:val="00665633"/>
    <w:rsid w:val="006656A5"/>
    <w:rsid w:val="00666E8A"/>
    <w:rsid w:val="00666F8D"/>
    <w:rsid w:val="006678E3"/>
    <w:rsid w:val="0067024A"/>
    <w:rsid w:val="00670D8A"/>
    <w:rsid w:val="00671097"/>
    <w:rsid w:val="00671239"/>
    <w:rsid w:val="00671928"/>
    <w:rsid w:val="00671D0B"/>
    <w:rsid w:val="0067307E"/>
    <w:rsid w:val="006736FA"/>
    <w:rsid w:val="00674139"/>
    <w:rsid w:val="006749E6"/>
    <w:rsid w:val="006760DE"/>
    <w:rsid w:val="0067651E"/>
    <w:rsid w:val="00677A16"/>
    <w:rsid w:val="00677DD3"/>
    <w:rsid w:val="0068004B"/>
    <w:rsid w:val="00680CA1"/>
    <w:rsid w:val="00680FBA"/>
    <w:rsid w:val="006817AA"/>
    <w:rsid w:val="00683784"/>
    <w:rsid w:val="00684ACE"/>
    <w:rsid w:val="00686BCE"/>
    <w:rsid w:val="00686D3D"/>
    <w:rsid w:val="00687407"/>
    <w:rsid w:val="00687616"/>
    <w:rsid w:val="00687A94"/>
    <w:rsid w:val="00690357"/>
    <w:rsid w:val="00690622"/>
    <w:rsid w:val="00690E0F"/>
    <w:rsid w:val="00690E6C"/>
    <w:rsid w:val="0069116C"/>
    <w:rsid w:val="006917F6"/>
    <w:rsid w:val="00692F29"/>
    <w:rsid w:val="00693006"/>
    <w:rsid w:val="00693425"/>
    <w:rsid w:val="00693BF2"/>
    <w:rsid w:val="0069454E"/>
    <w:rsid w:val="006951C7"/>
    <w:rsid w:val="00696B21"/>
    <w:rsid w:val="00697020"/>
    <w:rsid w:val="006970DD"/>
    <w:rsid w:val="006A3280"/>
    <w:rsid w:val="006A3AD7"/>
    <w:rsid w:val="006A3CC1"/>
    <w:rsid w:val="006A45CA"/>
    <w:rsid w:val="006A5758"/>
    <w:rsid w:val="006A5A2C"/>
    <w:rsid w:val="006A6567"/>
    <w:rsid w:val="006A6E4D"/>
    <w:rsid w:val="006A71E4"/>
    <w:rsid w:val="006A739B"/>
    <w:rsid w:val="006A7984"/>
    <w:rsid w:val="006A7CE3"/>
    <w:rsid w:val="006B27B6"/>
    <w:rsid w:val="006B528F"/>
    <w:rsid w:val="006B6847"/>
    <w:rsid w:val="006B6A20"/>
    <w:rsid w:val="006B713C"/>
    <w:rsid w:val="006B73EE"/>
    <w:rsid w:val="006C0DDF"/>
    <w:rsid w:val="006C144D"/>
    <w:rsid w:val="006C20FB"/>
    <w:rsid w:val="006C2438"/>
    <w:rsid w:val="006C3AE8"/>
    <w:rsid w:val="006C3B78"/>
    <w:rsid w:val="006C5206"/>
    <w:rsid w:val="006C58BC"/>
    <w:rsid w:val="006C5A9F"/>
    <w:rsid w:val="006C6BBE"/>
    <w:rsid w:val="006D2FB8"/>
    <w:rsid w:val="006D4A76"/>
    <w:rsid w:val="006D4D05"/>
    <w:rsid w:val="006D615D"/>
    <w:rsid w:val="006D63FD"/>
    <w:rsid w:val="006D64F9"/>
    <w:rsid w:val="006D71C0"/>
    <w:rsid w:val="006D74C2"/>
    <w:rsid w:val="006E0416"/>
    <w:rsid w:val="006E0EB1"/>
    <w:rsid w:val="006E3E0A"/>
    <w:rsid w:val="006E41CB"/>
    <w:rsid w:val="006E59F0"/>
    <w:rsid w:val="006E6803"/>
    <w:rsid w:val="006E6AFD"/>
    <w:rsid w:val="006E72EE"/>
    <w:rsid w:val="006F0432"/>
    <w:rsid w:val="006F0940"/>
    <w:rsid w:val="006F1920"/>
    <w:rsid w:val="006F33C9"/>
    <w:rsid w:val="006F3A95"/>
    <w:rsid w:val="006F65C5"/>
    <w:rsid w:val="006F7559"/>
    <w:rsid w:val="006F7E77"/>
    <w:rsid w:val="006F7FE1"/>
    <w:rsid w:val="0070063E"/>
    <w:rsid w:val="00700CF5"/>
    <w:rsid w:val="00701CD5"/>
    <w:rsid w:val="00702DA3"/>
    <w:rsid w:val="00703303"/>
    <w:rsid w:val="0070459D"/>
    <w:rsid w:val="00705B6F"/>
    <w:rsid w:val="00706527"/>
    <w:rsid w:val="00707A2F"/>
    <w:rsid w:val="00710DCB"/>
    <w:rsid w:val="00711A34"/>
    <w:rsid w:val="007120B4"/>
    <w:rsid w:val="0071216B"/>
    <w:rsid w:val="0071220C"/>
    <w:rsid w:val="007124D8"/>
    <w:rsid w:val="00712866"/>
    <w:rsid w:val="00712BA7"/>
    <w:rsid w:val="007131E5"/>
    <w:rsid w:val="00713294"/>
    <w:rsid w:val="00713AD8"/>
    <w:rsid w:val="007141AA"/>
    <w:rsid w:val="00714730"/>
    <w:rsid w:val="00714BBF"/>
    <w:rsid w:val="00714D2C"/>
    <w:rsid w:val="00715AAD"/>
    <w:rsid w:val="00721575"/>
    <w:rsid w:val="00723C2A"/>
    <w:rsid w:val="00723D74"/>
    <w:rsid w:val="00724D27"/>
    <w:rsid w:val="0072587E"/>
    <w:rsid w:val="00730191"/>
    <w:rsid w:val="00731129"/>
    <w:rsid w:val="00731829"/>
    <w:rsid w:val="00731F2A"/>
    <w:rsid w:val="007326AF"/>
    <w:rsid w:val="007327BB"/>
    <w:rsid w:val="007335D8"/>
    <w:rsid w:val="007340D7"/>
    <w:rsid w:val="00735467"/>
    <w:rsid w:val="00735766"/>
    <w:rsid w:val="00740E47"/>
    <w:rsid w:val="00741D4D"/>
    <w:rsid w:val="00743496"/>
    <w:rsid w:val="00745FAD"/>
    <w:rsid w:val="00746272"/>
    <w:rsid w:val="00751636"/>
    <w:rsid w:val="007533B8"/>
    <w:rsid w:val="007543FD"/>
    <w:rsid w:val="00755CDE"/>
    <w:rsid w:val="007563B0"/>
    <w:rsid w:val="00756A9E"/>
    <w:rsid w:val="00760326"/>
    <w:rsid w:val="00761705"/>
    <w:rsid w:val="00761E4F"/>
    <w:rsid w:val="00763BC9"/>
    <w:rsid w:val="00765124"/>
    <w:rsid w:val="007665A5"/>
    <w:rsid w:val="00767CB1"/>
    <w:rsid w:val="00767E31"/>
    <w:rsid w:val="00767E8A"/>
    <w:rsid w:val="0077197E"/>
    <w:rsid w:val="007737A3"/>
    <w:rsid w:val="00775F00"/>
    <w:rsid w:val="00780991"/>
    <w:rsid w:val="0078200B"/>
    <w:rsid w:val="0078202A"/>
    <w:rsid w:val="007833D3"/>
    <w:rsid w:val="007836C3"/>
    <w:rsid w:val="007861D7"/>
    <w:rsid w:val="007873CE"/>
    <w:rsid w:val="00787DB3"/>
    <w:rsid w:val="007900A8"/>
    <w:rsid w:val="007902AF"/>
    <w:rsid w:val="00791376"/>
    <w:rsid w:val="00792047"/>
    <w:rsid w:val="00793094"/>
    <w:rsid w:val="007932D8"/>
    <w:rsid w:val="00793C9D"/>
    <w:rsid w:val="00794130"/>
    <w:rsid w:val="0079414D"/>
    <w:rsid w:val="007951FB"/>
    <w:rsid w:val="00796770"/>
    <w:rsid w:val="00796946"/>
    <w:rsid w:val="007973B1"/>
    <w:rsid w:val="007A0085"/>
    <w:rsid w:val="007A0633"/>
    <w:rsid w:val="007A0ABA"/>
    <w:rsid w:val="007A0F13"/>
    <w:rsid w:val="007A16DB"/>
    <w:rsid w:val="007A1D7E"/>
    <w:rsid w:val="007A2251"/>
    <w:rsid w:val="007A3010"/>
    <w:rsid w:val="007A496B"/>
    <w:rsid w:val="007A4E7C"/>
    <w:rsid w:val="007A5EC5"/>
    <w:rsid w:val="007A6B5D"/>
    <w:rsid w:val="007A7D4F"/>
    <w:rsid w:val="007B0342"/>
    <w:rsid w:val="007B06C1"/>
    <w:rsid w:val="007B07D1"/>
    <w:rsid w:val="007B0BB6"/>
    <w:rsid w:val="007B0E18"/>
    <w:rsid w:val="007B1131"/>
    <w:rsid w:val="007B7369"/>
    <w:rsid w:val="007B774B"/>
    <w:rsid w:val="007B7FC5"/>
    <w:rsid w:val="007C11D9"/>
    <w:rsid w:val="007C1E9D"/>
    <w:rsid w:val="007C2B1A"/>
    <w:rsid w:val="007C394A"/>
    <w:rsid w:val="007C41F7"/>
    <w:rsid w:val="007C7536"/>
    <w:rsid w:val="007D00F2"/>
    <w:rsid w:val="007D2A28"/>
    <w:rsid w:val="007D2B48"/>
    <w:rsid w:val="007D2B9A"/>
    <w:rsid w:val="007D2EEA"/>
    <w:rsid w:val="007D5046"/>
    <w:rsid w:val="007D5304"/>
    <w:rsid w:val="007D5F09"/>
    <w:rsid w:val="007D74AE"/>
    <w:rsid w:val="007D77E8"/>
    <w:rsid w:val="007D7BA8"/>
    <w:rsid w:val="007D7FEA"/>
    <w:rsid w:val="007E3AED"/>
    <w:rsid w:val="007E6297"/>
    <w:rsid w:val="007E6415"/>
    <w:rsid w:val="007E649A"/>
    <w:rsid w:val="007F2863"/>
    <w:rsid w:val="007F2A81"/>
    <w:rsid w:val="007F2CBC"/>
    <w:rsid w:val="007F2E79"/>
    <w:rsid w:val="007F2EC0"/>
    <w:rsid w:val="007F3B2E"/>
    <w:rsid w:val="007F3B40"/>
    <w:rsid w:val="007F3D86"/>
    <w:rsid w:val="007F3F40"/>
    <w:rsid w:val="007F61E7"/>
    <w:rsid w:val="007F7C03"/>
    <w:rsid w:val="00802658"/>
    <w:rsid w:val="00803B8C"/>
    <w:rsid w:val="008040F8"/>
    <w:rsid w:val="00807647"/>
    <w:rsid w:val="00807D86"/>
    <w:rsid w:val="00807D9B"/>
    <w:rsid w:val="00807EA5"/>
    <w:rsid w:val="00814346"/>
    <w:rsid w:val="00814551"/>
    <w:rsid w:val="008159D7"/>
    <w:rsid w:val="00815F5F"/>
    <w:rsid w:val="00817712"/>
    <w:rsid w:val="00817843"/>
    <w:rsid w:val="00817C2D"/>
    <w:rsid w:val="00820774"/>
    <w:rsid w:val="00820DE0"/>
    <w:rsid w:val="008218DD"/>
    <w:rsid w:val="00821AE5"/>
    <w:rsid w:val="00821AF1"/>
    <w:rsid w:val="00821B3B"/>
    <w:rsid w:val="00822526"/>
    <w:rsid w:val="00822A50"/>
    <w:rsid w:val="00824A46"/>
    <w:rsid w:val="008262D6"/>
    <w:rsid w:val="008262F6"/>
    <w:rsid w:val="00826AE9"/>
    <w:rsid w:val="00830FC6"/>
    <w:rsid w:val="00831DCB"/>
    <w:rsid w:val="00833705"/>
    <w:rsid w:val="00833EA6"/>
    <w:rsid w:val="008341F5"/>
    <w:rsid w:val="00835C97"/>
    <w:rsid w:val="00835FB3"/>
    <w:rsid w:val="00835FC4"/>
    <w:rsid w:val="00836EB2"/>
    <w:rsid w:val="00841C98"/>
    <w:rsid w:val="00841E68"/>
    <w:rsid w:val="008429A3"/>
    <w:rsid w:val="008429BB"/>
    <w:rsid w:val="00844181"/>
    <w:rsid w:val="008450FF"/>
    <w:rsid w:val="008453D9"/>
    <w:rsid w:val="008455DB"/>
    <w:rsid w:val="008462CF"/>
    <w:rsid w:val="008468B8"/>
    <w:rsid w:val="00847908"/>
    <w:rsid w:val="0084799E"/>
    <w:rsid w:val="00847EF0"/>
    <w:rsid w:val="00850B6C"/>
    <w:rsid w:val="00851934"/>
    <w:rsid w:val="008520A5"/>
    <w:rsid w:val="00855AEF"/>
    <w:rsid w:val="00855D24"/>
    <w:rsid w:val="00855D36"/>
    <w:rsid w:val="008568C8"/>
    <w:rsid w:val="00857331"/>
    <w:rsid w:val="00857ED7"/>
    <w:rsid w:val="00860B9D"/>
    <w:rsid w:val="0086259C"/>
    <w:rsid w:val="00862AD0"/>
    <w:rsid w:val="00862F4E"/>
    <w:rsid w:val="008630BC"/>
    <w:rsid w:val="0086364C"/>
    <w:rsid w:val="00865203"/>
    <w:rsid w:val="0087080D"/>
    <w:rsid w:val="00870A13"/>
    <w:rsid w:val="00870AD3"/>
    <w:rsid w:val="00871B5A"/>
    <w:rsid w:val="00873746"/>
    <w:rsid w:val="00874283"/>
    <w:rsid w:val="008744EE"/>
    <w:rsid w:val="0087477A"/>
    <w:rsid w:val="00874C72"/>
    <w:rsid w:val="00875506"/>
    <w:rsid w:val="0087555B"/>
    <w:rsid w:val="008761EE"/>
    <w:rsid w:val="008767DA"/>
    <w:rsid w:val="00876A62"/>
    <w:rsid w:val="00876F15"/>
    <w:rsid w:val="00877A59"/>
    <w:rsid w:val="00877E5D"/>
    <w:rsid w:val="00880A9B"/>
    <w:rsid w:val="00880BC6"/>
    <w:rsid w:val="00882280"/>
    <w:rsid w:val="0088251D"/>
    <w:rsid w:val="008828CF"/>
    <w:rsid w:val="0088349B"/>
    <w:rsid w:val="00883EC8"/>
    <w:rsid w:val="00884326"/>
    <w:rsid w:val="00884BD7"/>
    <w:rsid w:val="00886A00"/>
    <w:rsid w:val="008908EE"/>
    <w:rsid w:val="00891262"/>
    <w:rsid w:val="00891267"/>
    <w:rsid w:val="0089131D"/>
    <w:rsid w:val="00891406"/>
    <w:rsid w:val="008916D5"/>
    <w:rsid w:val="00892C77"/>
    <w:rsid w:val="00893756"/>
    <w:rsid w:val="008940DA"/>
    <w:rsid w:val="00895C60"/>
    <w:rsid w:val="00896B16"/>
    <w:rsid w:val="008A1661"/>
    <w:rsid w:val="008A18FA"/>
    <w:rsid w:val="008A79CB"/>
    <w:rsid w:val="008A7EDE"/>
    <w:rsid w:val="008B0269"/>
    <w:rsid w:val="008B06E9"/>
    <w:rsid w:val="008B091B"/>
    <w:rsid w:val="008B10EF"/>
    <w:rsid w:val="008B118B"/>
    <w:rsid w:val="008B2A25"/>
    <w:rsid w:val="008B301B"/>
    <w:rsid w:val="008B3AA3"/>
    <w:rsid w:val="008B4443"/>
    <w:rsid w:val="008B4BF3"/>
    <w:rsid w:val="008B53BB"/>
    <w:rsid w:val="008B6EC9"/>
    <w:rsid w:val="008B7A2E"/>
    <w:rsid w:val="008C0118"/>
    <w:rsid w:val="008C05CA"/>
    <w:rsid w:val="008C20AD"/>
    <w:rsid w:val="008C3F99"/>
    <w:rsid w:val="008C4831"/>
    <w:rsid w:val="008C4C54"/>
    <w:rsid w:val="008C52B4"/>
    <w:rsid w:val="008C7224"/>
    <w:rsid w:val="008D021E"/>
    <w:rsid w:val="008D0702"/>
    <w:rsid w:val="008D087E"/>
    <w:rsid w:val="008D20BD"/>
    <w:rsid w:val="008D4411"/>
    <w:rsid w:val="008D4584"/>
    <w:rsid w:val="008D4FFE"/>
    <w:rsid w:val="008D57FE"/>
    <w:rsid w:val="008D6555"/>
    <w:rsid w:val="008D7168"/>
    <w:rsid w:val="008E05B0"/>
    <w:rsid w:val="008E05F2"/>
    <w:rsid w:val="008E2068"/>
    <w:rsid w:val="008E2675"/>
    <w:rsid w:val="008E516F"/>
    <w:rsid w:val="008E531B"/>
    <w:rsid w:val="008E5A02"/>
    <w:rsid w:val="008E619D"/>
    <w:rsid w:val="008E6831"/>
    <w:rsid w:val="008E6E7A"/>
    <w:rsid w:val="008F0B9D"/>
    <w:rsid w:val="008F13EF"/>
    <w:rsid w:val="008F24AF"/>
    <w:rsid w:val="008F266E"/>
    <w:rsid w:val="008F4A4A"/>
    <w:rsid w:val="008F527E"/>
    <w:rsid w:val="008F57B7"/>
    <w:rsid w:val="008F5F4A"/>
    <w:rsid w:val="008F6FFC"/>
    <w:rsid w:val="008F72B5"/>
    <w:rsid w:val="008F73DE"/>
    <w:rsid w:val="008F7F7E"/>
    <w:rsid w:val="00902990"/>
    <w:rsid w:val="00903A3B"/>
    <w:rsid w:val="00903BB2"/>
    <w:rsid w:val="00907532"/>
    <w:rsid w:val="009117A7"/>
    <w:rsid w:val="00911E44"/>
    <w:rsid w:val="009138F7"/>
    <w:rsid w:val="00913B07"/>
    <w:rsid w:val="00913FB0"/>
    <w:rsid w:val="00914009"/>
    <w:rsid w:val="00915FC7"/>
    <w:rsid w:val="00916D60"/>
    <w:rsid w:val="00917350"/>
    <w:rsid w:val="00917896"/>
    <w:rsid w:val="00917918"/>
    <w:rsid w:val="00917D91"/>
    <w:rsid w:val="00917F7A"/>
    <w:rsid w:val="0092102F"/>
    <w:rsid w:val="00923014"/>
    <w:rsid w:val="00923039"/>
    <w:rsid w:val="009239F7"/>
    <w:rsid w:val="009279F8"/>
    <w:rsid w:val="00927A6D"/>
    <w:rsid w:val="00930726"/>
    <w:rsid w:val="00930AF0"/>
    <w:rsid w:val="00932696"/>
    <w:rsid w:val="00933058"/>
    <w:rsid w:val="009332F0"/>
    <w:rsid w:val="00933DA9"/>
    <w:rsid w:val="009340D7"/>
    <w:rsid w:val="00937796"/>
    <w:rsid w:val="00940836"/>
    <w:rsid w:val="0094153F"/>
    <w:rsid w:val="00943894"/>
    <w:rsid w:val="0094487E"/>
    <w:rsid w:val="009454D0"/>
    <w:rsid w:val="0094588D"/>
    <w:rsid w:val="00945EB6"/>
    <w:rsid w:val="00945F7B"/>
    <w:rsid w:val="009460E9"/>
    <w:rsid w:val="00946692"/>
    <w:rsid w:val="009466C0"/>
    <w:rsid w:val="00946EC1"/>
    <w:rsid w:val="00947398"/>
    <w:rsid w:val="009476C1"/>
    <w:rsid w:val="0095003C"/>
    <w:rsid w:val="00952373"/>
    <w:rsid w:val="009529D3"/>
    <w:rsid w:val="00952F28"/>
    <w:rsid w:val="0095406F"/>
    <w:rsid w:val="00954C19"/>
    <w:rsid w:val="00954F22"/>
    <w:rsid w:val="00955A21"/>
    <w:rsid w:val="009561D8"/>
    <w:rsid w:val="00956FE7"/>
    <w:rsid w:val="00957157"/>
    <w:rsid w:val="009603D0"/>
    <w:rsid w:val="009614B1"/>
    <w:rsid w:val="00962515"/>
    <w:rsid w:val="00962575"/>
    <w:rsid w:val="0096296A"/>
    <w:rsid w:val="00963171"/>
    <w:rsid w:val="00963BEF"/>
    <w:rsid w:val="00964488"/>
    <w:rsid w:val="00966F60"/>
    <w:rsid w:val="009673C4"/>
    <w:rsid w:val="0097045B"/>
    <w:rsid w:val="009704D3"/>
    <w:rsid w:val="00970C32"/>
    <w:rsid w:val="00970E87"/>
    <w:rsid w:val="00971A9E"/>
    <w:rsid w:val="00972668"/>
    <w:rsid w:val="00972B0A"/>
    <w:rsid w:val="0097328E"/>
    <w:rsid w:val="00973A91"/>
    <w:rsid w:val="00974789"/>
    <w:rsid w:val="00975286"/>
    <w:rsid w:val="009759E3"/>
    <w:rsid w:val="00975D65"/>
    <w:rsid w:val="009763B8"/>
    <w:rsid w:val="00976559"/>
    <w:rsid w:val="00977D5C"/>
    <w:rsid w:val="00982A19"/>
    <w:rsid w:val="009833AD"/>
    <w:rsid w:val="00983CD5"/>
    <w:rsid w:val="00983D11"/>
    <w:rsid w:val="00984339"/>
    <w:rsid w:val="00985892"/>
    <w:rsid w:val="00985DF6"/>
    <w:rsid w:val="00986F78"/>
    <w:rsid w:val="0098777D"/>
    <w:rsid w:val="00987B52"/>
    <w:rsid w:val="00987BE8"/>
    <w:rsid w:val="00990C6F"/>
    <w:rsid w:val="009925E5"/>
    <w:rsid w:val="00992989"/>
    <w:rsid w:val="0099311C"/>
    <w:rsid w:val="009932EB"/>
    <w:rsid w:val="009935E3"/>
    <w:rsid w:val="00993B06"/>
    <w:rsid w:val="00994FD7"/>
    <w:rsid w:val="00996F4A"/>
    <w:rsid w:val="009A008F"/>
    <w:rsid w:val="009A0384"/>
    <w:rsid w:val="009A0D57"/>
    <w:rsid w:val="009A0E1D"/>
    <w:rsid w:val="009A1084"/>
    <w:rsid w:val="009A34E3"/>
    <w:rsid w:val="009A35B3"/>
    <w:rsid w:val="009A4A94"/>
    <w:rsid w:val="009A50BB"/>
    <w:rsid w:val="009A64B1"/>
    <w:rsid w:val="009B12E6"/>
    <w:rsid w:val="009B2084"/>
    <w:rsid w:val="009B3408"/>
    <w:rsid w:val="009B4478"/>
    <w:rsid w:val="009B4CBE"/>
    <w:rsid w:val="009B52CB"/>
    <w:rsid w:val="009B5BB3"/>
    <w:rsid w:val="009B6314"/>
    <w:rsid w:val="009B7423"/>
    <w:rsid w:val="009B7555"/>
    <w:rsid w:val="009B7FBE"/>
    <w:rsid w:val="009C269F"/>
    <w:rsid w:val="009C3892"/>
    <w:rsid w:val="009C4036"/>
    <w:rsid w:val="009C4055"/>
    <w:rsid w:val="009C5334"/>
    <w:rsid w:val="009C55F5"/>
    <w:rsid w:val="009C583B"/>
    <w:rsid w:val="009C6453"/>
    <w:rsid w:val="009C66C9"/>
    <w:rsid w:val="009C7BAE"/>
    <w:rsid w:val="009C7BF1"/>
    <w:rsid w:val="009D140C"/>
    <w:rsid w:val="009D194C"/>
    <w:rsid w:val="009D2FD2"/>
    <w:rsid w:val="009D30A0"/>
    <w:rsid w:val="009D33A2"/>
    <w:rsid w:val="009D3512"/>
    <w:rsid w:val="009D41E9"/>
    <w:rsid w:val="009D45F3"/>
    <w:rsid w:val="009D55AB"/>
    <w:rsid w:val="009D7BDA"/>
    <w:rsid w:val="009E0570"/>
    <w:rsid w:val="009E073E"/>
    <w:rsid w:val="009E2136"/>
    <w:rsid w:val="009E2BE4"/>
    <w:rsid w:val="009E359F"/>
    <w:rsid w:val="009E3DCA"/>
    <w:rsid w:val="009E4469"/>
    <w:rsid w:val="009E4474"/>
    <w:rsid w:val="009E5B4E"/>
    <w:rsid w:val="009E7F86"/>
    <w:rsid w:val="009F168F"/>
    <w:rsid w:val="009F1B87"/>
    <w:rsid w:val="009F39AF"/>
    <w:rsid w:val="009F44D3"/>
    <w:rsid w:val="009F49E5"/>
    <w:rsid w:val="009F4BDB"/>
    <w:rsid w:val="009F4C78"/>
    <w:rsid w:val="009F4FA1"/>
    <w:rsid w:val="009F5684"/>
    <w:rsid w:val="009F5E70"/>
    <w:rsid w:val="009F68D1"/>
    <w:rsid w:val="009F70D8"/>
    <w:rsid w:val="009F77D0"/>
    <w:rsid w:val="00A0026D"/>
    <w:rsid w:val="00A01395"/>
    <w:rsid w:val="00A01782"/>
    <w:rsid w:val="00A02856"/>
    <w:rsid w:val="00A02C32"/>
    <w:rsid w:val="00A02F69"/>
    <w:rsid w:val="00A0461C"/>
    <w:rsid w:val="00A05F1E"/>
    <w:rsid w:val="00A066B9"/>
    <w:rsid w:val="00A100BE"/>
    <w:rsid w:val="00A10DB3"/>
    <w:rsid w:val="00A1103B"/>
    <w:rsid w:val="00A1116A"/>
    <w:rsid w:val="00A114AB"/>
    <w:rsid w:val="00A11A05"/>
    <w:rsid w:val="00A1569B"/>
    <w:rsid w:val="00A17501"/>
    <w:rsid w:val="00A17F80"/>
    <w:rsid w:val="00A21DB7"/>
    <w:rsid w:val="00A2418D"/>
    <w:rsid w:val="00A252D3"/>
    <w:rsid w:val="00A263C8"/>
    <w:rsid w:val="00A26631"/>
    <w:rsid w:val="00A301A5"/>
    <w:rsid w:val="00A3088E"/>
    <w:rsid w:val="00A31B39"/>
    <w:rsid w:val="00A34541"/>
    <w:rsid w:val="00A35E67"/>
    <w:rsid w:val="00A36967"/>
    <w:rsid w:val="00A37B64"/>
    <w:rsid w:val="00A37F59"/>
    <w:rsid w:val="00A41035"/>
    <w:rsid w:val="00A41A6C"/>
    <w:rsid w:val="00A41E67"/>
    <w:rsid w:val="00A43F65"/>
    <w:rsid w:val="00A4450E"/>
    <w:rsid w:val="00A44F32"/>
    <w:rsid w:val="00A4742A"/>
    <w:rsid w:val="00A47547"/>
    <w:rsid w:val="00A5101E"/>
    <w:rsid w:val="00A51092"/>
    <w:rsid w:val="00A55049"/>
    <w:rsid w:val="00A56631"/>
    <w:rsid w:val="00A56FA7"/>
    <w:rsid w:val="00A60665"/>
    <w:rsid w:val="00A619CD"/>
    <w:rsid w:val="00A62596"/>
    <w:rsid w:val="00A63DCE"/>
    <w:rsid w:val="00A63FCE"/>
    <w:rsid w:val="00A6490E"/>
    <w:rsid w:val="00A650AE"/>
    <w:rsid w:val="00A6520D"/>
    <w:rsid w:val="00A65367"/>
    <w:rsid w:val="00A65D78"/>
    <w:rsid w:val="00A668E0"/>
    <w:rsid w:val="00A71AA8"/>
    <w:rsid w:val="00A72188"/>
    <w:rsid w:val="00A730D0"/>
    <w:rsid w:val="00A7312B"/>
    <w:rsid w:val="00A7482A"/>
    <w:rsid w:val="00A75FB6"/>
    <w:rsid w:val="00A76506"/>
    <w:rsid w:val="00A77601"/>
    <w:rsid w:val="00A77726"/>
    <w:rsid w:val="00A77C13"/>
    <w:rsid w:val="00A8051E"/>
    <w:rsid w:val="00A8114C"/>
    <w:rsid w:val="00A82A03"/>
    <w:rsid w:val="00A834CC"/>
    <w:rsid w:val="00A83CB0"/>
    <w:rsid w:val="00A84103"/>
    <w:rsid w:val="00A85A8B"/>
    <w:rsid w:val="00A85DEA"/>
    <w:rsid w:val="00A860A7"/>
    <w:rsid w:val="00A86290"/>
    <w:rsid w:val="00A862E9"/>
    <w:rsid w:val="00A86313"/>
    <w:rsid w:val="00A864D9"/>
    <w:rsid w:val="00A86CBF"/>
    <w:rsid w:val="00A875C8"/>
    <w:rsid w:val="00A90142"/>
    <w:rsid w:val="00A90AF2"/>
    <w:rsid w:val="00A938BF"/>
    <w:rsid w:val="00A939AB"/>
    <w:rsid w:val="00A944B9"/>
    <w:rsid w:val="00A94F07"/>
    <w:rsid w:val="00A95912"/>
    <w:rsid w:val="00A95B47"/>
    <w:rsid w:val="00A95B51"/>
    <w:rsid w:val="00A966BE"/>
    <w:rsid w:val="00A9727E"/>
    <w:rsid w:val="00AA0B50"/>
    <w:rsid w:val="00AA23B2"/>
    <w:rsid w:val="00AA31D2"/>
    <w:rsid w:val="00AA3427"/>
    <w:rsid w:val="00AA4D1E"/>
    <w:rsid w:val="00AA5986"/>
    <w:rsid w:val="00AB0220"/>
    <w:rsid w:val="00AB087B"/>
    <w:rsid w:val="00AB09B1"/>
    <w:rsid w:val="00AB09C9"/>
    <w:rsid w:val="00AB0E84"/>
    <w:rsid w:val="00AB2049"/>
    <w:rsid w:val="00AB474A"/>
    <w:rsid w:val="00AB47BE"/>
    <w:rsid w:val="00AB4877"/>
    <w:rsid w:val="00AB50C1"/>
    <w:rsid w:val="00AB74E9"/>
    <w:rsid w:val="00AB78F6"/>
    <w:rsid w:val="00AB7B2F"/>
    <w:rsid w:val="00AB7C27"/>
    <w:rsid w:val="00AC10C1"/>
    <w:rsid w:val="00AC26C0"/>
    <w:rsid w:val="00AC2FF7"/>
    <w:rsid w:val="00AC349A"/>
    <w:rsid w:val="00AC3696"/>
    <w:rsid w:val="00AC3FDA"/>
    <w:rsid w:val="00AC4281"/>
    <w:rsid w:val="00AC4B0D"/>
    <w:rsid w:val="00AC56BE"/>
    <w:rsid w:val="00AC5A7F"/>
    <w:rsid w:val="00AC71FF"/>
    <w:rsid w:val="00AC74C3"/>
    <w:rsid w:val="00AC74E4"/>
    <w:rsid w:val="00AD1AD9"/>
    <w:rsid w:val="00AD212A"/>
    <w:rsid w:val="00AD285C"/>
    <w:rsid w:val="00AD58AA"/>
    <w:rsid w:val="00AD5E34"/>
    <w:rsid w:val="00AD61F2"/>
    <w:rsid w:val="00AD6A6E"/>
    <w:rsid w:val="00AD7FFE"/>
    <w:rsid w:val="00AE02A2"/>
    <w:rsid w:val="00AE07BF"/>
    <w:rsid w:val="00AE0A79"/>
    <w:rsid w:val="00AE0B3C"/>
    <w:rsid w:val="00AE230E"/>
    <w:rsid w:val="00AE53EA"/>
    <w:rsid w:val="00AE5ACC"/>
    <w:rsid w:val="00AE5DA8"/>
    <w:rsid w:val="00AE680B"/>
    <w:rsid w:val="00AF0A2F"/>
    <w:rsid w:val="00AF0CB3"/>
    <w:rsid w:val="00AF0E17"/>
    <w:rsid w:val="00AF1239"/>
    <w:rsid w:val="00AF2B50"/>
    <w:rsid w:val="00AF300D"/>
    <w:rsid w:val="00AF3737"/>
    <w:rsid w:val="00AF3EAF"/>
    <w:rsid w:val="00AF3F64"/>
    <w:rsid w:val="00AF4416"/>
    <w:rsid w:val="00AF4789"/>
    <w:rsid w:val="00AF58FF"/>
    <w:rsid w:val="00AF5A30"/>
    <w:rsid w:val="00AF7A7C"/>
    <w:rsid w:val="00AF7B75"/>
    <w:rsid w:val="00AF7CF8"/>
    <w:rsid w:val="00B0065D"/>
    <w:rsid w:val="00B0160A"/>
    <w:rsid w:val="00B020EC"/>
    <w:rsid w:val="00B029CB"/>
    <w:rsid w:val="00B03E01"/>
    <w:rsid w:val="00B03F8C"/>
    <w:rsid w:val="00B05744"/>
    <w:rsid w:val="00B059CE"/>
    <w:rsid w:val="00B060F6"/>
    <w:rsid w:val="00B06527"/>
    <w:rsid w:val="00B06773"/>
    <w:rsid w:val="00B06AD5"/>
    <w:rsid w:val="00B1126B"/>
    <w:rsid w:val="00B11732"/>
    <w:rsid w:val="00B11A62"/>
    <w:rsid w:val="00B12B29"/>
    <w:rsid w:val="00B13499"/>
    <w:rsid w:val="00B14211"/>
    <w:rsid w:val="00B14424"/>
    <w:rsid w:val="00B14F44"/>
    <w:rsid w:val="00B15B21"/>
    <w:rsid w:val="00B17A39"/>
    <w:rsid w:val="00B21517"/>
    <w:rsid w:val="00B21D36"/>
    <w:rsid w:val="00B234F5"/>
    <w:rsid w:val="00B2467C"/>
    <w:rsid w:val="00B24A9A"/>
    <w:rsid w:val="00B26C11"/>
    <w:rsid w:val="00B27681"/>
    <w:rsid w:val="00B30AF5"/>
    <w:rsid w:val="00B31194"/>
    <w:rsid w:val="00B31E06"/>
    <w:rsid w:val="00B346AB"/>
    <w:rsid w:val="00B358BE"/>
    <w:rsid w:val="00B35E6D"/>
    <w:rsid w:val="00B369E5"/>
    <w:rsid w:val="00B36B76"/>
    <w:rsid w:val="00B40A59"/>
    <w:rsid w:val="00B42BB5"/>
    <w:rsid w:val="00B43A89"/>
    <w:rsid w:val="00B44008"/>
    <w:rsid w:val="00B44500"/>
    <w:rsid w:val="00B450DC"/>
    <w:rsid w:val="00B46154"/>
    <w:rsid w:val="00B50015"/>
    <w:rsid w:val="00B506B5"/>
    <w:rsid w:val="00B51145"/>
    <w:rsid w:val="00B52ABA"/>
    <w:rsid w:val="00B52D72"/>
    <w:rsid w:val="00B53D9A"/>
    <w:rsid w:val="00B543A1"/>
    <w:rsid w:val="00B54C8F"/>
    <w:rsid w:val="00B6127D"/>
    <w:rsid w:val="00B616E5"/>
    <w:rsid w:val="00B617D9"/>
    <w:rsid w:val="00B618BF"/>
    <w:rsid w:val="00B62662"/>
    <w:rsid w:val="00B62CC2"/>
    <w:rsid w:val="00B64B92"/>
    <w:rsid w:val="00B701E0"/>
    <w:rsid w:val="00B70403"/>
    <w:rsid w:val="00B72C1A"/>
    <w:rsid w:val="00B74822"/>
    <w:rsid w:val="00B749F9"/>
    <w:rsid w:val="00B74BF6"/>
    <w:rsid w:val="00B75165"/>
    <w:rsid w:val="00B752FC"/>
    <w:rsid w:val="00B7530B"/>
    <w:rsid w:val="00B757CE"/>
    <w:rsid w:val="00B75932"/>
    <w:rsid w:val="00B75CE4"/>
    <w:rsid w:val="00B7692B"/>
    <w:rsid w:val="00B81A64"/>
    <w:rsid w:val="00B821F7"/>
    <w:rsid w:val="00B82621"/>
    <w:rsid w:val="00B838F4"/>
    <w:rsid w:val="00B839FD"/>
    <w:rsid w:val="00B83CE7"/>
    <w:rsid w:val="00B863AB"/>
    <w:rsid w:val="00B86504"/>
    <w:rsid w:val="00B86746"/>
    <w:rsid w:val="00B86845"/>
    <w:rsid w:val="00B869D7"/>
    <w:rsid w:val="00B87310"/>
    <w:rsid w:val="00B8765C"/>
    <w:rsid w:val="00B87C4B"/>
    <w:rsid w:val="00B9004F"/>
    <w:rsid w:val="00B902E4"/>
    <w:rsid w:val="00B90B43"/>
    <w:rsid w:val="00B92108"/>
    <w:rsid w:val="00B93792"/>
    <w:rsid w:val="00B93D97"/>
    <w:rsid w:val="00B9403D"/>
    <w:rsid w:val="00B955A4"/>
    <w:rsid w:val="00B956F9"/>
    <w:rsid w:val="00B96B7A"/>
    <w:rsid w:val="00BA0C06"/>
    <w:rsid w:val="00BA1628"/>
    <w:rsid w:val="00BA16A7"/>
    <w:rsid w:val="00BA2D98"/>
    <w:rsid w:val="00BA3BD8"/>
    <w:rsid w:val="00BA3CC7"/>
    <w:rsid w:val="00BB30FA"/>
    <w:rsid w:val="00BB43CD"/>
    <w:rsid w:val="00BB4981"/>
    <w:rsid w:val="00BB55D6"/>
    <w:rsid w:val="00BB5885"/>
    <w:rsid w:val="00BB589F"/>
    <w:rsid w:val="00BB7DE0"/>
    <w:rsid w:val="00BC1579"/>
    <w:rsid w:val="00BC31B2"/>
    <w:rsid w:val="00BC33E8"/>
    <w:rsid w:val="00BC4C26"/>
    <w:rsid w:val="00BC5C47"/>
    <w:rsid w:val="00BD18CA"/>
    <w:rsid w:val="00BD2907"/>
    <w:rsid w:val="00BD2A00"/>
    <w:rsid w:val="00BD2E34"/>
    <w:rsid w:val="00BD33C6"/>
    <w:rsid w:val="00BD3C00"/>
    <w:rsid w:val="00BD4340"/>
    <w:rsid w:val="00BD5DB5"/>
    <w:rsid w:val="00BD6E54"/>
    <w:rsid w:val="00BD7600"/>
    <w:rsid w:val="00BD7B1B"/>
    <w:rsid w:val="00BE06D4"/>
    <w:rsid w:val="00BE2824"/>
    <w:rsid w:val="00BE2CBB"/>
    <w:rsid w:val="00BE2FDF"/>
    <w:rsid w:val="00BE3F80"/>
    <w:rsid w:val="00BE68B7"/>
    <w:rsid w:val="00BF120E"/>
    <w:rsid w:val="00BF1604"/>
    <w:rsid w:val="00BF2389"/>
    <w:rsid w:val="00BF2BC2"/>
    <w:rsid w:val="00BF2D74"/>
    <w:rsid w:val="00BF2FBD"/>
    <w:rsid w:val="00BF360C"/>
    <w:rsid w:val="00BF54A0"/>
    <w:rsid w:val="00BF63F4"/>
    <w:rsid w:val="00BF6921"/>
    <w:rsid w:val="00BF6E14"/>
    <w:rsid w:val="00C0005F"/>
    <w:rsid w:val="00C0025C"/>
    <w:rsid w:val="00C00698"/>
    <w:rsid w:val="00C01407"/>
    <w:rsid w:val="00C01564"/>
    <w:rsid w:val="00C01B7C"/>
    <w:rsid w:val="00C02204"/>
    <w:rsid w:val="00C02340"/>
    <w:rsid w:val="00C035BA"/>
    <w:rsid w:val="00C0449B"/>
    <w:rsid w:val="00C0669C"/>
    <w:rsid w:val="00C07295"/>
    <w:rsid w:val="00C075F8"/>
    <w:rsid w:val="00C10174"/>
    <w:rsid w:val="00C11798"/>
    <w:rsid w:val="00C11C2D"/>
    <w:rsid w:val="00C1492F"/>
    <w:rsid w:val="00C1535D"/>
    <w:rsid w:val="00C210DA"/>
    <w:rsid w:val="00C2167C"/>
    <w:rsid w:val="00C223CA"/>
    <w:rsid w:val="00C2274A"/>
    <w:rsid w:val="00C23B82"/>
    <w:rsid w:val="00C23ECF"/>
    <w:rsid w:val="00C240AE"/>
    <w:rsid w:val="00C27260"/>
    <w:rsid w:val="00C2761D"/>
    <w:rsid w:val="00C27B28"/>
    <w:rsid w:val="00C27BE5"/>
    <w:rsid w:val="00C301E9"/>
    <w:rsid w:val="00C302DC"/>
    <w:rsid w:val="00C31516"/>
    <w:rsid w:val="00C3173D"/>
    <w:rsid w:val="00C3252A"/>
    <w:rsid w:val="00C40924"/>
    <w:rsid w:val="00C419B4"/>
    <w:rsid w:val="00C434ED"/>
    <w:rsid w:val="00C43BE1"/>
    <w:rsid w:val="00C450E2"/>
    <w:rsid w:val="00C45339"/>
    <w:rsid w:val="00C45D7E"/>
    <w:rsid w:val="00C470E9"/>
    <w:rsid w:val="00C472C3"/>
    <w:rsid w:val="00C47C99"/>
    <w:rsid w:val="00C50656"/>
    <w:rsid w:val="00C51059"/>
    <w:rsid w:val="00C51252"/>
    <w:rsid w:val="00C5210F"/>
    <w:rsid w:val="00C5272A"/>
    <w:rsid w:val="00C52B23"/>
    <w:rsid w:val="00C530A5"/>
    <w:rsid w:val="00C548D5"/>
    <w:rsid w:val="00C55AB1"/>
    <w:rsid w:val="00C560BA"/>
    <w:rsid w:val="00C564B8"/>
    <w:rsid w:val="00C57551"/>
    <w:rsid w:val="00C575A5"/>
    <w:rsid w:val="00C576A7"/>
    <w:rsid w:val="00C577F8"/>
    <w:rsid w:val="00C6036E"/>
    <w:rsid w:val="00C60D48"/>
    <w:rsid w:val="00C61213"/>
    <w:rsid w:val="00C61B3F"/>
    <w:rsid w:val="00C637E6"/>
    <w:rsid w:val="00C64BB6"/>
    <w:rsid w:val="00C65734"/>
    <w:rsid w:val="00C65BFF"/>
    <w:rsid w:val="00C66EDC"/>
    <w:rsid w:val="00C67ECE"/>
    <w:rsid w:val="00C71184"/>
    <w:rsid w:val="00C72786"/>
    <w:rsid w:val="00C73939"/>
    <w:rsid w:val="00C74469"/>
    <w:rsid w:val="00C748BE"/>
    <w:rsid w:val="00C7497B"/>
    <w:rsid w:val="00C7714B"/>
    <w:rsid w:val="00C77830"/>
    <w:rsid w:val="00C8119D"/>
    <w:rsid w:val="00C835CB"/>
    <w:rsid w:val="00C84A27"/>
    <w:rsid w:val="00C87B5A"/>
    <w:rsid w:val="00C9129D"/>
    <w:rsid w:val="00C912FB"/>
    <w:rsid w:val="00C91E54"/>
    <w:rsid w:val="00C93536"/>
    <w:rsid w:val="00C94376"/>
    <w:rsid w:val="00C958D5"/>
    <w:rsid w:val="00C97B0B"/>
    <w:rsid w:val="00CA060A"/>
    <w:rsid w:val="00CA1AB7"/>
    <w:rsid w:val="00CA25E4"/>
    <w:rsid w:val="00CA261F"/>
    <w:rsid w:val="00CA2E2D"/>
    <w:rsid w:val="00CA3889"/>
    <w:rsid w:val="00CA3C48"/>
    <w:rsid w:val="00CA3F4B"/>
    <w:rsid w:val="00CA41FB"/>
    <w:rsid w:val="00CA4260"/>
    <w:rsid w:val="00CA44FD"/>
    <w:rsid w:val="00CA61EA"/>
    <w:rsid w:val="00CA7326"/>
    <w:rsid w:val="00CB1553"/>
    <w:rsid w:val="00CB1588"/>
    <w:rsid w:val="00CB185D"/>
    <w:rsid w:val="00CB2206"/>
    <w:rsid w:val="00CB283C"/>
    <w:rsid w:val="00CB334F"/>
    <w:rsid w:val="00CB4C94"/>
    <w:rsid w:val="00CB6927"/>
    <w:rsid w:val="00CB782F"/>
    <w:rsid w:val="00CC0B2C"/>
    <w:rsid w:val="00CC200B"/>
    <w:rsid w:val="00CC2E29"/>
    <w:rsid w:val="00CC301C"/>
    <w:rsid w:val="00CC365B"/>
    <w:rsid w:val="00CC47D6"/>
    <w:rsid w:val="00CC5481"/>
    <w:rsid w:val="00CC56A6"/>
    <w:rsid w:val="00CC65B7"/>
    <w:rsid w:val="00CC66F8"/>
    <w:rsid w:val="00CD07F9"/>
    <w:rsid w:val="00CD094F"/>
    <w:rsid w:val="00CD0B9A"/>
    <w:rsid w:val="00CD0CAD"/>
    <w:rsid w:val="00CD3C68"/>
    <w:rsid w:val="00CD46A2"/>
    <w:rsid w:val="00CD50DE"/>
    <w:rsid w:val="00CD5F4E"/>
    <w:rsid w:val="00CD6B60"/>
    <w:rsid w:val="00CE2DA2"/>
    <w:rsid w:val="00CE3E45"/>
    <w:rsid w:val="00CE54A6"/>
    <w:rsid w:val="00CE706E"/>
    <w:rsid w:val="00CE743B"/>
    <w:rsid w:val="00CE74CC"/>
    <w:rsid w:val="00CE76A7"/>
    <w:rsid w:val="00CE7C47"/>
    <w:rsid w:val="00CF0B39"/>
    <w:rsid w:val="00CF0D8D"/>
    <w:rsid w:val="00CF1DBF"/>
    <w:rsid w:val="00CF2789"/>
    <w:rsid w:val="00CF46A1"/>
    <w:rsid w:val="00CF4850"/>
    <w:rsid w:val="00CF5674"/>
    <w:rsid w:val="00CF64BC"/>
    <w:rsid w:val="00D027CB"/>
    <w:rsid w:val="00D03AA5"/>
    <w:rsid w:val="00D03D6C"/>
    <w:rsid w:val="00D03E05"/>
    <w:rsid w:val="00D06027"/>
    <w:rsid w:val="00D10204"/>
    <w:rsid w:val="00D107EC"/>
    <w:rsid w:val="00D11B5B"/>
    <w:rsid w:val="00D11DF0"/>
    <w:rsid w:val="00D1214D"/>
    <w:rsid w:val="00D12E5F"/>
    <w:rsid w:val="00D134B7"/>
    <w:rsid w:val="00D1421A"/>
    <w:rsid w:val="00D1422E"/>
    <w:rsid w:val="00D14C80"/>
    <w:rsid w:val="00D15E7A"/>
    <w:rsid w:val="00D169E3"/>
    <w:rsid w:val="00D16FD0"/>
    <w:rsid w:val="00D17726"/>
    <w:rsid w:val="00D17A0B"/>
    <w:rsid w:val="00D20C34"/>
    <w:rsid w:val="00D215D2"/>
    <w:rsid w:val="00D2207E"/>
    <w:rsid w:val="00D23D81"/>
    <w:rsid w:val="00D24136"/>
    <w:rsid w:val="00D25186"/>
    <w:rsid w:val="00D309BF"/>
    <w:rsid w:val="00D30D26"/>
    <w:rsid w:val="00D30F77"/>
    <w:rsid w:val="00D31019"/>
    <w:rsid w:val="00D34ADE"/>
    <w:rsid w:val="00D35598"/>
    <w:rsid w:val="00D36569"/>
    <w:rsid w:val="00D3670B"/>
    <w:rsid w:val="00D36C7E"/>
    <w:rsid w:val="00D377DF"/>
    <w:rsid w:val="00D37932"/>
    <w:rsid w:val="00D41945"/>
    <w:rsid w:val="00D41F64"/>
    <w:rsid w:val="00D42CDD"/>
    <w:rsid w:val="00D42F85"/>
    <w:rsid w:val="00D458C2"/>
    <w:rsid w:val="00D4664B"/>
    <w:rsid w:val="00D470BE"/>
    <w:rsid w:val="00D47FC8"/>
    <w:rsid w:val="00D5018D"/>
    <w:rsid w:val="00D50580"/>
    <w:rsid w:val="00D505E0"/>
    <w:rsid w:val="00D514EA"/>
    <w:rsid w:val="00D518DF"/>
    <w:rsid w:val="00D51BD1"/>
    <w:rsid w:val="00D52929"/>
    <w:rsid w:val="00D55288"/>
    <w:rsid w:val="00D55BA9"/>
    <w:rsid w:val="00D5670A"/>
    <w:rsid w:val="00D57FEB"/>
    <w:rsid w:val="00D60195"/>
    <w:rsid w:val="00D6233C"/>
    <w:rsid w:val="00D63762"/>
    <w:rsid w:val="00D67141"/>
    <w:rsid w:val="00D73C07"/>
    <w:rsid w:val="00D765C5"/>
    <w:rsid w:val="00D767A1"/>
    <w:rsid w:val="00D80B5A"/>
    <w:rsid w:val="00D815DD"/>
    <w:rsid w:val="00D81CFC"/>
    <w:rsid w:val="00D82AE8"/>
    <w:rsid w:val="00D82FB3"/>
    <w:rsid w:val="00D83B6C"/>
    <w:rsid w:val="00D841AB"/>
    <w:rsid w:val="00D84641"/>
    <w:rsid w:val="00D85282"/>
    <w:rsid w:val="00D86AC0"/>
    <w:rsid w:val="00D90C66"/>
    <w:rsid w:val="00D912C0"/>
    <w:rsid w:val="00D91D7D"/>
    <w:rsid w:val="00D94141"/>
    <w:rsid w:val="00D94A07"/>
    <w:rsid w:val="00D94B28"/>
    <w:rsid w:val="00D97EF6"/>
    <w:rsid w:val="00DA0EC2"/>
    <w:rsid w:val="00DA3907"/>
    <w:rsid w:val="00DA422F"/>
    <w:rsid w:val="00DA5146"/>
    <w:rsid w:val="00DA531D"/>
    <w:rsid w:val="00DA5BEC"/>
    <w:rsid w:val="00DA630E"/>
    <w:rsid w:val="00DA77F4"/>
    <w:rsid w:val="00DA7B83"/>
    <w:rsid w:val="00DB081F"/>
    <w:rsid w:val="00DB17E9"/>
    <w:rsid w:val="00DB19B1"/>
    <w:rsid w:val="00DB220C"/>
    <w:rsid w:val="00DB2373"/>
    <w:rsid w:val="00DB4314"/>
    <w:rsid w:val="00DB6144"/>
    <w:rsid w:val="00DB7D01"/>
    <w:rsid w:val="00DC00F3"/>
    <w:rsid w:val="00DC0B6D"/>
    <w:rsid w:val="00DC3252"/>
    <w:rsid w:val="00DC36EE"/>
    <w:rsid w:val="00DC3906"/>
    <w:rsid w:val="00DC5ABF"/>
    <w:rsid w:val="00DC601A"/>
    <w:rsid w:val="00DC628E"/>
    <w:rsid w:val="00DC64CB"/>
    <w:rsid w:val="00DC65FB"/>
    <w:rsid w:val="00DC69B3"/>
    <w:rsid w:val="00DC7E2C"/>
    <w:rsid w:val="00DD17D0"/>
    <w:rsid w:val="00DD2072"/>
    <w:rsid w:val="00DD38F1"/>
    <w:rsid w:val="00DD5CDD"/>
    <w:rsid w:val="00DD5E6B"/>
    <w:rsid w:val="00DE0DE1"/>
    <w:rsid w:val="00DE1395"/>
    <w:rsid w:val="00DE1744"/>
    <w:rsid w:val="00DE2C83"/>
    <w:rsid w:val="00DE3B54"/>
    <w:rsid w:val="00DE52B9"/>
    <w:rsid w:val="00DE7345"/>
    <w:rsid w:val="00DE7573"/>
    <w:rsid w:val="00DF0A8B"/>
    <w:rsid w:val="00DF1394"/>
    <w:rsid w:val="00DF178C"/>
    <w:rsid w:val="00DF2ECF"/>
    <w:rsid w:val="00DF3333"/>
    <w:rsid w:val="00DF3998"/>
    <w:rsid w:val="00DF4782"/>
    <w:rsid w:val="00E01540"/>
    <w:rsid w:val="00E0353A"/>
    <w:rsid w:val="00E03B11"/>
    <w:rsid w:val="00E04DC5"/>
    <w:rsid w:val="00E05073"/>
    <w:rsid w:val="00E06069"/>
    <w:rsid w:val="00E06AAF"/>
    <w:rsid w:val="00E06B69"/>
    <w:rsid w:val="00E100BA"/>
    <w:rsid w:val="00E102D7"/>
    <w:rsid w:val="00E106F7"/>
    <w:rsid w:val="00E10B5C"/>
    <w:rsid w:val="00E10BEE"/>
    <w:rsid w:val="00E11A24"/>
    <w:rsid w:val="00E121F9"/>
    <w:rsid w:val="00E15392"/>
    <w:rsid w:val="00E17B3C"/>
    <w:rsid w:val="00E20F5C"/>
    <w:rsid w:val="00E21E03"/>
    <w:rsid w:val="00E226CF"/>
    <w:rsid w:val="00E23E1A"/>
    <w:rsid w:val="00E24A96"/>
    <w:rsid w:val="00E24C1E"/>
    <w:rsid w:val="00E25103"/>
    <w:rsid w:val="00E265DF"/>
    <w:rsid w:val="00E301DB"/>
    <w:rsid w:val="00E30D61"/>
    <w:rsid w:val="00E3157E"/>
    <w:rsid w:val="00E31B1C"/>
    <w:rsid w:val="00E3290E"/>
    <w:rsid w:val="00E331D7"/>
    <w:rsid w:val="00E34609"/>
    <w:rsid w:val="00E34693"/>
    <w:rsid w:val="00E34FDF"/>
    <w:rsid w:val="00E3596B"/>
    <w:rsid w:val="00E35E1B"/>
    <w:rsid w:val="00E369D6"/>
    <w:rsid w:val="00E37CDA"/>
    <w:rsid w:val="00E436BA"/>
    <w:rsid w:val="00E44396"/>
    <w:rsid w:val="00E44840"/>
    <w:rsid w:val="00E44F5A"/>
    <w:rsid w:val="00E45C6A"/>
    <w:rsid w:val="00E46EFF"/>
    <w:rsid w:val="00E47869"/>
    <w:rsid w:val="00E50769"/>
    <w:rsid w:val="00E51723"/>
    <w:rsid w:val="00E5229C"/>
    <w:rsid w:val="00E53524"/>
    <w:rsid w:val="00E538CD"/>
    <w:rsid w:val="00E538E8"/>
    <w:rsid w:val="00E5415D"/>
    <w:rsid w:val="00E54D78"/>
    <w:rsid w:val="00E574AF"/>
    <w:rsid w:val="00E6064F"/>
    <w:rsid w:val="00E60AD0"/>
    <w:rsid w:val="00E6104F"/>
    <w:rsid w:val="00E613E5"/>
    <w:rsid w:val="00E61691"/>
    <w:rsid w:val="00E61FBA"/>
    <w:rsid w:val="00E62163"/>
    <w:rsid w:val="00E666DC"/>
    <w:rsid w:val="00E705DE"/>
    <w:rsid w:val="00E7092A"/>
    <w:rsid w:val="00E70966"/>
    <w:rsid w:val="00E70E27"/>
    <w:rsid w:val="00E72C45"/>
    <w:rsid w:val="00E7415C"/>
    <w:rsid w:val="00E74A67"/>
    <w:rsid w:val="00E77297"/>
    <w:rsid w:val="00E77630"/>
    <w:rsid w:val="00E7793D"/>
    <w:rsid w:val="00E81340"/>
    <w:rsid w:val="00E82008"/>
    <w:rsid w:val="00E82855"/>
    <w:rsid w:val="00E8384D"/>
    <w:rsid w:val="00E838BC"/>
    <w:rsid w:val="00E84AD8"/>
    <w:rsid w:val="00E84D23"/>
    <w:rsid w:val="00E8702A"/>
    <w:rsid w:val="00E9051F"/>
    <w:rsid w:val="00E913F2"/>
    <w:rsid w:val="00E91DD7"/>
    <w:rsid w:val="00E922EC"/>
    <w:rsid w:val="00E92BD7"/>
    <w:rsid w:val="00E92E77"/>
    <w:rsid w:val="00E92F3A"/>
    <w:rsid w:val="00E938FB"/>
    <w:rsid w:val="00E941EF"/>
    <w:rsid w:val="00E95FCC"/>
    <w:rsid w:val="00E97855"/>
    <w:rsid w:val="00E97D58"/>
    <w:rsid w:val="00EA095F"/>
    <w:rsid w:val="00EA0D1D"/>
    <w:rsid w:val="00EA54EC"/>
    <w:rsid w:val="00EA579D"/>
    <w:rsid w:val="00EA5944"/>
    <w:rsid w:val="00EA65E2"/>
    <w:rsid w:val="00EA6BA3"/>
    <w:rsid w:val="00EB10AF"/>
    <w:rsid w:val="00EB1DBB"/>
    <w:rsid w:val="00EB264F"/>
    <w:rsid w:val="00EB2C15"/>
    <w:rsid w:val="00EB2C48"/>
    <w:rsid w:val="00EB2E3F"/>
    <w:rsid w:val="00EB339D"/>
    <w:rsid w:val="00EB362F"/>
    <w:rsid w:val="00EB379E"/>
    <w:rsid w:val="00EB51B9"/>
    <w:rsid w:val="00EB5565"/>
    <w:rsid w:val="00EB5DEA"/>
    <w:rsid w:val="00EB6B26"/>
    <w:rsid w:val="00EC0D80"/>
    <w:rsid w:val="00EC1398"/>
    <w:rsid w:val="00EC27D4"/>
    <w:rsid w:val="00EC3F35"/>
    <w:rsid w:val="00EC5361"/>
    <w:rsid w:val="00EC7C51"/>
    <w:rsid w:val="00EC7ECF"/>
    <w:rsid w:val="00ED0031"/>
    <w:rsid w:val="00ED003D"/>
    <w:rsid w:val="00ED01AC"/>
    <w:rsid w:val="00ED0ECB"/>
    <w:rsid w:val="00ED0F6C"/>
    <w:rsid w:val="00ED1405"/>
    <w:rsid w:val="00ED147D"/>
    <w:rsid w:val="00ED1CAD"/>
    <w:rsid w:val="00ED1D8F"/>
    <w:rsid w:val="00ED3029"/>
    <w:rsid w:val="00ED3BF8"/>
    <w:rsid w:val="00ED454D"/>
    <w:rsid w:val="00ED5903"/>
    <w:rsid w:val="00ED5C5C"/>
    <w:rsid w:val="00ED60F0"/>
    <w:rsid w:val="00ED6312"/>
    <w:rsid w:val="00ED6B8E"/>
    <w:rsid w:val="00EE0A58"/>
    <w:rsid w:val="00EE16EC"/>
    <w:rsid w:val="00EE2412"/>
    <w:rsid w:val="00EE4EB4"/>
    <w:rsid w:val="00EE5395"/>
    <w:rsid w:val="00EE740A"/>
    <w:rsid w:val="00EE7684"/>
    <w:rsid w:val="00EE7E3A"/>
    <w:rsid w:val="00EF0D9A"/>
    <w:rsid w:val="00EF18F8"/>
    <w:rsid w:val="00EF2168"/>
    <w:rsid w:val="00EF2574"/>
    <w:rsid w:val="00EF382D"/>
    <w:rsid w:val="00EF40F2"/>
    <w:rsid w:val="00EF57C9"/>
    <w:rsid w:val="00EF72B4"/>
    <w:rsid w:val="00EF7C97"/>
    <w:rsid w:val="00F016B1"/>
    <w:rsid w:val="00F01FB0"/>
    <w:rsid w:val="00F02DA4"/>
    <w:rsid w:val="00F03CCC"/>
    <w:rsid w:val="00F04119"/>
    <w:rsid w:val="00F04F2D"/>
    <w:rsid w:val="00F0568D"/>
    <w:rsid w:val="00F059E8"/>
    <w:rsid w:val="00F0668F"/>
    <w:rsid w:val="00F068A6"/>
    <w:rsid w:val="00F07243"/>
    <w:rsid w:val="00F075FD"/>
    <w:rsid w:val="00F07636"/>
    <w:rsid w:val="00F1110D"/>
    <w:rsid w:val="00F121F5"/>
    <w:rsid w:val="00F12F60"/>
    <w:rsid w:val="00F13591"/>
    <w:rsid w:val="00F15460"/>
    <w:rsid w:val="00F15C80"/>
    <w:rsid w:val="00F162F4"/>
    <w:rsid w:val="00F17F28"/>
    <w:rsid w:val="00F22F0E"/>
    <w:rsid w:val="00F23084"/>
    <w:rsid w:val="00F231B9"/>
    <w:rsid w:val="00F23ECB"/>
    <w:rsid w:val="00F246BE"/>
    <w:rsid w:val="00F26DF8"/>
    <w:rsid w:val="00F27829"/>
    <w:rsid w:val="00F27ECA"/>
    <w:rsid w:val="00F324A1"/>
    <w:rsid w:val="00F3250D"/>
    <w:rsid w:val="00F327A5"/>
    <w:rsid w:val="00F3395C"/>
    <w:rsid w:val="00F33E0A"/>
    <w:rsid w:val="00F3430E"/>
    <w:rsid w:val="00F34DF6"/>
    <w:rsid w:val="00F35A4A"/>
    <w:rsid w:val="00F409F8"/>
    <w:rsid w:val="00F4345E"/>
    <w:rsid w:val="00F43DBA"/>
    <w:rsid w:val="00F44295"/>
    <w:rsid w:val="00F44619"/>
    <w:rsid w:val="00F4509D"/>
    <w:rsid w:val="00F45363"/>
    <w:rsid w:val="00F4567E"/>
    <w:rsid w:val="00F501E2"/>
    <w:rsid w:val="00F50B65"/>
    <w:rsid w:val="00F54DF9"/>
    <w:rsid w:val="00F55018"/>
    <w:rsid w:val="00F56F2A"/>
    <w:rsid w:val="00F574AF"/>
    <w:rsid w:val="00F57984"/>
    <w:rsid w:val="00F60705"/>
    <w:rsid w:val="00F612C6"/>
    <w:rsid w:val="00F620D5"/>
    <w:rsid w:val="00F628EB"/>
    <w:rsid w:val="00F6310B"/>
    <w:rsid w:val="00F639CB"/>
    <w:rsid w:val="00F63BAE"/>
    <w:rsid w:val="00F64C81"/>
    <w:rsid w:val="00F64CC7"/>
    <w:rsid w:val="00F65228"/>
    <w:rsid w:val="00F6633A"/>
    <w:rsid w:val="00F66523"/>
    <w:rsid w:val="00F6668B"/>
    <w:rsid w:val="00F66A81"/>
    <w:rsid w:val="00F672A0"/>
    <w:rsid w:val="00F674B1"/>
    <w:rsid w:val="00F67B3F"/>
    <w:rsid w:val="00F70CDB"/>
    <w:rsid w:val="00F7178D"/>
    <w:rsid w:val="00F71DC3"/>
    <w:rsid w:val="00F727FC"/>
    <w:rsid w:val="00F73460"/>
    <w:rsid w:val="00F73977"/>
    <w:rsid w:val="00F73A02"/>
    <w:rsid w:val="00F745A8"/>
    <w:rsid w:val="00F7479E"/>
    <w:rsid w:val="00F74887"/>
    <w:rsid w:val="00F7539C"/>
    <w:rsid w:val="00F75521"/>
    <w:rsid w:val="00F7572E"/>
    <w:rsid w:val="00F7582B"/>
    <w:rsid w:val="00F7694D"/>
    <w:rsid w:val="00F76DEE"/>
    <w:rsid w:val="00F77C19"/>
    <w:rsid w:val="00F809FE"/>
    <w:rsid w:val="00F80FA9"/>
    <w:rsid w:val="00F82923"/>
    <w:rsid w:val="00F82BA6"/>
    <w:rsid w:val="00F83199"/>
    <w:rsid w:val="00F84822"/>
    <w:rsid w:val="00F85B76"/>
    <w:rsid w:val="00F865BA"/>
    <w:rsid w:val="00F912BA"/>
    <w:rsid w:val="00F93676"/>
    <w:rsid w:val="00F938A2"/>
    <w:rsid w:val="00F93ED8"/>
    <w:rsid w:val="00F944FC"/>
    <w:rsid w:val="00F948BA"/>
    <w:rsid w:val="00F95055"/>
    <w:rsid w:val="00F962F1"/>
    <w:rsid w:val="00F96ECE"/>
    <w:rsid w:val="00F97796"/>
    <w:rsid w:val="00F978A1"/>
    <w:rsid w:val="00FA0A6B"/>
    <w:rsid w:val="00FA16D0"/>
    <w:rsid w:val="00FA2BE2"/>
    <w:rsid w:val="00FA4275"/>
    <w:rsid w:val="00FA540F"/>
    <w:rsid w:val="00FA57D3"/>
    <w:rsid w:val="00FA7050"/>
    <w:rsid w:val="00FA7D01"/>
    <w:rsid w:val="00FB10E8"/>
    <w:rsid w:val="00FB29D4"/>
    <w:rsid w:val="00FB4801"/>
    <w:rsid w:val="00FB6CB9"/>
    <w:rsid w:val="00FC05BA"/>
    <w:rsid w:val="00FC093C"/>
    <w:rsid w:val="00FC12F9"/>
    <w:rsid w:val="00FC2E70"/>
    <w:rsid w:val="00FC3852"/>
    <w:rsid w:val="00FC39A8"/>
    <w:rsid w:val="00FC5508"/>
    <w:rsid w:val="00FC57B8"/>
    <w:rsid w:val="00FC6270"/>
    <w:rsid w:val="00FC6983"/>
    <w:rsid w:val="00FD03AA"/>
    <w:rsid w:val="00FD0A89"/>
    <w:rsid w:val="00FD0BF7"/>
    <w:rsid w:val="00FD0D67"/>
    <w:rsid w:val="00FD2DF6"/>
    <w:rsid w:val="00FD4A7C"/>
    <w:rsid w:val="00FD58B0"/>
    <w:rsid w:val="00FD5F6F"/>
    <w:rsid w:val="00FD6070"/>
    <w:rsid w:val="00FD65DE"/>
    <w:rsid w:val="00FD6DC7"/>
    <w:rsid w:val="00FD7743"/>
    <w:rsid w:val="00FD7C7F"/>
    <w:rsid w:val="00FE0944"/>
    <w:rsid w:val="00FE11D5"/>
    <w:rsid w:val="00FE1F17"/>
    <w:rsid w:val="00FE2234"/>
    <w:rsid w:val="00FE2309"/>
    <w:rsid w:val="00FE4B05"/>
    <w:rsid w:val="00FE53D4"/>
    <w:rsid w:val="00FE6432"/>
    <w:rsid w:val="00FE7F16"/>
    <w:rsid w:val="00FF02A6"/>
    <w:rsid w:val="00FF05D1"/>
    <w:rsid w:val="00FF093A"/>
    <w:rsid w:val="00FF1358"/>
    <w:rsid w:val="00FF2337"/>
    <w:rsid w:val="00FF2816"/>
    <w:rsid w:val="00FF33D5"/>
    <w:rsid w:val="00FF4A1C"/>
    <w:rsid w:val="00FF5309"/>
    <w:rsid w:val="00FF55C0"/>
    <w:rsid w:val="00FF5D28"/>
    <w:rsid w:val="0E0B20C0"/>
    <w:rsid w:val="22622714"/>
    <w:rsid w:val="246D79DB"/>
    <w:rsid w:val="2E052272"/>
    <w:rsid w:val="3AFF744E"/>
    <w:rsid w:val="3D0B8560"/>
    <w:rsid w:val="57DDE733"/>
    <w:rsid w:val="652106D5"/>
    <w:rsid w:val="74FFCEE0"/>
    <w:rsid w:val="7C01BF89"/>
    <w:rsid w:val="7DF3FDE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208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16"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87"/>
    <w:pPr>
      <w:spacing w:before="120" w:after="0" w:line="276" w:lineRule="auto"/>
    </w:pPr>
  </w:style>
  <w:style w:type="paragraph" w:styleId="Heading1">
    <w:name w:val="heading 1"/>
    <w:aliases w:val="Chapter Level 2"/>
    <w:basedOn w:val="Heading2"/>
    <w:next w:val="1AllTextNormalParagraph"/>
    <w:link w:val="Heading1Char"/>
    <w:uiPriority w:val="9"/>
    <w:qFormat/>
    <w:rsid w:val="00B821F7"/>
    <w:pPr>
      <w:numPr>
        <w:ilvl w:val="0"/>
      </w:numPr>
      <w:ind w:left="1985"/>
      <w:outlineLvl w:val="0"/>
    </w:pPr>
    <w:rPr>
      <w:color w:val="343741"/>
      <w:sz w:val="40"/>
      <w:szCs w:val="32"/>
    </w:rPr>
  </w:style>
  <w:style w:type="paragraph" w:styleId="Heading2">
    <w:name w:val="heading 2"/>
    <w:basedOn w:val="Heading3"/>
    <w:next w:val="1AllTextNormalParagraph"/>
    <w:link w:val="Heading2Char"/>
    <w:uiPriority w:val="9"/>
    <w:unhideWhenUsed/>
    <w:qFormat/>
    <w:rsid w:val="00574614"/>
    <w:pPr>
      <w:numPr>
        <w:ilvl w:val="1"/>
      </w:numPr>
      <w:ind w:left="1134"/>
      <w:outlineLvl w:val="1"/>
    </w:pPr>
    <w:rPr>
      <w:color w:val="002D3F" w:themeColor="text2"/>
      <w:sz w:val="30"/>
      <w:szCs w:val="26"/>
    </w:rPr>
  </w:style>
  <w:style w:type="paragraph" w:styleId="Heading3">
    <w:name w:val="heading 3"/>
    <w:aliases w:val="Chapter Level 4"/>
    <w:basedOn w:val="Normal"/>
    <w:next w:val="1AllTextNormalParagraph"/>
    <w:link w:val="Heading3Char"/>
    <w:uiPriority w:val="9"/>
    <w:unhideWhenUsed/>
    <w:qFormat/>
    <w:rsid w:val="00005CCC"/>
    <w:pPr>
      <w:keepNext/>
      <w:keepLines/>
      <w:numPr>
        <w:ilvl w:val="2"/>
        <w:numId w:val="8"/>
      </w:numPr>
      <w:spacing w:before="240"/>
      <w:outlineLvl w:val="2"/>
    </w:pPr>
    <w:rPr>
      <w:rFonts w:ascii="Calibri" w:eastAsiaTheme="majorEastAsia" w:hAnsi="Calibri" w:cstheme="majorBidi"/>
      <w:b/>
      <w:bCs/>
      <w:color w:val="287DB2" w:themeColor="accent6"/>
      <w:sz w:val="28"/>
      <w:szCs w:val="24"/>
    </w:rPr>
  </w:style>
  <w:style w:type="paragraph" w:styleId="Heading4">
    <w:name w:val="heading 4"/>
    <w:aliases w:val="Chapter Level 5"/>
    <w:basedOn w:val="Normal"/>
    <w:next w:val="1AllTextNormalParagraph"/>
    <w:link w:val="Heading4Char"/>
    <w:uiPriority w:val="9"/>
    <w:unhideWhenUsed/>
    <w:qFormat/>
    <w:rsid w:val="003C0F90"/>
    <w:pPr>
      <w:keepNext/>
      <w:keepLines/>
      <w:spacing w:before="240"/>
      <w:outlineLvl w:val="3"/>
    </w:pPr>
    <w:rPr>
      <w:rFonts w:ascii="Calibri" w:eastAsiaTheme="majorEastAsia" w:hAnsi="Calibri" w:cstheme="majorBidi"/>
      <w:iCs/>
      <w:color w:val="008276" w:themeColor="accent3"/>
      <w:sz w:val="28"/>
      <w:szCs w:val="24"/>
    </w:rPr>
  </w:style>
  <w:style w:type="paragraph" w:styleId="Heading5">
    <w:name w:val="heading 5"/>
    <w:basedOn w:val="Heading6"/>
    <w:next w:val="Normal"/>
    <w:link w:val="Heading5Char"/>
    <w:uiPriority w:val="9"/>
    <w:unhideWhenUsed/>
    <w:qFormat/>
    <w:rsid w:val="00613A55"/>
    <w:pPr>
      <w:spacing w:before="240"/>
      <w:outlineLvl w:val="4"/>
    </w:pPr>
  </w:style>
  <w:style w:type="paragraph" w:styleId="Heading6">
    <w:name w:val="heading 6"/>
    <w:basedOn w:val="Normal"/>
    <w:next w:val="Normal"/>
    <w:link w:val="Heading6Char"/>
    <w:uiPriority w:val="9"/>
    <w:unhideWhenUsed/>
    <w:rsid w:val="00476AF8"/>
    <w:pPr>
      <w:keepNext/>
      <w:keepLines/>
      <w:spacing w:before="40"/>
      <w:outlineLvl w:val="5"/>
    </w:pPr>
    <w:rPr>
      <w:rFonts w:asciiTheme="majorHAnsi" w:eastAsiaTheme="majorEastAsia" w:hAnsiTheme="majorHAnsi" w:cstheme="majorBidi"/>
      <w:color w:val="00161F" w:themeColor="accent1" w:themeShade="7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llTextNormalParagraph">
    <w:name w:val="1. All Text (Normal Paragraph)"/>
    <w:basedOn w:val="Normal"/>
    <w:link w:val="1AllTextNormalParagraphChar"/>
    <w:qFormat/>
    <w:rsid w:val="006449F1"/>
  </w:style>
  <w:style w:type="character" w:customStyle="1" w:styleId="1AllTextNormalParagraphChar">
    <w:name w:val="1. All Text (Normal Paragraph) Char"/>
    <w:basedOn w:val="DefaultParagraphFont"/>
    <w:link w:val="1AllTextNormalParagraph"/>
    <w:locked/>
    <w:rsid w:val="006449F1"/>
  </w:style>
  <w:style w:type="character" w:customStyle="1" w:styleId="Heading3Char">
    <w:name w:val="Heading 3 Char"/>
    <w:aliases w:val="Chapter Level 4 Char"/>
    <w:basedOn w:val="DefaultParagraphFont"/>
    <w:link w:val="Heading3"/>
    <w:uiPriority w:val="9"/>
    <w:rsid w:val="00005CCC"/>
    <w:rPr>
      <w:rFonts w:ascii="Calibri" w:eastAsiaTheme="majorEastAsia" w:hAnsi="Calibri" w:cstheme="majorBidi"/>
      <w:b/>
      <w:bCs/>
      <w:color w:val="287DB2" w:themeColor="accent6"/>
      <w:sz w:val="28"/>
      <w:szCs w:val="24"/>
    </w:rPr>
  </w:style>
  <w:style w:type="character" w:customStyle="1" w:styleId="Heading2Char">
    <w:name w:val="Heading 2 Char"/>
    <w:basedOn w:val="DefaultParagraphFont"/>
    <w:link w:val="Heading2"/>
    <w:uiPriority w:val="9"/>
    <w:rsid w:val="003C0F90"/>
    <w:rPr>
      <w:rFonts w:ascii="Calibri" w:eastAsiaTheme="majorEastAsia" w:hAnsi="Calibri" w:cstheme="majorBidi"/>
      <w:b/>
      <w:bCs/>
      <w:color w:val="002D3F" w:themeColor="text2"/>
      <w:sz w:val="30"/>
      <w:szCs w:val="26"/>
    </w:rPr>
  </w:style>
  <w:style w:type="character" w:customStyle="1" w:styleId="Heading1Char">
    <w:name w:val="Heading 1 Char"/>
    <w:aliases w:val="Chapter Level 2 Char"/>
    <w:basedOn w:val="DefaultParagraphFont"/>
    <w:link w:val="Heading1"/>
    <w:uiPriority w:val="9"/>
    <w:rsid w:val="00F23084"/>
    <w:rPr>
      <w:rFonts w:ascii="Calibri" w:eastAsiaTheme="majorEastAsia" w:hAnsi="Calibri" w:cstheme="majorBidi"/>
      <w:b/>
      <w:bCs/>
      <w:color w:val="343741"/>
      <w:sz w:val="40"/>
      <w:szCs w:val="32"/>
    </w:rPr>
  </w:style>
  <w:style w:type="character" w:customStyle="1" w:styleId="Heading4Char">
    <w:name w:val="Heading 4 Char"/>
    <w:aliases w:val="Chapter Level 5 Char"/>
    <w:basedOn w:val="DefaultParagraphFont"/>
    <w:link w:val="Heading4"/>
    <w:uiPriority w:val="9"/>
    <w:rsid w:val="003C0F90"/>
    <w:rPr>
      <w:rFonts w:ascii="Calibri" w:eastAsiaTheme="majorEastAsia" w:hAnsi="Calibri" w:cstheme="majorBidi"/>
      <w:iCs/>
      <w:color w:val="008276" w:themeColor="accent3"/>
      <w:sz w:val="28"/>
      <w:szCs w:val="24"/>
    </w:rPr>
  </w:style>
  <w:style w:type="character" w:customStyle="1" w:styleId="Heading6Char">
    <w:name w:val="Heading 6 Char"/>
    <w:basedOn w:val="DefaultParagraphFont"/>
    <w:link w:val="Heading6"/>
    <w:uiPriority w:val="9"/>
    <w:rsid w:val="00476AF8"/>
    <w:rPr>
      <w:rFonts w:asciiTheme="majorHAnsi" w:eastAsiaTheme="majorEastAsia" w:hAnsiTheme="majorHAnsi" w:cstheme="majorBidi"/>
      <w:color w:val="00161F" w:themeColor="accent1" w:themeShade="7F"/>
      <w:sz w:val="26"/>
      <w:szCs w:val="26"/>
    </w:rPr>
  </w:style>
  <w:style w:type="character" w:customStyle="1" w:styleId="Heading5Char">
    <w:name w:val="Heading 5 Char"/>
    <w:basedOn w:val="DefaultParagraphFont"/>
    <w:link w:val="Heading5"/>
    <w:uiPriority w:val="9"/>
    <w:rsid w:val="00613A55"/>
    <w:rPr>
      <w:rFonts w:asciiTheme="majorHAnsi" w:eastAsiaTheme="majorEastAsia" w:hAnsiTheme="majorHAnsi" w:cstheme="majorBidi"/>
      <w:color w:val="00161F" w:themeColor="accent1" w:themeShade="7F"/>
      <w:sz w:val="26"/>
      <w:szCs w:val="26"/>
    </w:rPr>
  </w:style>
  <w:style w:type="character" w:styleId="Hyperlink">
    <w:name w:val="Hyperlink"/>
    <w:basedOn w:val="DefaultParagraphFont"/>
    <w:uiPriority w:val="99"/>
    <w:unhideWhenUsed/>
    <w:qFormat/>
    <w:rsid w:val="000F7631"/>
    <w:rPr>
      <w:color w:val="287BB3"/>
      <w:u w:val="single"/>
    </w:rPr>
  </w:style>
  <w:style w:type="paragraph" w:styleId="TOC1">
    <w:name w:val="toc 1"/>
    <w:basedOn w:val="Normal"/>
    <w:next w:val="Normal"/>
    <w:autoRedefine/>
    <w:uiPriority w:val="39"/>
    <w:unhideWhenUsed/>
    <w:rsid w:val="00AB47BE"/>
    <w:pPr>
      <w:tabs>
        <w:tab w:val="left" w:pos="1321"/>
        <w:tab w:val="left" w:pos="8692"/>
      </w:tabs>
    </w:pPr>
    <w:rPr>
      <w:rFonts w:cstheme="minorHAnsi"/>
      <w:b/>
      <w:bCs/>
      <w:szCs w:val="20"/>
    </w:rPr>
  </w:style>
  <w:style w:type="paragraph" w:styleId="TOC2">
    <w:name w:val="toc 2"/>
    <w:basedOn w:val="Normal"/>
    <w:next w:val="Normal"/>
    <w:autoRedefine/>
    <w:uiPriority w:val="39"/>
    <w:unhideWhenUsed/>
    <w:rsid w:val="000F7631"/>
    <w:pPr>
      <w:ind w:left="220"/>
    </w:pPr>
    <w:rPr>
      <w:rFonts w:cstheme="minorHAnsi"/>
      <w:i/>
      <w:iCs/>
      <w:sz w:val="20"/>
      <w:szCs w:val="20"/>
    </w:rPr>
  </w:style>
  <w:style w:type="paragraph" w:styleId="TOC3">
    <w:name w:val="toc 3"/>
    <w:basedOn w:val="Normal"/>
    <w:next w:val="Normal"/>
    <w:autoRedefine/>
    <w:uiPriority w:val="39"/>
    <w:unhideWhenUsed/>
    <w:rsid w:val="000F7631"/>
    <w:pPr>
      <w:spacing w:before="0"/>
      <w:ind w:left="440"/>
    </w:pPr>
    <w:rPr>
      <w:rFonts w:cstheme="minorHAnsi"/>
      <w:sz w:val="20"/>
      <w:szCs w:val="20"/>
    </w:rPr>
  </w:style>
  <w:style w:type="paragraph" w:styleId="TOC4">
    <w:name w:val="toc 4"/>
    <w:basedOn w:val="Normal"/>
    <w:next w:val="Normal"/>
    <w:autoRedefine/>
    <w:uiPriority w:val="39"/>
    <w:unhideWhenUsed/>
    <w:rsid w:val="000F7631"/>
    <w:pPr>
      <w:spacing w:before="0"/>
      <w:ind w:left="660"/>
    </w:pPr>
    <w:rPr>
      <w:rFonts w:cstheme="minorHAnsi"/>
      <w:sz w:val="20"/>
      <w:szCs w:val="20"/>
    </w:rPr>
  </w:style>
  <w:style w:type="paragraph" w:styleId="Title">
    <w:name w:val="Title"/>
    <w:basedOn w:val="Normal"/>
    <w:next w:val="Normal"/>
    <w:link w:val="TitleChar"/>
    <w:uiPriority w:val="10"/>
    <w:qFormat/>
    <w:rsid w:val="000F7631"/>
    <w:pPr>
      <w:spacing w:before="180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10"/>
    <w:rsid w:val="000F7631"/>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0F7631"/>
    <w:rPr>
      <w:rFonts w:ascii="Calibri" w:eastAsiaTheme="minorEastAsia" w:hAnsi="Calibri"/>
      <w:spacing w:val="15"/>
      <w:sz w:val="40"/>
    </w:rPr>
  </w:style>
  <w:style w:type="character" w:customStyle="1" w:styleId="SubtitleChar">
    <w:name w:val="Subtitle Char"/>
    <w:basedOn w:val="DefaultParagraphFont"/>
    <w:link w:val="Subtitle"/>
    <w:uiPriority w:val="8"/>
    <w:rsid w:val="000F7631"/>
    <w:rPr>
      <w:rFonts w:ascii="Calibri" w:eastAsiaTheme="minorEastAsia" w:hAnsi="Calibri"/>
      <w:spacing w:val="15"/>
      <w:sz w:val="40"/>
    </w:rPr>
  </w:style>
  <w:style w:type="paragraph" w:styleId="TOCHeading">
    <w:name w:val="TOC Heading"/>
    <w:basedOn w:val="Heading1"/>
    <w:next w:val="Normal"/>
    <w:uiPriority w:val="39"/>
    <w:unhideWhenUsed/>
    <w:qFormat/>
    <w:rsid w:val="000F7631"/>
    <w:pPr>
      <w:spacing w:after="240"/>
      <w:outlineLvl w:val="9"/>
    </w:pPr>
    <w:rPr>
      <w:b w:val="0"/>
      <w:bCs w:val="0"/>
      <w:color w:val="595959"/>
    </w:rPr>
  </w:style>
  <w:style w:type="paragraph" w:customStyle="1" w:styleId="SupportingDocumentHeading">
    <w:name w:val="Supporting Document Heading"/>
    <w:basedOn w:val="Heading5"/>
    <w:next w:val="SupportingDocumentSub-Heading"/>
    <w:link w:val="SupportingDocumentHeadingChar"/>
    <w:qFormat/>
    <w:rsid w:val="003C0F90"/>
    <w:pPr>
      <w:spacing w:before="0"/>
      <w:outlineLvl w:val="1"/>
    </w:pPr>
    <w:rPr>
      <w:b/>
      <w:color w:val="B6006A"/>
      <w:sz w:val="24"/>
    </w:rPr>
  </w:style>
  <w:style w:type="paragraph" w:customStyle="1" w:styleId="SupportingDocumentSub-Heading">
    <w:name w:val="Supporting Document Sub-Heading"/>
    <w:basedOn w:val="SupportingDocumentHeading"/>
    <w:next w:val="SupportingDocumentBulletList"/>
    <w:link w:val="SupportingDocumentSub-HeadingChar"/>
    <w:qFormat/>
    <w:rsid w:val="003C0F90"/>
    <w:pPr>
      <w:outlineLvl w:val="2"/>
    </w:pPr>
    <w:rPr>
      <w:b w:val="0"/>
      <w:bCs/>
      <w:sz w:val="22"/>
      <w:szCs w:val="22"/>
    </w:rPr>
  </w:style>
  <w:style w:type="paragraph" w:customStyle="1" w:styleId="SupportingDocumentBulletList">
    <w:name w:val="Supporting Document Bullet List"/>
    <w:basedOn w:val="Normal"/>
    <w:link w:val="SupportingDocumentBulletListChar"/>
    <w:qFormat/>
    <w:rsid w:val="00FE7F16"/>
    <w:pPr>
      <w:numPr>
        <w:numId w:val="6"/>
      </w:numPr>
      <w:spacing w:line="240" w:lineRule="auto"/>
      <w:contextualSpacing/>
    </w:pPr>
    <w:rPr>
      <w:color w:val="000000" w:themeColor="text1"/>
      <w:sz w:val="20"/>
      <w:szCs w:val="20"/>
    </w:rPr>
  </w:style>
  <w:style w:type="character" w:customStyle="1" w:styleId="SupportingDocumentBulletListChar">
    <w:name w:val="Supporting Document Bullet List Char"/>
    <w:basedOn w:val="DefaultParagraphFont"/>
    <w:link w:val="SupportingDocumentBulletList"/>
    <w:locked/>
    <w:rsid w:val="00FE7F16"/>
    <w:rPr>
      <w:color w:val="000000" w:themeColor="text1"/>
      <w:sz w:val="20"/>
      <w:szCs w:val="20"/>
    </w:rPr>
  </w:style>
  <w:style w:type="character" w:customStyle="1" w:styleId="SupportingDocumentSub-HeadingChar">
    <w:name w:val="Supporting Document Sub-Heading Char"/>
    <w:basedOn w:val="SupportingDocumentHeadingChar"/>
    <w:link w:val="SupportingDocumentSub-Heading"/>
    <w:rsid w:val="003C0F90"/>
    <w:rPr>
      <w:rFonts w:ascii="Calibri" w:eastAsiaTheme="majorEastAsia" w:hAnsi="Calibri" w:cstheme="majorBidi"/>
      <w:b w:val="0"/>
      <w:bCs/>
      <w:iCs w:val="0"/>
      <w:color w:val="B6006A"/>
      <w:sz w:val="24"/>
      <w:szCs w:val="24"/>
    </w:rPr>
  </w:style>
  <w:style w:type="character" w:customStyle="1" w:styleId="SupportingDocumentHeadingChar">
    <w:name w:val="Supporting Document Heading Char"/>
    <w:basedOn w:val="Heading5Char"/>
    <w:link w:val="SupportingDocumentHeading"/>
    <w:locked/>
    <w:rsid w:val="003C0F90"/>
    <w:rPr>
      <w:rFonts w:ascii="Calibri" w:eastAsiaTheme="majorEastAsia" w:hAnsi="Calibri" w:cstheme="majorBidi"/>
      <w:b/>
      <w:iCs w:val="0"/>
      <w:color w:val="B6006A"/>
      <w:sz w:val="24"/>
      <w:szCs w:val="24"/>
    </w:rPr>
  </w:style>
  <w:style w:type="character" w:customStyle="1" w:styleId="SystemstepChar">
    <w:name w:val="System step Char"/>
    <w:basedOn w:val="DefaultParagraphFont"/>
    <w:link w:val="Systemstep"/>
    <w:locked/>
    <w:rsid w:val="00D6233C"/>
    <w:rPr>
      <w:bCs/>
    </w:rPr>
  </w:style>
  <w:style w:type="paragraph" w:customStyle="1" w:styleId="Systemstep">
    <w:name w:val="System step"/>
    <w:basedOn w:val="Normal"/>
    <w:link w:val="SystemstepChar"/>
    <w:qFormat/>
    <w:rsid w:val="00D6233C"/>
    <w:pPr>
      <w:numPr>
        <w:numId w:val="1"/>
      </w:numPr>
      <w:spacing w:line="240" w:lineRule="auto"/>
      <w:ind w:left="284" w:hanging="284"/>
    </w:pPr>
    <w:rPr>
      <w:bCs/>
    </w:rPr>
  </w:style>
  <w:style w:type="character" w:customStyle="1" w:styleId="DocumentaryEvidencePointChar">
    <w:name w:val="Documentary Evidence Point Char"/>
    <w:basedOn w:val="SystemstepChar"/>
    <w:link w:val="DocumentaryEvidencePoint"/>
    <w:locked/>
    <w:rsid w:val="00735467"/>
    <w:rPr>
      <w:bCs/>
    </w:rPr>
  </w:style>
  <w:style w:type="paragraph" w:customStyle="1" w:styleId="DocumentaryEvidencePoint">
    <w:name w:val="Documentary Evidence Point"/>
    <w:basedOn w:val="Normal"/>
    <w:link w:val="DocumentaryEvidencePointChar"/>
    <w:qFormat/>
    <w:rsid w:val="00735467"/>
    <w:pPr>
      <w:numPr>
        <w:numId w:val="2"/>
      </w:numPr>
      <w:spacing w:line="240" w:lineRule="auto"/>
      <w:ind w:left="284" w:hanging="284"/>
    </w:pPr>
    <w:rPr>
      <w:bCs/>
    </w:rPr>
  </w:style>
  <w:style w:type="character" w:customStyle="1" w:styleId="WHSChar">
    <w:name w:val="WHS Char"/>
    <w:basedOn w:val="SystemstepChar"/>
    <w:link w:val="WHS"/>
    <w:locked/>
    <w:rsid w:val="009460E9"/>
    <w:rPr>
      <w:bCs w:val="0"/>
    </w:rPr>
  </w:style>
  <w:style w:type="paragraph" w:customStyle="1" w:styleId="WHS">
    <w:name w:val="WHS"/>
    <w:basedOn w:val="Normal"/>
    <w:link w:val="WHSChar"/>
    <w:qFormat/>
    <w:rsid w:val="009460E9"/>
    <w:pPr>
      <w:numPr>
        <w:numId w:val="3"/>
      </w:numPr>
      <w:spacing w:line="264" w:lineRule="auto"/>
      <w:ind w:left="284" w:hanging="284"/>
    </w:pPr>
  </w:style>
  <w:style w:type="character" w:customStyle="1" w:styleId="DeedReferencesChar">
    <w:name w:val="Deed References Char"/>
    <w:basedOn w:val="DefaultParagraphFont"/>
    <w:link w:val="DeedReferences"/>
    <w:locked/>
    <w:rsid w:val="00476AF8"/>
    <w:rPr>
      <w:rFonts w:ascii="Calibri Light" w:hAnsi="Calibri Light" w:cs="Calibri Light"/>
      <w:szCs w:val="24"/>
    </w:rPr>
  </w:style>
  <w:style w:type="paragraph" w:customStyle="1" w:styleId="DeedReferences">
    <w:name w:val="Deed References"/>
    <w:basedOn w:val="Normal"/>
    <w:link w:val="DeedReferencesChar"/>
    <w:qFormat/>
    <w:rsid w:val="00476AF8"/>
    <w:pPr>
      <w:spacing w:line="240" w:lineRule="auto"/>
    </w:pPr>
    <w:rPr>
      <w:rFonts w:ascii="Calibri Light" w:hAnsi="Calibri Light" w:cs="Calibri Light"/>
      <w:szCs w:val="24"/>
    </w:rPr>
  </w:style>
  <w:style w:type="character" w:customStyle="1" w:styleId="GlossaryTextChar">
    <w:name w:val="Glossary Text Char"/>
    <w:basedOn w:val="1AllTextNormalParagraphChar"/>
    <w:link w:val="GlossaryText"/>
    <w:locked/>
    <w:rsid w:val="000F7631"/>
  </w:style>
  <w:style w:type="paragraph" w:customStyle="1" w:styleId="GlossaryText">
    <w:name w:val="Glossary Text"/>
    <w:basedOn w:val="1AllTextNormalParagraph"/>
    <w:link w:val="GlossaryTextChar"/>
    <w:qFormat/>
    <w:rsid w:val="000F7631"/>
  </w:style>
  <w:style w:type="table" w:styleId="TableGrid">
    <w:name w:val="Table Grid"/>
    <w:basedOn w:val="TableNormal"/>
    <w:uiPriority w:val="39"/>
    <w:rsid w:val="000F76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7D5C"/>
    <w:pPr>
      <w:tabs>
        <w:tab w:val="center" w:pos="4513"/>
        <w:tab w:val="right" w:pos="9026"/>
      </w:tabs>
      <w:spacing w:line="240" w:lineRule="auto"/>
    </w:pPr>
  </w:style>
  <w:style w:type="character" w:customStyle="1" w:styleId="HeaderChar">
    <w:name w:val="Header Char"/>
    <w:basedOn w:val="DefaultParagraphFont"/>
    <w:link w:val="Header"/>
    <w:uiPriority w:val="99"/>
    <w:rsid w:val="00977D5C"/>
  </w:style>
  <w:style w:type="paragraph" w:styleId="Footer">
    <w:name w:val="footer"/>
    <w:basedOn w:val="Normal"/>
    <w:link w:val="FooterChar"/>
    <w:uiPriority w:val="99"/>
    <w:unhideWhenUsed/>
    <w:rsid w:val="000F098F"/>
    <w:pPr>
      <w:tabs>
        <w:tab w:val="center" w:pos="4513"/>
        <w:tab w:val="right" w:pos="9026"/>
      </w:tabs>
      <w:spacing w:line="240" w:lineRule="auto"/>
    </w:pPr>
    <w:rPr>
      <w:sz w:val="20"/>
    </w:rPr>
  </w:style>
  <w:style w:type="character" w:customStyle="1" w:styleId="FooterChar">
    <w:name w:val="Footer Char"/>
    <w:basedOn w:val="DefaultParagraphFont"/>
    <w:link w:val="Footer"/>
    <w:uiPriority w:val="99"/>
    <w:rsid w:val="000F098F"/>
    <w:rPr>
      <w:sz w:val="20"/>
    </w:rPr>
  </w:style>
  <w:style w:type="paragraph" w:styleId="TOC5">
    <w:name w:val="toc 5"/>
    <w:basedOn w:val="Normal"/>
    <w:next w:val="Normal"/>
    <w:autoRedefine/>
    <w:uiPriority w:val="39"/>
    <w:unhideWhenUsed/>
    <w:rsid w:val="00FD0D67"/>
    <w:pPr>
      <w:spacing w:before="0"/>
      <w:ind w:left="880"/>
    </w:pPr>
    <w:rPr>
      <w:rFonts w:cstheme="minorHAnsi"/>
      <w:sz w:val="20"/>
      <w:szCs w:val="20"/>
    </w:rPr>
  </w:style>
  <w:style w:type="paragraph" w:styleId="TOC6">
    <w:name w:val="toc 6"/>
    <w:basedOn w:val="Normal"/>
    <w:next w:val="Normal"/>
    <w:autoRedefine/>
    <w:uiPriority w:val="39"/>
    <w:unhideWhenUsed/>
    <w:rsid w:val="00FD0D67"/>
    <w:pPr>
      <w:spacing w:before="0"/>
      <w:ind w:left="1100"/>
    </w:pPr>
    <w:rPr>
      <w:rFonts w:cstheme="minorHAnsi"/>
      <w:sz w:val="20"/>
      <w:szCs w:val="20"/>
    </w:rPr>
  </w:style>
  <w:style w:type="paragraph" w:styleId="TOC7">
    <w:name w:val="toc 7"/>
    <w:basedOn w:val="Normal"/>
    <w:next w:val="Normal"/>
    <w:autoRedefine/>
    <w:uiPriority w:val="39"/>
    <w:unhideWhenUsed/>
    <w:rsid w:val="00FD0D67"/>
    <w:pPr>
      <w:spacing w:before="0"/>
      <w:ind w:left="1320"/>
    </w:pPr>
    <w:rPr>
      <w:rFonts w:cstheme="minorHAnsi"/>
      <w:sz w:val="20"/>
      <w:szCs w:val="20"/>
    </w:rPr>
  </w:style>
  <w:style w:type="paragraph" w:styleId="TOC8">
    <w:name w:val="toc 8"/>
    <w:basedOn w:val="Normal"/>
    <w:next w:val="Normal"/>
    <w:autoRedefine/>
    <w:uiPriority w:val="39"/>
    <w:unhideWhenUsed/>
    <w:rsid w:val="00FD0D67"/>
    <w:pPr>
      <w:spacing w:before="0"/>
      <w:ind w:left="1540"/>
    </w:pPr>
    <w:rPr>
      <w:rFonts w:cstheme="minorHAnsi"/>
      <w:sz w:val="20"/>
      <w:szCs w:val="20"/>
    </w:rPr>
  </w:style>
  <w:style w:type="paragraph" w:styleId="TOC9">
    <w:name w:val="toc 9"/>
    <w:basedOn w:val="Normal"/>
    <w:next w:val="Normal"/>
    <w:autoRedefine/>
    <w:uiPriority w:val="39"/>
    <w:unhideWhenUsed/>
    <w:rsid w:val="00FD0D67"/>
    <w:pPr>
      <w:spacing w:before="0"/>
      <w:ind w:left="1760"/>
    </w:pPr>
    <w:rPr>
      <w:rFonts w:cstheme="minorHAnsi"/>
      <w:sz w:val="20"/>
      <w:szCs w:val="20"/>
    </w:rPr>
  </w:style>
  <w:style w:type="character" w:styleId="UnresolvedMention">
    <w:name w:val="Unresolved Mention"/>
    <w:basedOn w:val="DefaultParagraphFont"/>
    <w:uiPriority w:val="99"/>
    <w:unhideWhenUsed/>
    <w:rsid w:val="00FD0D67"/>
    <w:rPr>
      <w:color w:val="605E5C"/>
      <w:shd w:val="clear" w:color="auto" w:fill="E1DFDD"/>
    </w:rPr>
  </w:style>
  <w:style w:type="paragraph" w:customStyle="1" w:styleId="FrontPageHeading">
    <w:name w:val="Front Page Heading"/>
    <w:basedOn w:val="Heading1"/>
    <w:link w:val="FrontPageHeadingChar"/>
    <w:qFormat/>
    <w:rsid w:val="00AE0A79"/>
    <w:pPr>
      <w:numPr>
        <w:numId w:val="0"/>
      </w:numPr>
    </w:pPr>
  </w:style>
  <w:style w:type="character" w:customStyle="1" w:styleId="FrontPageHeadingChar">
    <w:name w:val="Front Page Heading Char"/>
    <w:basedOn w:val="Heading1Char"/>
    <w:link w:val="FrontPageHeading"/>
    <w:rsid w:val="00AE0A79"/>
    <w:rPr>
      <w:rFonts w:ascii="Calibri" w:eastAsiaTheme="majorEastAsia" w:hAnsi="Calibri" w:cstheme="majorBidi"/>
      <w:b/>
      <w:bCs/>
      <w:color w:val="343741"/>
      <w:sz w:val="32"/>
      <w:szCs w:val="32"/>
    </w:rPr>
  </w:style>
  <w:style w:type="paragraph" w:customStyle="1" w:styleId="AttachmentHeading">
    <w:name w:val="Attachment Heading"/>
    <w:basedOn w:val="Heading2"/>
    <w:link w:val="AttachmentHeadingChar"/>
    <w:qFormat/>
    <w:rsid w:val="00461CD0"/>
    <w:pPr>
      <w:numPr>
        <w:ilvl w:val="3"/>
      </w:numPr>
    </w:pPr>
    <w:rPr>
      <w:color w:val="343741"/>
    </w:rPr>
  </w:style>
  <w:style w:type="character" w:customStyle="1" w:styleId="AttachmentHeadingChar">
    <w:name w:val="Attachment Heading Char"/>
    <w:basedOn w:val="FrontPageHeadingChar"/>
    <w:link w:val="AttachmentHeading"/>
    <w:rsid w:val="00461CD0"/>
    <w:rPr>
      <w:rFonts w:ascii="Calibri" w:eastAsiaTheme="majorEastAsia" w:hAnsi="Calibri" w:cstheme="majorBidi"/>
      <w:b/>
      <w:bCs/>
      <w:color w:val="343741"/>
      <w:sz w:val="30"/>
      <w:szCs w:val="26"/>
    </w:rPr>
  </w:style>
  <w:style w:type="paragraph" w:customStyle="1" w:styleId="BulletLevel1">
    <w:name w:val="Bullet Level 1"/>
    <w:basedOn w:val="Normal"/>
    <w:link w:val="BulletLevel1Char"/>
    <w:qFormat/>
    <w:rsid w:val="00FE7F16"/>
    <w:pPr>
      <w:numPr>
        <w:numId w:val="5"/>
      </w:numPr>
      <w:tabs>
        <w:tab w:val="clear" w:pos="1418"/>
      </w:tabs>
      <w:spacing w:before="60" w:line="240" w:lineRule="auto"/>
      <w:ind w:left="709" w:hanging="425"/>
    </w:pPr>
  </w:style>
  <w:style w:type="character" w:customStyle="1" w:styleId="BulletLevel1Char">
    <w:name w:val="Bullet Level 1 Char"/>
    <w:basedOn w:val="DefaultParagraphFont"/>
    <w:link w:val="BulletLevel1"/>
    <w:rsid w:val="00FE7F16"/>
  </w:style>
  <w:style w:type="paragraph" w:styleId="BalloonText">
    <w:name w:val="Balloon Text"/>
    <w:basedOn w:val="Normal"/>
    <w:link w:val="BalloonTextChar"/>
    <w:uiPriority w:val="99"/>
    <w:semiHidden/>
    <w:unhideWhenUsed/>
    <w:rsid w:val="009408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836"/>
    <w:rPr>
      <w:rFonts w:ascii="Segoe UI" w:hAnsi="Segoe UI" w:cs="Segoe UI"/>
      <w:sz w:val="18"/>
      <w:szCs w:val="18"/>
    </w:rPr>
  </w:style>
  <w:style w:type="paragraph" w:styleId="FootnoteText">
    <w:name w:val="footnote text"/>
    <w:basedOn w:val="Normal"/>
    <w:link w:val="FootnoteTextChar"/>
    <w:semiHidden/>
    <w:rsid w:val="00703303"/>
    <w:pPr>
      <w:spacing w:after="120" w:line="240" w:lineRule="auto"/>
    </w:pPr>
    <w:rPr>
      <w:rFonts w:ascii="Calibri" w:eastAsia="Times New Roman" w:hAnsi="Calibri" w:cs="Times New Roman"/>
      <w:sz w:val="20"/>
      <w:szCs w:val="20"/>
      <w:lang w:eastAsia="en-AU"/>
    </w:rPr>
  </w:style>
  <w:style w:type="character" w:customStyle="1" w:styleId="FootnoteTextChar">
    <w:name w:val="Footnote Text Char"/>
    <w:basedOn w:val="DefaultParagraphFont"/>
    <w:link w:val="FootnoteText"/>
    <w:semiHidden/>
    <w:rsid w:val="00703303"/>
    <w:rPr>
      <w:rFonts w:ascii="Calibri" w:eastAsia="Times New Roman" w:hAnsi="Calibri" w:cs="Times New Roman"/>
      <w:sz w:val="20"/>
      <w:szCs w:val="20"/>
      <w:lang w:eastAsia="en-AU"/>
    </w:rPr>
  </w:style>
  <w:style w:type="character" w:styleId="FootnoteReference">
    <w:name w:val="footnote reference"/>
    <w:basedOn w:val="DefaultParagraphFont"/>
    <w:uiPriority w:val="99"/>
    <w:rsid w:val="00703303"/>
    <w:rPr>
      <w:vertAlign w:val="superscript"/>
    </w:rPr>
  </w:style>
  <w:style w:type="paragraph" w:customStyle="1" w:styleId="TableofContents">
    <w:name w:val="Table of Contents"/>
    <w:basedOn w:val="FrontPageHeading"/>
    <w:link w:val="TableofContentsChar"/>
    <w:qFormat/>
    <w:rsid w:val="00876F15"/>
  </w:style>
  <w:style w:type="character" w:customStyle="1" w:styleId="TableofContentsChar">
    <w:name w:val="Table of Contents Char"/>
    <w:basedOn w:val="FrontPageHeadingChar"/>
    <w:link w:val="TableofContents"/>
    <w:rsid w:val="00876F15"/>
    <w:rPr>
      <w:rFonts w:ascii="Calibri" w:eastAsiaTheme="majorEastAsia" w:hAnsi="Calibri" w:cstheme="majorBidi"/>
      <w:b/>
      <w:bCs/>
      <w:color w:val="343741"/>
      <w:sz w:val="32"/>
      <w:szCs w:val="32"/>
    </w:rPr>
  </w:style>
  <w:style w:type="character" w:styleId="FollowedHyperlink">
    <w:name w:val="FollowedHyperlink"/>
    <w:basedOn w:val="DefaultParagraphFont"/>
    <w:uiPriority w:val="99"/>
    <w:semiHidden/>
    <w:unhideWhenUsed/>
    <w:rsid w:val="006E6803"/>
    <w:rPr>
      <w:color w:val="002D3F" w:themeColor="followedHyperlink"/>
      <w:u w:val="single"/>
    </w:rPr>
  </w:style>
  <w:style w:type="paragraph" w:customStyle="1" w:styleId="BulletLevel2">
    <w:name w:val="Bullet Level 2"/>
    <w:basedOn w:val="BulletLevel1"/>
    <w:link w:val="BulletLevel2Char"/>
    <w:qFormat/>
    <w:rsid w:val="0056013D"/>
    <w:pPr>
      <w:numPr>
        <w:ilvl w:val="1"/>
      </w:numPr>
      <w:tabs>
        <w:tab w:val="clear" w:pos="2155"/>
      </w:tabs>
      <w:ind w:left="1276" w:hanging="425"/>
    </w:pPr>
  </w:style>
  <w:style w:type="character" w:customStyle="1" w:styleId="BulletLevel2Char">
    <w:name w:val="Bullet Level 2 Char"/>
    <w:basedOn w:val="BulletLevel1Char"/>
    <w:link w:val="BulletLevel2"/>
    <w:rsid w:val="0056013D"/>
  </w:style>
  <w:style w:type="paragraph" w:customStyle="1" w:styleId="BulletLevel3">
    <w:name w:val="Bullet Level 3"/>
    <w:basedOn w:val="BulletLevel1"/>
    <w:link w:val="BulletLevel3Char"/>
    <w:qFormat/>
    <w:rsid w:val="00575A3C"/>
    <w:pPr>
      <w:numPr>
        <w:ilvl w:val="2"/>
      </w:numPr>
      <w:tabs>
        <w:tab w:val="clear" w:pos="2835"/>
      </w:tabs>
      <w:ind w:left="1843" w:hanging="425"/>
    </w:pPr>
  </w:style>
  <w:style w:type="character" w:customStyle="1" w:styleId="BulletLevel3Char">
    <w:name w:val="Bullet Level 3 Char"/>
    <w:basedOn w:val="BulletLevel1Char"/>
    <w:link w:val="BulletLevel3"/>
    <w:rsid w:val="00575A3C"/>
  </w:style>
  <w:style w:type="paragraph" w:customStyle="1" w:styleId="BulletLevel4">
    <w:name w:val="Bullet Level 4"/>
    <w:basedOn w:val="BulletLevel1"/>
    <w:link w:val="BulletLevel4Char"/>
    <w:qFormat/>
    <w:rsid w:val="00575A3C"/>
    <w:pPr>
      <w:numPr>
        <w:ilvl w:val="3"/>
      </w:numPr>
      <w:ind w:left="2410" w:hanging="425"/>
    </w:pPr>
  </w:style>
  <w:style w:type="character" w:customStyle="1" w:styleId="BulletLevel4Char">
    <w:name w:val="Bullet Level 4 Char"/>
    <w:basedOn w:val="BulletLevel1Char"/>
    <w:link w:val="BulletLevel4"/>
    <w:rsid w:val="00575A3C"/>
  </w:style>
  <w:style w:type="paragraph" w:customStyle="1" w:styleId="ExampleTextBox">
    <w:name w:val="Example Text Box"/>
    <w:basedOn w:val="Normal"/>
    <w:link w:val="ExampleTextBoxChar"/>
    <w:qFormat/>
    <w:rsid w:val="00FE7F16"/>
    <w:pPr>
      <w:pBdr>
        <w:top w:val="single" w:sz="12" w:space="1" w:color="002D3F" w:themeColor="text2" w:shadow="1"/>
        <w:left w:val="single" w:sz="12" w:space="4" w:color="002D3F" w:themeColor="text2" w:shadow="1"/>
        <w:bottom w:val="single" w:sz="12" w:space="1" w:color="002D3F" w:themeColor="text2" w:shadow="1"/>
        <w:right w:val="single" w:sz="12" w:space="4" w:color="002D3F" w:themeColor="text2" w:shadow="1"/>
      </w:pBdr>
      <w:spacing w:after="360" w:line="264" w:lineRule="auto"/>
      <w:ind w:left="567" w:right="521"/>
    </w:pPr>
  </w:style>
  <w:style w:type="character" w:customStyle="1" w:styleId="ExampleTextBoxChar">
    <w:name w:val="Example Text Box Char"/>
    <w:basedOn w:val="DefaultParagraphFont"/>
    <w:link w:val="ExampleTextBox"/>
    <w:rsid w:val="00FE7F16"/>
  </w:style>
  <w:style w:type="paragraph" w:styleId="Caption">
    <w:name w:val="caption"/>
    <w:basedOn w:val="Normal"/>
    <w:next w:val="Normal"/>
    <w:link w:val="CaptionChar"/>
    <w:uiPriority w:val="16"/>
    <w:qFormat/>
    <w:rsid w:val="003827DA"/>
    <w:pPr>
      <w:spacing w:before="240" w:after="40" w:line="240" w:lineRule="auto"/>
    </w:pPr>
    <w:rPr>
      <w:b/>
      <w:iCs/>
      <w:szCs w:val="18"/>
    </w:rPr>
  </w:style>
  <w:style w:type="character" w:customStyle="1" w:styleId="CaptionChar">
    <w:name w:val="Caption Char"/>
    <w:basedOn w:val="DefaultParagraphFont"/>
    <w:link w:val="Caption"/>
    <w:uiPriority w:val="16"/>
    <w:rsid w:val="003827DA"/>
    <w:rPr>
      <w:b/>
      <w:iCs/>
      <w:szCs w:val="18"/>
    </w:rPr>
  </w:style>
  <w:style w:type="table" w:customStyle="1" w:styleId="DESE">
    <w:name w:val="DESE"/>
    <w:basedOn w:val="TableNormal"/>
    <w:uiPriority w:val="99"/>
    <w:rsid w:val="003827DA"/>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customStyle="1" w:styleId="TableCaption">
    <w:name w:val="Table Caption"/>
    <w:basedOn w:val="Caption"/>
    <w:link w:val="TableCaptionChar"/>
    <w:qFormat/>
    <w:rsid w:val="003827DA"/>
    <w:pPr>
      <w:keepNext/>
    </w:pPr>
  </w:style>
  <w:style w:type="character" w:customStyle="1" w:styleId="TableCaptionChar">
    <w:name w:val="Table Caption Char"/>
    <w:basedOn w:val="CaptionChar"/>
    <w:link w:val="TableCaption"/>
    <w:rsid w:val="003827DA"/>
    <w:rPr>
      <w:b/>
      <w:iCs/>
      <w:szCs w:val="18"/>
    </w:rPr>
  </w:style>
  <w:style w:type="paragraph" w:customStyle="1" w:styleId="TableColumnHeading">
    <w:name w:val="Table Column Heading"/>
    <w:basedOn w:val="Normal"/>
    <w:link w:val="TableColumnHeadingChar"/>
    <w:qFormat/>
    <w:rsid w:val="00671D0B"/>
    <w:pPr>
      <w:spacing w:before="60" w:after="60"/>
      <w:jc w:val="center"/>
    </w:pPr>
    <w:rPr>
      <w:rFonts w:ascii="Calibri" w:hAnsi="Calibri"/>
      <w:b/>
      <w:bCs/>
      <w:color w:val="FFFFFF" w:themeColor="background1"/>
      <w:sz w:val="24"/>
      <w:szCs w:val="24"/>
    </w:rPr>
  </w:style>
  <w:style w:type="character" w:customStyle="1" w:styleId="TableColumnHeadingChar">
    <w:name w:val="Table Column Heading Char"/>
    <w:basedOn w:val="DefaultParagraphFont"/>
    <w:link w:val="TableColumnHeading"/>
    <w:rsid w:val="00671D0B"/>
    <w:rPr>
      <w:rFonts w:ascii="Calibri" w:hAnsi="Calibri"/>
      <w:b/>
      <w:bCs/>
      <w:color w:val="FFFFFF" w:themeColor="background1"/>
      <w:sz w:val="24"/>
      <w:szCs w:val="24"/>
    </w:rPr>
  </w:style>
  <w:style w:type="paragraph" w:customStyle="1" w:styleId="TableFirstColumn">
    <w:name w:val="Table First Column"/>
    <w:basedOn w:val="Normal"/>
    <w:link w:val="TableFirstColumnChar"/>
    <w:qFormat/>
    <w:rsid w:val="003827DA"/>
    <w:pPr>
      <w:keepNext/>
      <w:spacing w:before="60" w:after="60"/>
    </w:pPr>
    <w:rPr>
      <w:b/>
      <w:bCs/>
      <w:sz w:val="24"/>
      <w:szCs w:val="24"/>
    </w:rPr>
  </w:style>
  <w:style w:type="character" w:customStyle="1" w:styleId="TableFirstColumnChar">
    <w:name w:val="Table First Column Char"/>
    <w:basedOn w:val="DefaultParagraphFont"/>
    <w:link w:val="TableFirstColumn"/>
    <w:rsid w:val="003827DA"/>
    <w:rPr>
      <w:b/>
      <w:bCs/>
      <w:sz w:val="24"/>
      <w:szCs w:val="24"/>
    </w:rPr>
  </w:style>
  <w:style w:type="paragraph" w:customStyle="1" w:styleId="TableText">
    <w:name w:val="Table Text"/>
    <w:basedOn w:val="Normal"/>
    <w:link w:val="TableTextChar"/>
    <w:qFormat/>
    <w:rsid w:val="00605EA8"/>
    <w:pPr>
      <w:spacing w:before="60" w:after="60"/>
    </w:pPr>
  </w:style>
  <w:style w:type="character" w:customStyle="1" w:styleId="TableTextChar">
    <w:name w:val="Table Text Char"/>
    <w:basedOn w:val="DefaultParagraphFont"/>
    <w:link w:val="TableText"/>
    <w:rsid w:val="00605EA8"/>
  </w:style>
  <w:style w:type="paragraph" w:styleId="CommentText">
    <w:name w:val="annotation text"/>
    <w:basedOn w:val="Normal"/>
    <w:link w:val="CommentTextChar"/>
    <w:unhideWhenUsed/>
    <w:rsid w:val="001A07E9"/>
    <w:pPr>
      <w:spacing w:line="240" w:lineRule="auto"/>
    </w:pPr>
    <w:rPr>
      <w:sz w:val="20"/>
      <w:szCs w:val="20"/>
    </w:rPr>
  </w:style>
  <w:style w:type="character" w:customStyle="1" w:styleId="CommentTextChar">
    <w:name w:val="Comment Text Char"/>
    <w:basedOn w:val="DefaultParagraphFont"/>
    <w:link w:val="CommentText"/>
    <w:rsid w:val="001A07E9"/>
    <w:rPr>
      <w:sz w:val="20"/>
      <w:szCs w:val="20"/>
    </w:rPr>
  </w:style>
  <w:style w:type="character" w:styleId="CommentReference">
    <w:name w:val="annotation reference"/>
    <w:basedOn w:val="DefaultParagraphFont"/>
    <w:uiPriority w:val="99"/>
    <w:unhideWhenUsed/>
    <w:rsid w:val="001A07E9"/>
    <w:rPr>
      <w:sz w:val="16"/>
      <w:szCs w:val="16"/>
    </w:rPr>
  </w:style>
  <w:style w:type="paragraph" w:customStyle="1" w:styleId="GlossarySub-Heading">
    <w:name w:val="Glossary Sub-Heading"/>
    <w:basedOn w:val="Normal"/>
    <w:next w:val="1AllTextNormalParagraph"/>
    <w:link w:val="GlossarySub-HeadingChar"/>
    <w:qFormat/>
    <w:rsid w:val="00D94A07"/>
    <w:pPr>
      <w:keepNext/>
      <w:keepLines/>
      <w:spacing w:before="240" w:after="160" w:line="257" w:lineRule="auto"/>
      <w:ind w:left="2268" w:hanging="2268"/>
      <w:outlineLvl w:val="1"/>
    </w:pPr>
    <w:rPr>
      <w:rFonts w:ascii="Calibri Light" w:eastAsiaTheme="majorEastAsia" w:hAnsi="Calibri Light" w:cs="Calibri Light"/>
      <w:b/>
      <w:bCs/>
      <w:color w:val="287DB2" w:themeColor="accent6"/>
      <w:sz w:val="36"/>
      <w:szCs w:val="36"/>
    </w:rPr>
  </w:style>
  <w:style w:type="character" w:customStyle="1" w:styleId="GlossarySub-HeadingChar">
    <w:name w:val="Glossary Sub-Heading Char"/>
    <w:basedOn w:val="DefaultParagraphFont"/>
    <w:link w:val="GlossarySub-Heading"/>
    <w:rsid w:val="00D94A07"/>
    <w:rPr>
      <w:rFonts w:ascii="Calibri Light" w:eastAsiaTheme="majorEastAsia" w:hAnsi="Calibri Light" w:cs="Calibri Light"/>
      <w:b/>
      <w:bCs/>
      <w:color w:val="287DB2" w:themeColor="accent6"/>
      <w:sz w:val="36"/>
      <w:szCs w:val="36"/>
    </w:rPr>
  </w:style>
  <w:style w:type="paragraph" w:styleId="CommentSubject">
    <w:name w:val="annotation subject"/>
    <w:basedOn w:val="CommentText"/>
    <w:next w:val="CommentText"/>
    <w:link w:val="CommentSubjectChar"/>
    <w:uiPriority w:val="99"/>
    <w:semiHidden/>
    <w:unhideWhenUsed/>
    <w:rsid w:val="003C0F90"/>
    <w:rPr>
      <w:b/>
      <w:bCs/>
    </w:rPr>
  </w:style>
  <w:style w:type="character" w:customStyle="1" w:styleId="CommentSubjectChar">
    <w:name w:val="Comment Subject Char"/>
    <w:basedOn w:val="CommentTextChar"/>
    <w:link w:val="CommentSubject"/>
    <w:uiPriority w:val="99"/>
    <w:semiHidden/>
    <w:rsid w:val="003C0F90"/>
    <w:rPr>
      <w:b/>
      <w:bCs/>
      <w:sz w:val="20"/>
      <w:szCs w:val="20"/>
    </w:rPr>
  </w:style>
  <w:style w:type="paragraph" w:customStyle="1" w:styleId="ListStyleLevel1">
    <w:name w:val="List Style Level 1"/>
    <w:basedOn w:val="ListNumber"/>
    <w:link w:val="ListStyleLevel1Char"/>
    <w:rsid w:val="00005CCC"/>
    <w:pPr>
      <w:spacing w:before="60"/>
    </w:pPr>
  </w:style>
  <w:style w:type="paragraph" w:styleId="ListNumber">
    <w:name w:val="List Number"/>
    <w:basedOn w:val="Normal"/>
    <w:uiPriority w:val="99"/>
    <w:semiHidden/>
    <w:unhideWhenUsed/>
    <w:rsid w:val="00005CCC"/>
    <w:pPr>
      <w:tabs>
        <w:tab w:val="num" w:pos="360"/>
      </w:tabs>
      <w:ind w:left="360" w:hanging="360"/>
      <w:contextualSpacing/>
    </w:pPr>
  </w:style>
  <w:style w:type="character" w:customStyle="1" w:styleId="ListStyleLevel1Char">
    <w:name w:val="List Style Level 1 Char"/>
    <w:basedOn w:val="BulletLevel1Char"/>
    <w:link w:val="ListStyleLevel1"/>
    <w:rsid w:val="00005CCC"/>
  </w:style>
  <w:style w:type="paragraph" w:customStyle="1" w:styleId="ListStyleLevel2">
    <w:name w:val="List Style Level 2"/>
    <w:basedOn w:val="ListStyleLevel1"/>
    <w:link w:val="ListStyleLevel2Char"/>
    <w:rsid w:val="00FE7F16"/>
    <w:pPr>
      <w:numPr>
        <w:numId w:val="23"/>
      </w:numPr>
      <w:ind w:left="720"/>
    </w:pPr>
  </w:style>
  <w:style w:type="character" w:customStyle="1" w:styleId="ListStyleLevel2Char">
    <w:name w:val="List Style Level 2 Char"/>
    <w:basedOn w:val="ListStyleLevel1Char"/>
    <w:link w:val="ListStyleLevel2"/>
    <w:rsid w:val="00FE7F16"/>
  </w:style>
  <w:style w:type="paragraph" w:customStyle="1" w:styleId="ListStyleLevel3">
    <w:name w:val="List Style Level 3"/>
    <w:basedOn w:val="ListStyleLevel2"/>
    <w:link w:val="ListStyleLevel3Char"/>
    <w:rsid w:val="006D615D"/>
    <w:pPr>
      <w:numPr>
        <w:ilvl w:val="5"/>
      </w:numPr>
      <w:ind w:left="1843" w:hanging="425"/>
    </w:pPr>
  </w:style>
  <w:style w:type="character" w:customStyle="1" w:styleId="ListStyleLevel3Char">
    <w:name w:val="List Style Level 3 Char"/>
    <w:basedOn w:val="ListStyleLevel2Char"/>
    <w:link w:val="ListStyleLevel3"/>
    <w:rsid w:val="006D615D"/>
  </w:style>
  <w:style w:type="paragraph" w:customStyle="1" w:styleId="ListStyleLevel4">
    <w:name w:val="List Style Level 4"/>
    <w:basedOn w:val="ListStyleLevel3"/>
    <w:link w:val="ListStyleLevel4Char"/>
    <w:rsid w:val="00FE7F16"/>
    <w:pPr>
      <w:numPr>
        <w:ilvl w:val="0"/>
        <w:numId w:val="10"/>
      </w:numPr>
      <w:ind w:left="360"/>
    </w:pPr>
  </w:style>
  <w:style w:type="character" w:customStyle="1" w:styleId="ListStyleLevel4Char">
    <w:name w:val="List Style Level 4 Char"/>
    <w:basedOn w:val="ListStyleLevel3Char"/>
    <w:link w:val="ListStyleLevel4"/>
    <w:rsid w:val="00FE7F16"/>
  </w:style>
  <w:style w:type="character" w:customStyle="1" w:styleId="1AllTextBold">
    <w:name w:val="1. All Text (Bold)"/>
    <w:basedOn w:val="DefaultParagraphFont"/>
    <w:uiPriority w:val="1"/>
    <w:qFormat/>
    <w:rsid w:val="00613A55"/>
    <w:rPr>
      <w:b/>
      <w:bCs/>
    </w:rPr>
  </w:style>
  <w:style w:type="character" w:customStyle="1" w:styleId="1AllTextItalics">
    <w:name w:val="1. All Text (Italics)"/>
    <w:basedOn w:val="1AllTextBold"/>
    <w:uiPriority w:val="1"/>
    <w:qFormat/>
    <w:rsid w:val="00613A55"/>
    <w:rPr>
      <w:b w:val="0"/>
      <w:bCs/>
      <w:i/>
      <w:u w:val="none"/>
    </w:rPr>
  </w:style>
  <w:style w:type="character" w:customStyle="1" w:styleId="1AllTextUnderline">
    <w:name w:val="1. All Text (Underline)"/>
    <w:basedOn w:val="1AllTextItalics"/>
    <w:uiPriority w:val="1"/>
    <w:qFormat/>
    <w:rsid w:val="00613A55"/>
    <w:rPr>
      <w:b w:val="0"/>
      <w:bCs/>
      <w:i w:val="0"/>
      <w:iCs/>
      <w:u w:val="single"/>
    </w:rPr>
  </w:style>
  <w:style w:type="character" w:customStyle="1" w:styleId="1AllTextNormalCharacter">
    <w:name w:val="1. All Text (Normal Character)"/>
    <w:basedOn w:val="DefaultParagraphFont"/>
    <w:uiPriority w:val="1"/>
    <w:qFormat/>
    <w:rsid w:val="00FF33D5"/>
  </w:style>
  <w:style w:type="character" w:customStyle="1" w:styleId="1AllTextHighlight">
    <w:name w:val="1. All Text (Highlight)"/>
    <w:basedOn w:val="DefaultParagraphFont"/>
    <w:uiPriority w:val="1"/>
    <w:qFormat/>
    <w:rsid w:val="00DE1744"/>
    <w:rPr>
      <w:b w:val="0"/>
      <w:bdr w:val="none" w:sz="0" w:space="0" w:color="auto"/>
      <w:shd w:val="clear" w:color="auto" w:fill="FFFF00"/>
      <w:lang w:val="en-GB"/>
    </w:rPr>
  </w:style>
  <w:style w:type="character" w:styleId="Mention">
    <w:name w:val="Mention"/>
    <w:basedOn w:val="DefaultParagraphFont"/>
    <w:uiPriority w:val="99"/>
    <w:unhideWhenUsed/>
    <w:rsid w:val="00BF6921"/>
    <w:rPr>
      <w:color w:val="2B579A"/>
      <w:shd w:val="clear" w:color="auto" w:fill="E6E6E6"/>
    </w:rPr>
  </w:style>
  <w:style w:type="paragraph" w:styleId="NormalWeb">
    <w:name w:val="Normal (Web)"/>
    <w:basedOn w:val="Normal"/>
    <w:uiPriority w:val="99"/>
    <w:semiHidden/>
    <w:unhideWhenUsed/>
    <w:rsid w:val="00BF692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Revision">
    <w:name w:val="Revision"/>
    <w:hidden/>
    <w:uiPriority w:val="99"/>
    <w:semiHidden/>
    <w:rsid w:val="00597587"/>
    <w:pPr>
      <w:spacing w:after="0" w:line="240" w:lineRule="auto"/>
    </w:pPr>
  </w:style>
  <w:style w:type="character" w:styleId="Emphasis">
    <w:name w:val="Emphasis"/>
    <w:basedOn w:val="DefaultParagraphFont"/>
    <w:uiPriority w:val="20"/>
    <w:qFormat/>
    <w:rsid w:val="001965FA"/>
    <w:rPr>
      <w:i/>
      <w:iCs/>
    </w:rPr>
  </w:style>
  <w:style w:type="paragraph" w:customStyle="1" w:styleId="GlossaryHeading">
    <w:name w:val="Glossary Heading"/>
    <w:basedOn w:val="FrontPageHeading"/>
    <w:qFormat/>
    <w:rsid w:val="009460E9"/>
  </w:style>
  <w:style w:type="paragraph" w:styleId="ListParagraph">
    <w:name w:val="List Paragraph"/>
    <w:basedOn w:val="Normal"/>
    <w:uiPriority w:val="34"/>
    <w:qFormat/>
    <w:rsid w:val="00B36B76"/>
    <w:pPr>
      <w:spacing w:before="0" w:after="160" w:line="259" w:lineRule="auto"/>
      <w:ind w:left="720"/>
      <w:contextualSpacing/>
    </w:pPr>
  </w:style>
  <w:style w:type="paragraph" w:customStyle="1" w:styleId="guidelinetext">
    <w:name w:val="guideline text"/>
    <w:basedOn w:val="Normal"/>
    <w:link w:val="guidelinetextChar"/>
    <w:qFormat/>
    <w:rsid w:val="00124A10"/>
    <w:pPr>
      <w:spacing w:line="264" w:lineRule="auto"/>
      <w:ind w:left="1440"/>
    </w:pPr>
  </w:style>
  <w:style w:type="character" w:customStyle="1" w:styleId="guidelinetextChar">
    <w:name w:val="guideline text Char"/>
    <w:basedOn w:val="DefaultParagraphFont"/>
    <w:link w:val="guidelinetext"/>
    <w:rsid w:val="00124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302">
      <w:bodyDiv w:val="1"/>
      <w:marLeft w:val="0"/>
      <w:marRight w:val="0"/>
      <w:marTop w:val="0"/>
      <w:marBottom w:val="0"/>
      <w:divBdr>
        <w:top w:val="none" w:sz="0" w:space="0" w:color="auto"/>
        <w:left w:val="none" w:sz="0" w:space="0" w:color="auto"/>
        <w:bottom w:val="none" w:sz="0" w:space="0" w:color="auto"/>
        <w:right w:val="none" w:sz="0" w:space="0" w:color="auto"/>
      </w:divBdr>
    </w:div>
    <w:div w:id="22171993">
      <w:bodyDiv w:val="1"/>
      <w:marLeft w:val="0"/>
      <w:marRight w:val="0"/>
      <w:marTop w:val="0"/>
      <w:marBottom w:val="0"/>
      <w:divBdr>
        <w:top w:val="none" w:sz="0" w:space="0" w:color="auto"/>
        <w:left w:val="none" w:sz="0" w:space="0" w:color="auto"/>
        <w:bottom w:val="none" w:sz="0" w:space="0" w:color="auto"/>
        <w:right w:val="none" w:sz="0" w:space="0" w:color="auto"/>
      </w:divBdr>
    </w:div>
    <w:div w:id="102654548">
      <w:bodyDiv w:val="1"/>
      <w:marLeft w:val="0"/>
      <w:marRight w:val="0"/>
      <w:marTop w:val="0"/>
      <w:marBottom w:val="0"/>
      <w:divBdr>
        <w:top w:val="none" w:sz="0" w:space="0" w:color="auto"/>
        <w:left w:val="none" w:sz="0" w:space="0" w:color="auto"/>
        <w:bottom w:val="none" w:sz="0" w:space="0" w:color="auto"/>
        <w:right w:val="none" w:sz="0" w:space="0" w:color="auto"/>
      </w:divBdr>
    </w:div>
    <w:div w:id="223957584">
      <w:bodyDiv w:val="1"/>
      <w:marLeft w:val="0"/>
      <w:marRight w:val="0"/>
      <w:marTop w:val="0"/>
      <w:marBottom w:val="0"/>
      <w:divBdr>
        <w:top w:val="none" w:sz="0" w:space="0" w:color="auto"/>
        <w:left w:val="none" w:sz="0" w:space="0" w:color="auto"/>
        <w:bottom w:val="none" w:sz="0" w:space="0" w:color="auto"/>
        <w:right w:val="none" w:sz="0" w:space="0" w:color="auto"/>
      </w:divBdr>
    </w:div>
    <w:div w:id="326322618">
      <w:bodyDiv w:val="1"/>
      <w:marLeft w:val="0"/>
      <w:marRight w:val="0"/>
      <w:marTop w:val="0"/>
      <w:marBottom w:val="0"/>
      <w:divBdr>
        <w:top w:val="none" w:sz="0" w:space="0" w:color="auto"/>
        <w:left w:val="none" w:sz="0" w:space="0" w:color="auto"/>
        <w:bottom w:val="none" w:sz="0" w:space="0" w:color="auto"/>
        <w:right w:val="none" w:sz="0" w:space="0" w:color="auto"/>
      </w:divBdr>
    </w:div>
    <w:div w:id="426273041">
      <w:bodyDiv w:val="1"/>
      <w:marLeft w:val="0"/>
      <w:marRight w:val="0"/>
      <w:marTop w:val="0"/>
      <w:marBottom w:val="0"/>
      <w:divBdr>
        <w:top w:val="none" w:sz="0" w:space="0" w:color="auto"/>
        <w:left w:val="none" w:sz="0" w:space="0" w:color="auto"/>
        <w:bottom w:val="none" w:sz="0" w:space="0" w:color="auto"/>
        <w:right w:val="none" w:sz="0" w:space="0" w:color="auto"/>
      </w:divBdr>
    </w:div>
    <w:div w:id="743913471">
      <w:bodyDiv w:val="1"/>
      <w:marLeft w:val="0"/>
      <w:marRight w:val="0"/>
      <w:marTop w:val="0"/>
      <w:marBottom w:val="0"/>
      <w:divBdr>
        <w:top w:val="none" w:sz="0" w:space="0" w:color="auto"/>
        <w:left w:val="none" w:sz="0" w:space="0" w:color="auto"/>
        <w:bottom w:val="none" w:sz="0" w:space="0" w:color="auto"/>
        <w:right w:val="none" w:sz="0" w:space="0" w:color="auto"/>
      </w:divBdr>
    </w:div>
    <w:div w:id="801118463">
      <w:bodyDiv w:val="1"/>
      <w:marLeft w:val="0"/>
      <w:marRight w:val="0"/>
      <w:marTop w:val="0"/>
      <w:marBottom w:val="0"/>
      <w:divBdr>
        <w:top w:val="none" w:sz="0" w:space="0" w:color="auto"/>
        <w:left w:val="none" w:sz="0" w:space="0" w:color="auto"/>
        <w:bottom w:val="none" w:sz="0" w:space="0" w:color="auto"/>
        <w:right w:val="none" w:sz="0" w:space="0" w:color="auto"/>
      </w:divBdr>
    </w:div>
    <w:div w:id="838542279">
      <w:bodyDiv w:val="1"/>
      <w:marLeft w:val="0"/>
      <w:marRight w:val="0"/>
      <w:marTop w:val="0"/>
      <w:marBottom w:val="0"/>
      <w:divBdr>
        <w:top w:val="none" w:sz="0" w:space="0" w:color="auto"/>
        <w:left w:val="none" w:sz="0" w:space="0" w:color="auto"/>
        <w:bottom w:val="none" w:sz="0" w:space="0" w:color="auto"/>
        <w:right w:val="none" w:sz="0" w:space="0" w:color="auto"/>
      </w:divBdr>
    </w:div>
    <w:div w:id="851607216">
      <w:bodyDiv w:val="1"/>
      <w:marLeft w:val="0"/>
      <w:marRight w:val="0"/>
      <w:marTop w:val="0"/>
      <w:marBottom w:val="0"/>
      <w:divBdr>
        <w:top w:val="none" w:sz="0" w:space="0" w:color="auto"/>
        <w:left w:val="none" w:sz="0" w:space="0" w:color="auto"/>
        <w:bottom w:val="none" w:sz="0" w:space="0" w:color="auto"/>
        <w:right w:val="none" w:sz="0" w:space="0" w:color="auto"/>
      </w:divBdr>
    </w:div>
    <w:div w:id="1037586942">
      <w:bodyDiv w:val="1"/>
      <w:marLeft w:val="0"/>
      <w:marRight w:val="0"/>
      <w:marTop w:val="0"/>
      <w:marBottom w:val="0"/>
      <w:divBdr>
        <w:top w:val="none" w:sz="0" w:space="0" w:color="auto"/>
        <w:left w:val="none" w:sz="0" w:space="0" w:color="auto"/>
        <w:bottom w:val="none" w:sz="0" w:space="0" w:color="auto"/>
        <w:right w:val="none" w:sz="0" w:space="0" w:color="auto"/>
      </w:divBdr>
    </w:div>
    <w:div w:id="1042944185">
      <w:bodyDiv w:val="1"/>
      <w:marLeft w:val="0"/>
      <w:marRight w:val="0"/>
      <w:marTop w:val="0"/>
      <w:marBottom w:val="0"/>
      <w:divBdr>
        <w:top w:val="none" w:sz="0" w:space="0" w:color="auto"/>
        <w:left w:val="none" w:sz="0" w:space="0" w:color="auto"/>
        <w:bottom w:val="none" w:sz="0" w:space="0" w:color="auto"/>
        <w:right w:val="none" w:sz="0" w:space="0" w:color="auto"/>
      </w:divBdr>
    </w:div>
    <w:div w:id="1202472866">
      <w:bodyDiv w:val="1"/>
      <w:marLeft w:val="0"/>
      <w:marRight w:val="0"/>
      <w:marTop w:val="0"/>
      <w:marBottom w:val="0"/>
      <w:divBdr>
        <w:top w:val="none" w:sz="0" w:space="0" w:color="auto"/>
        <w:left w:val="none" w:sz="0" w:space="0" w:color="auto"/>
        <w:bottom w:val="none" w:sz="0" w:space="0" w:color="auto"/>
        <w:right w:val="none" w:sz="0" w:space="0" w:color="auto"/>
      </w:divBdr>
    </w:div>
    <w:div w:id="1309440240">
      <w:bodyDiv w:val="1"/>
      <w:marLeft w:val="0"/>
      <w:marRight w:val="0"/>
      <w:marTop w:val="0"/>
      <w:marBottom w:val="0"/>
      <w:divBdr>
        <w:top w:val="none" w:sz="0" w:space="0" w:color="auto"/>
        <w:left w:val="none" w:sz="0" w:space="0" w:color="auto"/>
        <w:bottom w:val="none" w:sz="0" w:space="0" w:color="auto"/>
        <w:right w:val="none" w:sz="0" w:space="0" w:color="auto"/>
      </w:divBdr>
    </w:div>
    <w:div w:id="1335717117">
      <w:bodyDiv w:val="1"/>
      <w:marLeft w:val="0"/>
      <w:marRight w:val="0"/>
      <w:marTop w:val="0"/>
      <w:marBottom w:val="0"/>
      <w:divBdr>
        <w:top w:val="none" w:sz="0" w:space="0" w:color="auto"/>
        <w:left w:val="none" w:sz="0" w:space="0" w:color="auto"/>
        <w:bottom w:val="none" w:sz="0" w:space="0" w:color="auto"/>
        <w:right w:val="none" w:sz="0" w:space="0" w:color="auto"/>
      </w:divBdr>
    </w:div>
    <w:div w:id="1336957204">
      <w:bodyDiv w:val="1"/>
      <w:marLeft w:val="0"/>
      <w:marRight w:val="0"/>
      <w:marTop w:val="0"/>
      <w:marBottom w:val="0"/>
      <w:divBdr>
        <w:top w:val="none" w:sz="0" w:space="0" w:color="auto"/>
        <w:left w:val="none" w:sz="0" w:space="0" w:color="auto"/>
        <w:bottom w:val="none" w:sz="0" w:space="0" w:color="auto"/>
        <w:right w:val="none" w:sz="0" w:space="0" w:color="auto"/>
      </w:divBdr>
    </w:div>
    <w:div w:id="1356230562">
      <w:bodyDiv w:val="1"/>
      <w:marLeft w:val="0"/>
      <w:marRight w:val="0"/>
      <w:marTop w:val="0"/>
      <w:marBottom w:val="0"/>
      <w:divBdr>
        <w:top w:val="none" w:sz="0" w:space="0" w:color="auto"/>
        <w:left w:val="none" w:sz="0" w:space="0" w:color="auto"/>
        <w:bottom w:val="none" w:sz="0" w:space="0" w:color="auto"/>
        <w:right w:val="none" w:sz="0" w:space="0" w:color="auto"/>
      </w:divBdr>
    </w:div>
    <w:div w:id="1397627180">
      <w:bodyDiv w:val="1"/>
      <w:marLeft w:val="0"/>
      <w:marRight w:val="0"/>
      <w:marTop w:val="0"/>
      <w:marBottom w:val="0"/>
      <w:divBdr>
        <w:top w:val="none" w:sz="0" w:space="0" w:color="auto"/>
        <w:left w:val="none" w:sz="0" w:space="0" w:color="auto"/>
        <w:bottom w:val="none" w:sz="0" w:space="0" w:color="auto"/>
        <w:right w:val="none" w:sz="0" w:space="0" w:color="auto"/>
      </w:divBdr>
    </w:div>
    <w:div w:id="1442261914">
      <w:bodyDiv w:val="1"/>
      <w:marLeft w:val="0"/>
      <w:marRight w:val="0"/>
      <w:marTop w:val="0"/>
      <w:marBottom w:val="0"/>
      <w:divBdr>
        <w:top w:val="none" w:sz="0" w:space="0" w:color="auto"/>
        <w:left w:val="none" w:sz="0" w:space="0" w:color="auto"/>
        <w:bottom w:val="none" w:sz="0" w:space="0" w:color="auto"/>
        <w:right w:val="none" w:sz="0" w:space="0" w:color="auto"/>
      </w:divBdr>
    </w:div>
    <w:div w:id="1507283991">
      <w:bodyDiv w:val="1"/>
      <w:marLeft w:val="0"/>
      <w:marRight w:val="0"/>
      <w:marTop w:val="0"/>
      <w:marBottom w:val="0"/>
      <w:divBdr>
        <w:top w:val="none" w:sz="0" w:space="0" w:color="auto"/>
        <w:left w:val="none" w:sz="0" w:space="0" w:color="auto"/>
        <w:bottom w:val="none" w:sz="0" w:space="0" w:color="auto"/>
        <w:right w:val="none" w:sz="0" w:space="0" w:color="auto"/>
      </w:divBdr>
    </w:div>
    <w:div w:id="1576939417">
      <w:bodyDiv w:val="1"/>
      <w:marLeft w:val="0"/>
      <w:marRight w:val="0"/>
      <w:marTop w:val="0"/>
      <w:marBottom w:val="0"/>
      <w:divBdr>
        <w:top w:val="none" w:sz="0" w:space="0" w:color="auto"/>
        <w:left w:val="none" w:sz="0" w:space="0" w:color="auto"/>
        <w:bottom w:val="none" w:sz="0" w:space="0" w:color="auto"/>
        <w:right w:val="none" w:sz="0" w:space="0" w:color="auto"/>
      </w:divBdr>
    </w:div>
    <w:div w:id="1633559472">
      <w:bodyDiv w:val="1"/>
      <w:marLeft w:val="0"/>
      <w:marRight w:val="0"/>
      <w:marTop w:val="0"/>
      <w:marBottom w:val="0"/>
      <w:divBdr>
        <w:top w:val="none" w:sz="0" w:space="0" w:color="auto"/>
        <w:left w:val="none" w:sz="0" w:space="0" w:color="auto"/>
        <w:bottom w:val="none" w:sz="0" w:space="0" w:color="auto"/>
        <w:right w:val="none" w:sz="0" w:space="0" w:color="auto"/>
      </w:divBdr>
    </w:div>
    <w:div w:id="1699894545">
      <w:bodyDiv w:val="1"/>
      <w:marLeft w:val="0"/>
      <w:marRight w:val="0"/>
      <w:marTop w:val="0"/>
      <w:marBottom w:val="0"/>
      <w:divBdr>
        <w:top w:val="none" w:sz="0" w:space="0" w:color="auto"/>
        <w:left w:val="none" w:sz="0" w:space="0" w:color="auto"/>
        <w:bottom w:val="none" w:sz="0" w:space="0" w:color="auto"/>
        <w:right w:val="none" w:sz="0" w:space="0" w:color="auto"/>
      </w:divBdr>
    </w:div>
    <w:div w:id="1721203163">
      <w:bodyDiv w:val="1"/>
      <w:marLeft w:val="0"/>
      <w:marRight w:val="0"/>
      <w:marTop w:val="0"/>
      <w:marBottom w:val="0"/>
      <w:divBdr>
        <w:top w:val="none" w:sz="0" w:space="0" w:color="auto"/>
        <w:left w:val="none" w:sz="0" w:space="0" w:color="auto"/>
        <w:bottom w:val="none" w:sz="0" w:space="0" w:color="auto"/>
        <w:right w:val="none" w:sz="0" w:space="0" w:color="auto"/>
      </w:divBdr>
    </w:div>
    <w:div w:id="1794397736">
      <w:bodyDiv w:val="1"/>
      <w:marLeft w:val="0"/>
      <w:marRight w:val="0"/>
      <w:marTop w:val="0"/>
      <w:marBottom w:val="0"/>
      <w:divBdr>
        <w:top w:val="none" w:sz="0" w:space="0" w:color="auto"/>
        <w:left w:val="none" w:sz="0" w:space="0" w:color="auto"/>
        <w:bottom w:val="none" w:sz="0" w:space="0" w:color="auto"/>
        <w:right w:val="none" w:sz="0" w:space="0" w:color="auto"/>
      </w:divBdr>
    </w:div>
    <w:div w:id="1913006824">
      <w:bodyDiv w:val="1"/>
      <w:marLeft w:val="0"/>
      <w:marRight w:val="0"/>
      <w:marTop w:val="0"/>
      <w:marBottom w:val="0"/>
      <w:divBdr>
        <w:top w:val="none" w:sz="0" w:space="0" w:color="auto"/>
        <w:left w:val="none" w:sz="0" w:space="0" w:color="auto"/>
        <w:bottom w:val="none" w:sz="0" w:space="0" w:color="auto"/>
        <w:right w:val="none" w:sz="0" w:space="0" w:color="auto"/>
      </w:divBdr>
    </w:div>
    <w:div w:id="2105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aic.gov.au/privacy/guidance-and-advice/guide-to-securing-personal-information" TargetMode="External"/><Relationship Id="rId21" Type="http://schemas.openxmlformats.org/officeDocument/2006/relationships/hyperlink" Target="https://ecsnaccess.gov.au/ProviderPortal/pages/Default.aspx" TargetMode="External"/><Relationship Id="rId42" Type="http://schemas.openxmlformats.org/officeDocument/2006/relationships/footer" Target="footer2.xml"/><Relationship Id="rId47" Type="http://schemas.openxmlformats.org/officeDocument/2006/relationships/hyperlink" Target="https://www.oaic.gov.au/privacy/your-privacy-rights/your-personal-information/collection-of-personal-information" TargetMode="External"/><Relationship Id="rId63" Type="http://schemas.openxmlformats.org/officeDocument/2006/relationships/hyperlink" Target="https://www.oaic.gov.au/privacy/guidance-and-advice/handling-privacy-complaints" TargetMode="External"/><Relationship Id="rId68" Type="http://schemas.openxmlformats.org/officeDocument/2006/relationships/hyperlink" Target="https://www.dese.gov.au/digital-information-assurance-it-security-compliance" TargetMode="External"/><Relationship Id="rId2" Type="http://schemas.openxmlformats.org/officeDocument/2006/relationships/customXml" Target="../customXml/item2.xml"/><Relationship Id="rId16" Type="http://schemas.openxmlformats.org/officeDocument/2006/relationships/hyperlink" Target="https://www.naa.gov.au/sites/default/files/2019-12/agency-ra-2009-00179260.pdf" TargetMode="External"/><Relationship Id="rId29" Type="http://schemas.openxmlformats.org/officeDocument/2006/relationships/hyperlink" Target="http://www.oaic.gov.au/freedom-of-information/the-foi-act" TargetMode="External"/><Relationship Id="rId11" Type="http://schemas.openxmlformats.org/officeDocument/2006/relationships/image" Target="media/image1.jpeg"/><Relationship Id="rId24" Type="http://schemas.openxmlformats.org/officeDocument/2006/relationships/hyperlink" Target="http://www.ag.gov.au/rights-and-protections/publications/electronic-transactions-act-1999-information-sheet" TargetMode="External"/><Relationship Id="rId32" Type="http://schemas.openxmlformats.org/officeDocument/2006/relationships/hyperlink" Target="https://www.dewr.gov.au/right-fit-risk-cyber-security-accreditation" TargetMode="External"/><Relationship Id="rId37" Type="http://schemas.openxmlformats.org/officeDocument/2006/relationships/hyperlink" Target="https://ecsnaccessintranet.hosts.application.enet/ProviderPortal/Documents/Current/Records-Retention-Periods.pdf" TargetMode="External"/><Relationship Id="rId40" Type="http://schemas.openxmlformats.org/officeDocument/2006/relationships/hyperlink" Target="https://www.naa.gov.au/sites/default/files/2019-09/GRA-30-OCR_tcm16-93639.pdf" TargetMode="External"/><Relationship Id="rId45" Type="http://schemas.openxmlformats.org/officeDocument/2006/relationships/hyperlink" Target="https://learningcentre.employment.gov.au/view_course/152" TargetMode="External"/><Relationship Id="rId53" Type="http://schemas.openxmlformats.org/officeDocument/2006/relationships/hyperlink" Target="https://ecsnaccess.gov.au/ProviderPortal/Documents/Current/Privacy-Notification-and-Consent-Form.docx" TargetMode="External"/><Relationship Id="rId58" Type="http://schemas.openxmlformats.org/officeDocument/2006/relationships/hyperlink" Target="https://learningcentre.employment.gov.au/view_course/152" TargetMode="External"/><Relationship Id="rId66" Type="http://schemas.openxmlformats.org/officeDocument/2006/relationships/hyperlink" Target="https://learningcentre.employment.gov.au/course/preview.php?id=2343"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oaic.gov.au/privacy-law/privacy-act/notifiable-data-breaches-scheme" TargetMode="External"/><Relationship Id="rId19" Type="http://schemas.openxmlformats.org/officeDocument/2006/relationships/hyperlink" Target="https://ecsnaccessintranet.hosts.application.enet/ProviderPortal/Documents/Current/Records-Retention-Periods.pdf" TargetMode="External"/><Relationship Id="rId14" Type="http://schemas.openxmlformats.org/officeDocument/2006/relationships/header" Target="header1.xml"/><Relationship Id="rId22" Type="http://schemas.openxmlformats.org/officeDocument/2006/relationships/hyperlink" Target="http://www.naa.gov.au/information-management/storing-and-preserving-information/preserving-information" TargetMode="External"/><Relationship Id="rId27" Type="http://schemas.openxmlformats.org/officeDocument/2006/relationships/hyperlink" Target="https://ecsnaccess.gov.au/providerportal/pages/Default.aspx" TargetMode="External"/><Relationship Id="rId30" Type="http://schemas.openxmlformats.org/officeDocument/2006/relationships/hyperlink" Target="https://www.oaic.gov.au/freedom-of-information/the-foi-act" TargetMode="External"/><Relationship Id="rId35" Type="http://schemas.openxmlformats.org/officeDocument/2006/relationships/hyperlink" Target="https://www.naa.gov.au/sites/default/files/2019-12/agency-ra-2009-00179260.pdf" TargetMode="External"/><Relationship Id="rId43" Type="http://schemas.openxmlformats.org/officeDocument/2006/relationships/hyperlink" Target="https://www.naa.gov.au/information-management/disposing-information/information-disposal/compliant-destruction-australian-government-information" TargetMode="External"/><Relationship Id="rId48" Type="http://schemas.openxmlformats.org/officeDocument/2006/relationships/hyperlink" Target="https://www.oaic.gov.au/privacy/your-privacy-rights/your-personal-information/use-and-disclosure-of-personal-information" TargetMode="External"/><Relationship Id="rId56" Type="http://schemas.openxmlformats.org/officeDocument/2006/relationships/hyperlink" Target="https://ecsnaccess.gov.au/ProviderPortal/Documents/Current/Class-PIC.pdf" TargetMode="External"/><Relationship Id="rId64" Type="http://schemas.openxmlformats.org/officeDocument/2006/relationships/hyperlink" Target="mailto:privacy@dewr.gov.au" TargetMode="External"/><Relationship Id="rId69" Type="http://schemas.openxmlformats.org/officeDocument/2006/relationships/hyperlink" Target="https://www.jas-anz.org/accredited-bodies/filter?category=All&amp;title=All" TargetMode="External"/><Relationship Id="rId8" Type="http://schemas.openxmlformats.org/officeDocument/2006/relationships/webSettings" Target="webSettings.xml"/><Relationship Id="rId51" Type="http://schemas.openxmlformats.org/officeDocument/2006/relationships/hyperlink" Target="https://oaic.gov.au/privacy/your-privacy-rights/children-and-young-people/" TargetMode="External"/><Relationship Id="rId72" Type="http://schemas.openxmlformats.org/officeDocument/2006/relationships/hyperlink" Target="https://www.hostingcertification.gov.au/certified-service-providers" TargetMode="External"/><Relationship Id="rId3" Type="http://schemas.openxmlformats.org/officeDocument/2006/relationships/customXml" Target="../customXml/item3.xml"/><Relationship Id="rId12" Type="http://schemas.openxmlformats.org/officeDocument/2006/relationships/hyperlink" Target="https://ecsnaccess.gov.au/providerportal/pages/Default.aspx?" TargetMode="External"/><Relationship Id="rId17" Type="http://schemas.openxmlformats.org/officeDocument/2006/relationships/hyperlink" Target="https://ecsnaccessintranet.hosts.application.enet/ProviderPortal/Documents/Current/Return-of-Records-Process.pdf" TargetMode="External"/><Relationship Id="rId25" Type="http://schemas.openxmlformats.org/officeDocument/2006/relationships/hyperlink" Target="https://www.oaic.gov.au/privacy/australian-privacy-principles-guidelines/chapter-11-app-11-security-of-personal-information" TargetMode="External"/><Relationship Id="rId33" Type="http://schemas.openxmlformats.org/officeDocument/2006/relationships/hyperlink" Target="https://www.oaic.gov.au/privacy/notifiable-data-breaches" TargetMode="External"/><Relationship Id="rId38" Type="http://schemas.openxmlformats.org/officeDocument/2006/relationships/hyperlink" Target="https://ecsnaccessintranet.hosts.application.enet/ProviderPortal/Documents/Current/Records-Retention-Periods.pdf" TargetMode="External"/><Relationship Id="rId46" Type="http://schemas.openxmlformats.org/officeDocument/2006/relationships/hyperlink" Target="https://www.oaic.gov.au/privacy/australian-privacy-principles" TargetMode="External"/><Relationship Id="rId59" Type="http://schemas.openxmlformats.org/officeDocument/2006/relationships/hyperlink" Target="https://ecsnaccessintranet.hosts.application.enet/ProviderPortal/Documents/Current/Class-PIC-Notification-Form.pdf" TargetMode="External"/><Relationship Id="rId67" Type="http://schemas.openxmlformats.org/officeDocument/2006/relationships/header" Target="header2.xml"/><Relationship Id="rId20" Type="http://schemas.openxmlformats.org/officeDocument/2006/relationships/hyperlink" Target="https://www.oaic.gov.au/privacy/guidance-and-advice/guide-to-securing-personal-information" TargetMode="External"/><Relationship Id="rId41" Type="http://schemas.openxmlformats.org/officeDocument/2006/relationships/hyperlink" Target="https://www.naa.gov.au/information-management/records-authorities/types-records-authorities/general-records-authority-31" TargetMode="External"/><Relationship Id="rId54" Type="http://schemas.openxmlformats.org/officeDocument/2006/relationships/hyperlink" Target="mailto:FOI@dewr.gov.au" TargetMode="External"/><Relationship Id="rId62" Type="http://schemas.openxmlformats.org/officeDocument/2006/relationships/hyperlink" Target="https://ecsnaccess.gov.au/ProviderPortal/Documents/Current/Provider-Privacy-Incident-Report.docx" TargetMode="External"/><Relationship Id="rId70" Type="http://schemas.openxmlformats.org/officeDocument/2006/relationships/hyperlink" Target="https://www.cyber.gov.au/acsc/view-all-content/publications/essential-eight-maturity-mode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aa.gov.au/sites/default/files/2019-12/agency-ra-2003-00330307.pdf" TargetMode="External"/><Relationship Id="rId23" Type="http://schemas.openxmlformats.org/officeDocument/2006/relationships/hyperlink" Target="https://www.naa.gov.au/information-management/records-authorities/types-records-authorities/general-records-authority-40" TargetMode="External"/><Relationship Id="rId28" Type="http://schemas.openxmlformats.org/officeDocument/2006/relationships/hyperlink" Target="https://www.naa.gov.au/information-management" TargetMode="External"/><Relationship Id="rId36" Type="http://schemas.openxmlformats.org/officeDocument/2006/relationships/hyperlink" Target="https://www.naa.gov.au/information-management/records-authorities/types-records-authorities/general-records-authority-33" TargetMode="External"/><Relationship Id="rId49" Type="http://schemas.openxmlformats.org/officeDocument/2006/relationships/hyperlink" Target="https://www.oaic.gov.au/privacy/your-privacy-rights/your-personal-information/what-is-personal-information" TargetMode="External"/><Relationship Id="rId57" Type="http://schemas.openxmlformats.org/officeDocument/2006/relationships/hyperlink" Target="https://ecsnaccess.gov.au/ProviderPortal/CM/Documents/Current/Class-PIC-Instrument-of-Delegation.pdf" TargetMode="External"/><Relationship Id="rId10" Type="http://schemas.openxmlformats.org/officeDocument/2006/relationships/endnotes" Target="endnotes.xml"/><Relationship Id="rId31" Type="http://schemas.openxmlformats.org/officeDocument/2006/relationships/hyperlink" Target="https://www.oaic.gov.au/privacy/the-privacy-act" TargetMode="External"/><Relationship Id="rId44" Type="http://schemas.openxmlformats.org/officeDocument/2006/relationships/hyperlink" Target="https://ecsnaccess.gov.au/ProviderPortal/Documents/Current/Provider-Privacy-Incident-Report.docx" TargetMode="External"/><Relationship Id="rId52" Type="http://schemas.openxmlformats.org/officeDocument/2006/relationships/hyperlink" Target="https://www.oaic.gov.au/privacy/australian-privacy-principles-guidelines/chapter-b-key-concepts" TargetMode="External"/><Relationship Id="rId60" Type="http://schemas.openxmlformats.org/officeDocument/2006/relationships/hyperlink" Target="file:///C:/Users/EH2873/AppData/Local/Microsoft/Windows/INetCache/Content.Outlook/AWIWXAPM/WFA-Part-A-Universal-Guidelines%20v1.8%20(Track%20with%20Privacy%20changes%20for%20future%20update))%20-%20ILT%20comments%2024%20October%202023.docx" TargetMode="External"/><Relationship Id="rId65" Type="http://schemas.openxmlformats.org/officeDocument/2006/relationships/hyperlink" Target="https://www.dewr.gov.au/privacy" TargetMode="External"/><Relationship Id="rId73"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ecsnaccessintranet.hosts.application.enet/ProviderPortal/Documents/Current/Records-Register-for-Provider-Returns.xlsx" TargetMode="External"/><Relationship Id="rId39" Type="http://schemas.openxmlformats.org/officeDocument/2006/relationships/hyperlink" Target="https://www.naa.gov.au/information-management/disposing-information/disposal-freezes-and-retention-notices" TargetMode="External"/><Relationship Id="rId34" Type="http://schemas.openxmlformats.org/officeDocument/2006/relationships/hyperlink" Target="https://www.naa.gov.au/sites/default/files/2019-12/agency-ra-2003-00330307.pdf" TargetMode="External"/><Relationship Id="rId50" Type="http://schemas.openxmlformats.org/officeDocument/2006/relationships/hyperlink" Target="https://www.oaic.gov.au/privacy/your-privacy-rights/your-personal-information/access-your-personal-information" TargetMode="External"/><Relationship Id="rId55" Type="http://schemas.openxmlformats.org/officeDocument/2006/relationships/hyperlink" Target="mailto:FOI@dewr.gov.au" TargetMode="External"/><Relationship Id="rId7" Type="http://schemas.openxmlformats.org/officeDocument/2006/relationships/settings" Target="settings.xml"/><Relationship Id="rId71" Type="http://schemas.openxmlformats.org/officeDocument/2006/relationships/hyperlink" Target="http://www.cyber.gov.au"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csnaccess.gov.au/ProviderPortal/HTS/Guidelines/Pages/Guidelines.aspx" TargetMode="External"/><Relationship Id="rId1" Type="http://schemas.openxmlformats.org/officeDocument/2006/relationships/hyperlink" Target="https://ecsnaccess.gov.au/ProviderPortal/TWES/Guidelines/pages/Default.aspx" TargetMode="External"/></Relationships>
</file>

<file path=word/theme/theme1.xml><?xml version="1.0" encoding="utf-8"?>
<a:theme xmlns:a="http://schemas.openxmlformats.org/drawingml/2006/main" name="DESE Templat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Secure Site Document" ma:contentTypeID="0x0101001FFFC1AF147C4F5C9369E689092D514B00E6B0173F50BBEA4A8A19C66812E2509B" ma:contentTypeVersion="47" ma:contentTypeDescription="Secure Site content type template for recording metadata for documents." ma:contentTypeScope="" ma:versionID="ce05a5ba8690df1814c6ef8d8e0ceeb0">
  <xsd:schema xmlns:xsd="http://www.w3.org/2001/XMLSchema" xmlns:xs="http://www.w3.org/2001/XMLSchema" xmlns:p="http://schemas.microsoft.com/office/2006/metadata/properties" xmlns:ns1="d4ed92f1-b901-42a9-bcc3-7b24959a6f87" xmlns:ns2="a232d271-55e7-4aa6-9ab7-ccc10e765e65" xmlns:ns4="cb1825da-90f7-421b-9ea2-df4c5c18c700" targetNamespace="http://schemas.microsoft.com/office/2006/metadata/properties" ma:root="true" ma:fieldsID="d11d97bcd4685587e9d2af49bb4bc9d5" ns1:_="" ns2:_="" ns4:_="">
    <xsd:import namespace="d4ed92f1-b901-42a9-bcc3-7b24959a6f87"/>
    <xsd:import namespace="a232d271-55e7-4aa6-9ab7-ccc10e765e65"/>
    <xsd:import namespace="cb1825da-90f7-421b-9ea2-df4c5c18c700"/>
    <xsd:element name="properties">
      <xsd:complexType>
        <xsd:sequence>
          <xsd:element name="documentManagement">
            <xsd:complexType>
              <xsd:all>
                <xsd:element ref="ns1:ESCSSIncludeInLatestUpdates"/>
                <xsd:element ref="ns1:ESCSSIncludeInNewsletter"/>
                <xsd:element ref="ns1:ESCSSContentAuthor"/>
                <xsd:element ref="ns1:ESCSSPublishingContentAuthorEmail"/>
                <xsd:element ref="ns1:ESCSSContentAuthorTeam"/>
                <xsd:element ref="ns1:ESCSSContentAuthorBranch"/>
                <xsd:element ref="ns1:ESCSSContentApprover"/>
                <xsd:element ref="ns1:ESCSSPublishingAuthorisingBranchHead"/>
                <xsd:element ref="ns2:ESCSSLocation"/>
                <xsd:element ref="ns1:ESCSSPublishingInstructions"/>
                <xsd:element ref="ns1:ESCSSDocumentId"/>
                <xsd:element ref="ns1:ESCSSDescription"/>
                <xsd:element ref="ns1:ESCSSKeywords"/>
                <xsd:element ref="ns1:ESCSSTopic"/>
                <xsd:element ref="ns1:ESCSSSummaryOfUpdate"/>
                <xsd:element ref="ns1:ESCSSSiteGroup" minOccurs="0"/>
                <xsd:element ref="ns1:ESCSSResourceType"/>
                <xsd:element ref="ns1:ESCSSContentStatus"/>
                <xsd:element ref="ns1:ESCSSEffectiveStartDate"/>
                <xsd:element ref="ns1:ESCSSReviewDate" minOccurs="0"/>
                <xsd:element ref="ns1:ESCSSSubject" minOccurs="0"/>
                <xsd:element ref="ns4: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d92f1-b901-42a9-bcc3-7b24959a6f87" elementFormDefault="qualified">
    <xsd:import namespace="http://schemas.microsoft.com/office/2006/documentManagement/types"/>
    <xsd:import namespace="http://schemas.microsoft.com/office/infopath/2007/PartnerControls"/>
    <xsd:element name="ESCSSIncludeInLatestUpdates" ma:index="0" ma:displayName="Include in Latest Updates" ma:default="1" ma:internalName="ESCSSIncludeInLatestUpdates" ma:readOnly="false">
      <xsd:simpleType>
        <xsd:restriction base="dms:Boolean"/>
      </xsd:simpleType>
    </xsd:element>
    <xsd:element name="ESCSSIncludeInNewsletter" ma:index="1" ma:displayName="Include in Provider Newsletter" ma:default="1" ma:internalName="ESCSSIncludeInNewsletter" ma:readOnly="false">
      <xsd:simpleType>
        <xsd:restriction base="dms:Boolean"/>
      </xsd:simpleType>
    </xsd:element>
    <xsd:element name="ESCSSContentAuthor" ma:index="2" ma:displayName="Content Author" ma:list="9155026a-5af6-4d9c-90f5-00d12f0ddc46" ma:internalName="ESCSSContentAuthor" ma:readOnly="false" ma:showField="ESCSSName" ma:web="cb1825da-90f7-421b-9ea2-df4c5c18c700">
      <xsd:simpleType>
        <xsd:restriction base="dms:Lookup"/>
      </xsd:simpleType>
    </xsd:element>
    <xsd:element name="ESCSSPublishingContentAuthorEmail" ma:index="3" ma:displayName="Authors Email Address" ma:internalName="ESCSSPublishingContentAuthorEmail" ma:readOnly="false">
      <xsd:simpleType>
        <xsd:restriction base="dms:Text">
          <xsd:maxLength value="255"/>
        </xsd:restriction>
      </xsd:simpleType>
    </xsd:element>
    <xsd:element name="ESCSSContentAuthorTeam" ma:index="4" ma:displayName="Content Author Team" ma:list="638e7f9d-6c20-4139-88a7-7f825ea0d61f" ma:internalName="ESCSSContentAuthorTeam" ma:readOnly="false" ma:showField="ESCSSContentAuthorTeamName" ma:web="cb1825da-90f7-421b-9ea2-df4c5c18c700">
      <xsd:simpleType>
        <xsd:restriction base="dms:Lookup"/>
      </xsd:simpleType>
    </xsd:element>
    <xsd:element name="ESCSSContentAuthorBranch" ma:index="5" ma:displayName="Content Author Branch" ma:list="551cf690-b784-4c62-9d95-8c248b2a440e" ma:internalName="ESCSSContentAuthorBranch" ma:readOnly="false" ma:showField="ESCSSContentAuthorBranchName" ma:web="cb1825da-90f7-421b-9ea2-df4c5c18c700">
      <xsd:simpleType>
        <xsd:restriction base="dms:Lookup"/>
      </xsd:simpleType>
    </xsd:element>
    <xsd:element name="ESCSSContentApprover" ma:index="6" ma:displayName="Content Approver" ma:list="9155026a-5af6-4d9c-90f5-00d12f0ddc46" ma:internalName="ESCSSContentApprover" ma:readOnly="false" ma:showField="ESCSSName" ma:web="cb1825da-90f7-421b-9ea2-df4c5c18c700">
      <xsd:simpleType>
        <xsd:restriction base="dms:Lookup"/>
      </xsd:simpleType>
    </xsd:element>
    <xsd:element name="ESCSSPublishingAuthorisingBranchHead" ma:index="7" ma:displayName="Authorising Branch Manager" ma:list="9155026a-5af6-4d9c-90f5-00d12f0ddc46" ma:internalName="ESCSSPublishingAuthorisingBranchHead" ma:readOnly="false" ma:showField="ESCSSName" ma:web="cb1825da-90f7-421b-9ea2-df4c5c18c700">
      <xsd:simpleType>
        <xsd:restriction base="dms:Lookup"/>
      </xsd:simpleType>
    </xsd:element>
    <xsd:element name="ESCSSPublishingInstructions" ma:index="9" ma:displayName="Publishing Instructions" ma:description="" ma:internalName="ESCSSPublishingInstructions" ma:readOnly="false">
      <xsd:simpleType>
        <xsd:restriction base="dms:Note">
          <xsd:maxLength value="255"/>
        </xsd:restriction>
      </xsd:simpleType>
    </xsd:element>
    <xsd:element name="ESCSSDocumentId" ma:index="10" ma:displayName="Document ID" ma:description="" ma:internalName="ESCSSDocumentId" ma:readOnly="false">
      <xsd:simpleType>
        <xsd:restriction base="dms:Text"/>
      </xsd:simpleType>
    </xsd:element>
    <xsd:element name="ESCSSDescription" ma:index="13" ma:displayName="Description" ma:internalName="ESCSSDescription">
      <xsd:simpleType>
        <xsd:restriction base="dms:Note"/>
      </xsd:simpleType>
    </xsd:element>
    <xsd:element name="ESCSSKeywords" ma:index="14" ma:displayName="Keywords" ma:description="" ma:internalName="ESCSSKeywords" ma:readOnly="false">
      <xsd:simpleType>
        <xsd:restriction base="dms:Note"/>
      </xsd:simpleType>
    </xsd:element>
    <xsd:element name="ESCSSTopic" ma:index="15" ma:displayName="Topic" ma:list="ecb9bf6e-6041-453b-8dfb-69e7b2deb86c" ma:internalName="ESCSSTopic" ma:readOnly="false" ma:showField="ESCSSTopicName" ma:web="cb1825da-90f7-421b-9ea2-df4c5c18c700">
      <xsd:simpleType>
        <xsd:restriction base="dms:Lookup"/>
      </xsd:simpleType>
    </xsd:element>
    <xsd:element name="ESCSSSummaryOfUpdate" ma:index="16" ma:displayName="Summary of Changes" ma:description="" ma:internalName="ESCSSSummaryOfUpdate" ma:readOnly="false">
      <xsd:simpleType>
        <xsd:restriction base="dms:Note"/>
      </xsd:simpleType>
    </xsd:element>
    <xsd:element name="ESCSSSiteGroup" ma:index="17" nillable="true" ma:displayName="Publish Content to" ma:list="27b48451-32ff-4cc0-a8bb-312ee13f13b2" ma:internalName="ESCSSSiteGroup" ma:showField="ESCSSSiteName" ma:web="cb1825da-90f7-421b-9ea2-df4c5c18c700" ma:requiredMultiChoice="true">
      <xsd:complexType>
        <xsd:complexContent>
          <xsd:extension base="dms:MultiChoiceLookup">
            <xsd:sequence>
              <xsd:element name="Value" type="dms:Lookup" maxOccurs="unbounded" minOccurs="0" nillable="true"/>
            </xsd:sequence>
          </xsd:extension>
        </xsd:complexContent>
      </xsd:complexType>
    </xsd:element>
    <xsd:element name="ESCSSResourceType" ma:index="18" ma:displayName="Resource Type" ma:list="82fc2e4a-1ca6-4781-b604-4a9937fae63e" ma:internalName="ESCSSResourceType" ma:readOnly="false" ma:showField="ESCSSResourceName" ma:web="cb1825da-90f7-421b-9ea2-df4c5c18c700">
      <xsd:simpleType>
        <xsd:restriction base="dms:Lookup"/>
      </xsd:simpleType>
    </xsd:element>
    <xsd:element name="ESCSSContentStatus" ma:index="19" ma:displayName="Status" ma:default="Current" ma:description="" ma:internalName="ESCSSContentStatus" ma:readOnly="false">
      <xsd:simpleType>
        <xsd:restriction base="dms:Choice">
          <xsd:enumeration value="Current"/>
          <xsd:enumeration value="Archived"/>
        </xsd:restriction>
      </xsd:simpleType>
    </xsd:element>
    <xsd:element name="ESCSSEffectiveStartDate" ma:index="20" ma:displayName="Effective Start Date (dd/mm/yyyy)" ma:default="[today]" ma:format="DateTime" ma:internalName="ESCSSEffectiveStartDate" ma:readOnly="false">
      <xsd:simpleType>
        <xsd:restriction base="dms:DateTime"/>
      </xsd:simpleType>
    </xsd:element>
    <xsd:element name="ESCSSReviewDate" ma:index="21" nillable="true" ma:displayName="Review Date (dd/mm/yyyy)" ma:format="DateTime" ma:internalName="ESCSSReviewDate">
      <xsd:simpleType>
        <xsd:restriction base="dms:DateTime"/>
      </xsd:simpleType>
    </xsd:element>
    <xsd:element name="ESCSSSubject" ma:index="22" nillable="true" ma:displayName="Publishing Reference" ma:description="" ma:internalName="ESCSS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32d271-55e7-4aa6-9ab7-ccc10e765e65" elementFormDefault="qualified">
    <xsd:import namespace="http://schemas.microsoft.com/office/2006/documentManagement/types"/>
    <xsd:import namespace="http://schemas.microsoft.com/office/infopath/2007/PartnerControls"/>
    <xsd:element name="ESCSSLocation" ma:index="8" ma:displayName="Location" ma:internalName="ESCSSLoca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1825da-90f7-421b-9ea2-df4c5c18c700"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SCSSResourceType xmlns="d4ed92f1-b901-42a9-bcc3-7b24959a6f87">7</ESCSSResourceType>
    <ESCSSDescription xmlns="d4ed92f1-b901-42a9-bcc3-7b24959a6f87">This Guideline details requirements for the delivery of employment services in ParentsNext, Harvest Trail Services and Time to Work Employment Services including in relation to privacy and records management.</ESCSSDescription>
    <ESCSSContentAuthorBranch xmlns="d4ed92f1-b901-42a9-bcc3-7b24959a6f87">354</ESCSSContentAuthorBranch>
    <ESCSSLocation xmlns="a232d271-55e7-4aa6-9ab7-ccc10e765e65">ProviderPortal/ParentsNext/Guidelines/Pages/Eligibility-and-Servicing.aspx and Guideline pages for HTS and TWES</ESCSSLocation>
    <ESCSSEffectiveStartDate xmlns="d4ed92f1-b901-42a9-bcc3-7b24959a6f87">2024-04-01T13:00:00+00:00</ESCSSEffectiveStartDate>
    <ESCSSTopic xmlns="d4ed92f1-b901-42a9-bcc3-7b24959a6f87">1144</ESCSSTopic>
    <ESCSSContentStatus xmlns="d4ed92f1-b901-42a9-bcc3-7b24959a6f87">Current</ESCSSContentStatus>
    <ESCSSSummaryOfUpdate xmlns="d4ed92f1-b901-42a9-bcc3-7b24959a6f87">In this version of the Guideline the following Chapters have been updated:
•	Records Management Instructions
•	Privacy
•	External Systems Assurance Framework
</ESCSSSummaryOfUpdate>
    <ESCSSKeywords xmlns="d4ed92f1-b901-42a9-bcc3-7b24959a6f87">Records Management, Privacy and External Systems Assurance Framework Guidelines v2.3, 1 April 2024
</ESCSSKeywords>
    <ESCSSSubject xmlns="d4ed92f1-b901-42a9-bcc3-7b24959a6f87">20230531-144524100457</ESCSSSubject>
    <ESCSSSiteGroup xmlns="d4ed92f1-b901-42a9-bcc3-7b24959a6f87">
      <Value>4</Value>
      <Value>6</Value>
      <Value>15</Value>
    </ESCSSSiteGroup>
    <ESCSSIncludeInNewsletter xmlns="d4ed92f1-b901-42a9-bcc3-7b24959a6f87">false</ESCSSIncludeInNewsletter>
    <ESCSSPublishingInstructions xmlns="d4ed92f1-b901-42a9-bcc3-7b24959a6f87">Please publish the clean (Word/PDF) and tracked changes versions of the Guideline</ESCSSPublishingInstructions>
    <ESCSSIncludeInLatestUpdates xmlns="d4ed92f1-b901-42a9-bcc3-7b24959a6f87">false</ESCSSIncludeInLatestUpdates>
    <ESCSSContentAuthorTeam xmlns="d4ed92f1-b901-42a9-bcc3-7b24959a6f87">195</ESCSSContentAuthorTeam>
    <ESCSSContentApprover xmlns="d4ed92f1-b901-42a9-bcc3-7b24959a6f87">3687</ESCSSContentApprover>
    <ESCSSContentAuthor xmlns="d4ed92f1-b901-42a9-bcc3-7b24959a6f87">1376</ESCSSContentAuthor>
    <ESCSSPublishingContentAuthorEmail xmlns="d4ed92f1-b901-42a9-bcc3-7b24959a6f87">DeedsAdvice@dewr.gov.au</ESCSSPublishingContentAuthorEmail>
    <ESCSSPublishingAuthorisingBranchHead xmlns="d4ed92f1-b901-42a9-bcc3-7b24959a6f87">3447</ESCSSPublishingAuthorisingBranchHead>
    <ESCSSDocumentId xmlns="d4ed92f1-b901-42a9-bcc3-7b24959a6f87">D24/491866 (Track) D24/491868 (Clean)</ESCSSDocumentId>
    <ESCSSReviewDate xmlns="d4ed92f1-b901-42a9-bcc3-7b24959a6f87" xsi:nil="true"/>
  </documentManagement>
</p:properties>
</file>

<file path=customXml/itemProps1.xml><?xml version="1.0" encoding="utf-8"?>
<ds:datastoreItem xmlns:ds="http://schemas.openxmlformats.org/officeDocument/2006/customXml" ds:itemID="{B91D75DF-B632-47C6-B8A9-CEAF4C4E6611}">
  <ds:schemaRefs>
    <ds:schemaRef ds:uri="http://schemas.microsoft.com/sharepoint/v3/contenttype/forms"/>
  </ds:schemaRefs>
</ds:datastoreItem>
</file>

<file path=customXml/itemProps2.xml><?xml version="1.0" encoding="utf-8"?>
<ds:datastoreItem xmlns:ds="http://schemas.openxmlformats.org/officeDocument/2006/customXml" ds:itemID="{AC95481A-323E-4636-9C19-77471222D264}">
  <ds:schemaRefs>
    <ds:schemaRef ds:uri="http://schemas.openxmlformats.org/officeDocument/2006/bibliography"/>
  </ds:schemaRefs>
</ds:datastoreItem>
</file>

<file path=customXml/itemProps3.xml><?xml version="1.0" encoding="utf-8"?>
<ds:datastoreItem xmlns:ds="http://schemas.openxmlformats.org/officeDocument/2006/customXml" ds:itemID="{96B4AA03-E004-4CDB-A1ED-82346286C3BC}"/>
</file>

<file path=customXml/itemProps4.xml><?xml version="1.0" encoding="utf-8"?>
<ds:datastoreItem xmlns:ds="http://schemas.openxmlformats.org/officeDocument/2006/customXml" ds:itemID="{877DE48B-E653-4AB3-B712-0B27FD56E6F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17822</Words>
  <Characters>101587</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Records Management, Privacy and External Systems Assurance Framework Guidelines v2.3</dc:title>
  <dc:subject/>
  <dc:creator/>
  <cp:keywords/>
  <dc:description/>
  <cp:lastModifiedBy/>
  <cp:revision>1</cp:revision>
  <dcterms:created xsi:type="dcterms:W3CDTF">2024-03-05T23:39:00Z</dcterms:created>
  <dcterms:modified xsi:type="dcterms:W3CDTF">2024-03-05T23:40:00Z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2024-02-26T02:57:15Z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96273efe-af36-4249-8371-cc3522be2bb1</vt:lpwstr>
  </property>
  <property fmtid="{D5CDD505-2E9C-101B-9397-08002B2CF9AE}" pid="8" name="MSIP_Label_79d889eb-932f-4752-8739-64d25806ef64_ContentBits">
    <vt:lpwstr>0</vt:lpwstr>
  </property>
  <property fmtid="{D5CDD505-2E9C-101B-9397-08002B2CF9AE}" pid="9" name="ContentTypeId">
    <vt:lpwstr>0x0101001FFFC1AF147C4F5C9369E689092D514B00E6B0173F50BBEA4A8A19C66812E2509B</vt:lpwstr>
  </property>
</Properties>
</file>