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3A82" w14:textId="072A3682" w:rsidR="00770C97" w:rsidRPr="00770C97" w:rsidRDefault="00770C97" w:rsidP="00BB7ECF">
      <w:pPr>
        <w:pStyle w:val="Title"/>
      </w:pPr>
      <w:bookmarkStart w:id="0" w:name="_Toc30065222"/>
      <w:r>
        <w:t xml:space="preserve">Data </w:t>
      </w:r>
      <w:r w:rsidR="00DC63A6">
        <w:t>Reporting Requirements for 202</w:t>
      </w:r>
      <w:r w:rsidR="005E5CEC">
        <w:t>4</w:t>
      </w:r>
      <w:r>
        <w:t xml:space="preserve"> </w:t>
      </w:r>
    </w:p>
    <w:p w14:paraId="10CCF256" w14:textId="59A4ED5C" w:rsidR="00DC63A6" w:rsidRPr="00DC63A6" w:rsidRDefault="00DC63A6" w:rsidP="00DC63A6">
      <w:pPr>
        <w:spacing w:after="120" w:line="240" w:lineRule="auto"/>
        <w:rPr>
          <w:rFonts w:ascii="Calibri" w:eastAsia="Times New Roman" w:hAnsi="Calibri" w:cs="Times New Roman"/>
          <w:noProof/>
        </w:rPr>
      </w:pPr>
      <w:bookmarkStart w:id="1" w:name="_Toc30065224"/>
      <w:bookmarkEnd w:id="0"/>
      <w:r w:rsidRPr="00DC63A6">
        <w:rPr>
          <w:rFonts w:ascii="Calibri" w:eastAsia="Times New Roman" w:hAnsi="Calibri" w:cs="Times New Roman"/>
          <w:noProof/>
        </w:rPr>
        <w:t xml:space="preserve">This </w:t>
      </w:r>
      <w:r w:rsidR="00B81DA4">
        <w:rPr>
          <w:rFonts w:ascii="Calibri" w:eastAsia="Times New Roman" w:hAnsi="Calibri" w:cs="Times New Roman"/>
          <w:noProof/>
        </w:rPr>
        <w:t>f</w:t>
      </w:r>
      <w:r w:rsidRPr="00DC63A6">
        <w:rPr>
          <w:rFonts w:ascii="Calibri" w:eastAsia="Times New Roman" w:hAnsi="Calibri" w:cs="Times New Roman"/>
          <w:noProof/>
        </w:rPr>
        <w:t xml:space="preserve">act </w:t>
      </w:r>
      <w:r w:rsidR="00B81DA4">
        <w:rPr>
          <w:rFonts w:ascii="Calibri" w:eastAsia="Times New Roman" w:hAnsi="Calibri" w:cs="Times New Roman"/>
          <w:noProof/>
        </w:rPr>
        <w:t>s</w:t>
      </w:r>
      <w:r w:rsidRPr="00DC63A6">
        <w:rPr>
          <w:rFonts w:ascii="Calibri" w:eastAsia="Times New Roman" w:hAnsi="Calibri" w:cs="Times New Roman"/>
          <w:noProof/>
        </w:rPr>
        <w:t xml:space="preserve">heet assists you in submitting complete, accurate and timely </w:t>
      </w:r>
      <w:r>
        <w:rPr>
          <w:rFonts w:ascii="Calibri" w:eastAsia="Times New Roman" w:hAnsi="Calibri" w:cs="Times New Roman"/>
          <w:noProof/>
        </w:rPr>
        <w:t>‘</w:t>
      </w:r>
      <w:r w:rsidRPr="00DC63A6">
        <w:rPr>
          <w:rFonts w:ascii="Calibri" w:eastAsia="Times New Roman" w:hAnsi="Calibri" w:cs="Times New Roman"/>
          <w:noProof/>
        </w:rPr>
        <w:t>real time</w:t>
      </w:r>
      <w:r>
        <w:rPr>
          <w:rFonts w:ascii="Calibri" w:eastAsia="Times New Roman" w:hAnsi="Calibri" w:cs="Times New Roman"/>
          <w:noProof/>
        </w:rPr>
        <w:t>’</w:t>
      </w:r>
      <w:r w:rsidRPr="00DC63A6">
        <w:rPr>
          <w:rFonts w:ascii="Calibri" w:eastAsia="Times New Roman" w:hAnsi="Calibri" w:cs="Times New Roman"/>
          <w:noProof/>
        </w:rPr>
        <w:t xml:space="preserve"> data under the VET Student Loans program (VSL). Th</w:t>
      </w:r>
      <w:r w:rsidR="00B81DA4">
        <w:rPr>
          <w:rFonts w:ascii="Calibri" w:eastAsia="Times New Roman" w:hAnsi="Calibri" w:cs="Times New Roman"/>
          <w:noProof/>
        </w:rPr>
        <w:t>e</w:t>
      </w:r>
      <w:r w:rsidRPr="00DC63A6">
        <w:rPr>
          <w:rFonts w:ascii="Calibri" w:eastAsia="Times New Roman" w:hAnsi="Calibri" w:cs="Times New Roman"/>
          <w:noProof/>
        </w:rPr>
        <w:t xml:space="preserve"> </w:t>
      </w:r>
      <w:r w:rsidR="00B81DA4">
        <w:rPr>
          <w:rFonts w:ascii="Calibri" w:eastAsia="Times New Roman" w:hAnsi="Calibri" w:cs="Times New Roman"/>
          <w:noProof/>
        </w:rPr>
        <w:t>f</w:t>
      </w:r>
      <w:r w:rsidRPr="00DC63A6">
        <w:rPr>
          <w:rFonts w:ascii="Calibri" w:eastAsia="Times New Roman" w:hAnsi="Calibri" w:cs="Times New Roman"/>
          <w:noProof/>
        </w:rPr>
        <w:t xml:space="preserve">act </w:t>
      </w:r>
      <w:r w:rsidR="00B81DA4">
        <w:rPr>
          <w:rFonts w:ascii="Calibri" w:eastAsia="Times New Roman" w:hAnsi="Calibri" w:cs="Times New Roman"/>
          <w:noProof/>
        </w:rPr>
        <w:t>s</w:t>
      </w:r>
      <w:r w:rsidRPr="00DC63A6">
        <w:rPr>
          <w:rFonts w:ascii="Calibri" w:eastAsia="Times New Roman" w:hAnsi="Calibri" w:cs="Times New Roman"/>
          <w:noProof/>
        </w:rPr>
        <w:t xml:space="preserve">heet should be read in conjunction with the latest Notice issued by the Secretary under subsection 53(1) of the </w:t>
      </w:r>
      <w:r w:rsidRPr="00DC63A6">
        <w:rPr>
          <w:rFonts w:ascii="Calibri" w:eastAsia="Times New Roman" w:hAnsi="Calibri" w:cs="Times New Roman"/>
          <w:i/>
          <w:noProof/>
        </w:rPr>
        <w:t>VET Student Loans Act 2016</w:t>
      </w:r>
      <w:r w:rsidRPr="00DC63A6">
        <w:rPr>
          <w:rFonts w:ascii="Calibri" w:eastAsia="Times New Roman" w:hAnsi="Calibri" w:cs="Times New Roman"/>
          <w:noProof/>
        </w:rPr>
        <w:t xml:space="preserve"> (the Act). The Notice sets out the form and other requirements for the information must you must submit. Further information about your data reporting requirements can be found at</w:t>
      </w:r>
      <w:r w:rsidRPr="00DC63A6">
        <w:rPr>
          <w:rFonts w:ascii="Calibri" w:eastAsia="Times New Roman" w:hAnsi="Calibri" w:cs="Times New Roman"/>
          <w:b/>
          <w:bCs/>
          <w:noProof/>
        </w:rPr>
        <w:t xml:space="preserve"> </w:t>
      </w:r>
      <w:hyperlink r:id="rId8" w:history="1">
        <w:r w:rsidR="00917FC3" w:rsidRPr="008072B0">
          <w:rPr>
            <w:rStyle w:val="Hyperlink"/>
          </w:rPr>
          <w:t>VET Student Loans 202</w:t>
        </w:r>
        <w:r w:rsidR="008072B0" w:rsidRPr="008072B0">
          <w:rPr>
            <w:rStyle w:val="Hyperlink"/>
          </w:rPr>
          <w:t>4</w:t>
        </w:r>
        <w:r w:rsidR="00917FC3" w:rsidRPr="008072B0">
          <w:rPr>
            <w:rStyle w:val="Hyperlink"/>
          </w:rPr>
          <w:t xml:space="preserve"> | TCSI Support</w:t>
        </w:r>
      </w:hyperlink>
      <w:r w:rsidR="00917FC3">
        <w:t>.</w:t>
      </w:r>
    </w:p>
    <w:p w14:paraId="70175660" w14:textId="0CFDA2DC" w:rsidR="00DC63A6" w:rsidRPr="00DC63A6" w:rsidRDefault="00DC63A6" w:rsidP="00DC63A6">
      <w:pPr>
        <w:pStyle w:val="Heading1"/>
      </w:pPr>
      <w:r w:rsidRPr="00DC63A6">
        <w:t>Data quality</w:t>
      </w:r>
    </w:p>
    <w:p w14:paraId="4BFCA14C" w14:textId="76D069FE" w:rsidR="00DC63A6" w:rsidRDefault="00DC63A6" w:rsidP="00DC63A6">
      <w:r>
        <w:t>You must undertake a thorough quality assurance process before submitting your data. Your data must be accurate, complete, timely and submitted in the form prescribed in the Notice</w:t>
      </w:r>
      <w:r w:rsidR="002E3F38">
        <w:t xml:space="preserve">, within 7 or 14 days of an event </w:t>
      </w:r>
      <w:r w:rsidR="00420C97">
        <w:t>occurring</w:t>
      </w:r>
      <w:r>
        <w:t xml:space="preserve">. This minimises the need for intervention and corrective action by either you or the Department of Employment and Workplace Relations (the department). Inaccurate or late data reporting may invalidate your payment from the department. If you submit invalid student enrolment data, we will provide you with a report detailing all unit of study records which have been deemed in error, including the provision of an error code (please download the Provider Payment Report within the HITS system for this information). A table of error codes is at </w:t>
      </w:r>
      <w:r w:rsidRPr="006417AB">
        <w:rPr>
          <w:u w:val="single"/>
        </w:rPr>
        <w:t>Attachment A</w:t>
      </w:r>
      <w:r w:rsidRPr="00DC4FF7">
        <w:rPr>
          <w:b/>
          <w:color w:val="0070C0"/>
        </w:rPr>
        <w:t xml:space="preserve"> </w:t>
      </w:r>
      <w:r>
        <w:t xml:space="preserve">to this </w:t>
      </w:r>
      <w:r w:rsidR="00420C97">
        <w:t>f</w:t>
      </w:r>
      <w:r>
        <w:t xml:space="preserve">act </w:t>
      </w:r>
      <w:r w:rsidR="00420C97">
        <w:t>s</w:t>
      </w:r>
      <w:r>
        <w:t>heet.</w:t>
      </w:r>
    </w:p>
    <w:p w14:paraId="0DE1A0F5" w14:textId="23E8975F" w:rsidR="00DC63A6" w:rsidRDefault="00DC63A6" w:rsidP="00DC63A6">
      <w:pPr>
        <w:pStyle w:val="Heading1"/>
      </w:pPr>
      <w:r>
        <w:t>Common data provision issues</w:t>
      </w:r>
    </w:p>
    <w:p w14:paraId="5DDC16AA" w14:textId="72E31D22" w:rsidR="00523A24" w:rsidRPr="00523A24" w:rsidRDefault="00523A24" w:rsidP="00523A24">
      <w:r w:rsidRPr="00523A24">
        <w:t>Please note the following common issues with data provision:</w:t>
      </w:r>
    </w:p>
    <w:p w14:paraId="52EB8B54" w14:textId="5EE1A556" w:rsidR="00DC63A6" w:rsidRPr="00FE0882" w:rsidRDefault="00DC63A6" w:rsidP="00DC63A6">
      <w:pPr>
        <w:pStyle w:val="Style1"/>
      </w:pPr>
      <w:r>
        <w:t>c</w:t>
      </w:r>
      <w:r w:rsidRPr="00FE0882">
        <w:t xml:space="preserve">ourse codes in </w:t>
      </w:r>
      <w:proofErr w:type="spellStart"/>
      <w:r w:rsidRPr="00FE0882">
        <w:t>eCAFs</w:t>
      </w:r>
      <w:proofErr w:type="spellEnd"/>
      <w:r>
        <w:t xml:space="preserve"> and TCSI systems </w:t>
      </w:r>
      <w:r w:rsidRPr="001E1891">
        <w:rPr>
          <w:b/>
          <w:bCs/>
        </w:rPr>
        <w:t>must match</w:t>
      </w:r>
      <w:r w:rsidRPr="00FE0882">
        <w:t xml:space="preserve"> the course codes as recorded on </w:t>
      </w:r>
      <w:hyperlink r:id="rId9" w:history="1">
        <w:r w:rsidRPr="00FE0882">
          <w:rPr>
            <w:rStyle w:val="Hyperlink"/>
          </w:rPr>
          <w:t>training.gov.au</w:t>
        </w:r>
      </w:hyperlink>
      <w:r w:rsidRPr="00FE0882">
        <w:t xml:space="preserve"> and </w:t>
      </w:r>
      <w:r>
        <w:t>those</w:t>
      </w:r>
      <w:r w:rsidRPr="00FE0882">
        <w:t xml:space="preserve"> in the </w:t>
      </w:r>
      <w:hyperlink r:id="rId10" w:history="1">
        <w:r w:rsidRPr="00DC63A6">
          <w:rPr>
            <w:rStyle w:val="Hyperlink"/>
            <w:bCs/>
          </w:rPr>
          <w:t>VET Student Loans (Courses and Loan Caps) Determination 2016</w:t>
        </w:r>
      </w:hyperlink>
    </w:p>
    <w:p w14:paraId="314CEAA3" w14:textId="1190B5CD" w:rsidR="00DC63A6" w:rsidRPr="00FE0882" w:rsidRDefault="00DC63A6" w:rsidP="00DC63A6">
      <w:pPr>
        <w:pStyle w:val="Style1"/>
      </w:pPr>
      <w:r>
        <w:t>c</w:t>
      </w:r>
      <w:r w:rsidRPr="00FE0882">
        <w:t>ourse codes in T</w:t>
      </w:r>
      <w:r>
        <w:t>CS</w:t>
      </w:r>
      <w:r w:rsidRPr="00FE0882">
        <w:t xml:space="preserve">I must match the student’s VSL </w:t>
      </w:r>
      <w:proofErr w:type="gramStart"/>
      <w:r w:rsidRPr="00FE0882">
        <w:t>eCAF</w:t>
      </w:r>
      <w:proofErr w:type="gramEnd"/>
    </w:p>
    <w:p w14:paraId="6ED22FE0" w14:textId="779B3FFA" w:rsidR="00DC63A6" w:rsidRPr="00FE0882" w:rsidRDefault="00DC63A6" w:rsidP="00DC63A6">
      <w:pPr>
        <w:pStyle w:val="Style1"/>
      </w:pPr>
      <w:r>
        <w:t>c</w:t>
      </w:r>
      <w:r w:rsidRPr="00FE0882">
        <w:t xml:space="preserve">ourse codes must match those listed in </w:t>
      </w:r>
      <w:r>
        <w:t>your</w:t>
      </w:r>
      <w:r w:rsidRPr="00FE0882">
        <w:t xml:space="preserve"> Conditions of Approval</w:t>
      </w:r>
    </w:p>
    <w:p w14:paraId="10839B37" w14:textId="0F8A9580" w:rsidR="00DC63A6" w:rsidRPr="00FE0882" w:rsidRDefault="00DC63A6" w:rsidP="00DC63A6">
      <w:pPr>
        <w:pStyle w:val="Style1"/>
      </w:pPr>
      <w:r>
        <w:t>l</w:t>
      </w:r>
      <w:r w:rsidRPr="00FE0882">
        <w:t>oan amounts (and gap fees) must be spread</w:t>
      </w:r>
      <w:r>
        <w:t xml:space="preserve"> proportionately</w:t>
      </w:r>
      <w:r w:rsidRPr="00FE0882">
        <w:t xml:space="preserve"> across the course – payment will be rejected if the debt amount reported in a month does not reflect a reasonably proportionate spread of fees across the course</w:t>
      </w:r>
      <w:r>
        <w:t xml:space="preserve"> duration</w:t>
      </w:r>
      <w:r w:rsidR="00DB047E">
        <w:t>,</w:t>
      </w:r>
      <w:r w:rsidRPr="00FE0882">
        <w:t xml:space="preserve"> and</w:t>
      </w:r>
    </w:p>
    <w:p w14:paraId="23E643C1" w14:textId="30A0E8E5" w:rsidR="00DC63A6" w:rsidRPr="00E17275" w:rsidRDefault="00DC63A6" w:rsidP="00DC63A6">
      <w:pPr>
        <w:pStyle w:val="Style1"/>
      </w:pPr>
      <w:r w:rsidRPr="00FE0882">
        <w:t>eCAF entries must match TCSI entries</w:t>
      </w:r>
      <w:r>
        <w:t xml:space="preserve"> – for example, the student USI, CHESSN and ID, and course codes entered must match in both the </w:t>
      </w:r>
      <w:r w:rsidRPr="00FE0882">
        <w:t>eCAF</w:t>
      </w:r>
      <w:r>
        <w:t xml:space="preserve"> system and the TCSI data submissions.</w:t>
      </w:r>
    </w:p>
    <w:p w14:paraId="7DC474AA" w14:textId="77777777" w:rsidR="00523A24" w:rsidRPr="005A03AC" w:rsidRDefault="00523A24" w:rsidP="005A03AC">
      <w:pPr>
        <w:pStyle w:val="Heading1"/>
      </w:pPr>
      <w:r w:rsidRPr="005A03AC">
        <w:t>Reporting for students without a Tax File Number</w:t>
      </w:r>
    </w:p>
    <w:p w14:paraId="00F357CE" w14:textId="77777777" w:rsidR="00DC63A6" w:rsidRDefault="00DC63A6" w:rsidP="00DC63A6">
      <w:bookmarkStart w:id="2" w:name="_Key_issues_with"/>
      <w:bookmarkEnd w:id="2"/>
      <w:r>
        <w:t xml:space="preserve">While students may be enrolled in a course of study pending the receipt of a Tax File Number (TFN) from the Commissioner of Taxation, payments under VSL cannot be made until a valid TFN has been notified to </w:t>
      </w:r>
      <w:r w:rsidRPr="0030656A">
        <w:t xml:space="preserve">the </w:t>
      </w:r>
      <w:r>
        <w:t xml:space="preserve">department. You cannot report a VSL student’s enrolment data without a valid TFN. </w:t>
      </w:r>
    </w:p>
    <w:p w14:paraId="127C3089" w14:textId="166B4D4E" w:rsidR="00DC63A6" w:rsidRDefault="00DC63A6" w:rsidP="00DC63A6">
      <w:r>
        <w:t xml:space="preserve">For </w:t>
      </w:r>
      <w:proofErr w:type="gramStart"/>
      <w:r>
        <w:t>full</w:t>
      </w:r>
      <w:r w:rsidR="0C0064D5">
        <w:t>-</w:t>
      </w:r>
      <w:r>
        <w:t>fee</w:t>
      </w:r>
      <w:proofErr w:type="gramEnd"/>
      <w:r>
        <w:t xml:space="preserve"> paying students without a VSL debt, student information should be reported even where a TFN has not been notified by a student. This is part of broader departmental information requirements for reporting of students in VET.</w:t>
      </w:r>
    </w:p>
    <w:p w14:paraId="72C6718F" w14:textId="7E491D45" w:rsidR="00523A24" w:rsidRPr="00523A24" w:rsidRDefault="00523A24" w:rsidP="00D510D1">
      <w:pPr>
        <w:pStyle w:val="Heading1"/>
      </w:pPr>
      <w:r w:rsidRPr="00523A24">
        <w:lastRenderedPageBreak/>
        <w:t>Contact officer information in HITS for CEO/CFO</w:t>
      </w:r>
    </w:p>
    <w:p w14:paraId="58E1E323" w14:textId="77777777" w:rsidR="00DC63A6" w:rsidRDefault="00DC63A6" w:rsidP="00DC63A6">
      <w:pPr>
        <w:autoSpaceDE w:val="0"/>
        <w:autoSpaceDN w:val="0"/>
        <w:adjustRightInd w:val="0"/>
        <w:rPr>
          <w:b/>
          <w:bCs/>
        </w:rPr>
      </w:pPr>
      <w:bookmarkStart w:id="3" w:name="_Hlk98860962"/>
      <w:r>
        <w:rPr>
          <w:rFonts w:cstheme="minorHAnsi"/>
        </w:rPr>
        <w:t xml:space="preserve">You </w:t>
      </w:r>
      <w:r w:rsidRPr="00A011AD">
        <w:rPr>
          <w:rFonts w:cstheme="minorHAnsi"/>
          <w:b/>
          <w:bCs/>
        </w:rPr>
        <w:t>must</w:t>
      </w:r>
      <w:r>
        <w:rPr>
          <w:rFonts w:cstheme="minorHAnsi"/>
        </w:rPr>
        <w:t xml:space="preserve"> keep your CEO/CFO contact officer information in HITS up to date. If you need instructions on how to update this information, please email at </w:t>
      </w:r>
      <w:hyperlink r:id="rId11" w:history="1">
        <w:r w:rsidRPr="006F2616">
          <w:rPr>
            <w:rStyle w:val="Hyperlink"/>
            <w:bCs/>
          </w:rPr>
          <w:t>VETStudentLoans@dewr.gov.au</w:t>
        </w:r>
      </w:hyperlink>
      <w:r>
        <w:rPr>
          <w:b/>
          <w:bCs/>
        </w:rPr>
        <w:t>.</w:t>
      </w:r>
    </w:p>
    <w:p w14:paraId="24804897" w14:textId="77777777" w:rsidR="00DC63A6" w:rsidRDefault="00DC63A6" w:rsidP="00DC63A6">
      <w:pPr>
        <w:pStyle w:val="Heading1"/>
      </w:pPr>
      <w:bookmarkStart w:id="4" w:name="_Attachment_A"/>
      <w:bookmarkEnd w:id="3"/>
      <w:bookmarkEnd w:id="4"/>
      <w:r>
        <w:t>Uploading documents</w:t>
      </w:r>
    </w:p>
    <w:p w14:paraId="686D93A2" w14:textId="27F6D373" w:rsidR="00DC63A6" w:rsidRDefault="00DC63A6" w:rsidP="00DC63A6">
      <w:r>
        <w:t>You must upload any sensitive documents</w:t>
      </w:r>
      <w:r w:rsidRPr="00A0614E">
        <w:t xml:space="preserve"> </w:t>
      </w:r>
      <w:r>
        <w:t xml:space="preserve">to HITS under </w:t>
      </w:r>
      <w:r w:rsidRPr="00A0614E">
        <w:rPr>
          <w:i/>
        </w:rPr>
        <w:t>Ad-Hoc documents</w:t>
      </w:r>
      <w:r w:rsidRPr="00A0614E">
        <w:t xml:space="preserve">, using the category </w:t>
      </w:r>
      <w:proofErr w:type="gramStart"/>
      <w:r w:rsidR="00767740">
        <w:rPr>
          <w:i/>
        </w:rPr>
        <w:t>Financial</w:t>
      </w:r>
      <w:proofErr w:type="gramEnd"/>
      <w:r w:rsidR="00767740">
        <w:rPr>
          <w:i/>
        </w:rPr>
        <w:t xml:space="preserve"> </w:t>
      </w:r>
      <w:r w:rsidR="005A04D7">
        <w:rPr>
          <w:i/>
        </w:rPr>
        <w:t>requirements.</w:t>
      </w:r>
      <w:r>
        <w:t xml:space="preserve"> This includes variation requests, audited financial statements and any documents containing private student information. Please ensure that student TFNs are not included in any documents uploaded to HITS. </w:t>
      </w:r>
    </w:p>
    <w:p w14:paraId="4EC59254" w14:textId="77777777" w:rsidR="00DC63A6" w:rsidRPr="006F2616" w:rsidRDefault="00DC63A6" w:rsidP="00DC63A6">
      <w:pPr>
        <w:pStyle w:val="Heading1"/>
      </w:pPr>
      <w:r w:rsidRPr="006F2616">
        <w:t>Civil penalties and regulatory matters</w:t>
      </w:r>
    </w:p>
    <w:p w14:paraId="0C8B909D" w14:textId="77777777" w:rsidR="00DC63A6" w:rsidRDefault="00DC63A6" w:rsidP="00DC63A6">
      <w:pPr>
        <w:keepNext/>
      </w:pPr>
      <w:r>
        <w:t xml:space="preserve">You are required to provide real-time event-based data because a delegate of the Secretary of the department has exercised powers under subsection 53(1) of the </w:t>
      </w:r>
      <w:r w:rsidRPr="00C45753">
        <w:rPr>
          <w:iCs/>
        </w:rPr>
        <w:t>Act</w:t>
      </w:r>
      <w:r>
        <w:rPr>
          <w:i/>
        </w:rPr>
        <w:t xml:space="preserve"> </w:t>
      </w:r>
      <w:r>
        <w:t xml:space="preserve">to request this information. </w:t>
      </w:r>
    </w:p>
    <w:p w14:paraId="2942A6DA" w14:textId="2C91DF4C" w:rsidR="00DC63A6" w:rsidRPr="00DB047E" w:rsidRDefault="00DC63A6" w:rsidP="00DC63A6">
      <w:pPr>
        <w:rPr>
          <w:sz w:val="24"/>
        </w:rPr>
      </w:pPr>
      <w:r w:rsidRPr="008B4307">
        <w:t xml:space="preserve">A civil penalty of 60 penalty units may apply where a provider fails to comply with a request for information from the Secretary of the </w:t>
      </w:r>
      <w:r>
        <w:t>d</w:t>
      </w:r>
      <w:r w:rsidRPr="008B4307">
        <w:t>epartment</w:t>
      </w:r>
      <w:r>
        <w:t xml:space="preserve"> made under this subsection</w:t>
      </w:r>
      <w:r w:rsidRPr="008B4307">
        <w:t xml:space="preserve"> </w:t>
      </w:r>
      <w:r w:rsidRPr="00C45753">
        <w:t xml:space="preserve">[see subsection 53(4) of </w:t>
      </w:r>
      <w:r>
        <w:t>Act</w:t>
      </w:r>
      <w:r w:rsidRPr="00C45753">
        <w:t>].</w:t>
      </w:r>
      <w:r w:rsidRPr="008B4307">
        <w:rPr>
          <w:sz w:val="24"/>
        </w:rPr>
        <w:t xml:space="preserve">  </w:t>
      </w:r>
      <w:r>
        <w:t xml:space="preserve">You are also reminded that the giving of false or misleading information is a serious offence: see section 137.1 </w:t>
      </w:r>
      <w:r>
        <w:rPr>
          <w:i/>
        </w:rPr>
        <w:t xml:space="preserve">Criminal Code Act 1995 </w:t>
      </w:r>
      <w:r>
        <w:t>and section 106 of the Act.</w:t>
      </w:r>
    </w:p>
    <w:p w14:paraId="7D07C399" w14:textId="77777777" w:rsidR="00DC63A6" w:rsidRPr="006F2616" w:rsidRDefault="00DC63A6" w:rsidP="00DC63A6">
      <w:pPr>
        <w:pStyle w:val="Heading1"/>
      </w:pPr>
      <w:r w:rsidRPr="006F2616">
        <w:t>Enquiries</w:t>
      </w:r>
    </w:p>
    <w:p w14:paraId="2BD4AE77" w14:textId="4B4EF553" w:rsidR="00DC63A6" w:rsidRPr="00EC6A1C" w:rsidRDefault="00DC63A6" w:rsidP="00DC63A6">
      <w:pPr>
        <w:rPr>
          <w:rFonts w:cs="Calibri"/>
        </w:rPr>
      </w:pPr>
      <w:r>
        <w:rPr>
          <w:rFonts w:cs="Calibri"/>
        </w:rPr>
        <w:t>Q</w:t>
      </w:r>
      <w:r w:rsidRPr="008831EC">
        <w:rPr>
          <w:rFonts w:cs="Calibri"/>
        </w:rPr>
        <w:t>uestions</w:t>
      </w:r>
      <w:r w:rsidRPr="00EC6A1C">
        <w:rPr>
          <w:rFonts w:cs="Calibri"/>
        </w:rPr>
        <w:t xml:space="preserve"> </w:t>
      </w:r>
      <w:r w:rsidR="00420C97">
        <w:rPr>
          <w:rFonts w:cs="Calibri"/>
        </w:rPr>
        <w:t xml:space="preserve">about your requirements as a VSL approved provider </w:t>
      </w:r>
      <w:r w:rsidRPr="00EC6A1C">
        <w:rPr>
          <w:rFonts w:cs="Calibri"/>
        </w:rPr>
        <w:t xml:space="preserve">should be submitted </w:t>
      </w:r>
      <w:r>
        <w:rPr>
          <w:rFonts w:cs="Calibri"/>
        </w:rPr>
        <w:t xml:space="preserve">to the department </w:t>
      </w:r>
      <w:r w:rsidRPr="00EC6A1C">
        <w:rPr>
          <w:rFonts w:cs="Calibri"/>
        </w:rPr>
        <w:t xml:space="preserve">using the </w:t>
      </w:r>
      <w:r>
        <w:rPr>
          <w:rFonts w:cs="Calibri"/>
        </w:rPr>
        <w:t xml:space="preserve">online </w:t>
      </w:r>
      <w:r w:rsidR="00B646FA">
        <w:rPr>
          <w:rFonts w:cs="Calibri"/>
        </w:rPr>
        <w:t xml:space="preserve">enquiry form on </w:t>
      </w:r>
      <w:hyperlink r:id="rId12" w:history="1">
        <w:r w:rsidR="00B646FA" w:rsidRPr="00196255">
          <w:rPr>
            <w:rStyle w:val="Hyperlink"/>
            <w:rFonts w:cs="Calibri"/>
          </w:rPr>
          <w:t>Provider Enquiries</w:t>
        </w:r>
      </w:hyperlink>
      <w:r w:rsidR="00B646FA">
        <w:rPr>
          <w:rFonts w:cs="Calibri"/>
        </w:rPr>
        <w:t>.</w:t>
      </w:r>
    </w:p>
    <w:p w14:paraId="41D2EA08" w14:textId="04C575DC" w:rsidR="00DC63A6" w:rsidRPr="00DC63A6" w:rsidRDefault="00DC63A6" w:rsidP="00DC63A6">
      <w:pPr>
        <w:rPr>
          <w:iCs/>
        </w:rPr>
      </w:pPr>
      <w:r w:rsidRPr="00DC63A6">
        <w:rPr>
          <w:b/>
          <w:iCs/>
        </w:rPr>
        <w:t>Please note:</w:t>
      </w:r>
      <w:r w:rsidRPr="00DC63A6">
        <w:rPr>
          <w:iCs/>
        </w:rPr>
        <w:t xml:space="preserve"> The purpose of this </w:t>
      </w:r>
      <w:r w:rsidR="00196255">
        <w:rPr>
          <w:iCs/>
        </w:rPr>
        <w:t>f</w:t>
      </w:r>
      <w:r w:rsidRPr="00DC63A6">
        <w:rPr>
          <w:iCs/>
        </w:rPr>
        <w:t xml:space="preserve">act </w:t>
      </w:r>
      <w:r w:rsidR="00196255">
        <w:rPr>
          <w:iCs/>
        </w:rPr>
        <w:t>s</w:t>
      </w:r>
      <w:r w:rsidRPr="00DC63A6">
        <w:rPr>
          <w:iCs/>
        </w:rPr>
        <w:t xml:space="preserve">heet is to provide an overview of some known data collection issues. It is not an exhaustive summary of all data submissions requirements. You should also </w:t>
      </w:r>
      <w:r w:rsidRPr="00503ACC">
        <w:rPr>
          <w:iCs/>
        </w:rPr>
        <w:t xml:space="preserve">access </w:t>
      </w:r>
      <w:hyperlink r:id="rId13" w:history="1">
        <w:r w:rsidR="005501D9" w:rsidRPr="005501D9">
          <w:rPr>
            <w:rStyle w:val="Hyperlink"/>
          </w:rPr>
          <w:t>User guides &amp; fact sheets | TCSI Support</w:t>
        </w:r>
      </w:hyperlink>
      <w:r w:rsidR="005501D9">
        <w:t xml:space="preserve"> </w:t>
      </w:r>
      <w:r w:rsidRPr="00503ACC">
        <w:rPr>
          <w:rStyle w:val="Hyperlink"/>
          <w:iCs/>
          <w:color w:val="000000" w:themeColor="text1"/>
          <w:u w:val="none"/>
        </w:rPr>
        <w:t>to</w:t>
      </w:r>
      <w:r w:rsidRPr="00503ACC">
        <w:rPr>
          <w:rStyle w:val="Hyperlink"/>
          <w:iCs/>
          <w:u w:val="none"/>
        </w:rPr>
        <w:t xml:space="preserve"> </w:t>
      </w:r>
      <w:r w:rsidRPr="00503ACC">
        <w:rPr>
          <w:iCs/>
        </w:rPr>
        <w:t>support your compliant reporting.</w:t>
      </w:r>
      <w:r w:rsidRPr="00DC63A6">
        <w:rPr>
          <w:iCs/>
        </w:rPr>
        <w:t xml:space="preserve"> </w:t>
      </w:r>
    </w:p>
    <w:p w14:paraId="4415296A" w14:textId="26473025" w:rsidR="00DC63A6" w:rsidRDefault="00A81718" w:rsidP="00DC63A6">
      <w:pPr>
        <w:sectPr w:rsidR="00DC63A6" w:rsidSect="009E6270">
          <w:headerReference w:type="default" r:id="rId14"/>
          <w:footerReference w:type="even" r:id="rId15"/>
          <w:footerReference w:type="default" r:id="rId16"/>
          <w:headerReference w:type="first" r:id="rId17"/>
          <w:footerReference w:type="first" r:id="rId18"/>
          <w:pgSz w:w="11906" w:h="16838"/>
          <w:pgMar w:top="1440" w:right="991" w:bottom="709" w:left="1440" w:header="142" w:footer="708" w:gutter="0"/>
          <w:cols w:space="708"/>
          <w:titlePg/>
          <w:docGrid w:linePitch="360"/>
        </w:sectPr>
      </w:pPr>
      <w:r>
        <w:t>December 2023</w:t>
      </w:r>
    </w:p>
    <w:p w14:paraId="40F75CE9" w14:textId="4CC8661E" w:rsidR="0037716C" w:rsidRDefault="0037716C" w:rsidP="00DC63A6">
      <w:pPr>
        <w:pStyle w:val="Heading1"/>
        <w:jc w:val="right"/>
      </w:pPr>
      <w:r>
        <w:lastRenderedPageBreak/>
        <w:t>Attachment A</w:t>
      </w:r>
    </w:p>
    <w:p w14:paraId="011F11E1" w14:textId="25FA2B66" w:rsidR="00DC63A6" w:rsidRPr="00DC63A6" w:rsidRDefault="0037716C" w:rsidP="00DC63A6">
      <w:r>
        <w:t xml:space="preserve">Error Codes applying with respect to the </w:t>
      </w:r>
      <w:r>
        <w:rPr>
          <w:i/>
        </w:rPr>
        <w:t>VET Student Loans Act 2016</w:t>
      </w:r>
      <w:r>
        <w:t xml:space="preserve"> (the Act) and the </w:t>
      </w:r>
      <w:r w:rsidRPr="0037716C">
        <w:rPr>
          <w:iCs/>
        </w:rPr>
        <w:t xml:space="preserve">VET Student Loans Rules 2017 </w:t>
      </w:r>
      <w:r>
        <w:t>(the Rules)</w:t>
      </w:r>
      <w:bookmarkEnd w:id="1"/>
    </w:p>
    <w:tbl>
      <w:tblPr>
        <w:tblStyle w:val="TableGrid"/>
        <w:tblW w:w="0" w:type="auto"/>
        <w:tblInd w:w="0" w:type="dxa"/>
        <w:tblLook w:val="04A0" w:firstRow="1" w:lastRow="0" w:firstColumn="1" w:lastColumn="0" w:noHBand="0" w:noVBand="1"/>
        <w:tblCaption w:val="Error Codes applying to the VET Student Loans Act and VET Student Loans Rules"/>
        <w:tblDescription w:val="The table lists the error codes, an explanation of each error code and the actions providers can take to remedy the error."/>
      </w:tblPr>
      <w:tblGrid>
        <w:gridCol w:w="2355"/>
        <w:gridCol w:w="3107"/>
        <w:gridCol w:w="3993"/>
      </w:tblGrid>
      <w:tr w:rsidR="00DC63A6" w:rsidRPr="00E26B54" w14:paraId="17A120A9" w14:textId="77777777" w:rsidTr="00981FA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49" w:type="dxa"/>
          </w:tcPr>
          <w:p w14:paraId="1FFD8F4D" w14:textId="77777777" w:rsidR="00DC63A6" w:rsidRPr="00E20EC4" w:rsidRDefault="00DC63A6" w:rsidP="00981FA7">
            <w:pPr>
              <w:rPr>
                <w:rFonts w:cstheme="minorHAnsi"/>
                <w:sz w:val="20"/>
                <w:szCs w:val="20"/>
              </w:rPr>
            </w:pPr>
            <w:r w:rsidRPr="00E20EC4">
              <w:rPr>
                <w:rFonts w:cstheme="minorHAnsi"/>
                <w:sz w:val="20"/>
                <w:szCs w:val="20"/>
              </w:rPr>
              <w:t>Error Code</w:t>
            </w:r>
          </w:p>
        </w:tc>
        <w:tc>
          <w:tcPr>
            <w:tcW w:w="3528" w:type="dxa"/>
            <w:vAlign w:val="center"/>
          </w:tcPr>
          <w:p w14:paraId="5D6F370B" w14:textId="77777777" w:rsidR="00DC63A6" w:rsidRPr="00E20EC4" w:rsidRDefault="00DC63A6" w:rsidP="00981FA7">
            <w:pPr>
              <w:cnfStyle w:val="100000000000" w:firstRow="1" w:lastRow="0" w:firstColumn="0" w:lastColumn="0" w:oddVBand="0" w:evenVBand="0" w:oddHBand="0" w:evenHBand="0" w:firstRowFirstColumn="0" w:firstRowLastColumn="0" w:lastRowFirstColumn="0" w:lastRowLastColumn="0"/>
              <w:rPr>
                <w:sz w:val="20"/>
                <w:szCs w:val="20"/>
              </w:rPr>
            </w:pPr>
            <w:r w:rsidRPr="00E20EC4">
              <w:rPr>
                <w:sz w:val="20"/>
                <w:szCs w:val="20"/>
              </w:rPr>
              <w:t>Explanation</w:t>
            </w:r>
          </w:p>
        </w:tc>
        <w:tc>
          <w:tcPr>
            <w:tcW w:w="4270" w:type="dxa"/>
            <w:vAlign w:val="center"/>
          </w:tcPr>
          <w:p w14:paraId="0E9F7D93" w14:textId="77777777" w:rsidR="00DC63A6" w:rsidRPr="00E20EC4" w:rsidRDefault="00DC63A6" w:rsidP="00981FA7">
            <w:pPr>
              <w:cnfStyle w:val="100000000000" w:firstRow="1" w:lastRow="0" w:firstColumn="0" w:lastColumn="0" w:oddVBand="0" w:evenVBand="0" w:oddHBand="0" w:evenHBand="0" w:firstRowFirstColumn="0" w:firstRowLastColumn="0" w:lastRowFirstColumn="0" w:lastRowLastColumn="0"/>
              <w:rPr>
                <w:sz w:val="20"/>
                <w:szCs w:val="20"/>
              </w:rPr>
            </w:pPr>
            <w:r w:rsidRPr="00E20EC4">
              <w:rPr>
                <w:sz w:val="20"/>
                <w:szCs w:val="20"/>
              </w:rPr>
              <w:t>Provider Remediation</w:t>
            </w:r>
          </w:p>
        </w:tc>
      </w:tr>
      <w:tr w:rsidR="00DC63A6" w:rsidRPr="00E26B54" w14:paraId="27EDF399"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1B6EA5F9" w14:textId="77777777" w:rsidR="00DC63A6" w:rsidRPr="00DC63A6" w:rsidRDefault="00DC63A6" w:rsidP="00981FA7">
            <w:pPr>
              <w:autoSpaceDE w:val="0"/>
              <w:autoSpaceDN w:val="0"/>
              <w:adjustRightInd w:val="0"/>
              <w:spacing w:after="0"/>
              <w:rPr>
                <w:rFonts w:cstheme="minorHAnsi"/>
                <w:bCs/>
                <w:color w:val="C00000"/>
                <w:sz w:val="20"/>
                <w:szCs w:val="20"/>
              </w:rPr>
            </w:pPr>
            <w:r w:rsidRPr="00DC63A6">
              <w:rPr>
                <w:rFonts w:cstheme="minorHAnsi"/>
                <w:bCs/>
                <w:color w:val="C00000"/>
                <w:sz w:val="20"/>
                <w:szCs w:val="20"/>
              </w:rPr>
              <w:t>Census Date after VSL Provider Approval expired</w:t>
            </w:r>
          </w:p>
        </w:tc>
        <w:tc>
          <w:tcPr>
            <w:tcW w:w="3528" w:type="dxa"/>
            <w:vAlign w:val="center"/>
          </w:tcPr>
          <w:p w14:paraId="7EE20C3B"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The provider has been approved for VSL, but the approval expired before the census date for this unit of study. </w:t>
            </w:r>
          </w:p>
        </w:tc>
        <w:tc>
          <w:tcPr>
            <w:tcW w:w="4270" w:type="dxa"/>
            <w:vAlign w:val="center"/>
          </w:tcPr>
          <w:p w14:paraId="40FC3E47"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This unit of study may not be paid </w:t>
            </w:r>
            <w:r w:rsidRPr="00E20EC4">
              <w:rPr>
                <w:color w:val="0070C0"/>
                <w:sz w:val="20"/>
                <w:szCs w:val="20"/>
              </w:rPr>
              <w:t>[Act s20(g)]</w:t>
            </w:r>
            <w:r w:rsidRPr="00E20EC4">
              <w:rPr>
                <w:sz w:val="20"/>
                <w:szCs w:val="20"/>
              </w:rPr>
              <w:t>.</w:t>
            </w:r>
          </w:p>
        </w:tc>
      </w:tr>
      <w:tr w:rsidR="00DC63A6" w:rsidRPr="00E26B54" w14:paraId="67EA4ADC"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6EA70B32" w14:textId="77777777" w:rsidR="00DC63A6" w:rsidRPr="00DC63A6" w:rsidRDefault="00DC63A6" w:rsidP="00981FA7">
            <w:pPr>
              <w:autoSpaceDE w:val="0"/>
              <w:autoSpaceDN w:val="0"/>
              <w:adjustRightInd w:val="0"/>
              <w:spacing w:after="0"/>
              <w:rPr>
                <w:rFonts w:cstheme="minorHAnsi"/>
                <w:bCs/>
                <w:color w:val="C00000"/>
                <w:sz w:val="20"/>
                <w:szCs w:val="20"/>
              </w:rPr>
            </w:pPr>
            <w:r w:rsidRPr="00DC63A6">
              <w:rPr>
                <w:rFonts w:cstheme="minorHAnsi"/>
                <w:bCs/>
                <w:color w:val="C00000"/>
                <w:sz w:val="20"/>
                <w:szCs w:val="20"/>
              </w:rPr>
              <w:t>Census Date after VSL Provider Teach Out expired</w:t>
            </w:r>
          </w:p>
        </w:tc>
        <w:tc>
          <w:tcPr>
            <w:tcW w:w="3528" w:type="dxa"/>
            <w:vAlign w:val="center"/>
          </w:tcPr>
          <w:p w14:paraId="19657C78"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provider has been approved for VSL, but the approval expired before the census date.</w:t>
            </w:r>
          </w:p>
        </w:tc>
        <w:tc>
          <w:tcPr>
            <w:tcW w:w="4270" w:type="dxa"/>
            <w:vAlign w:val="center"/>
          </w:tcPr>
          <w:p w14:paraId="6564D272"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This unit of study may not be paid </w:t>
            </w:r>
            <w:r w:rsidRPr="00E20EC4">
              <w:rPr>
                <w:color w:val="0070C0"/>
                <w:sz w:val="20"/>
                <w:szCs w:val="20"/>
              </w:rPr>
              <w:t>[Act s20(g)]</w:t>
            </w:r>
            <w:r w:rsidRPr="00E20EC4">
              <w:rPr>
                <w:sz w:val="20"/>
                <w:szCs w:val="20"/>
              </w:rPr>
              <w:t>.</w:t>
            </w:r>
          </w:p>
        </w:tc>
      </w:tr>
      <w:tr w:rsidR="00DC63A6" w:rsidRPr="00E26B54" w14:paraId="744C1D31"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2246C5E5" w14:textId="77777777" w:rsidR="00DC63A6" w:rsidRPr="00DC63A6" w:rsidRDefault="00DC63A6" w:rsidP="00981FA7">
            <w:pPr>
              <w:autoSpaceDE w:val="0"/>
              <w:autoSpaceDN w:val="0"/>
              <w:adjustRightInd w:val="0"/>
              <w:spacing w:after="0"/>
              <w:rPr>
                <w:rFonts w:cstheme="minorHAnsi"/>
                <w:bCs/>
                <w:color w:val="C00000"/>
                <w:sz w:val="20"/>
                <w:szCs w:val="20"/>
              </w:rPr>
            </w:pPr>
            <w:r w:rsidRPr="00DC63A6">
              <w:rPr>
                <w:rFonts w:cstheme="minorHAnsi"/>
                <w:bCs/>
                <w:color w:val="C00000"/>
                <w:sz w:val="20"/>
                <w:szCs w:val="20"/>
              </w:rPr>
              <w:t>eCAF submitted after Census Date</w:t>
            </w:r>
          </w:p>
        </w:tc>
        <w:tc>
          <w:tcPr>
            <w:tcW w:w="3528" w:type="dxa"/>
            <w:vAlign w:val="center"/>
          </w:tcPr>
          <w:p w14:paraId="1022B238"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student did not submit their VSL application until after the census date for the unit for which the provider is requesting payment.</w:t>
            </w:r>
          </w:p>
        </w:tc>
        <w:tc>
          <w:tcPr>
            <w:tcW w:w="4270" w:type="dxa"/>
            <w:vAlign w:val="center"/>
          </w:tcPr>
          <w:p w14:paraId="1E1BC186"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VSL </w:t>
            </w:r>
            <w:proofErr w:type="spellStart"/>
            <w:r w:rsidRPr="00E20EC4">
              <w:rPr>
                <w:sz w:val="20"/>
                <w:szCs w:val="20"/>
              </w:rPr>
              <w:t>eCAFs</w:t>
            </w:r>
            <w:proofErr w:type="spellEnd"/>
            <w:r w:rsidRPr="00E20EC4">
              <w:rPr>
                <w:sz w:val="20"/>
                <w:szCs w:val="20"/>
              </w:rPr>
              <w:t xml:space="preserve"> must be submitted on or before the census date for a unit of study </w:t>
            </w:r>
            <w:r w:rsidRPr="00E20EC4">
              <w:rPr>
                <w:color w:val="0070C0"/>
                <w:sz w:val="20"/>
                <w:szCs w:val="20"/>
              </w:rPr>
              <w:t>[Rules paragraph 10(2)]</w:t>
            </w:r>
            <w:r w:rsidRPr="00E20EC4">
              <w:rPr>
                <w:sz w:val="20"/>
                <w:szCs w:val="20"/>
              </w:rPr>
              <w:t>. Data for subsequent census days may be paid, but not census days prior to submission.</w:t>
            </w:r>
          </w:p>
          <w:p w14:paraId="29DBE77B"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rFonts w:cstheme="minorHAnsi"/>
                <w:sz w:val="20"/>
                <w:szCs w:val="20"/>
              </w:rPr>
              <w:t xml:space="preserve">In certain circumstances, the published census day may be varied. Refer to Chapter 4.9 of the </w:t>
            </w:r>
            <w:hyperlink r:id="rId19" w:history="1">
              <w:r w:rsidRPr="008072B0">
                <w:rPr>
                  <w:rStyle w:val="Hyperlink"/>
                  <w:bCs/>
                  <w:sz w:val="20"/>
                  <w:szCs w:val="20"/>
                </w:rPr>
                <w:t>VET Student Loans Manual for Providers.</w:t>
              </w:r>
            </w:hyperlink>
          </w:p>
        </w:tc>
      </w:tr>
      <w:tr w:rsidR="00DC63A6" w:rsidRPr="00E26B54" w14:paraId="47CA9523"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2708D3E4" w14:textId="77777777" w:rsidR="00DC63A6" w:rsidRPr="00DC63A6" w:rsidRDefault="00DC63A6" w:rsidP="00981FA7">
            <w:pPr>
              <w:autoSpaceDE w:val="0"/>
              <w:autoSpaceDN w:val="0"/>
              <w:adjustRightInd w:val="0"/>
              <w:spacing w:after="0"/>
              <w:rPr>
                <w:rFonts w:cstheme="minorHAnsi"/>
                <w:bCs/>
                <w:color w:val="C00000"/>
                <w:sz w:val="20"/>
                <w:szCs w:val="20"/>
              </w:rPr>
            </w:pPr>
            <w:r w:rsidRPr="00DC63A6">
              <w:rPr>
                <w:rFonts w:cstheme="minorHAnsi"/>
                <w:bCs/>
                <w:color w:val="C00000"/>
                <w:sz w:val="20"/>
                <w:szCs w:val="20"/>
              </w:rPr>
              <w:t>eCAF submitted after VSL Provider Approval expired</w:t>
            </w:r>
          </w:p>
        </w:tc>
        <w:tc>
          <w:tcPr>
            <w:tcW w:w="3528" w:type="dxa"/>
            <w:vAlign w:val="center"/>
          </w:tcPr>
          <w:p w14:paraId="18B5ABAB"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provider has been approved for VSL, but the approval expired before the eCAF was submitted.</w:t>
            </w:r>
          </w:p>
        </w:tc>
        <w:tc>
          <w:tcPr>
            <w:tcW w:w="4270" w:type="dxa"/>
            <w:vAlign w:val="center"/>
          </w:tcPr>
          <w:p w14:paraId="0C8790CC"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This unit of study may not be paid </w:t>
            </w:r>
            <w:r w:rsidRPr="00E20EC4">
              <w:rPr>
                <w:color w:val="0070C0"/>
                <w:sz w:val="20"/>
                <w:szCs w:val="20"/>
              </w:rPr>
              <w:t>[Act s20(g)]</w:t>
            </w:r>
            <w:r w:rsidRPr="00E20EC4">
              <w:rPr>
                <w:sz w:val="20"/>
                <w:szCs w:val="20"/>
              </w:rPr>
              <w:t xml:space="preserve">. </w:t>
            </w:r>
          </w:p>
        </w:tc>
      </w:tr>
      <w:tr w:rsidR="00DC63A6" w:rsidRPr="00E26B54" w14:paraId="24E2BBF2"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41C82DF1" w14:textId="77777777" w:rsidR="00DC63A6" w:rsidRPr="00DC63A6" w:rsidRDefault="00DC63A6" w:rsidP="00981FA7">
            <w:pPr>
              <w:autoSpaceDE w:val="0"/>
              <w:autoSpaceDN w:val="0"/>
              <w:adjustRightInd w:val="0"/>
              <w:spacing w:after="0"/>
              <w:rPr>
                <w:rFonts w:cstheme="minorHAnsi"/>
                <w:bCs/>
                <w:color w:val="C00000"/>
                <w:sz w:val="20"/>
                <w:szCs w:val="20"/>
              </w:rPr>
            </w:pPr>
            <w:r w:rsidRPr="00DC63A6">
              <w:rPr>
                <w:rFonts w:cstheme="minorHAnsi"/>
                <w:bCs/>
                <w:color w:val="C00000"/>
                <w:sz w:val="20"/>
                <w:szCs w:val="20"/>
              </w:rPr>
              <w:t>eCAF submitted before Enrolment Date + 2 days</w:t>
            </w:r>
          </w:p>
        </w:tc>
        <w:tc>
          <w:tcPr>
            <w:tcW w:w="3528" w:type="dxa"/>
            <w:vAlign w:val="center"/>
          </w:tcPr>
          <w:p w14:paraId="3797424E"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student submitted their VSL application within 2 business days of the enrolment date indicated on the eCAF.</w:t>
            </w:r>
          </w:p>
        </w:tc>
        <w:tc>
          <w:tcPr>
            <w:tcW w:w="4270" w:type="dxa"/>
            <w:vAlign w:val="center"/>
          </w:tcPr>
          <w:p w14:paraId="40D77650"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A loan application must be submitted at least 2 business days after enrolment </w:t>
            </w:r>
            <w:r w:rsidRPr="00E20EC4">
              <w:rPr>
                <w:color w:val="0070C0"/>
                <w:sz w:val="20"/>
                <w:szCs w:val="20"/>
              </w:rPr>
              <w:t>[</w:t>
            </w:r>
            <w:r w:rsidRPr="00E20EC4">
              <w:rPr>
                <w:rFonts w:eastAsia="Calibri" w:cs="Calibri"/>
                <w:color w:val="0070C0"/>
                <w:sz w:val="20"/>
                <w:szCs w:val="20"/>
                <w:lang w:eastAsia="en-AU"/>
              </w:rPr>
              <w:t>Rules paragraph 10(1)]</w:t>
            </w:r>
            <w:r w:rsidRPr="00E20EC4">
              <w:rPr>
                <w:sz w:val="20"/>
                <w:szCs w:val="20"/>
              </w:rPr>
              <w:t>. Ensure student submits eCAF at least 2 business days after enrolment and before the first census day for which they wish to access the loan.</w:t>
            </w:r>
          </w:p>
        </w:tc>
      </w:tr>
      <w:tr w:rsidR="00DC63A6" w:rsidRPr="00E26B54" w14:paraId="1BA204FA"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2951076F" w14:textId="77777777" w:rsidR="00DC63A6" w:rsidRPr="00DC63A6" w:rsidRDefault="00DC63A6" w:rsidP="00981FA7">
            <w:pPr>
              <w:autoSpaceDE w:val="0"/>
              <w:autoSpaceDN w:val="0"/>
              <w:adjustRightInd w:val="0"/>
              <w:spacing w:after="0"/>
              <w:rPr>
                <w:rFonts w:cstheme="minorHAnsi"/>
                <w:bCs/>
                <w:color w:val="C00000"/>
                <w:sz w:val="20"/>
                <w:szCs w:val="20"/>
              </w:rPr>
            </w:pPr>
            <w:r w:rsidRPr="00DC63A6">
              <w:rPr>
                <w:rFonts w:cstheme="minorHAnsi"/>
                <w:bCs/>
                <w:color w:val="C00000"/>
                <w:sz w:val="20"/>
                <w:szCs w:val="20"/>
              </w:rPr>
              <w:t>eCAF submitted before VSL Provider Approval Date</w:t>
            </w:r>
          </w:p>
        </w:tc>
        <w:tc>
          <w:tcPr>
            <w:tcW w:w="3528" w:type="dxa"/>
            <w:vAlign w:val="center"/>
          </w:tcPr>
          <w:p w14:paraId="249702F8"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The provider has been approved for VSL, but only from a date after the eCAF was submitted. </w:t>
            </w:r>
          </w:p>
        </w:tc>
        <w:tc>
          <w:tcPr>
            <w:tcW w:w="4270" w:type="dxa"/>
            <w:vAlign w:val="center"/>
          </w:tcPr>
          <w:p w14:paraId="5059AF2C"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This unit of study can never be paid </w:t>
            </w:r>
            <w:r w:rsidRPr="00E20EC4">
              <w:rPr>
                <w:color w:val="0070C0"/>
                <w:sz w:val="20"/>
                <w:szCs w:val="20"/>
              </w:rPr>
              <w:t>[Act s7(1)(b) and s15(1)]</w:t>
            </w:r>
            <w:r w:rsidRPr="00E20EC4">
              <w:rPr>
                <w:sz w:val="20"/>
                <w:szCs w:val="20"/>
              </w:rPr>
              <w:t>.</w:t>
            </w:r>
          </w:p>
        </w:tc>
      </w:tr>
      <w:tr w:rsidR="00DC63A6" w:rsidRPr="00E26B54" w14:paraId="591BE628"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31A5A411" w14:textId="77777777" w:rsidR="00DC63A6" w:rsidRPr="00DC63A6" w:rsidRDefault="00DC63A6" w:rsidP="00981FA7">
            <w:pPr>
              <w:autoSpaceDE w:val="0"/>
              <w:autoSpaceDN w:val="0"/>
              <w:adjustRightInd w:val="0"/>
              <w:spacing w:after="0"/>
              <w:rPr>
                <w:rFonts w:cstheme="minorHAnsi"/>
                <w:bCs/>
                <w:color w:val="C00000"/>
                <w:sz w:val="20"/>
                <w:szCs w:val="20"/>
              </w:rPr>
            </w:pPr>
            <w:r w:rsidRPr="00DC63A6">
              <w:rPr>
                <w:rFonts w:cstheme="minorHAnsi"/>
                <w:bCs/>
                <w:color w:val="C00000"/>
                <w:sz w:val="20"/>
                <w:szCs w:val="20"/>
              </w:rPr>
              <w:t>Exceeded Provider Cap</w:t>
            </w:r>
          </w:p>
        </w:tc>
        <w:tc>
          <w:tcPr>
            <w:tcW w:w="3528" w:type="dxa"/>
            <w:vAlign w:val="center"/>
          </w:tcPr>
          <w:p w14:paraId="3A93F153"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provider has exceeded its overall provider fee limit in the current approval period as defined in the conditions of its approval.</w:t>
            </w:r>
          </w:p>
        </w:tc>
        <w:tc>
          <w:tcPr>
            <w:tcW w:w="4270" w:type="dxa"/>
            <w:vAlign w:val="center"/>
          </w:tcPr>
          <w:p w14:paraId="589DCC20"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The provider may be in breach of its approval conditions and this unit of study may not be paid </w:t>
            </w:r>
            <w:r w:rsidRPr="00E20EC4">
              <w:rPr>
                <w:color w:val="0070C0"/>
                <w:sz w:val="20"/>
                <w:szCs w:val="20"/>
              </w:rPr>
              <w:t>[Act s20(d)]</w:t>
            </w:r>
            <w:r w:rsidRPr="00E20EC4">
              <w:rPr>
                <w:sz w:val="20"/>
                <w:szCs w:val="20"/>
              </w:rPr>
              <w:t>.</w:t>
            </w:r>
          </w:p>
          <w:p w14:paraId="38ACD2B3" w14:textId="4591268E"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Contact the Department at </w:t>
            </w:r>
            <w:hyperlink r:id="rId20" w:history="1">
              <w:r w:rsidR="009E6270" w:rsidRPr="00277356">
                <w:rPr>
                  <w:rStyle w:val="Hyperlink"/>
                  <w:sz w:val="20"/>
                  <w:szCs w:val="20"/>
                </w:rPr>
                <w:t>VETStudentLoans@dewr.gov.au</w:t>
              </w:r>
            </w:hyperlink>
            <w:r w:rsidR="009E6270">
              <w:rPr>
                <w:sz w:val="20"/>
                <w:szCs w:val="20"/>
              </w:rPr>
              <w:t xml:space="preserve">. </w:t>
            </w:r>
          </w:p>
        </w:tc>
      </w:tr>
      <w:tr w:rsidR="00DC63A6" w:rsidRPr="00E26B54" w14:paraId="7D5A4063"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1E59712A" w14:textId="77777777" w:rsidR="00DC63A6" w:rsidRPr="00DC63A6" w:rsidRDefault="00DC63A6" w:rsidP="00981FA7">
            <w:pPr>
              <w:autoSpaceDE w:val="0"/>
              <w:autoSpaceDN w:val="0"/>
              <w:adjustRightInd w:val="0"/>
              <w:spacing w:after="0"/>
              <w:rPr>
                <w:rFonts w:cstheme="minorHAnsi"/>
                <w:bCs/>
                <w:color w:val="C00000"/>
                <w:sz w:val="20"/>
                <w:szCs w:val="20"/>
              </w:rPr>
            </w:pPr>
            <w:r w:rsidRPr="00DC63A6">
              <w:rPr>
                <w:rFonts w:cstheme="minorHAnsi"/>
                <w:bCs/>
                <w:color w:val="C00000"/>
                <w:sz w:val="20"/>
                <w:szCs w:val="20"/>
              </w:rPr>
              <w:t>Exceeded Provider Course Cap for this Course</w:t>
            </w:r>
          </w:p>
        </w:tc>
        <w:tc>
          <w:tcPr>
            <w:tcW w:w="3528" w:type="dxa"/>
            <w:vAlign w:val="center"/>
          </w:tcPr>
          <w:p w14:paraId="6857098F"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provider has exceeded the provider fee limit for this course in the current approval period as defined in the conditions of its approval.</w:t>
            </w:r>
          </w:p>
        </w:tc>
        <w:tc>
          <w:tcPr>
            <w:tcW w:w="4270" w:type="dxa"/>
            <w:vAlign w:val="center"/>
          </w:tcPr>
          <w:p w14:paraId="6E16A0B7"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The provider may be in breach of its approval conditions and this unit of study may not be paid </w:t>
            </w:r>
            <w:r w:rsidRPr="00E20EC4">
              <w:rPr>
                <w:color w:val="0070C0"/>
                <w:sz w:val="20"/>
                <w:szCs w:val="20"/>
              </w:rPr>
              <w:t>[Act s20(d)]</w:t>
            </w:r>
            <w:r w:rsidRPr="00E20EC4">
              <w:rPr>
                <w:sz w:val="20"/>
                <w:szCs w:val="20"/>
              </w:rPr>
              <w:t>.</w:t>
            </w:r>
          </w:p>
          <w:p w14:paraId="752090A7" w14:textId="31E4428E"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Contact the Department at </w:t>
            </w:r>
            <w:hyperlink r:id="rId21" w:history="1">
              <w:r w:rsidR="009E6270" w:rsidRPr="0067504D">
                <w:rPr>
                  <w:rStyle w:val="Hyperlink"/>
                  <w:color w:val="0070C0"/>
                  <w:sz w:val="20"/>
                  <w:szCs w:val="20"/>
                </w:rPr>
                <w:t>VETStudentLoans@dewr.gov.au</w:t>
              </w:r>
            </w:hyperlink>
            <w:r w:rsidR="009E6270">
              <w:rPr>
                <w:sz w:val="20"/>
                <w:szCs w:val="20"/>
              </w:rPr>
              <w:t xml:space="preserve">. </w:t>
            </w:r>
          </w:p>
        </w:tc>
      </w:tr>
      <w:tr w:rsidR="00DC63A6" w:rsidRPr="00E26B54" w14:paraId="1E72E52C" w14:textId="77777777" w:rsidTr="00175F89">
        <w:trPr>
          <w:cantSplit/>
          <w:trHeight w:val="2228"/>
        </w:trPr>
        <w:tc>
          <w:tcPr>
            <w:cnfStyle w:val="001000000000" w:firstRow="0" w:lastRow="0" w:firstColumn="1" w:lastColumn="0" w:oddVBand="0" w:evenVBand="0" w:oddHBand="0" w:evenHBand="0" w:firstRowFirstColumn="0" w:firstRowLastColumn="0" w:lastRowFirstColumn="0" w:lastRowLastColumn="0"/>
            <w:tcW w:w="2649" w:type="dxa"/>
          </w:tcPr>
          <w:p w14:paraId="0A65218F" w14:textId="77777777" w:rsidR="00DC63A6" w:rsidRPr="009E6270" w:rsidRDefault="00DC63A6" w:rsidP="00981FA7">
            <w:pPr>
              <w:autoSpaceDE w:val="0"/>
              <w:autoSpaceDN w:val="0"/>
              <w:adjustRightInd w:val="0"/>
              <w:spacing w:after="0"/>
              <w:rPr>
                <w:rFonts w:cstheme="minorHAnsi"/>
                <w:bCs/>
                <w:color w:val="C00000"/>
                <w:sz w:val="20"/>
                <w:szCs w:val="20"/>
              </w:rPr>
            </w:pPr>
            <w:r w:rsidRPr="009E6270">
              <w:rPr>
                <w:rFonts w:cstheme="minorHAnsi"/>
                <w:bCs/>
                <w:color w:val="C00000"/>
                <w:sz w:val="20"/>
                <w:szCs w:val="20"/>
              </w:rPr>
              <w:lastRenderedPageBreak/>
              <w:t>Exceeded Student Loan Cap for this Course</w:t>
            </w:r>
          </w:p>
        </w:tc>
        <w:tc>
          <w:tcPr>
            <w:tcW w:w="3528" w:type="dxa"/>
            <w:vAlign w:val="center"/>
          </w:tcPr>
          <w:p w14:paraId="64C52DB5"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student has already used their entire course cap for their course.</w:t>
            </w:r>
          </w:p>
        </w:tc>
        <w:tc>
          <w:tcPr>
            <w:tcW w:w="4270" w:type="dxa"/>
            <w:vAlign w:val="center"/>
          </w:tcPr>
          <w:p w14:paraId="7B7772E2"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This unit of study can never be paid as it exceeds the loan amount approved/loan caps determination </w:t>
            </w:r>
            <w:r w:rsidRPr="00E20EC4">
              <w:rPr>
                <w:color w:val="0070C0"/>
                <w:sz w:val="20"/>
                <w:szCs w:val="20"/>
              </w:rPr>
              <w:t>[Act s8(a)]</w:t>
            </w:r>
            <w:r w:rsidRPr="00E20EC4">
              <w:rPr>
                <w:sz w:val="20"/>
                <w:szCs w:val="20"/>
              </w:rPr>
              <w:t>.</w:t>
            </w:r>
          </w:p>
          <w:p w14:paraId="307F4B27"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Revise/resubmit the unit of study record according to TCSI revisions to change loan amount to zero. </w:t>
            </w:r>
            <w:r w:rsidRPr="00E20EC4">
              <w:rPr>
                <w:rFonts w:cstheme="minorHAnsi"/>
                <w:sz w:val="20"/>
                <w:szCs w:val="20"/>
              </w:rPr>
              <w:t xml:space="preserve">In certain circumstances, tuition fee may be varied. Refer to Chapter 4.8.13 of the </w:t>
            </w:r>
            <w:hyperlink r:id="rId22" w:history="1">
              <w:r w:rsidRPr="008072B0">
                <w:rPr>
                  <w:rStyle w:val="Hyperlink"/>
                  <w:bCs/>
                  <w:color w:val="0070C0"/>
                  <w:sz w:val="20"/>
                  <w:szCs w:val="20"/>
                </w:rPr>
                <w:t>VET Student Loans Manual for Providers.</w:t>
              </w:r>
            </w:hyperlink>
          </w:p>
        </w:tc>
      </w:tr>
      <w:tr w:rsidR="00DC63A6" w:rsidRPr="00E26B54" w14:paraId="601C78FB"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38CE7FD5" w14:textId="77777777" w:rsidR="00DC63A6" w:rsidRPr="009E6270" w:rsidRDefault="00DC63A6" w:rsidP="00981FA7">
            <w:pPr>
              <w:autoSpaceDE w:val="0"/>
              <w:autoSpaceDN w:val="0"/>
              <w:adjustRightInd w:val="0"/>
              <w:spacing w:after="0"/>
              <w:rPr>
                <w:rFonts w:cstheme="minorHAnsi"/>
                <w:bCs/>
                <w:color w:val="C00000"/>
                <w:sz w:val="20"/>
                <w:szCs w:val="20"/>
              </w:rPr>
            </w:pPr>
            <w:r w:rsidRPr="009E6270">
              <w:rPr>
                <w:rFonts w:cstheme="minorHAnsi"/>
                <w:bCs/>
                <w:color w:val="C00000"/>
                <w:sz w:val="20"/>
                <w:szCs w:val="20"/>
              </w:rPr>
              <w:t>Excessive Proportion of Course Fee in Current Period</w:t>
            </w:r>
          </w:p>
        </w:tc>
        <w:tc>
          <w:tcPr>
            <w:tcW w:w="3528" w:type="dxa"/>
            <w:vAlign w:val="center"/>
          </w:tcPr>
          <w:p w14:paraId="650AE6B8"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The provider has charged more than a reasonably proportionate (even) amount of the student course cap for the VSL course in the current payment period (this may include multiple units of study summed together). </w:t>
            </w:r>
          </w:p>
        </w:tc>
        <w:tc>
          <w:tcPr>
            <w:tcW w:w="4270" w:type="dxa"/>
            <w:vAlign w:val="center"/>
          </w:tcPr>
          <w:p w14:paraId="6E420099"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0EC4">
              <w:rPr>
                <w:sz w:val="20"/>
                <w:szCs w:val="20"/>
              </w:rPr>
              <w:t xml:space="preserve">Fees must be distributed reasonably equally across the duration of the course </w:t>
            </w:r>
            <w:r w:rsidRPr="00E20EC4">
              <w:rPr>
                <w:rFonts w:cstheme="minorHAnsi"/>
                <w:color w:val="0070C0"/>
                <w:spacing w:val="-1"/>
                <w:sz w:val="20"/>
                <w:szCs w:val="20"/>
              </w:rPr>
              <w:t>[Rules s122]</w:t>
            </w:r>
            <w:r w:rsidRPr="00E20EC4">
              <w:rPr>
                <w:sz w:val="20"/>
                <w:szCs w:val="20"/>
              </w:rPr>
              <w:t xml:space="preserve">. </w:t>
            </w:r>
            <w:r w:rsidRPr="00E20EC4">
              <w:rPr>
                <w:rFonts w:cstheme="minorHAnsi"/>
                <w:sz w:val="20"/>
                <w:szCs w:val="20"/>
              </w:rPr>
              <w:t xml:space="preserve">The provider can vary the census day/tuition fee if it occurs </w:t>
            </w:r>
            <w:r w:rsidRPr="00E20EC4">
              <w:rPr>
                <w:rFonts w:cstheme="minorHAnsi"/>
                <w:b/>
                <w:sz w:val="20"/>
                <w:szCs w:val="20"/>
              </w:rPr>
              <w:t>before</w:t>
            </w:r>
            <w:r w:rsidRPr="00E20EC4">
              <w:rPr>
                <w:rFonts w:cstheme="minorHAnsi"/>
                <w:sz w:val="20"/>
                <w:szCs w:val="20"/>
              </w:rPr>
              <w:t xml:space="preserve"> the published census day, does not disadvantage the student, and is necessary to correct an administrative error or to deal with a change in circumstances.  </w:t>
            </w:r>
            <w:r w:rsidRPr="00E20EC4">
              <w:rPr>
                <w:rFonts w:cstheme="minorHAnsi"/>
                <w:color w:val="0070C0"/>
                <w:spacing w:val="-1"/>
                <w:sz w:val="20"/>
                <w:szCs w:val="20"/>
              </w:rPr>
              <w:t>[Rules s126(1)(b) and s133(1)(b))]</w:t>
            </w:r>
          </w:p>
          <w:p w14:paraId="751DF307"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0EC4">
              <w:rPr>
                <w:rFonts w:cstheme="minorHAnsi"/>
                <w:sz w:val="20"/>
                <w:szCs w:val="20"/>
              </w:rPr>
              <w:t xml:space="preserve">The provider may be able to vary the census day/tuition fee after the published census day for the course with the Secretary’s approval </w:t>
            </w:r>
            <w:r w:rsidRPr="00E20EC4">
              <w:rPr>
                <w:rFonts w:cstheme="minorHAnsi"/>
                <w:color w:val="0070C0"/>
                <w:spacing w:val="-1"/>
                <w:sz w:val="20"/>
                <w:szCs w:val="20"/>
              </w:rPr>
              <w:t>[Rules s126(1)(a). and s133(1)(a)]</w:t>
            </w:r>
          </w:p>
          <w:p w14:paraId="190140B7"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Following approval, the provider will then be able to edit the relevant loan amount and loan fee fields in TCSI. Where there are errors in students’ personal details or census days, providers will need to revise those records and resubmit the correct data in TCSI according to TCSI revisions.</w:t>
            </w:r>
          </w:p>
        </w:tc>
      </w:tr>
      <w:tr w:rsidR="00DC63A6" w:rsidRPr="00E26B54" w14:paraId="1913361D"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3F5A207B" w14:textId="77777777" w:rsidR="00DC63A6" w:rsidRPr="009E6270" w:rsidRDefault="00DC63A6" w:rsidP="00981FA7">
            <w:pPr>
              <w:autoSpaceDE w:val="0"/>
              <w:autoSpaceDN w:val="0"/>
              <w:adjustRightInd w:val="0"/>
              <w:spacing w:after="0"/>
              <w:rPr>
                <w:rFonts w:cstheme="minorHAnsi"/>
                <w:bCs/>
                <w:color w:val="C00000"/>
                <w:sz w:val="20"/>
                <w:szCs w:val="20"/>
              </w:rPr>
            </w:pPr>
            <w:r w:rsidRPr="009E6270">
              <w:rPr>
                <w:rFonts w:cstheme="minorHAnsi"/>
                <w:bCs/>
                <w:color w:val="C00000"/>
                <w:sz w:val="20"/>
                <w:szCs w:val="20"/>
              </w:rPr>
              <w:t>No Matching eCAF/</w:t>
            </w:r>
            <w:proofErr w:type="spellStart"/>
            <w:r w:rsidRPr="009E6270">
              <w:rPr>
                <w:rFonts w:cstheme="minorHAnsi"/>
                <w:bCs/>
                <w:color w:val="C00000"/>
                <w:sz w:val="20"/>
                <w:szCs w:val="20"/>
              </w:rPr>
              <w:t>Opt</w:t>
            </w:r>
            <w:proofErr w:type="spellEnd"/>
            <w:r w:rsidRPr="009E6270">
              <w:rPr>
                <w:rFonts w:cstheme="minorHAnsi"/>
                <w:bCs/>
                <w:color w:val="C00000"/>
                <w:sz w:val="20"/>
                <w:szCs w:val="20"/>
              </w:rPr>
              <w:t xml:space="preserve"> In</w:t>
            </w:r>
          </w:p>
        </w:tc>
        <w:tc>
          <w:tcPr>
            <w:tcW w:w="3528" w:type="dxa"/>
            <w:vAlign w:val="center"/>
          </w:tcPr>
          <w:p w14:paraId="7F9CECB7"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Department has not been able to find a VSL eCAF in any status that matches the Provider, Course and Student ID or CHESSN on the unit of study record. The loan program cannot be determined.</w:t>
            </w:r>
          </w:p>
        </w:tc>
        <w:tc>
          <w:tcPr>
            <w:tcW w:w="4270" w:type="dxa"/>
            <w:vAlign w:val="center"/>
          </w:tcPr>
          <w:p w14:paraId="4232271C"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If the unit of study record is in error, then it should be deleted and resubmitted with the corrections. If the Student USI, CHESSN or ID on the eCAF is incorrect, the provider can revise the eCAF and </w:t>
            </w:r>
            <w:r w:rsidRPr="009E6270">
              <w:rPr>
                <w:b/>
                <w:bCs/>
                <w:iCs/>
                <w:sz w:val="20"/>
                <w:szCs w:val="20"/>
              </w:rPr>
              <w:t>edit</w:t>
            </w:r>
            <w:r w:rsidRPr="00E20EC4">
              <w:rPr>
                <w:sz w:val="20"/>
                <w:szCs w:val="20"/>
              </w:rPr>
              <w:t xml:space="preserve"> this field. Once the revised eCAF with the edited field is submitted by the student, the claim for payment will be reassessed in the next payment period against the eCAF with accurate data. </w:t>
            </w:r>
          </w:p>
        </w:tc>
      </w:tr>
      <w:tr w:rsidR="00DC63A6" w:rsidRPr="00E26B54" w14:paraId="2E7C54B8"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110FC151" w14:textId="77777777" w:rsidR="00DC63A6" w:rsidRPr="009E6270" w:rsidRDefault="00DC63A6" w:rsidP="00981FA7">
            <w:pPr>
              <w:autoSpaceDE w:val="0"/>
              <w:autoSpaceDN w:val="0"/>
              <w:adjustRightInd w:val="0"/>
              <w:spacing w:after="0"/>
              <w:rPr>
                <w:rFonts w:cstheme="minorHAnsi"/>
                <w:bCs/>
                <w:color w:val="C00000"/>
                <w:sz w:val="20"/>
                <w:szCs w:val="20"/>
              </w:rPr>
            </w:pPr>
            <w:r w:rsidRPr="009E6270">
              <w:rPr>
                <w:rFonts w:cstheme="minorHAnsi"/>
                <w:bCs/>
                <w:color w:val="C00000"/>
                <w:sz w:val="20"/>
                <w:szCs w:val="20"/>
              </w:rPr>
              <w:t>Not an Approved VSL Course</w:t>
            </w:r>
          </w:p>
        </w:tc>
        <w:tc>
          <w:tcPr>
            <w:tcW w:w="3528" w:type="dxa"/>
            <w:vAlign w:val="center"/>
          </w:tcPr>
          <w:p w14:paraId="2477FE8B"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The course listed on the unit of study record does not appear in the </w:t>
            </w:r>
            <w:r w:rsidRPr="009E6270">
              <w:rPr>
                <w:iCs/>
                <w:sz w:val="20"/>
                <w:szCs w:val="20"/>
              </w:rPr>
              <w:t>VET Student Loans (Courses and Loan Caps) Determination 2016</w:t>
            </w:r>
            <w:r w:rsidRPr="00E20EC4">
              <w:rPr>
                <w:i/>
                <w:sz w:val="20"/>
                <w:szCs w:val="20"/>
              </w:rPr>
              <w:t>.</w:t>
            </w:r>
            <w:r w:rsidRPr="00E20EC4">
              <w:rPr>
                <w:sz w:val="20"/>
                <w:szCs w:val="20"/>
              </w:rPr>
              <w:t xml:space="preserve"> </w:t>
            </w:r>
          </w:p>
        </w:tc>
        <w:tc>
          <w:tcPr>
            <w:tcW w:w="4270" w:type="dxa"/>
            <w:vAlign w:val="center"/>
          </w:tcPr>
          <w:p w14:paraId="2A6CE43A"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This unit of study can never be paid </w:t>
            </w:r>
            <w:r w:rsidRPr="00E20EC4">
              <w:rPr>
                <w:color w:val="0070C0"/>
                <w:sz w:val="20"/>
                <w:szCs w:val="20"/>
              </w:rPr>
              <w:t>[Act s7(1)(a) and s14(2)(a)]</w:t>
            </w:r>
            <w:r w:rsidRPr="00E20EC4">
              <w:rPr>
                <w:sz w:val="20"/>
                <w:szCs w:val="20"/>
              </w:rPr>
              <w:t>.</w:t>
            </w:r>
          </w:p>
        </w:tc>
      </w:tr>
      <w:tr w:rsidR="00DC63A6" w:rsidRPr="00E26B54" w14:paraId="423DFFAF"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72CAF3E7" w14:textId="77777777" w:rsidR="00DC63A6" w:rsidRPr="009E6270" w:rsidRDefault="00DC63A6" w:rsidP="00981FA7">
            <w:pPr>
              <w:autoSpaceDE w:val="0"/>
              <w:autoSpaceDN w:val="0"/>
              <w:adjustRightInd w:val="0"/>
              <w:spacing w:after="0"/>
              <w:rPr>
                <w:rFonts w:cstheme="minorHAnsi"/>
                <w:bCs/>
                <w:color w:val="C00000"/>
                <w:sz w:val="20"/>
                <w:szCs w:val="20"/>
              </w:rPr>
            </w:pPr>
            <w:r w:rsidRPr="009E6270">
              <w:rPr>
                <w:rFonts w:cstheme="minorHAnsi"/>
                <w:bCs/>
                <w:color w:val="C00000"/>
                <w:sz w:val="20"/>
                <w:szCs w:val="20"/>
              </w:rPr>
              <w:t>Not an Approved VSL Provider</w:t>
            </w:r>
          </w:p>
        </w:tc>
        <w:tc>
          <w:tcPr>
            <w:tcW w:w="3528" w:type="dxa"/>
            <w:vAlign w:val="center"/>
          </w:tcPr>
          <w:p w14:paraId="6EFBD5AF"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The provider has not been approved for VSL. </w:t>
            </w:r>
          </w:p>
        </w:tc>
        <w:tc>
          <w:tcPr>
            <w:tcW w:w="4270" w:type="dxa"/>
            <w:vAlign w:val="center"/>
          </w:tcPr>
          <w:p w14:paraId="4E4182A6"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This unit of study can never be paid </w:t>
            </w:r>
            <w:r w:rsidRPr="00E20EC4">
              <w:rPr>
                <w:color w:val="0070C0"/>
                <w:sz w:val="20"/>
                <w:szCs w:val="20"/>
              </w:rPr>
              <w:t>[Act s7(1)(b) and s15(1)]</w:t>
            </w:r>
            <w:r w:rsidRPr="00E20EC4">
              <w:rPr>
                <w:sz w:val="20"/>
                <w:szCs w:val="20"/>
              </w:rPr>
              <w:t>.</w:t>
            </w:r>
          </w:p>
        </w:tc>
      </w:tr>
      <w:tr w:rsidR="00DC63A6" w:rsidRPr="00E26B54" w14:paraId="13AC66EE"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5F86AD32" w14:textId="77777777" w:rsidR="00DC63A6" w:rsidRPr="009E6270" w:rsidRDefault="00DC63A6" w:rsidP="00981FA7">
            <w:pPr>
              <w:autoSpaceDE w:val="0"/>
              <w:autoSpaceDN w:val="0"/>
              <w:adjustRightInd w:val="0"/>
              <w:spacing w:after="0"/>
              <w:rPr>
                <w:rFonts w:cstheme="minorHAnsi"/>
                <w:bCs/>
                <w:color w:val="C00000"/>
                <w:sz w:val="20"/>
                <w:szCs w:val="20"/>
              </w:rPr>
            </w:pPr>
            <w:r w:rsidRPr="009E6270">
              <w:rPr>
                <w:rFonts w:cstheme="minorHAnsi"/>
                <w:bCs/>
                <w:color w:val="C00000"/>
                <w:sz w:val="20"/>
                <w:szCs w:val="20"/>
              </w:rPr>
              <w:lastRenderedPageBreak/>
              <w:t>Not a specified Approved Course for this Provider</w:t>
            </w:r>
          </w:p>
        </w:tc>
        <w:tc>
          <w:tcPr>
            <w:tcW w:w="3528" w:type="dxa"/>
            <w:vAlign w:val="center"/>
          </w:tcPr>
          <w:p w14:paraId="4CAF4216"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course listed on the unit of study record is not included in the provider’s VSL conditions as an approved course for which loan amounts may be paid.</w:t>
            </w:r>
          </w:p>
        </w:tc>
        <w:tc>
          <w:tcPr>
            <w:tcW w:w="4270" w:type="dxa"/>
            <w:vAlign w:val="center"/>
          </w:tcPr>
          <w:p w14:paraId="7A87278C"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This unit of study can never be paid </w:t>
            </w:r>
            <w:r w:rsidRPr="00E20EC4">
              <w:rPr>
                <w:color w:val="0070C0"/>
                <w:sz w:val="20"/>
                <w:szCs w:val="20"/>
              </w:rPr>
              <w:t>[Act s34(2)(b)]</w:t>
            </w:r>
            <w:r w:rsidRPr="00E20EC4">
              <w:rPr>
                <w:sz w:val="20"/>
                <w:szCs w:val="20"/>
              </w:rPr>
              <w:t>.</w:t>
            </w:r>
          </w:p>
          <w:p w14:paraId="2E0512BB"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If the provider wishes to offer loans in this course in the future, it will need to apply to add the course to its VSL offerings. Refer process for applying for additional courses at Chapter 4.5 of the </w:t>
            </w:r>
            <w:hyperlink r:id="rId23" w:history="1">
              <w:r w:rsidRPr="008072B0">
                <w:rPr>
                  <w:rStyle w:val="Hyperlink"/>
                  <w:bCs/>
                  <w:sz w:val="20"/>
                  <w:szCs w:val="20"/>
                </w:rPr>
                <w:t>VET Student Loans Manual for Providers.</w:t>
              </w:r>
            </w:hyperlink>
          </w:p>
        </w:tc>
      </w:tr>
      <w:tr w:rsidR="00DC63A6" w:rsidRPr="00E26B54" w14:paraId="3E855B7A"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57F56784" w14:textId="77777777" w:rsidR="00DC63A6" w:rsidRPr="009E6270" w:rsidRDefault="00DC63A6" w:rsidP="00981FA7">
            <w:pPr>
              <w:autoSpaceDE w:val="0"/>
              <w:autoSpaceDN w:val="0"/>
              <w:adjustRightInd w:val="0"/>
              <w:spacing w:after="0"/>
              <w:rPr>
                <w:rFonts w:cstheme="minorHAnsi"/>
                <w:bCs/>
                <w:color w:val="C00000"/>
                <w:sz w:val="20"/>
                <w:szCs w:val="20"/>
              </w:rPr>
            </w:pPr>
            <w:r w:rsidRPr="009E6270">
              <w:rPr>
                <w:rFonts w:cstheme="minorHAnsi"/>
                <w:bCs/>
                <w:color w:val="C00000"/>
                <w:sz w:val="20"/>
                <w:szCs w:val="20"/>
              </w:rPr>
              <w:t>Progression status indicates student is not currently studying</w:t>
            </w:r>
          </w:p>
        </w:tc>
        <w:tc>
          <w:tcPr>
            <w:tcW w:w="3528" w:type="dxa"/>
            <w:vAlign w:val="center"/>
          </w:tcPr>
          <w:p w14:paraId="7C910F7C"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The student has indicated on their progression form that they have not commenced study or have completed, </w:t>
            </w:r>
            <w:proofErr w:type="gramStart"/>
            <w:r w:rsidRPr="00E20EC4">
              <w:rPr>
                <w:sz w:val="20"/>
                <w:szCs w:val="20"/>
              </w:rPr>
              <w:t>deferred</w:t>
            </w:r>
            <w:proofErr w:type="gramEnd"/>
            <w:r w:rsidRPr="00E20EC4">
              <w:rPr>
                <w:sz w:val="20"/>
                <w:szCs w:val="20"/>
              </w:rPr>
              <w:t xml:space="preserve"> or withdrawn from study prior to the claimed census date.</w:t>
            </w:r>
          </w:p>
        </w:tc>
        <w:tc>
          <w:tcPr>
            <w:tcW w:w="4270" w:type="dxa"/>
            <w:vAlign w:val="center"/>
          </w:tcPr>
          <w:p w14:paraId="640C14C3" w14:textId="1CDA0C71"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The provider needs to confirm study status with the student. If the study status is incorrect, the student should complete a progression form. </w:t>
            </w:r>
            <w:r w:rsidRPr="00E20EC4">
              <w:rPr>
                <w:color w:val="0070C0"/>
                <w:sz w:val="20"/>
                <w:szCs w:val="20"/>
              </w:rPr>
              <w:t xml:space="preserve">[Rules 5(2], 34(1), Act </w:t>
            </w:r>
            <w:r>
              <w:rPr>
                <w:color w:val="0070C0"/>
                <w:sz w:val="20"/>
                <w:szCs w:val="20"/>
              </w:rPr>
              <w:t>s</w:t>
            </w:r>
            <w:r w:rsidRPr="00E20EC4">
              <w:rPr>
                <w:color w:val="0070C0"/>
                <w:sz w:val="20"/>
                <w:szCs w:val="20"/>
              </w:rPr>
              <w:t>20(c)(ii)]</w:t>
            </w:r>
            <w:r w:rsidRPr="00E20EC4">
              <w:rPr>
                <w:sz w:val="20"/>
                <w:szCs w:val="20"/>
              </w:rPr>
              <w:t>.</w:t>
            </w:r>
          </w:p>
        </w:tc>
      </w:tr>
      <w:tr w:rsidR="00DC63A6" w:rsidRPr="00E26B54" w14:paraId="7605EC5E"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1D131A9C" w14:textId="77777777" w:rsidR="00DC63A6" w:rsidRPr="009E6270" w:rsidRDefault="00DC63A6" w:rsidP="00981FA7">
            <w:pPr>
              <w:autoSpaceDE w:val="0"/>
              <w:autoSpaceDN w:val="0"/>
              <w:adjustRightInd w:val="0"/>
              <w:spacing w:after="0"/>
              <w:rPr>
                <w:rFonts w:cstheme="minorHAnsi"/>
                <w:bCs/>
                <w:color w:val="C00000"/>
                <w:sz w:val="20"/>
                <w:szCs w:val="20"/>
              </w:rPr>
            </w:pPr>
            <w:r w:rsidRPr="009E6270">
              <w:rPr>
                <w:rFonts w:cstheme="minorHAnsi"/>
                <w:bCs/>
                <w:color w:val="C00000"/>
                <w:sz w:val="20"/>
                <w:szCs w:val="20"/>
              </w:rPr>
              <w:t>Revoked VSL Provider</w:t>
            </w:r>
          </w:p>
        </w:tc>
        <w:tc>
          <w:tcPr>
            <w:tcW w:w="3528" w:type="dxa"/>
            <w:vAlign w:val="center"/>
          </w:tcPr>
          <w:p w14:paraId="00F08A7F"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provider has been revoked and therefore the debt may not be paid.</w:t>
            </w:r>
          </w:p>
        </w:tc>
        <w:tc>
          <w:tcPr>
            <w:tcW w:w="4270" w:type="dxa"/>
            <w:vAlign w:val="center"/>
          </w:tcPr>
          <w:p w14:paraId="26FDE9FA"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This unit of study may not be paid </w:t>
            </w:r>
            <w:r w:rsidRPr="00E20EC4">
              <w:rPr>
                <w:color w:val="0070C0"/>
                <w:sz w:val="20"/>
                <w:szCs w:val="20"/>
              </w:rPr>
              <w:t>[Act</w:t>
            </w:r>
            <w:r>
              <w:rPr>
                <w:color w:val="0070C0"/>
                <w:sz w:val="20"/>
                <w:szCs w:val="20"/>
              </w:rPr>
              <w:t xml:space="preserve"> s</w:t>
            </w:r>
            <w:r w:rsidRPr="00E20EC4">
              <w:rPr>
                <w:color w:val="0070C0"/>
                <w:sz w:val="20"/>
                <w:szCs w:val="20"/>
              </w:rPr>
              <w:t>20(g)]</w:t>
            </w:r>
            <w:r w:rsidRPr="00E20EC4">
              <w:rPr>
                <w:sz w:val="20"/>
                <w:szCs w:val="20"/>
              </w:rPr>
              <w:t>.</w:t>
            </w:r>
          </w:p>
        </w:tc>
      </w:tr>
      <w:tr w:rsidR="00DC63A6" w:rsidRPr="00E26B54" w14:paraId="7E25D6FB"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5C49C19A" w14:textId="77777777" w:rsidR="00DC63A6" w:rsidRPr="009E6270" w:rsidRDefault="00DC63A6" w:rsidP="00981FA7">
            <w:pPr>
              <w:autoSpaceDE w:val="0"/>
              <w:autoSpaceDN w:val="0"/>
              <w:adjustRightInd w:val="0"/>
              <w:spacing w:after="0"/>
              <w:rPr>
                <w:rFonts w:cstheme="minorHAnsi"/>
                <w:bCs/>
                <w:color w:val="C00000"/>
                <w:sz w:val="20"/>
                <w:szCs w:val="20"/>
              </w:rPr>
            </w:pPr>
            <w:r w:rsidRPr="009E6270">
              <w:rPr>
                <w:rFonts w:cstheme="minorHAnsi"/>
                <w:bCs/>
                <w:color w:val="C00000"/>
                <w:sz w:val="20"/>
                <w:szCs w:val="20"/>
              </w:rPr>
              <w:t>Student TFN marked as invalid</w:t>
            </w:r>
          </w:p>
        </w:tc>
        <w:tc>
          <w:tcPr>
            <w:tcW w:w="3528" w:type="dxa"/>
            <w:vAlign w:val="center"/>
          </w:tcPr>
          <w:p w14:paraId="14952550"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Student Tax File Number (TFN) details could not be verified.</w:t>
            </w:r>
          </w:p>
        </w:tc>
        <w:tc>
          <w:tcPr>
            <w:tcW w:w="4270" w:type="dxa"/>
            <w:vAlign w:val="center"/>
          </w:tcPr>
          <w:p w14:paraId="38C524E9"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Providers should regularly check their TCSI TFN notifications and TFN Verification Report. Providers should ask students to check their personal details (names, address, date of birth, etc) and TFN held at the Australian Taxation Office (ATO) match their personal details provided to the provider. As needed, request students update their personal details with the </w:t>
            </w:r>
            <w:proofErr w:type="gramStart"/>
            <w:r w:rsidRPr="00E20EC4">
              <w:rPr>
                <w:sz w:val="20"/>
                <w:szCs w:val="20"/>
              </w:rPr>
              <w:t>ATO</w:t>
            </w:r>
            <w:proofErr w:type="gramEnd"/>
            <w:r w:rsidRPr="00E20EC4">
              <w:rPr>
                <w:sz w:val="20"/>
                <w:szCs w:val="20"/>
              </w:rPr>
              <w:t xml:space="preserve"> or providers should update student details in provider records to ensure accurate matching information. Refer to TCSI Support for further TFN verification FAQs.</w:t>
            </w:r>
          </w:p>
        </w:tc>
      </w:tr>
      <w:tr w:rsidR="00DC63A6" w:rsidRPr="00E26B54" w14:paraId="1CCFF056"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0CB5614F" w14:textId="77777777" w:rsidR="00DC63A6" w:rsidRPr="009E6270" w:rsidRDefault="00DC63A6" w:rsidP="00981FA7">
            <w:pPr>
              <w:autoSpaceDE w:val="0"/>
              <w:autoSpaceDN w:val="0"/>
              <w:adjustRightInd w:val="0"/>
              <w:spacing w:after="0"/>
              <w:rPr>
                <w:rFonts w:cstheme="minorHAnsi"/>
                <w:bCs/>
                <w:color w:val="C00000"/>
                <w:sz w:val="20"/>
                <w:szCs w:val="20"/>
              </w:rPr>
            </w:pPr>
            <w:r w:rsidRPr="009E6270">
              <w:rPr>
                <w:rFonts w:cstheme="minorHAnsi"/>
                <w:bCs/>
                <w:color w:val="C00000"/>
                <w:sz w:val="20"/>
                <w:szCs w:val="20"/>
              </w:rPr>
              <w:t>VSL eCAF exempt provider with no CAF yet submitted</w:t>
            </w:r>
          </w:p>
        </w:tc>
        <w:tc>
          <w:tcPr>
            <w:tcW w:w="3528" w:type="dxa"/>
            <w:vAlign w:val="center"/>
          </w:tcPr>
          <w:p w14:paraId="2562CC92"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provider is marked as being eCAF exempt for a particular student, and no matching record (VSL) has been found in the eCAF system. Nor has the provider provided to the Department a spreadsheet with a manual CAF that matches this unit of study.</w:t>
            </w:r>
          </w:p>
        </w:tc>
        <w:tc>
          <w:tcPr>
            <w:tcW w:w="4270" w:type="dxa"/>
            <w:vAlign w:val="center"/>
          </w:tcPr>
          <w:p w14:paraId="5A4ED1B5" w14:textId="77777777" w:rsidR="00DC63A6" w:rsidRPr="00E20EC4" w:rsidRDefault="00DC63A6" w:rsidP="00981FA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 xml:space="preserve">Provider should upload manual CAF details into HITS in accordance with the process advised by the Department to the provider when the exemption was approved. </w:t>
            </w:r>
          </w:p>
        </w:tc>
      </w:tr>
      <w:tr w:rsidR="00DC63A6" w:rsidRPr="00E26B54" w14:paraId="0886F6B6" w14:textId="77777777" w:rsidTr="00981FA7">
        <w:trPr>
          <w:cantSplit/>
        </w:trPr>
        <w:tc>
          <w:tcPr>
            <w:cnfStyle w:val="001000000000" w:firstRow="0" w:lastRow="0" w:firstColumn="1" w:lastColumn="0" w:oddVBand="0" w:evenVBand="0" w:oddHBand="0" w:evenHBand="0" w:firstRowFirstColumn="0" w:firstRowLastColumn="0" w:lastRowFirstColumn="0" w:lastRowLastColumn="0"/>
            <w:tcW w:w="2649" w:type="dxa"/>
          </w:tcPr>
          <w:p w14:paraId="7043D613" w14:textId="77777777" w:rsidR="00DC63A6" w:rsidRPr="009E6270" w:rsidRDefault="00DC63A6" w:rsidP="00981FA7">
            <w:pPr>
              <w:autoSpaceDE w:val="0"/>
              <w:autoSpaceDN w:val="0"/>
              <w:adjustRightInd w:val="0"/>
              <w:rPr>
                <w:rFonts w:cstheme="minorHAnsi"/>
                <w:bCs/>
                <w:color w:val="FF0000"/>
                <w:sz w:val="20"/>
                <w:szCs w:val="20"/>
              </w:rPr>
            </w:pPr>
            <w:r w:rsidRPr="009E6270">
              <w:rPr>
                <w:rFonts w:cstheme="minorHAnsi"/>
                <w:bCs/>
                <w:color w:val="C00000"/>
                <w:sz w:val="20"/>
                <w:szCs w:val="20"/>
              </w:rPr>
              <w:lastRenderedPageBreak/>
              <w:t>VSL eCAF not yet submitted</w:t>
            </w:r>
          </w:p>
        </w:tc>
        <w:tc>
          <w:tcPr>
            <w:tcW w:w="3528" w:type="dxa"/>
            <w:vAlign w:val="center"/>
          </w:tcPr>
          <w:p w14:paraId="75789800" w14:textId="77777777" w:rsidR="00DC63A6" w:rsidRPr="00E20EC4" w:rsidRDefault="00DC63A6" w:rsidP="00981FA7">
            <w:pPr>
              <w:cnfStyle w:val="000000000000" w:firstRow="0" w:lastRow="0" w:firstColumn="0" w:lastColumn="0" w:oddVBand="0" w:evenVBand="0" w:oddHBand="0" w:evenHBand="0" w:firstRowFirstColumn="0" w:firstRowLastColumn="0" w:lastRowFirstColumn="0" w:lastRowLastColumn="0"/>
              <w:rPr>
                <w:sz w:val="20"/>
                <w:szCs w:val="20"/>
              </w:rPr>
            </w:pPr>
            <w:r w:rsidRPr="00E20EC4">
              <w:rPr>
                <w:sz w:val="20"/>
                <w:szCs w:val="20"/>
              </w:rPr>
              <w:t>The Department has successfully matched this unit of study to a VSL Application, but the student has yet to submit that application.</w:t>
            </w:r>
          </w:p>
        </w:tc>
        <w:tc>
          <w:tcPr>
            <w:tcW w:w="4270" w:type="dxa"/>
            <w:vAlign w:val="center"/>
          </w:tcPr>
          <w:p w14:paraId="2E6C3701" w14:textId="77777777" w:rsidR="00DC63A6" w:rsidRPr="00E20EC4" w:rsidRDefault="00DC63A6" w:rsidP="00981FA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0EC4">
              <w:rPr>
                <w:sz w:val="20"/>
                <w:szCs w:val="20"/>
              </w:rPr>
              <w:t xml:space="preserve">A VSL eCAF must be submitted in accordance with the requirements of the Act, including that it must be submitted on or before the census date for a unit of study </w:t>
            </w:r>
            <w:r w:rsidRPr="00E20EC4">
              <w:rPr>
                <w:color w:val="0070C0"/>
                <w:sz w:val="20"/>
                <w:szCs w:val="20"/>
              </w:rPr>
              <w:t>[Act s17(1) and Rules paragraph 10(2)]</w:t>
            </w:r>
            <w:r w:rsidRPr="00E20EC4">
              <w:rPr>
                <w:sz w:val="20"/>
                <w:szCs w:val="20"/>
              </w:rPr>
              <w:t xml:space="preserve">.  </w:t>
            </w:r>
            <w:r w:rsidRPr="00E20EC4">
              <w:rPr>
                <w:sz w:val="20"/>
                <w:szCs w:val="20"/>
              </w:rPr>
              <w:br/>
              <w:t xml:space="preserve">Student will need to successfully submit an eCAF to access a loan for subsequent census days. </w:t>
            </w:r>
            <w:r w:rsidRPr="00E20EC4">
              <w:rPr>
                <w:sz w:val="20"/>
                <w:szCs w:val="20"/>
              </w:rPr>
              <w:br/>
            </w:r>
            <w:r w:rsidRPr="00E20EC4">
              <w:rPr>
                <w:rFonts w:cstheme="minorHAnsi"/>
                <w:sz w:val="20"/>
                <w:szCs w:val="20"/>
              </w:rPr>
              <w:t xml:space="preserve">In certain circumstances, the published census day may be varied. Refer Chapter 4.9 of the </w:t>
            </w:r>
            <w:hyperlink r:id="rId24" w:history="1">
              <w:r w:rsidRPr="008072B0">
                <w:rPr>
                  <w:rStyle w:val="Hyperlink"/>
                  <w:bCs/>
                  <w:sz w:val="20"/>
                  <w:szCs w:val="20"/>
                </w:rPr>
                <w:t>VET Student Loans Manual for Providers.</w:t>
              </w:r>
            </w:hyperlink>
          </w:p>
        </w:tc>
      </w:tr>
    </w:tbl>
    <w:p w14:paraId="525E917A" w14:textId="77777777" w:rsidR="00640B91" w:rsidRPr="00DC63A6" w:rsidRDefault="00640B91" w:rsidP="00C2679F">
      <w:pPr>
        <w:rPr>
          <w:rStyle w:val="BookTitle"/>
          <w:i w:val="0"/>
          <w:iCs w:val="0"/>
        </w:rPr>
      </w:pPr>
    </w:p>
    <w:sectPr w:rsidR="00640B91" w:rsidRPr="00DC63A6" w:rsidSect="00E47869">
      <w:pgSz w:w="11906" w:h="16838"/>
      <w:pgMar w:top="1440" w:right="991" w:bottom="709"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189B2" w14:textId="77777777" w:rsidR="008F2ED4" w:rsidRDefault="008F2ED4" w:rsidP="00717D10">
      <w:pPr>
        <w:spacing w:after="0" w:line="240" w:lineRule="auto"/>
      </w:pPr>
      <w:r>
        <w:separator/>
      </w:r>
    </w:p>
  </w:endnote>
  <w:endnote w:type="continuationSeparator" w:id="0">
    <w:p w14:paraId="097350AD" w14:textId="77777777" w:rsidR="008F2ED4" w:rsidRDefault="008F2ED4" w:rsidP="0071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0100" w14:textId="45B630F5" w:rsidR="00890E34" w:rsidRDefault="00890E34" w:rsidP="00890E34">
    <w:pPr>
      <w:pStyle w:val="Footer"/>
      <w:ind w:right="403"/>
      <w:jc w:val="right"/>
    </w:pPr>
    <w:r>
      <w:rPr>
        <w:noProof/>
        <w:lang w:eastAsia="en-AU"/>
      </w:rPr>
      <w:drawing>
        <wp:anchor distT="0" distB="0" distL="114300" distR="114300" simplePos="0" relativeHeight="251661312" behindDoc="1" locked="0" layoutInCell="1" allowOverlap="1" wp14:anchorId="17C14882" wp14:editId="30E4EB07">
          <wp:simplePos x="0" y="0"/>
          <wp:positionH relativeFrom="column">
            <wp:posOffset>-895350</wp:posOffset>
          </wp:positionH>
          <wp:positionV relativeFrom="paragraph">
            <wp:posOffset>170180</wp:posOffset>
          </wp:positionV>
          <wp:extent cx="7624445" cy="63627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D737E">
      <w:rPr>
        <w:noProof/>
      </w:rPr>
      <w:t>2</w:t>
    </w:r>
    <w:r>
      <w:rPr>
        <w:noProof/>
      </w:rPr>
      <w:fldChar w:fldCharType="end"/>
    </w:r>
  </w:p>
  <w:p w14:paraId="4FB2E6D2" w14:textId="46D37002" w:rsidR="00553320" w:rsidRDefault="00553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99770"/>
      <w:docPartObj>
        <w:docPartGallery w:val="Page Numbers (Bottom of Page)"/>
        <w:docPartUnique/>
      </w:docPartObj>
    </w:sdtPr>
    <w:sdtEndPr>
      <w:rPr>
        <w:noProof/>
      </w:rPr>
    </w:sdtEndPr>
    <w:sdtContent>
      <w:p w14:paraId="643619BF" w14:textId="30E5BE4A" w:rsidR="00046838" w:rsidRDefault="00046838" w:rsidP="00890E34">
        <w:pPr>
          <w:pStyle w:val="Footer"/>
          <w:ind w:right="403"/>
          <w:jc w:val="right"/>
        </w:pPr>
        <w:r>
          <w:rPr>
            <w:noProof/>
            <w:lang w:eastAsia="en-AU"/>
          </w:rPr>
          <w:drawing>
            <wp:anchor distT="0" distB="0" distL="114300" distR="114300" simplePos="0" relativeHeight="251659264" behindDoc="1" locked="0" layoutInCell="1" allowOverlap="1" wp14:anchorId="2F3D67FD" wp14:editId="59193EA3">
              <wp:simplePos x="0" y="0"/>
              <wp:positionH relativeFrom="column">
                <wp:posOffset>-904875</wp:posOffset>
              </wp:positionH>
              <wp:positionV relativeFrom="paragraph">
                <wp:posOffset>170180</wp:posOffset>
              </wp:positionV>
              <wp:extent cx="7624445" cy="63627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B7582">
          <w:rPr>
            <w:noProof/>
          </w:rPr>
          <w:t>3</w:t>
        </w:r>
        <w:r>
          <w:rPr>
            <w:noProof/>
          </w:rPr>
          <w:fldChar w:fldCharType="end"/>
        </w:r>
      </w:p>
    </w:sdtContent>
  </w:sdt>
  <w:p w14:paraId="26A5DDFE" w14:textId="551D0EAD" w:rsidR="00046838" w:rsidRDefault="00046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BB826" w14:textId="1FC2589C" w:rsidR="00914337" w:rsidRDefault="00914337">
    <w:pPr>
      <w:pStyle w:val="Footer"/>
      <w:jc w:val="right"/>
    </w:pPr>
    <w:r>
      <w:rPr>
        <w:noProof/>
        <w:lang w:eastAsia="en-AU"/>
      </w:rPr>
      <w:drawing>
        <wp:anchor distT="0" distB="0" distL="114300" distR="114300" simplePos="0" relativeHeight="251663360" behindDoc="1" locked="0" layoutInCell="1" allowOverlap="1" wp14:anchorId="3CCE2843" wp14:editId="3884DDEA">
          <wp:simplePos x="0" y="0"/>
          <wp:positionH relativeFrom="column">
            <wp:posOffset>-904875</wp:posOffset>
          </wp:positionH>
          <wp:positionV relativeFrom="paragraph">
            <wp:posOffset>170180</wp:posOffset>
          </wp:positionV>
          <wp:extent cx="7624445" cy="636270"/>
          <wp:effectExtent l="0" t="0" r="0" b="0"/>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B7582">
      <w:rPr>
        <w:noProof/>
      </w:rPr>
      <w:t>1</w:t>
    </w:r>
    <w:r>
      <w:rPr>
        <w:noProof/>
      </w:rPr>
      <w:fldChar w:fldCharType="end"/>
    </w:r>
  </w:p>
  <w:p w14:paraId="055144A8" w14:textId="37BC3581" w:rsidR="00914337" w:rsidRDefault="0091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76903" w14:textId="77777777" w:rsidR="008F2ED4" w:rsidRDefault="008F2ED4" w:rsidP="00717D10">
      <w:pPr>
        <w:spacing w:after="0" w:line="240" w:lineRule="auto"/>
      </w:pPr>
      <w:r>
        <w:separator/>
      </w:r>
    </w:p>
  </w:footnote>
  <w:footnote w:type="continuationSeparator" w:id="0">
    <w:p w14:paraId="393FB081" w14:textId="77777777" w:rsidR="008F2ED4" w:rsidRDefault="008F2ED4" w:rsidP="00717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E0D5" w14:textId="3797B21F" w:rsidR="00054523" w:rsidRDefault="00054523"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08B" w14:textId="090E588E" w:rsidR="000D737E" w:rsidRPr="000D737E" w:rsidRDefault="000D737E" w:rsidP="000D737E">
    <w:pPr>
      <w:pStyle w:val="Header"/>
      <w:ind w:hanging="1418"/>
    </w:pPr>
    <w:r>
      <w:rPr>
        <w:noProof/>
        <w:lang w:eastAsia="en-AU"/>
      </w:rPr>
      <w:drawing>
        <wp:inline distT="0" distB="0" distL="0" distR="0" wp14:anchorId="5E9BE171" wp14:editId="35D57451">
          <wp:extent cx="7559675" cy="878205"/>
          <wp:effectExtent l="0" t="0" r="3175" b="0"/>
          <wp:docPr id="4" name="Picture 4" descr="Australian Government logo and VET Student Lo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DC6"/>
    <w:multiLevelType w:val="multilevel"/>
    <w:tmpl w:val="B6B4ACE8"/>
    <w:lvl w:ilvl="0">
      <w:start w:val="1"/>
      <w:numFmt w:val="decimal"/>
      <w:lvlText w:val="%1."/>
      <w:lvlJc w:val="left"/>
      <w:pPr>
        <w:ind w:left="360" w:hanging="360"/>
      </w:pPr>
      <w:rPr>
        <w:rFonts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34A96A34"/>
    <w:multiLevelType w:val="multilevel"/>
    <w:tmpl w:val="1DD82DA6"/>
    <w:name w:val="List number3"/>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97F783F"/>
    <w:multiLevelType w:val="hybridMultilevel"/>
    <w:tmpl w:val="C90C6FC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A091EE2"/>
    <w:multiLevelType w:val="hybridMultilevel"/>
    <w:tmpl w:val="D1CE4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0732AD"/>
    <w:multiLevelType w:val="multilevel"/>
    <w:tmpl w:val="F6DA8B36"/>
    <w:styleLink w:val="NumberedList1"/>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15:restartNumberingAfterBreak="0">
    <w:nsid w:val="46CE10E1"/>
    <w:multiLevelType w:val="hybridMultilevel"/>
    <w:tmpl w:val="69B81E76"/>
    <w:lvl w:ilvl="0" w:tplc="97A048F6">
      <w:numFmt w:val="bullet"/>
      <w:lvlText w:val="-"/>
      <w:lvlJc w:val="left"/>
      <w:pPr>
        <w:ind w:left="1097" w:hanging="360"/>
      </w:pPr>
      <w:rPr>
        <w:rFonts w:ascii="Calibri" w:eastAsia="Calibri" w:hAnsi="Calibri" w:cs="Calibri" w:hint="default"/>
      </w:rPr>
    </w:lvl>
    <w:lvl w:ilvl="1" w:tplc="0C090003" w:tentative="1">
      <w:start w:val="1"/>
      <w:numFmt w:val="bullet"/>
      <w:lvlText w:val="o"/>
      <w:lvlJc w:val="left"/>
      <w:pPr>
        <w:ind w:left="1817" w:hanging="360"/>
      </w:pPr>
      <w:rPr>
        <w:rFonts w:ascii="Courier New" w:hAnsi="Courier New" w:cs="Courier New" w:hint="default"/>
      </w:rPr>
    </w:lvl>
    <w:lvl w:ilvl="2" w:tplc="0C090005" w:tentative="1">
      <w:start w:val="1"/>
      <w:numFmt w:val="bullet"/>
      <w:lvlText w:val=""/>
      <w:lvlJc w:val="left"/>
      <w:pPr>
        <w:ind w:left="2537" w:hanging="360"/>
      </w:pPr>
      <w:rPr>
        <w:rFonts w:ascii="Wingdings" w:hAnsi="Wingdings" w:hint="default"/>
      </w:rPr>
    </w:lvl>
    <w:lvl w:ilvl="3" w:tplc="0C090001" w:tentative="1">
      <w:start w:val="1"/>
      <w:numFmt w:val="bullet"/>
      <w:lvlText w:val=""/>
      <w:lvlJc w:val="left"/>
      <w:pPr>
        <w:ind w:left="3257" w:hanging="360"/>
      </w:pPr>
      <w:rPr>
        <w:rFonts w:ascii="Symbol" w:hAnsi="Symbol" w:hint="default"/>
      </w:rPr>
    </w:lvl>
    <w:lvl w:ilvl="4" w:tplc="0C090003" w:tentative="1">
      <w:start w:val="1"/>
      <w:numFmt w:val="bullet"/>
      <w:lvlText w:val="o"/>
      <w:lvlJc w:val="left"/>
      <w:pPr>
        <w:ind w:left="3977" w:hanging="360"/>
      </w:pPr>
      <w:rPr>
        <w:rFonts w:ascii="Courier New" w:hAnsi="Courier New" w:cs="Courier New" w:hint="default"/>
      </w:rPr>
    </w:lvl>
    <w:lvl w:ilvl="5" w:tplc="0C090005" w:tentative="1">
      <w:start w:val="1"/>
      <w:numFmt w:val="bullet"/>
      <w:lvlText w:val=""/>
      <w:lvlJc w:val="left"/>
      <w:pPr>
        <w:ind w:left="4697" w:hanging="360"/>
      </w:pPr>
      <w:rPr>
        <w:rFonts w:ascii="Wingdings" w:hAnsi="Wingdings" w:hint="default"/>
      </w:rPr>
    </w:lvl>
    <w:lvl w:ilvl="6" w:tplc="0C090001" w:tentative="1">
      <w:start w:val="1"/>
      <w:numFmt w:val="bullet"/>
      <w:lvlText w:val=""/>
      <w:lvlJc w:val="left"/>
      <w:pPr>
        <w:ind w:left="5417" w:hanging="360"/>
      </w:pPr>
      <w:rPr>
        <w:rFonts w:ascii="Symbol" w:hAnsi="Symbol" w:hint="default"/>
      </w:rPr>
    </w:lvl>
    <w:lvl w:ilvl="7" w:tplc="0C090003" w:tentative="1">
      <w:start w:val="1"/>
      <w:numFmt w:val="bullet"/>
      <w:lvlText w:val="o"/>
      <w:lvlJc w:val="left"/>
      <w:pPr>
        <w:ind w:left="6137" w:hanging="360"/>
      </w:pPr>
      <w:rPr>
        <w:rFonts w:ascii="Courier New" w:hAnsi="Courier New" w:cs="Courier New" w:hint="default"/>
      </w:rPr>
    </w:lvl>
    <w:lvl w:ilvl="8" w:tplc="0C090005" w:tentative="1">
      <w:start w:val="1"/>
      <w:numFmt w:val="bullet"/>
      <w:lvlText w:val=""/>
      <w:lvlJc w:val="left"/>
      <w:pPr>
        <w:ind w:left="6857" w:hanging="360"/>
      </w:pPr>
      <w:rPr>
        <w:rFonts w:ascii="Wingdings" w:hAnsi="Wingdings" w:hint="default"/>
      </w:rPr>
    </w:lvl>
  </w:abstractNum>
  <w:abstractNum w:abstractNumId="9" w15:restartNumberingAfterBreak="0">
    <w:nsid w:val="4F314F20"/>
    <w:multiLevelType w:val="hybridMultilevel"/>
    <w:tmpl w:val="7EEC96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51B73210"/>
    <w:multiLevelType w:val="multilevel"/>
    <w:tmpl w:val="2C4CE3A4"/>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713A20C8"/>
    <w:multiLevelType w:val="multilevel"/>
    <w:tmpl w:val="34DA02C0"/>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74B47C5B"/>
    <w:multiLevelType w:val="multilevel"/>
    <w:tmpl w:val="C752446A"/>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pStyle w:val="Style2"/>
      <w:lvlText w:val="o"/>
      <w:lvlJc w:val="left"/>
      <w:pPr>
        <w:ind w:left="1531" w:hanging="397"/>
      </w:pPr>
      <w:rPr>
        <w:rFonts w:ascii="Courier New" w:hAnsi="Courier New" w:cs="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51451E0"/>
    <w:multiLevelType w:val="hybridMultilevel"/>
    <w:tmpl w:val="69A8B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0E53D4"/>
    <w:multiLevelType w:val="multilevel"/>
    <w:tmpl w:val="9D9E4B96"/>
    <w:styleLink w:val="BulletList1"/>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069065447">
    <w:abstractNumId w:val="3"/>
  </w:num>
  <w:num w:numId="2" w16cid:durableId="206527133">
    <w:abstractNumId w:val="11"/>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3" w16cid:durableId="1727878081">
    <w:abstractNumId w:val="11"/>
  </w:num>
  <w:num w:numId="4" w16cid:durableId="1827821462">
    <w:abstractNumId w:val="7"/>
  </w:num>
  <w:num w:numId="5" w16cid:durableId="1028144902">
    <w:abstractNumId w:val="14"/>
  </w:num>
  <w:num w:numId="6" w16cid:durableId="909849026">
    <w:abstractNumId w:val="12"/>
  </w:num>
  <w:num w:numId="7" w16cid:durableId="563032685">
    <w:abstractNumId w:val="9"/>
  </w:num>
  <w:num w:numId="8" w16cid:durableId="1189492489">
    <w:abstractNumId w:val="5"/>
  </w:num>
  <w:num w:numId="9" w16cid:durableId="1483502820">
    <w:abstractNumId w:val="13"/>
  </w:num>
  <w:num w:numId="10" w16cid:durableId="611324544">
    <w:abstractNumId w:val="11"/>
    <w:lvlOverride w:ilvl="0">
      <w:lvl w:ilvl="0">
        <w:start w:val="1"/>
        <w:numFmt w:val="decimal"/>
        <w:pStyle w:val="Style1"/>
        <w:lvlText w:val=""/>
        <w:lvlJc w:val="left"/>
        <w:pPr>
          <w:ind w:left="360" w:hanging="360"/>
        </w:pPr>
        <w:rPr>
          <w:rFonts w:ascii="Symbol" w:hAnsi="Symbol" w:hint="default"/>
        </w:rPr>
      </w:lvl>
    </w:lvlOverride>
    <w:lvlOverride w:ilvl="1">
      <w:lvl w:ilvl="1">
        <w:start w:val="1"/>
        <w:numFmt w:val="decimal"/>
        <w:pStyle w:val="ListBullet2"/>
        <w:lvlText w:val=""/>
        <w:lvlJc w:val="left"/>
        <w:pPr>
          <w:ind w:left="737" w:hanging="340"/>
        </w:pPr>
        <w:rPr>
          <w:rFonts w:ascii="Symbol" w:hAnsi="Symbol" w:hint="default"/>
          <w:color w:val="auto"/>
        </w:rPr>
      </w:lvl>
    </w:lvlOverride>
    <w:lvlOverride w:ilvl="2">
      <w:lvl w:ilvl="2">
        <w:start w:val="1"/>
        <w:numFmt w:val="decimal"/>
        <w:pStyle w:val="ListBullet3"/>
        <w:lvlText w:val=""/>
        <w:lvlJc w:val="left"/>
        <w:pPr>
          <w:ind w:left="1134" w:hanging="340"/>
        </w:pPr>
        <w:rPr>
          <w:rFonts w:ascii="Wingdings" w:hAnsi="Wingdings" w:hint="default"/>
          <w:color w:val="auto"/>
        </w:rPr>
      </w:lvl>
    </w:lvlOverride>
    <w:lvlOverride w:ilvl="3">
      <w:lvl w:ilvl="3">
        <w:start w:val="1"/>
        <w:numFmt w:val="decimal"/>
        <w:pStyle w:val="ListBullet4"/>
        <w:lvlText w:val="o"/>
        <w:lvlJc w:val="left"/>
        <w:pPr>
          <w:ind w:left="1531" w:hanging="397"/>
        </w:pPr>
        <w:rPr>
          <w:rFonts w:ascii="Courier New" w:hAnsi="Courier New" w:cs="Times New Roman" w:hint="default"/>
        </w:rPr>
      </w:lvl>
    </w:lvlOverride>
    <w:lvlOverride w:ilvl="4">
      <w:lvl w:ilvl="4">
        <w:start w:val="1"/>
        <w:numFmt w:val="decimal"/>
        <w:pStyle w:val="ListBullet5"/>
        <w:lvlText w:val="o"/>
        <w:lvlJc w:val="left"/>
        <w:pPr>
          <w:ind w:left="3240" w:hanging="360"/>
        </w:pPr>
        <w:rPr>
          <w:rFonts w:ascii="Courier New" w:hAnsi="Courier New" w:cs="Times New Roman" w:hint="default"/>
        </w:rPr>
      </w:lvl>
    </w:lvlOverride>
    <w:lvlOverride w:ilvl="5">
      <w:lvl w:ilvl="5">
        <w:start w:val="1"/>
        <w:numFmt w:val="decimal"/>
        <w:lvlText w:val=""/>
        <w:lvlJc w:val="left"/>
        <w:pPr>
          <w:ind w:left="3960" w:hanging="360"/>
        </w:pPr>
        <w:rPr>
          <w:rFonts w:ascii="Wingdings" w:hAnsi="Wingdings" w:hint="default"/>
        </w:rPr>
      </w:lvl>
    </w:lvlOverride>
    <w:lvlOverride w:ilvl="6">
      <w:lvl w:ilvl="6">
        <w:start w:val="1"/>
        <w:numFmt w:val="decimal"/>
        <w:lvlText w:val=""/>
        <w:lvlJc w:val="left"/>
        <w:pPr>
          <w:ind w:left="4680" w:hanging="360"/>
        </w:pPr>
        <w:rPr>
          <w:rFonts w:ascii="Symbol" w:hAnsi="Symbol" w:hint="default"/>
        </w:rPr>
      </w:lvl>
    </w:lvlOverride>
    <w:lvlOverride w:ilvl="7">
      <w:lvl w:ilvl="7">
        <w:start w:val="1"/>
        <w:numFmt w:val="decimal"/>
        <w:lvlText w:val="o"/>
        <w:lvlJc w:val="left"/>
        <w:pPr>
          <w:ind w:left="5400" w:hanging="360"/>
        </w:pPr>
        <w:rPr>
          <w:rFonts w:ascii="Courier New" w:hAnsi="Courier New" w:cs="Courier New" w:hint="default"/>
        </w:rPr>
      </w:lvl>
    </w:lvlOverride>
    <w:lvlOverride w:ilvl="8">
      <w:lvl w:ilvl="8">
        <w:start w:val="1"/>
        <w:numFmt w:val="decimal"/>
        <w:lvlText w:val=""/>
        <w:lvlJc w:val="left"/>
        <w:pPr>
          <w:ind w:left="6120" w:hanging="360"/>
        </w:pPr>
        <w:rPr>
          <w:rFonts w:ascii="Wingdings" w:hAnsi="Wingdings" w:hint="default"/>
        </w:rPr>
      </w:lvl>
    </w:lvlOverride>
  </w:num>
  <w:num w:numId="11" w16cid:durableId="2022731278">
    <w:abstractNumId w:val="8"/>
  </w:num>
  <w:num w:numId="12" w16cid:durableId="88812342">
    <w:abstractNumId w:val="12"/>
  </w:num>
  <w:num w:numId="13" w16cid:durableId="285477154">
    <w:abstractNumId w:val="0"/>
  </w:num>
  <w:num w:numId="14" w16cid:durableId="596063993">
    <w:abstractNumId w:val="12"/>
  </w:num>
  <w:num w:numId="15" w16cid:durableId="754134632">
    <w:abstractNumId w:val="6"/>
  </w:num>
  <w:num w:numId="16" w16cid:durableId="92341354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2D9"/>
    <w:rsid w:val="0000260F"/>
    <w:rsid w:val="000132FF"/>
    <w:rsid w:val="00017EB3"/>
    <w:rsid w:val="00020409"/>
    <w:rsid w:val="000336AA"/>
    <w:rsid w:val="000433E3"/>
    <w:rsid w:val="00046838"/>
    <w:rsid w:val="00047268"/>
    <w:rsid w:val="0005346E"/>
    <w:rsid w:val="00054523"/>
    <w:rsid w:val="000551A9"/>
    <w:rsid w:val="0006240C"/>
    <w:rsid w:val="00080973"/>
    <w:rsid w:val="000947EF"/>
    <w:rsid w:val="000B70D8"/>
    <w:rsid w:val="000C3A7B"/>
    <w:rsid w:val="000D737E"/>
    <w:rsid w:val="000E4203"/>
    <w:rsid w:val="000E521B"/>
    <w:rsid w:val="000E750E"/>
    <w:rsid w:val="00121857"/>
    <w:rsid w:val="0013519E"/>
    <w:rsid w:val="00140C23"/>
    <w:rsid w:val="00143525"/>
    <w:rsid w:val="0014683D"/>
    <w:rsid w:val="001548DE"/>
    <w:rsid w:val="00162AFA"/>
    <w:rsid w:val="001670E5"/>
    <w:rsid w:val="00167F1A"/>
    <w:rsid w:val="0017080A"/>
    <w:rsid w:val="00175452"/>
    <w:rsid w:val="00175F89"/>
    <w:rsid w:val="001772DA"/>
    <w:rsid w:val="00180741"/>
    <w:rsid w:val="00184F61"/>
    <w:rsid w:val="001907B3"/>
    <w:rsid w:val="00193491"/>
    <w:rsid w:val="00196255"/>
    <w:rsid w:val="001A1304"/>
    <w:rsid w:val="001A5DB0"/>
    <w:rsid w:val="001B0AF9"/>
    <w:rsid w:val="001C7214"/>
    <w:rsid w:val="002031D4"/>
    <w:rsid w:val="00220B73"/>
    <w:rsid w:val="002273CB"/>
    <w:rsid w:val="002405D1"/>
    <w:rsid w:val="0024416C"/>
    <w:rsid w:val="00262CA5"/>
    <w:rsid w:val="002703E9"/>
    <w:rsid w:val="00275A73"/>
    <w:rsid w:val="00282D66"/>
    <w:rsid w:val="0028361F"/>
    <w:rsid w:val="00290E36"/>
    <w:rsid w:val="002A1074"/>
    <w:rsid w:val="002A7DF2"/>
    <w:rsid w:val="002B5155"/>
    <w:rsid w:val="002D6E56"/>
    <w:rsid w:val="002D7757"/>
    <w:rsid w:val="002E3F38"/>
    <w:rsid w:val="00304F5B"/>
    <w:rsid w:val="00330F75"/>
    <w:rsid w:val="0033585A"/>
    <w:rsid w:val="003515EB"/>
    <w:rsid w:val="00360C4F"/>
    <w:rsid w:val="00361CB5"/>
    <w:rsid w:val="00365347"/>
    <w:rsid w:val="00372C0B"/>
    <w:rsid w:val="0037677E"/>
    <w:rsid w:val="0037716C"/>
    <w:rsid w:val="00377A2B"/>
    <w:rsid w:val="00385010"/>
    <w:rsid w:val="00392B02"/>
    <w:rsid w:val="003A208A"/>
    <w:rsid w:val="003C6D21"/>
    <w:rsid w:val="003E612E"/>
    <w:rsid w:val="003E65A1"/>
    <w:rsid w:val="003F1487"/>
    <w:rsid w:val="003F3F2A"/>
    <w:rsid w:val="00410BF3"/>
    <w:rsid w:val="00413ABE"/>
    <w:rsid w:val="00414E8E"/>
    <w:rsid w:val="004152BF"/>
    <w:rsid w:val="00420C97"/>
    <w:rsid w:val="00435CCF"/>
    <w:rsid w:val="004376BC"/>
    <w:rsid w:val="00437A72"/>
    <w:rsid w:val="00445099"/>
    <w:rsid w:val="0045406A"/>
    <w:rsid w:val="0046524D"/>
    <w:rsid w:val="00484506"/>
    <w:rsid w:val="004A7E2B"/>
    <w:rsid w:val="004B19A8"/>
    <w:rsid w:val="004C14E3"/>
    <w:rsid w:val="004D1265"/>
    <w:rsid w:val="004F078A"/>
    <w:rsid w:val="004F6B11"/>
    <w:rsid w:val="004F7003"/>
    <w:rsid w:val="00503ACC"/>
    <w:rsid w:val="005059B9"/>
    <w:rsid w:val="005137E4"/>
    <w:rsid w:val="00523A24"/>
    <w:rsid w:val="00524D06"/>
    <w:rsid w:val="005322A5"/>
    <w:rsid w:val="00542571"/>
    <w:rsid w:val="00544B55"/>
    <w:rsid w:val="005460E4"/>
    <w:rsid w:val="00546E3A"/>
    <w:rsid w:val="005501D9"/>
    <w:rsid w:val="00553320"/>
    <w:rsid w:val="0055606F"/>
    <w:rsid w:val="00557FC4"/>
    <w:rsid w:val="005615CD"/>
    <w:rsid w:val="00562F11"/>
    <w:rsid w:val="00570092"/>
    <w:rsid w:val="0057205A"/>
    <w:rsid w:val="00574578"/>
    <w:rsid w:val="00584771"/>
    <w:rsid w:val="00584A1F"/>
    <w:rsid w:val="005970B7"/>
    <w:rsid w:val="005A03AC"/>
    <w:rsid w:val="005A04D7"/>
    <w:rsid w:val="005C2230"/>
    <w:rsid w:val="005C26D5"/>
    <w:rsid w:val="005E2F2B"/>
    <w:rsid w:val="005E4E2B"/>
    <w:rsid w:val="005E5CEC"/>
    <w:rsid w:val="0061168D"/>
    <w:rsid w:val="00611F24"/>
    <w:rsid w:val="0061224D"/>
    <w:rsid w:val="00621C9E"/>
    <w:rsid w:val="006268F4"/>
    <w:rsid w:val="00631B04"/>
    <w:rsid w:val="0063585A"/>
    <w:rsid w:val="00640B91"/>
    <w:rsid w:val="006417AB"/>
    <w:rsid w:val="00646543"/>
    <w:rsid w:val="0065092C"/>
    <w:rsid w:val="00651D5D"/>
    <w:rsid w:val="00657C0D"/>
    <w:rsid w:val="00670321"/>
    <w:rsid w:val="006716C7"/>
    <w:rsid w:val="0067504D"/>
    <w:rsid w:val="0069369D"/>
    <w:rsid w:val="00693728"/>
    <w:rsid w:val="00695771"/>
    <w:rsid w:val="006A4C1F"/>
    <w:rsid w:val="006B7CD5"/>
    <w:rsid w:val="006B7D35"/>
    <w:rsid w:val="006C3C1B"/>
    <w:rsid w:val="006C5975"/>
    <w:rsid w:val="006C6F84"/>
    <w:rsid w:val="006D18FD"/>
    <w:rsid w:val="006D606B"/>
    <w:rsid w:val="006E203A"/>
    <w:rsid w:val="006F2358"/>
    <w:rsid w:val="006F672D"/>
    <w:rsid w:val="006F6A03"/>
    <w:rsid w:val="007042B0"/>
    <w:rsid w:val="007074C7"/>
    <w:rsid w:val="007118DD"/>
    <w:rsid w:val="007157A2"/>
    <w:rsid w:val="00717D10"/>
    <w:rsid w:val="00720894"/>
    <w:rsid w:val="00721990"/>
    <w:rsid w:val="00737BDD"/>
    <w:rsid w:val="00745195"/>
    <w:rsid w:val="00751AB3"/>
    <w:rsid w:val="00757B36"/>
    <w:rsid w:val="00761D35"/>
    <w:rsid w:val="00767740"/>
    <w:rsid w:val="00770C97"/>
    <w:rsid w:val="00784226"/>
    <w:rsid w:val="00785AB7"/>
    <w:rsid w:val="00786A10"/>
    <w:rsid w:val="0079403A"/>
    <w:rsid w:val="007B7FF0"/>
    <w:rsid w:val="007C2896"/>
    <w:rsid w:val="007D0AC4"/>
    <w:rsid w:val="007E6FC5"/>
    <w:rsid w:val="008009EB"/>
    <w:rsid w:val="008020E0"/>
    <w:rsid w:val="00803E57"/>
    <w:rsid w:val="008072B0"/>
    <w:rsid w:val="008105C5"/>
    <w:rsid w:val="00815FAA"/>
    <w:rsid w:val="00835275"/>
    <w:rsid w:val="0083572F"/>
    <w:rsid w:val="008501FB"/>
    <w:rsid w:val="008579D5"/>
    <w:rsid w:val="00863669"/>
    <w:rsid w:val="008706AD"/>
    <w:rsid w:val="0088046D"/>
    <w:rsid w:val="0088518B"/>
    <w:rsid w:val="00890E34"/>
    <w:rsid w:val="008952F9"/>
    <w:rsid w:val="008B09A1"/>
    <w:rsid w:val="008B354E"/>
    <w:rsid w:val="008B49BB"/>
    <w:rsid w:val="008C30D9"/>
    <w:rsid w:val="008C3655"/>
    <w:rsid w:val="008C517C"/>
    <w:rsid w:val="008C63CD"/>
    <w:rsid w:val="008C6EEF"/>
    <w:rsid w:val="008D1BDB"/>
    <w:rsid w:val="008D3A68"/>
    <w:rsid w:val="008D7570"/>
    <w:rsid w:val="008E2742"/>
    <w:rsid w:val="008F1C48"/>
    <w:rsid w:val="008F2C78"/>
    <w:rsid w:val="008F2ED4"/>
    <w:rsid w:val="008F4341"/>
    <w:rsid w:val="008F4EAC"/>
    <w:rsid w:val="00914337"/>
    <w:rsid w:val="009146FB"/>
    <w:rsid w:val="00916D6B"/>
    <w:rsid w:val="00917B95"/>
    <w:rsid w:val="00917FC3"/>
    <w:rsid w:val="0093752D"/>
    <w:rsid w:val="00947BB5"/>
    <w:rsid w:val="0095275B"/>
    <w:rsid w:val="009546E4"/>
    <w:rsid w:val="0096078A"/>
    <w:rsid w:val="009766AA"/>
    <w:rsid w:val="00995C84"/>
    <w:rsid w:val="009A0F6D"/>
    <w:rsid w:val="009C2C1A"/>
    <w:rsid w:val="009C32E8"/>
    <w:rsid w:val="009D1143"/>
    <w:rsid w:val="009D4CB6"/>
    <w:rsid w:val="009E16D2"/>
    <w:rsid w:val="009E6270"/>
    <w:rsid w:val="009F0884"/>
    <w:rsid w:val="00A34110"/>
    <w:rsid w:val="00A66BF8"/>
    <w:rsid w:val="00A67229"/>
    <w:rsid w:val="00A76D8E"/>
    <w:rsid w:val="00A81718"/>
    <w:rsid w:val="00A8428A"/>
    <w:rsid w:val="00AC510E"/>
    <w:rsid w:val="00AC52BF"/>
    <w:rsid w:val="00AC630D"/>
    <w:rsid w:val="00AD172A"/>
    <w:rsid w:val="00AD179C"/>
    <w:rsid w:val="00AE0E21"/>
    <w:rsid w:val="00AE368B"/>
    <w:rsid w:val="00AE4E35"/>
    <w:rsid w:val="00AE5016"/>
    <w:rsid w:val="00AF0E0D"/>
    <w:rsid w:val="00AF1FE9"/>
    <w:rsid w:val="00AF5F7D"/>
    <w:rsid w:val="00B041B4"/>
    <w:rsid w:val="00B13FD1"/>
    <w:rsid w:val="00B20069"/>
    <w:rsid w:val="00B32714"/>
    <w:rsid w:val="00B33B7E"/>
    <w:rsid w:val="00B37D7F"/>
    <w:rsid w:val="00B436C7"/>
    <w:rsid w:val="00B45AA4"/>
    <w:rsid w:val="00B60F84"/>
    <w:rsid w:val="00B6139E"/>
    <w:rsid w:val="00B61BE5"/>
    <w:rsid w:val="00B646FA"/>
    <w:rsid w:val="00B676BC"/>
    <w:rsid w:val="00B761E8"/>
    <w:rsid w:val="00B81DA4"/>
    <w:rsid w:val="00B927FA"/>
    <w:rsid w:val="00B95CDA"/>
    <w:rsid w:val="00B96BDE"/>
    <w:rsid w:val="00BA5E54"/>
    <w:rsid w:val="00BB71D2"/>
    <w:rsid w:val="00BB7ECF"/>
    <w:rsid w:val="00BC1E8B"/>
    <w:rsid w:val="00BC43F7"/>
    <w:rsid w:val="00BD156E"/>
    <w:rsid w:val="00BD7BBF"/>
    <w:rsid w:val="00BF190E"/>
    <w:rsid w:val="00C13816"/>
    <w:rsid w:val="00C1418C"/>
    <w:rsid w:val="00C14DFC"/>
    <w:rsid w:val="00C2679F"/>
    <w:rsid w:val="00C276AA"/>
    <w:rsid w:val="00C4523E"/>
    <w:rsid w:val="00C61BD2"/>
    <w:rsid w:val="00C6768B"/>
    <w:rsid w:val="00C76EAA"/>
    <w:rsid w:val="00C90F7B"/>
    <w:rsid w:val="00C94B80"/>
    <w:rsid w:val="00CA18E6"/>
    <w:rsid w:val="00CA3FA5"/>
    <w:rsid w:val="00CA50A9"/>
    <w:rsid w:val="00CA5802"/>
    <w:rsid w:val="00CA5EAE"/>
    <w:rsid w:val="00CB43E3"/>
    <w:rsid w:val="00CC432C"/>
    <w:rsid w:val="00CF7CD6"/>
    <w:rsid w:val="00D10F2D"/>
    <w:rsid w:val="00D35E56"/>
    <w:rsid w:val="00D42935"/>
    <w:rsid w:val="00D5005E"/>
    <w:rsid w:val="00D510D1"/>
    <w:rsid w:val="00D56AB9"/>
    <w:rsid w:val="00D57909"/>
    <w:rsid w:val="00D60CDA"/>
    <w:rsid w:val="00D74B04"/>
    <w:rsid w:val="00D82EEB"/>
    <w:rsid w:val="00D84357"/>
    <w:rsid w:val="00D84540"/>
    <w:rsid w:val="00D90E35"/>
    <w:rsid w:val="00DA07EE"/>
    <w:rsid w:val="00DA0C29"/>
    <w:rsid w:val="00DA41F0"/>
    <w:rsid w:val="00DA5547"/>
    <w:rsid w:val="00DA5BBB"/>
    <w:rsid w:val="00DA76B2"/>
    <w:rsid w:val="00DB047E"/>
    <w:rsid w:val="00DC63A6"/>
    <w:rsid w:val="00DC72C8"/>
    <w:rsid w:val="00DD40C8"/>
    <w:rsid w:val="00DF254A"/>
    <w:rsid w:val="00DF2CC9"/>
    <w:rsid w:val="00E03469"/>
    <w:rsid w:val="00E06497"/>
    <w:rsid w:val="00E17D24"/>
    <w:rsid w:val="00E2221D"/>
    <w:rsid w:val="00E31F02"/>
    <w:rsid w:val="00E367DC"/>
    <w:rsid w:val="00E4664A"/>
    <w:rsid w:val="00E47869"/>
    <w:rsid w:val="00E53AC1"/>
    <w:rsid w:val="00E55A89"/>
    <w:rsid w:val="00E80D5C"/>
    <w:rsid w:val="00E86FFA"/>
    <w:rsid w:val="00E924D9"/>
    <w:rsid w:val="00E9362D"/>
    <w:rsid w:val="00E95EAA"/>
    <w:rsid w:val="00EB4B48"/>
    <w:rsid w:val="00EB7582"/>
    <w:rsid w:val="00EB7F70"/>
    <w:rsid w:val="00ED1175"/>
    <w:rsid w:val="00F06CDB"/>
    <w:rsid w:val="00F078BC"/>
    <w:rsid w:val="00F07BF6"/>
    <w:rsid w:val="00F1511C"/>
    <w:rsid w:val="00F20EA5"/>
    <w:rsid w:val="00F23E2C"/>
    <w:rsid w:val="00F44260"/>
    <w:rsid w:val="00F52089"/>
    <w:rsid w:val="00F62EBA"/>
    <w:rsid w:val="00F7456A"/>
    <w:rsid w:val="00F7636D"/>
    <w:rsid w:val="00F802B7"/>
    <w:rsid w:val="00F80AE2"/>
    <w:rsid w:val="00F948F8"/>
    <w:rsid w:val="00F94EF0"/>
    <w:rsid w:val="00F95A59"/>
    <w:rsid w:val="00F97231"/>
    <w:rsid w:val="00FA3427"/>
    <w:rsid w:val="00FB619D"/>
    <w:rsid w:val="00FD236D"/>
    <w:rsid w:val="00FD565E"/>
    <w:rsid w:val="00FF031B"/>
    <w:rsid w:val="00FF18FD"/>
    <w:rsid w:val="00FF1DBC"/>
    <w:rsid w:val="00FF4353"/>
    <w:rsid w:val="00FF6995"/>
    <w:rsid w:val="04B4EF86"/>
    <w:rsid w:val="0C0064D5"/>
    <w:rsid w:val="2E0C1AEE"/>
    <w:rsid w:val="36C98749"/>
    <w:rsid w:val="723D37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A1"/>
    <w:pPr>
      <w:spacing w:after="200" w:line="276" w:lineRule="auto"/>
    </w:pPr>
  </w:style>
  <w:style w:type="paragraph" w:styleId="Heading1">
    <w:name w:val="heading 1"/>
    <w:basedOn w:val="Normal"/>
    <w:next w:val="Normal"/>
    <w:link w:val="Heading1Char"/>
    <w:uiPriority w:val="2"/>
    <w:qFormat/>
    <w:rsid w:val="005A03AC"/>
    <w:pPr>
      <w:keepNext/>
      <w:keepLines/>
      <w:spacing w:before="240" w:after="0"/>
      <w:outlineLvl w:val="0"/>
    </w:pPr>
    <w:rPr>
      <w:rFonts w:eastAsiaTheme="majorEastAsia" w:cstheme="minorHAnsi"/>
      <w:color w:val="1E3D6B"/>
      <w:sz w:val="32"/>
      <w:szCs w:val="32"/>
    </w:rPr>
  </w:style>
  <w:style w:type="paragraph" w:styleId="Heading2">
    <w:name w:val="heading 2"/>
    <w:basedOn w:val="Normal"/>
    <w:next w:val="Normal"/>
    <w:link w:val="Heading2Char"/>
    <w:uiPriority w:val="9"/>
    <w:unhideWhenUsed/>
    <w:qFormat/>
    <w:rsid w:val="00C4523E"/>
    <w:pPr>
      <w:keepNext/>
      <w:keepLines/>
      <w:spacing w:before="40" w:after="0"/>
      <w:outlineLvl w:val="1"/>
    </w:pPr>
    <w:rPr>
      <w:rFonts w:eastAsiaTheme="majorEastAsia" w:cstheme="minorHAnsi"/>
      <w:color w:val="3367B3"/>
      <w:sz w:val="28"/>
      <w:szCs w:val="28"/>
    </w:rPr>
  </w:style>
  <w:style w:type="paragraph" w:styleId="Heading3">
    <w:name w:val="heading 3"/>
    <w:basedOn w:val="Normal"/>
    <w:next w:val="Normal"/>
    <w:link w:val="Heading3Char"/>
    <w:uiPriority w:val="2"/>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qFormat/>
    <w:rsid w:val="00C13816"/>
    <w:pPr>
      <w:spacing w:before="240" w:after="0"/>
      <w:outlineLvl w:val="3"/>
    </w:pPr>
    <w:rPr>
      <w:rFonts w:ascii="Calibri" w:eastAsiaTheme="majorEastAsia" w:hAnsi="Calibri" w:cstheme="majorBidi"/>
      <w:bCs/>
      <w:iCs/>
      <w:sz w:val="28"/>
      <w:szCs w:val="28"/>
      <w14:ligatures w14:val="standard"/>
    </w:rPr>
  </w:style>
  <w:style w:type="paragraph" w:styleId="Heading5">
    <w:name w:val="heading 5"/>
    <w:basedOn w:val="Normal"/>
    <w:next w:val="Normal"/>
    <w:link w:val="Heading5Char"/>
    <w:uiPriority w:val="2"/>
    <w:qFormat/>
    <w:rsid w:val="00C13816"/>
    <w:pPr>
      <w:spacing w:before="200" w:after="0"/>
      <w:outlineLvl w:val="4"/>
    </w:pPr>
    <w:rPr>
      <w:rFonts w:ascii="Calibri" w:eastAsiaTheme="majorEastAsia" w:hAnsi="Calibri" w:cstheme="majorBidi"/>
      <w:b/>
      <w:bCs/>
      <w:color w:val="565656"/>
      <w:sz w:val="28"/>
      <w:szCs w:val="28"/>
      <w14:ligatures w14:val="standard"/>
    </w:rPr>
  </w:style>
  <w:style w:type="paragraph" w:styleId="Heading6">
    <w:name w:val="heading 6"/>
    <w:basedOn w:val="Normal"/>
    <w:next w:val="Normal"/>
    <w:link w:val="Heading6Char"/>
    <w:uiPriority w:val="2"/>
    <w:qFormat/>
    <w:rsid w:val="00C13816"/>
    <w:pPr>
      <w:spacing w:before="200" w:after="0"/>
      <w:outlineLvl w:val="5"/>
    </w:pPr>
    <w:rPr>
      <w:rFonts w:ascii="Calibri" w:eastAsiaTheme="majorEastAsia" w:hAnsi="Calibri" w:cstheme="majorBidi"/>
      <w:bCs/>
      <w:iCs/>
      <w:color w:val="565656"/>
      <w:sz w:val="24"/>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basedOn w:val="DefaultParagraphFont"/>
    <w:uiPriority w:val="99"/>
    <w:unhideWhenUsed/>
    <w:qFormat/>
    <w:rsid w:val="00D5005E"/>
    <w:rPr>
      <w:color w:val="0563C1" w:themeColor="hyperlink"/>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7"/>
    <w:qFormat/>
    <w:rsid w:val="00054523"/>
    <w:pPr>
      <w:spacing w:before="720" w:after="180" w:line="240" w:lineRule="auto"/>
      <w:contextualSpacing/>
    </w:pPr>
    <w:rPr>
      <w:rFonts w:ascii="Calibri" w:eastAsiaTheme="majorEastAsia" w:hAnsi="Calibri" w:cstheme="majorBidi"/>
      <w:noProof/>
      <w:color w:val="24206C"/>
      <w:spacing w:val="5"/>
      <w:kern w:val="28"/>
      <w:sz w:val="58"/>
      <w:szCs w:val="52"/>
    </w:rPr>
  </w:style>
  <w:style w:type="character" w:customStyle="1" w:styleId="TitleChar">
    <w:name w:val="Title Char"/>
    <w:basedOn w:val="DefaultParagraphFont"/>
    <w:link w:val="Title"/>
    <w:uiPriority w:val="7"/>
    <w:rsid w:val="00054523"/>
    <w:rPr>
      <w:rFonts w:ascii="Calibri" w:eastAsiaTheme="majorEastAsia" w:hAnsi="Calibri" w:cstheme="majorBidi"/>
      <w:noProof/>
      <w:color w:val="24206C"/>
      <w:spacing w:val="5"/>
      <w:kern w:val="28"/>
      <w:sz w:val="58"/>
      <w:szCs w:val="52"/>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11"/>
    <w:qFormat/>
    <w:rsid w:val="00C76EAA"/>
    <w:rPr>
      <w:b/>
      <w:bCs/>
    </w:rPr>
  </w:style>
  <w:style w:type="paragraph" w:styleId="ListNumber">
    <w:name w:val="List Number"/>
    <w:basedOn w:val="Normal"/>
    <w:uiPriority w:val="99"/>
    <w:unhideWhenUsed/>
    <w:qFormat/>
    <w:rsid w:val="00640B91"/>
    <w:pPr>
      <w:numPr>
        <w:numId w:val="1"/>
      </w:numPr>
      <w:spacing w:after="120"/>
      <w:contextualSpacing/>
    </w:pPr>
    <w:rPr>
      <w:rFonts w:ascii="Calibri" w:eastAsiaTheme="minorEastAsia" w:hAnsi="Calibri"/>
    </w:rPr>
  </w:style>
  <w:style w:type="paragraph" w:styleId="ListNumber2">
    <w:name w:val="List Number 2"/>
    <w:basedOn w:val="Normal"/>
    <w:uiPriority w:val="99"/>
    <w:unhideWhenUsed/>
    <w:qFormat/>
    <w:rsid w:val="00C76EAA"/>
    <w:pPr>
      <w:tabs>
        <w:tab w:val="left" w:pos="1134"/>
      </w:tabs>
      <w:spacing w:after="120"/>
      <w:contextualSpacing/>
    </w:pPr>
    <w:rPr>
      <w:rFonts w:eastAsiaTheme="minorEastAsia"/>
    </w:rPr>
  </w:style>
  <w:style w:type="paragraph" w:styleId="ListNumber3">
    <w:name w:val="List Number 3"/>
    <w:basedOn w:val="Normal"/>
    <w:uiPriority w:val="99"/>
    <w:qFormat/>
    <w:rsid w:val="00C76EAA"/>
    <w:pPr>
      <w:numPr>
        <w:ilvl w:val="2"/>
        <w:numId w:val="1"/>
      </w:numPr>
      <w:spacing w:after="120"/>
      <w:contextualSpacing/>
    </w:pPr>
    <w:rPr>
      <w:rFonts w:eastAsiaTheme="minorEastAsia"/>
    </w:rPr>
  </w:style>
  <w:style w:type="paragraph" w:styleId="ListNumber4">
    <w:name w:val="List Number 4"/>
    <w:basedOn w:val="Normal"/>
    <w:uiPriority w:val="99"/>
    <w:qFormat/>
    <w:rsid w:val="00C76EAA"/>
    <w:pPr>
      <w:numPr>
        <w:ilvl w:val="3"/>
        <w:numId w:val="1"/>
      </w:numPr>
      <w:spacing w:after="120"/>
      <w:contextualSpacing/>
    </w:pPr>
    <w:rPr>
      <w:rFonts w:eastAsiaTheme="minorEastAsia"/>
    </w:rPr>
  </w:style>
  <w:style w:type="numbering" w:customStyle="1" w:styleId="NumberedList">
    <w:name w:val="Numbered List"/>
    <w:uiPriority w:val="99"/>
    <w:rsid w:val="00C76EAA"/>
    <w:pPr>
      <w:numPr>
        <w:numId w:val="1"/>
      </w:numPr>
    </w:pPr>
  </w:style>
  <w:style w:type="paragraph" w:styleId="ListNumber5">
    <w:name w:val="List Number 5"/>
    <w:basedOn w:val="Normal"/>
    <w:uiPriority w:val="99"/>
    <w:semiHidden/>
    <w:rsid w:val="00C76EAA"/>
    <w:pPr>
      <w:numPr>
        <w:ilvl w:val="4"/>
        <w:numId w:val="1"/>
      </w:numPr>
      <w:contextualSpacing/>
    </w:pPr>
    <w:rPr>
      <w:rFonts w:eastAsiaTheme="minorEastAsia"/>
    </w:rPr>
  </w:style>
  <w:style w:type="paragraph" w:customStyle="1" w:styleId="Strongcolor">
    <w:name w:val="Strong color"/>
    <w:basedOn w:val="Normal"/>
    <w:link w:val="StrongcolorChar"/>
    <w:qFormat/>
    <w:rsid w:val="00C76EAA"/>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2"/>
    <w:rsid w:val="005A03AC"/>
    <w:rPr>
      <w:rFonts w:eastAsiaTheme="majorEastAsia" w:cstheme="minorHAnsi"/>
      <w:color w:val="1E3D6B"/>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Normal"/>
    <w:link w:val="ListBulletChar"/>
    <w:uiPriority w:val="99"/>
    <w:unhideWhenUsed/>
    <w:qFormat/>
    <w:rsid w:val="00A66BF8"/>
    <w:pPr>
      <w:spacing w:after="120"/>
      <w:contextualSpacing/>
    </w:pPr>
    <w:rPr>
      <w:rFonts w:ascii="Calibri" w:eastAsiaTheme="minorEastAsia" w:hAnsi="Calibri"/>
    </w:rPr>
  </w:style>
  <w:style w:type="paragraph" w:styleId="ListBullet2">
    <w:name w:val="List Bullet 2"/>
    <w:basedOn w:val="Normal"/>
    <w:link w:val="ListBullet2Char"/>
    <w:uiPriority w:val="99"/>
    <w:unhideWhenUsed/>
    <w:qFormat/>
    <w:rsid w:val="004F7003"/>
    <w:pPr>
      <w:numPr>
        <w:ilvl w:val="1"/>
        <w:numId w:val="2"/>
      </w:numPr>
      <w:spacing w:after="120"/>
      <w:contextualSpacing/>
    </w:pPr>
    <w:rPr>
      <w:rFonts w:eastAsiaTheme="minorEastAsia"/>
    </w:rPr>
  </w:style>
  <w:style w:type="paragraph" w:styleId="ListBullet3">
    <w:name w:val="List Bullet 3"/>
    <w:basedOn w:val="Normal"/>
    <w:link w:val="ListBullet3Char"/>
    <w:uiPriority w:val="99"/>
    <w:qFormat/>
    <w:rsid w:val="007D0AC4"/>
    <w:pPr>
      <w:numPr>
        <w:ilvl w:val="2"/>
        <w:numId w:val="2"/>
      </w:numPr>
      <w:spacing w:after="120"/>
      <w:ind w:left="1077"/>
      <w:contextualSpacing/>
    </w:pPr>
    <w:rPr>
      <w:rFonts w:eastAsiaTheme="minorEastAsia"/>
    </w:rPr>
  </w:style>
  <w:style w:type="paragraph" w:styleId="ListBullet4">
    <w:name w:val="List Bullet 4"/>
    <w:basedOn w:val="Normal"/>
    <w:link w:val="ListBullet4Char"/>
    <w:uiPriority w:val="99"/>
    <w:qFormat/>
    <w:rsid w:val="00F94EF0"/>
    <w:pPr>
      <w:numPr>
        <w:ilvl w:val="3"/>
        <w:numId w:val="2"/>
      </w:numPr>
      <w:spacing w:after="120"/>
      <w:ind w:left="1117"/>
      <w:contextualSpacing/>
    </w:pPr>
    <w:rPr>
      <w:rFonts w:eastAsiaTheme="minorEastAsia"/>
    </w:rPr>
  </w:style>
  <w:style w:type="numbering" w:customStyle="1" w:styleId="BulletList">
    <w:name w:val="Bullet List"/>
    <w:uiPriority w:val="99"/>
    <w:rsid w:val="004F7003"/>
    <w:pPr>
      <w:numPr>
        <w:numId w:val="3"/>
      </w:numPr>
    </w:pPr>
  </w:style>
  <w:style w:type="paragraph" w:styleId="ListBullet5">
    <w:name w:val="List Bullet 5"/>
    <w:basedOn w:val="Normal"/>
    <w:uiPriority w:val="99"/>
    <w:rsid w:val="004F7003"/>
    <w:pPr>
      <w:numPr>
        <w:ilvl w:val="4"/>
        <w:numId w:val="2"/>
      </w:numPr>
      <w:contextualSpacing/>
    </w:pPr>
    <w:rPr>
      <w:rFonts w:eastAsiaTheme="minorEastAsia"/>
    </w:rPr>
  </w:style>
  <w:style w:type="character" w:customStyle="1" w:styleId="Heading3Char">
    <w:name w:val="Heading 3 Char"/>
    <w:basedOn w:val="DefaultParagraphFont"/>
    <w:link w:val="Heading3"/>
    <w:uiPriority w:val="2"/>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9"/>
    <w:rsid w:val="00C4523E"/>
    <w:rPr>
      <w:rFonts w:eastAsiaTheme="majorEastAsia" w:cstheme="minorHAnsi"/>
      <w:color w:val="3367B3"/>
      <w:sz w:val="28"/>
      <w:szCs w:val="28"/>
    </w:rPr>
  </w:style>
  <w:style w:type="numbering" w:customStyle="1" w:styleId="NumberedList1">
    <w:name w:val="Numbered List1"/>
    <w:uiPriority w:val="99"/>
    <w:rsid w:val="00C13816"/>
    <w:pPr>
      <w:numPr>
        <w:numId w:val="4"/>
      </w:numPr>
    </w:pPr>
  </w:style>
  <w:style w:type="numbering" w:customStyle="1" w:styleId="BulletList1">
    <w:name w:val="Bullet List1"/>
    <w:uiPriority w:val="99"/>
    <w:rsid w:val="00C13816"/>
    <w:pPr>
      <w:numPr>
        <w:numId w:val="5"/>
      </w:numPr>
    </w:pPr>
  </w:style>
  <w:style w:type="table" w:customStyle="1" w:styleId="JobsTable">
    <w:name w:val="Jobs Table"/>
    <w:basedOn w:val="TableNormal"/>
    <w:uiPriority w:val="99"/>
    <w:rsid w:val="00C13816"/>
    <w:pPr>
      <w:spacing w:after="0" w:line="240" w:lineRule="auto"/>
    </w:pPr>
    <w:rPr>
      <w:rFonts w:eastAsia="Times New Roman"/>
    </w:rPr>
    <w:tblPr>
      <w:tblBorders>
        <w:bottom w:val="single" w:sz="4" w:space="0" w:color="1E3D6B"/>
      </w:tblBorders>
    </w:tblPr>
    <w:tblStylePr w:type="firstRow">
      <w:pPr>
        <w:jc w:val="left"/>
      </w:pPr>
      <w:rPr>
        <w:rFonts w:ascii="Calibri" w:hAnsi="Calibri"/>
        <w:b w:val="0"/>
        <w:color w:val="F2F2F2"/>
        <w:sz w:val="22"/>
      </w:rPr>
      <w:tblPr/>
      <w:tcPr>
        <w:shd w:val="clear" w:color="auto" w:fill="287BB3"/>
      </w:tcPr>
    </w:tblStylePr>
    <w:tblStylePr w:type="firstCol">
      <w:rPr>
        <w:b/>
      </w:rPr>
    </w:tblStylePr>
  </w:style>
  <w:style w:type="paragraph" w:styleId="Subtitle">
    <w:name w:val="Subtitle"/>
    <w:basedOn w:val="Normal"/>
    <w:next w:val="Normal"/>
    <w:link w:val="SubtitleChar"/>
    <w:uiPriority w:val="8"/>
    <w:qFormat/>
    <w:rsid w:val="00C13816"/>
    <w:rPr>
      <w:rFonts w:ascii="Calibri" w:eastAsiaTheme="majorEastAsia" w:hAnsi="Calibri" w:cstheme="majorBidi"/>
      <w:iCs/>
      <w:color w:val="000000" w:themeColor="text1"/>
      <w:spacing w:val="13"/>
      <w:sz w:val="36"/>
      <w:szCs w:val="40"/>
      <w14:ligatures w14:val="standard"/>
    </w:rPr>
  </w:style>
  <w:style w:type="character" w:customStyle="1" w:styleId="SubtitleChar">
    <w:name w:val="Subtitle Char"/>
    <w:basedOn w:val="DefaultParagraphFont"/>
    <w:link w:val="Subtitle"/>
    <w:uiPriority w:val="8"/>
    <w:rsid w:val="00C13816"/>
    <w:rPr>
      <w:rFonts w:ascii="Calibri" w:eastAsiaTheme="majorEastAsia" w:hAnsi="Calibri" w:cstheme="majorBidi"/>
      <w:iCs/>
      <w:color w:val="000000" w:themeColor="text1"/>
      <w:spacing w:val="13"/>
      <w:sz w:val="36"/>
      <w:szCs w:val="40"/>
      <w14:ligatures w14:val="standard"/>
    </w:rPr>
  </w:style>
  <w:style w:type="character" w:customStyle="1" w:styleId="Heading4Char">
    <w:name w:val="Heading 4 Char"/>
    <w:basedOn w:val="DefaultParagraphFont"/>
    <w:link w:val="Heading4"/>
    <w:uiPriority w:val="2"/>
    <w:rsid w:val="00C13816"/>
    <w:rPr>
      <w:rFonts w:ascii="Calibri" w:eastAsiaTheme="majorEastAsia" w:hAnsi="Calibri" w:cstheme="majorBidi"/>
      <w:bCs/>
      <w:iCs/>
      <w:sz w:val="28"/>
      <w:szCs w:val="28"/>
      <w14:ligatures w14:val="standard"/>
    </w:rPr>
  </w:style>
  <w:style w:type="character" w:customStyle="1" w:styleId="Heading5Char">
    <w:name w:val="Heading 5 Char"/>
    <w:basedOn w:val="DefaultParagraphFont"/>
    <w:link w:val="Heading5"/>
    <w:uiPriority w:val="2"/>
    <w:rsid w:val="00C13816"/>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C13816"/>
    <w:rPr>
      <w:rFonts w:ascii="Calibri" w:eastAsiaTheme="majorEastAsia" w:hAnsi="Calibri" w:cstheme="majorBidi"/>
      <w:bCs/>
      <w:iCs/>
      <w:color w:val="565656"/>
      <w:sz w:val="24"/>
      <w14:ligatures w14:val="standard"/>
    </w:rPr>
  </w:style>
  <w:style w:type="paragraph" w:styleId="Caption">
    <w:name w:val="caption"/>
    <w:basedOn w:val="Heading4"/>
    <w:next w:val="Normal"/>
    <w:uiPriority w:val="16"/>
    <w:qFormat/>
    <w:rsid w:val="00C13816"/>
    <w:rPr>
      <w:b/>
      <w:sz w:val="22"/>
    </w:rPr>
  </w:style>
  <w:style w:type="paragraph" w:styleId="List">
    <w:name w:val="List"/>
    <w:basedOn w:val="Normal"/>
    <w:uiPriority w:val="99"/>
    <w:unhideWhenUsed/>
    <w:qFormat/>
    <w:rsid w:val="003E65A1"/>
    <w:pPr>
      <w:ind w:left="283" w:hanging="283"/>
      <w:contextualSpacing/>
    </w:pPr>
  </w:style>
  <w:style w:type="paragraph" w:styleId="Quote">
    <w:name w:val="Quote"/>
    <w:basedOn w:val="Normal"/>
    <w:next w:val="Normal"/>
    <w:link w:val="QuoteChar"/>
    <w:uiPriority w:val="29"/>
    <w:qFormat/>
    <w:rsid w:val="003E65A1"/>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3E65A1"/>
    <w:rPr>
      <w:iCs/>
      <w:color w:val="595959" w:themeColor="text1" w:themeTint="A6"/>
    </w:rPr>
  </w:style>
  <w:style w:type="paragraph" w:customStyle="1" w:styleId="Source">
    <w:name w:val="Source"/>
    <w:basedOn w:val="Normal"/>
    <w:uiPriority w:val="17"/>
    <w:qFormat/>
    <w:rsid w:val="003E65A1"/>
    <w:rPr>
      <w:sz w:val="18"/>
    </w:rPr>
  </w:style>
  <w:style w:type="table" w:customStyle="1" w:styleId="DESE">
    <w:name w:val="DESE"/>
    <w:basedOn w:val="TableNormal"/>
    <w:uiPriority w:val="99"/>
    <w:rsid w:val="003E65A1"/>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customStyle="1" w:styleId="DESEnormal">
    <w:name w:val="DESE normal"/>
    <w:basedOn w:val="Normal"/>
    <w:link w:val="DESEnormalChar"/>
    <w:qFormat/>
    <w:rsid w:val="00FF18FD"/>
    <w:pPr>
      <w:spacing w:after="160" w:line="259" w:lineRule="auto"/>
    </w:pPr>
    <w:rPr>
      <w:rFonts w:ascii="Calibri" w:eastAsia="Calibri" w:hAnsi="Calibri" w:cs="Times New Roman"/>
    </w:rPr>
  </w:style>
  <w:style w:type="character" w:customStyle="1" w:styleId="DESEnormalChar">
    <w:name w:val="DESE normal Char"/>
    <w:basedOn w:val="DefaultParagraphFont"/>
    <w:link w:val="DESEnormal"/>
    <w:rsid w:val="00FF18FD"/>
    <w:rPr>
      <w:rFonts w:ascii="Calibri" w:eastAsia="Calibri" w:hAnsi="Calibri" w:cs="Times New Roman"/>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rsid w:val="00EB7582"/>
  </w:style>
  <w:style w:type="character" w:styleId="BookTitle">
    <w:name w:val="Book Title"/>
    <w:basedOn w:val="DefaultParagraphFont"/>
    <w:uiPriority w:val="33"/>
    <w:qFormat/>
    <w:rsid w:val="00640B91"/>
    <w:rPr>
      <w:rFonts w:ascii="Calibri" w:hAnsi="Calibri"/>
      <w:bCs/>
      <w:i/>
      <w:iCs/>
      <w:spacing w:val="5"/>
      <w:sz w:val="22"/>
    </w:rPr>
  </w:style>
  <w:style w:type="paragraph" w:customStyle="1" w:styleId="Style1">
    <w:name w:val="Style1"/>
    <w:basedOn w:val="ListBullet"/>
    <w:link w:val="Style1Char"/>
    <w:qFormat/>
    <w:rsid w:val="00A66BF8"/>
    <w:pPr>
      <w:numPr>
        <w:numId w:val="2"/>
      </w:numPr>
    </w:pPr>
    <w:rPr>
      <w:rFonts w:eastAsia="Calibri"/>
    </w:rPr>
  </w:style>
  <w:style w:type="paragraph" w:customStyle="1" w:styleId="Style2">
    <w:name w:val="Style2"/>
    <w:basedOn w:val="ListBullet4"/>
    <w:link w:val="Style2Char"/>
    <w:qFormat/>
    <w:rsid w:val="00631B04"/>
    <w:pPr>
      <w:numPr>
        <w:numId w:val="6"/>
      </w:numPr>
    </w:pPr>
    <w:rPr>
      <w:rFonts w:eastAsia="Calibri" w:cstheme="minorHAnsi"/>
    </w:rPr>
  </w:style>
  <w:style w:type="character" w:customStyle="1" w:styleId="ListBulletChar">
    <w:name w:val="List Bullet Char"/>
    <w:basedOn w:val="DefaultParagraphFont"/>
    <w:link w:val="ListBullet"/>
    <w:uiPriority w:val="99"/>
    <w:rsid w:val="00A66BF8"/>
    <w:rPr>
      <w:rFonts w:ascii="Calibri" w:eastAsiaTheme="minorEastAsia" w:hAnsi="Calibri"/>
    </w:rPr>
  </w:style>
  <w:style w:type="character" w:customStyle="1" w:styleId="Style1Char">
    <w:name w:val="Style1 Char"/>
    <w:basedOn w:val="ListBulletChar"/>
    <w:link w:val="Style1"/>
    <w:rsid w:val="00A66BF8"/>
    <w:rPr>
      <w:rFonts w:ascii="Calibri" w:eastAsia="Calibri" w:hAnsi="Calibri"/>
    </w:rPr>
  </w:style>
  <w:style w:type="paragraph" w:customStyle="1" w:styleId="Style3">
    <w:name w:val="Style3"/>
    <w:basedOn w:val="Bullet4"/>
    <w:link w:val="Style3Char"/>
    <w:qFormat/>
    <w:rsid w:val="007D0AC4"/>
    <w:pPr>
      <w:ind w:left="1434" w:hanging="357"/>
    </w:pPr>
  </w:style>
  <w:style w:type="character" w:customStyle="1" w:styleId="ListBullet4Char">
    <w:name w:val="List Bullet 4 Char"/>
    <w:basedOn w:val="DefaultParagraphFont"/>
    <w:link w:val="ListBullet4"/>
    <w:uiPriority w:val="99"/>
    <w:rsid w:val="00A66BF8"/>
    <w:rPr>
      <w:rFonts w:eastAsiaTheme="minorEastAsia"/>
    </w:rPr>
  </w:style>
  <w:style w:type="character" w:customStyle="1" w:styleId="Style2Char">
    <w:name w:val="Style2 Char"/>
    <w:basedOn w:val="ListBullet4Char"/>
    <w:link w:val="Style2"/>
    <w:rsid w:val="00631B04"/>
    <w:rPr>
      <w:rFonts w:eastAsia="Calibri" w:cstheme="minorHAnsi"/>
    </w:rPr>
  </w:style>
  <w:style w:type="paragraph" w:customStyle="1" w:styleId="Bullet3">
    <w:name w:val="Bullet 3"/>
    <w:basedOn w:val="ListBullet3"/>
    <w:link w:val="Bullet3Char"/>
    <w:qFormat/>
    <w:rsid w:val="00A66BF8"/>
  </w:style>
  <w:style w:type="character" w:customStyle="1" w:styleId="ListBullet2Char">
    <w:name w:val="List Bullet 2 Char"/>
    <w:basedOn w:val="DefaultParagraphFont"/>
    <w:link w:val="ListBullet2"/>
    <w:uiPriority w:val="99"/>
    <w:rsid w:val="00A66BF8"/>
    <w:rPr>
      <w:rFonts w:eastAsiaTheme="minorEastAsia"/>
    </w:rPr>
  </w:style>
  <w:style w:type="character" w:customStyle="1" w:styleId="Style3Char">
    <w:name w:val="Style3 Char"/>
    <w:basedOn w:val="ListBullet2Char"/>
    <w:link w:val="Style3"/>
    <w:rsid w:val="007D0AC4"/>
    <w:rPr>
      <w:rFonts w:eastAsiaTheme="minorEastAsia"/>
    </w:rPr>
  </w:style>
  <w:style w:type="paragraph" w:customStyle="1" w:styleId="Bullet4">
    <w:name w:val="Bullet 4"/>
    <w:basedOn w:val="ListBullet2"/>
    <w:link w:val="Bullet4Char"/>
    <w:qFormat/>
    <w:rsid w:val="00A66BF8"/>
    <w:pPr>
      <w:ind w:left="1474"/>
    </w:pPr>
  </w:style>
  <w:style w:type="character" w:customStyle="1" w:styleId="ListBullet3Char">
    <w:name w:val="List Bullet 3 Char"/>
    <w:basedOn w:val="DefaultParagraphFont"/>
    <w:link w:val="ListBullet3"/>
    <w:uiPriority w:val="99"/>
    <w:rsid w:val="007D0AC4"/>
    <w:rPr>
      <w:rFonts w:eastAsiaTheme="minorEastAsia"/>
    </w:rPr>
  </w:style>
  <w:style w:type="character" w:customStyle="1" w:styleId="Bullet3Char">
    <w:name w:val="Bullet 3 Char"/>
    <w:basedOn w:val="ListBullet3Char"/>
    <w:link w:val="Bullet3"/>
    <w:rsid w:val="00A66BF8"/>
    <w:rPr>
      <w:rFonts w:eastAsiaTheme="minorEastAsia"/>
    </w:rPr>
  </w:style>
  <w:style w:type="paragraph" w:customStyle="1" w:styleId="Bullet1">
    <w:name w:val="Bullet 1"/>
    <w:basedOn w:val="Style1"/>
    <w:link w:val="Bullet1Char"/>
    <w:qFormat/>
    <w:rsid w:val="00A66BF8"/>
  </w:style>
  <w:style w:type="character" w:customStyle="1" w:styleId="Bullet4Char">
    <w:name w:val="Bullet 4 Char"/>
    <w:basedOn w:val="ListBullet2Char"/>
    <w:link w:val="Bullet4"/>
    <w:rsid w:val="00A66BF8"/>
    <w:rPr>
      <w:rFonts w:eastAsiaTheme="minorEastAsia"/>
    </w:rPr>
  </w:style>
  <w:style w:type="character" w:customStyle="1" w:styleId="Bullet1Char">
    <w:name w:val="Bullet 1 Char"/>
    <w:basedOn w:val="Style1Char"/>
    <w:link w:val="Bullet1"/>
    <w:rsid w:val="00A66BF8"/>
    <w:rPr>
      <w:rFonts w:ascii="Calibri" w:eastAsia="Calibri" w:hAnsi="Calibri"/>
    </w:rPr>
  </w:style>
  <w:style w:type="character" w:styleId="UnresolvedMention">
    <w:name w:val="Unresolved Mention"/>
    <w:basedOn w:val="DefaultParagraphFont"/>
    <w:uiPriority w:val="99"/>
    <w:semiHidden/>
    <w:unhideWhenUsed/>
    <w:rsid w:val="00523A24"/>
    <w:rPr>
      <w:color w:val="605E5C"/>
      <w:shd w:val="clear" w:color="auto" w:fill="E1DFDD"/>
    </w:rPr>
  </w:style>
  <w:style w:type="table" w:styleId="TableGrid">
    <w:name w:val="Table Grid"/>
    <w:aliases w:val="HELP_Table Style 2"/>
    <w:basedOn w:val="TableNormal"/>
    <w:uiPriority w:val="59"/>
    <w:rsid w:val="0037716C"/>
    <w:pPr>
      <w:spacing w:after="0" w:line="240" w:lineRule="auto"/>
    </w:pPr>
    <w:rPr>
      <w:rFonts w:eastAsiaTheme="minorEastAsia"/>
    </w:rPr>
    <w:tblPr>
      <w:tblInd w:w="0" w:type="nil"/>
      <w:tblBorders>
        <w:top w:val="single" w:sz="8" w:space="0" w:color="1E3D6B"/>
        <w:left w:val="single" w:sz="8" w:space="0" w:color="1E3D6B"/>
        <w:bottom w:val="single" w:sz="8" w:space="0" w:color="1E3D6B"/>
        <w:right w:val="single" w:sz="8" w:space="0" w:color="1E3D6B"/>
        <w:insideH w:val="single" w:sz="8" w:space="0" w:color="1E3D6B"/>
        <w:insideV w:val="single" w:sz="8" w:space="0" w:color="1E3D6B"/>
      </w:tblBorders>
      <w:tblCellMar>
        <w:top w:w="28" w:type="dxa"/>
        <w:bottom w:w="28" w:type="dxa"/>
      </w:tblCellMar>
    </w:tblPr>
    <w:tblStylePr w:type="firstRow">
      <w:pPr>
        <w:wordWrap/>
        <w:jc w:val="left"/>
      </w:pPr>
      <w:rPr>
        <w:b/>
        <w:color w:val="E7E6E6" w:themeColor="background2"/>
      </w:rPr>
      <w:tblPr/>
      <w:tcPr>
        <w:shd w:val="clear" w:color="auto" w:fill="24206C"/>
      </w:tcPr>
    </w:tblStylePr>
    <w:tblStylePr w:type="firstCol">
      <w:pPr>
        <w:jc w:val="left"/>
      </w:p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3578">
      <w:bodyDiv w:val="1"/>
      <w:marLeft w:val="0"/>
      <w:marRight w:val="0"/>
      <w:marTop w:val="0"/>
      <w:marBottom w:val="0"/>
      <w:divBdr>
        <w:top w:val="none" w:sz="0" w:space="0" w:color="auto"/>
        <w:left w:val="none" w:sz="0" w:space="0" w:color="auto"/>
        <w:bottom w:val="none" w:sz="0" w:space="0" w:color="auto"/>
        <w:right w:val="none" w:sz="0" w:space="0" w:color="auto"/>
      </w:divBdr>
    </w:div>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7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csisupport.gov.au/reporting/vsl/requirements/2024" TargetMode="External"/><Relationship Id="rId13" Type="http://schemas.openxmlformats.org/officeDocument/2006/relationships/hyperlink" Target="https://www.tcsisupport.gov.au/support/user-guides-and-fact-sheets"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VETStudentLoans@dewr.gov.au" TargetMode="External"/><Relationship Id="rId7" Type="http://schemas.openxmlformats.org/officeDocument/2006/relationships/endnotes" Target="endnotes.xml"/><Relationship Id="rId12" Type="http://schemas.openxmlformats.org/officeDocument/2006/relationships/hyperlink" Target="https://www.dewr.gov.au/vet-student-loans/provider-enquiries"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VETStudentLoans@dewr.gov.au"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TStudentLoans@dewr.gov.au" TargetMode="External"/><Relationship Id="rId24" Type="http://schemas.openxmlformats.org/officeDocument/2006/relationships/hyperlink" Target="https://www.dewr.gov.au/vet-student-loans/resources/vet-student-loans-manual-providers"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dewr.gov.au/vet-student-loans/resources/vet-student-loans-manual-providers" TargetMode="External"/><Relationship Id="rId28" Type="http://schemas.openxmlformats.org/officeDocument/2006/relationships/customXml" Target="../customXml/item3.xml"/><Relationship Id="rId10" Type="http://schemas.openxmlformats.org/officeDocument/2006/relationships/hyperlink" Target="https://www.legislation.gov.au/Series/F2016L02016" TargetMode="External"/><Relationship Id="rId19" Type="http://schemas.openxmlformats.org/officeDocument/2006/relationships/hyperlink" Target="https://www.dewr.gov.au/vet-student-loans/resources/vet-student-loans-manual-providers" TargetMode="External"/><Relationship Id="rId4" Type="http://schemas.openxmlformats.org/officeDocument/2006/relationships/settings" Target="settings.xml"/><Relationship Id="rId9" Type="http://schemas.openxmlformats.org/officeDocument/2006/relationships/hyperlink" Target="http://www.training.gov.au/" TargetMode="External"/><Relationship Id="rId14" Type="http://schemas.openxmlformats.org/officeDocument/2006/relationships/header" Target="header1.xml"/><Relationship Id="rId22" Type="http://schemas.openxmlformats.org/officeDocument/2006/relationships/hyperlink" Target="https://www.dewr.gov.au/vet-student-loans/resources/vet-student-loans-manual-providers" TargetMode="External"/><Relationship Id="rId27"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54DDAF54D54044A037F2194A22F7FE" ma:contentTypeVersion="13" ma:contentTypeDescription="Create a new document." ma:contentTypeScope="" ma:versionID="aef6c189806902e4d8900fdddd63d19d">
  <xsd:schema xmlns:xsd="http://www.w3.org/2001/XMLSchema" xmlns:xs="http://www.w3.org/2001/XMLSchema" xmlns:p="http://schemas.microsoft.com/office/2006/metadata/properties" xmlns:ns2="74b214de-b2cb-4b64-9cf9-f17c021c4d29" xmlns:ns3="f1bba48b-5e9c-4a6b-8c87-af146ca15ca1" targetNamespace="http://schemas.microsoft.com/office/2006/metadata/properties" ma:root="true" ma:fieldsID="4cad83917bc7dcf9304b24d6baf7f56b" ns2:_="" ns3:_="">
    <xsd:import namespace="74b214de-b2cb-4b64-9cf9-f17c021c4d29"/>
    <xsd:import namespace="f1bba48b-5e9c-4a6b-8c87-af146ca15c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214de-b2cb-4b64-9cf9-f17c021c4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bba48b-5e9c-4a6b-8c87-af146ca15c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ae1549e-0490-4567-bdd5-fc0808141634}" ma:internalName="TaxCatchAll" ma:showField="CatchAllData" ma:web="f1bba48b-5e9c-4a6b-8c87-af146ca15c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b214de-b2cb-4b64-9cf9-f17c021c4d29">
      <Terms xmlns="http://schemas.microsoft.com/office/infopath/2007/PartnerControls"/>
    </lcf76f155ced4ddcb4097134ff3c332f>
    <TaxCatchAll xmlns="f1bba48b-5e9c-4a6b-8c87-af146ca15ca1" xsi:nil="true"/>
  </documentManagement>
</p:properties>
</file>

<file path=customXml/itemProps1.xml><?xml version="1.0" encoding="utf-8"?>
<ds:datastoreItem xmlns:ds="http://schemas.openxmlformats.org/officeDocument/2006/customXml" ds:itemID="{61EB2286-3C80-4191-8253-744B6EC6D2FF}">
  <ds:schemaRefs>
    <ds:schemaRef ds:uri="http://schemas.openxmlformats.org/officeDocument/2006/bibliography"/>
  </ds:schemaRefs>
</ds:datastoreItem>
</file>

<file path=customXml/itemProps2.xml><?xml version="1.0" encoding="utf-8"?>
<ds:datastoreItem xmlns:ds="http://schemas.openxmlformats.org/officeDocument/2006/customXml" ds:itemID="{F0A7C9A3-C33A-4387-8928-044E1B07E40C}"/>
</file>

<file path=customXml/itemProps3.xml><?xml version="1.0" encoding="utf-8"?>
<ds:datastoreItem xmlns:ds="http://schemas.openxmlformats.org/officeDocument/2006/customXml" ds:itemID="{09A66354-F334-4EA7-8CD3-2AA20750B459}"/>
</file>

<file path=customXml/itemProps4.xml><?xml version="1.0" encoding="utf-8"?>
<ds:datastoreItem xmlns:ds="http://schemas.openxmlformats.org/officeDocument/2006/customXml" ds:itemID="{39CF6538-E724-49A4-88D1-224680B77844}"/>
</file>

<file path=docProps/app.xml><?xml version="1.0" encoding="utf-8"?>
<Properties xmlns="http://schemas.openxmlformats.org/officeDocument/2006/extended-properties" xmlns:vt="http://schemas.openxmlformats.org/officeDocument/2006/docPropsVTypes">
  <Template>Normal.dotm</Template>
  <TotalTime>0</TotalTime>
  <Pages>6</Pages>
  <Words>1950</Words>
  <Characters>11116</Characters>
  <Application>Microsoft Office Word</Application>
  <DocSecurity>0</DocSecurity>
  <Lines>92</Lines>
  <Paragraphs>26</Paragraphs>
  <ScaleCrop>false</ScaleCrop>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2023-12-12T23:26:00Z</dcterms:created>
  <dcterms:modified xsi:type="dcterms:W3CDTF">2023-12-12T23:27:00Z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2023-12-12T23:27:18Z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f54f375e-0b5c-4ed1-bbf2-04209bf35608</vt:lpwstr>
  </property>
  <property fmtid="{D5CDD505-2E9C-101B-9397-08002B2CF9AE}" pid="8" name="MSIP_Label_79d889eb-932f-4752-8739-64d25806ef64_ContentBits">
    <vt:lpwstr>0</vt:lpwstr>
  </property>
  <property fmtid="{D5CDD505-2E9C-101B-9397-08002B2CF9AE}" pid="9" name="MediaServiceImageTags">
    <vt:lpwstr/>
  </property>
  <property fmtid="{D5CDD505-2E9C-101B-9397-08002B2CF9AE}" pid="10" name="ContentTypeId">
    <vt:lpwstr>0x0101007E54DDAF54D54044A037F2194A22F7FE</vt:lpwstr>
  </property>
</Properties>
</file>