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8D121" w14:textId="023085B0" w:rsidR="00AF70CF" w:rsidRDefault="00036A23" w:rsidP="009915EB">
      <w:pPr>
        <w:tabs>
          <w:tab w:val="left" w:pos="8277"/>
        </w:tabs>
        <w:spacing w:before="2280"/>
      </w:pPr>
      <w:r>
        <w:rPr>
          <w:noProof/>
          <w:lang w:eastAsia="en-AU"/>
        </w:rPr>
        <w:drawing>
          <wp:anchor distT="0" distB="0" distL="114300" distR="114300" simplePos="0" relativeHeight="251658240" behindDoc="1" locked="0" layoutInCell="1" allowOverlap="1" wp14:anchorId="6F1E93A1" wp14:editId="5FD8BA15">
            <wp:simplePos x="0" y="0"/>
            <wp:positionH relativeFrom="column">
              <wp:posOffset>-357505</wp:posOffset>
            </wp:positionH>
            <wp:positionV relativeFrom="paragraph">
              <wp:posOffset>-749300</wp:posOffset>
            </wp:positionV>
            <wp:extent cx="7559675" cy="10691495"/>
            <wp:effectExtent l="0" t="0" r="3175" b="0"/>
            <wp:wrapNone/>
            <wp:docPr id="9" name="Picture 9"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Work in Progress\_Education\ED16-0251 VET Student Loan Material\ED16-0251_Report Template\links\ED16-0251 VET Student Loan Material_Report Template_Cover_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5967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rsidR="00AF70CF">
        <w:rPr>
          <w:noProof/>
          <w:lang w:eastAsia="en-AU"/>
        </w:rPr>
        <w:drawing>
          <wp:inline distT="0" distB="0" distL="0" distR="0" wp14:anchorId="7493F505" wp14:editId="6911672E">
            <wp:extent cx="2291715" cy="555625"/>
            <wp:effectExtent l="0" t="0" r="0" b="0"/>
            <wp:docPr id="3" name="Picture 3" descr="Australian Gover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Work in Progress\_Education\ED16-0251 VET Student Loan Material\ED16-0251_Report Template\links\ED16-0251 VET Student Loan Material_Report Template_Crest_0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1715" cy="555625"/>
                    </a:xfrm>
                    <a:prstGeom prst="rect">
                      <a:avLst/>
                    </a:prstGeom>
                    <a:noFill/>
                    <a:ln>
                      <a:noFill/>
                    </a:ln>
                  </pic:spPr>
                </pic:pic>
              </a:graphicData>
            </a:graphic>
          </wp:inline>
        </w:drawing>
      </w:r>
      <w:r w:rsidR="0035725A">
        <w:tab/>
      </w:r>
      <w:r w:rsidR="00AF70CF">
        <w:rPr>
          <w:noProof/>
          <w:lang w:eastAsia="en-AU"/>
        </w:rPr>
        <w:drawing>
          <wp:inline distT="0" distB="0" distL="0" distR="0" wp14:anchorId="558195C9" wp14:editId="675C1104">
            <wp:extent cx="3252470" cy="786765"/>
            <wp:effectExtent l="0" t="0" r="5080" b="0"/>
            <wp:docPr id="6" name="Picture 6" descr="VET Student Lo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Work in Progress\_Education\ED16-0251 VET Student Loan Material\ED16-0251_Report Template\links\ED16-0251 VET Student Loan Material_Report Template_VET Student Loans logo_0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52470" cy="786765"/>
                    </a:xfrm>
                    <a:prstGeom prst="rect">
                      <a:avLst/>
                    </a:prstGeom>
                    <a:noFill/>
                    <a:ln>
                      <a:noFill/>
                    </a:ln>
                  </pic:spPr>
                </pic:pic>
              </a:graphicData>
            </a:graphic>
          </wp:inline>
        </w:drawing>
      </w:r>
    </w:p>
    <w:p w14:paraId="7D5BA737" w14:textId="77777777" w:rsidR="00AF70CF" w:rsidRPr="00AF70CF" w:rsidRDefault="003D1711" w:rsidP="009915EB">
      <w:pPr>
        <w:pStyle w:val="Title"/>
        <w:spacing w:before="960"/>
        <w:rPr>
          <w:b w:val="0"/>
          <w:color w:val="24206C"/>
          <w:sz w:val="96"/>
          <w:szCs w:val="96"/>
        </w:rPr>
      </w:pPr>
      <w:r>
        <w:rPr>
          <w:b w:val="0"/>
          <w:color w:val="24206C"/>
          <w:sz w:val="96"/>
          <w:szCs w:val="96"/>
        </w:rPr>
        <w:t>Six-monthly r</w:t>
      </w:r>
      <w:r w:rsidR="00AF70CF" w:rsidRPr="00AF70CF">
        <w:rPr>
          <w:b w:val="0"/>
          <w:color w:val="24206C"/>
          <w:sz w:val="96"/>
          <w:szCs w:val="96"/>
        </w:rPr>
        <w:t>eport</w:t>
      </w:r>
    </w:p>
    <w:p w14:paraId="402AED14" w14:textId="3654A729" w:rsidR="004C714B" w:rsidRPr="00130111" w:rsidRDefault="004C714B" w:rsidP="004C714B">
      <w:pPr>
        <w:spacing w:before="360"/>
        <w:rPr>
          <w:rFonts w:ascii="Calibri" w:eastAsiaTheme="majorEastAsia" w:hAnsi="Calibri" w:cstheme="majorBidi"/>
          <w:color w:val="24206C"/>
          <w:spacing w:val="5"/>
          <w:sz w:val="44"/>
          <w:szCs w:val="44"/>
        </w:rPr>
      </w:pPr>
      <w:r w:rsidRPr="004F644F">
        <w:rPr>
          <w:rFonts w:ascii="Calibri" w:eastAsiaTheme="majorEastAsia" w:hAnsi="Calibri" w:cstheme="majorBidi"/>
          <w:color w:val="24206C"/>
          <w:spacing w:val="5"/>
          <w:sz w:val="44"/>
          <w:szCs w:val="44"/>
        </w:rPr>
        <w:t xml:space="preserve">1 </w:t>
      </w:r>
      <w:r w:rsidR="006900E2" w:rsidRPr="004F644F">
        <w:rPr>
          <w:rFonts w:ascii="Calibri" w:eastAsiaTheme="majorEastAsia" w:hAnsi="Calibri" w:cstheme="majorBidi"/>
          <w:color w:val="24206C"/>
          <w:spacing w:val="5"/>
          <w:sz w:val="44"/>
          <w:szCs w:val="44"/>
        </w:rPr>
        <w:t>J</w:t>
      </w:r>
      <w:r w:rsidR="00AD485C">
        <w:rPr>
          <w:rFonts w:ascii="Calibri" w:eastAsiaTheme="majorEastAsia" w:hAnsi="Calibri" w:cstheme="majorBidi"/>
          <w:color w:val="24206C"/>
          <w:spacing w:val="5"/>
          <w:sz w:val="44"/>
          <w:szCs w:val="44"/>
        </w:rPr>
        <w:t>uly</w:t>
      </w:r>
      <w:r w:rsidRPr="004F644F">
        <w:rPr>
          <w:rFonts w:ascii="Calibri" w:eastAsiaTheme="majorEastAsia" w:hAnsi="Calibri" w:cstheme="majorBidi"/>
          <w:color w:val="24206C"/>
          <w:spacing w:val="5"/>
          <w:sz w:val="44"/>
          <w:szCs w:val="44"/>
        </w:rPr>
        <w:t xml:space="preserve"> 20</w:t>
      </w:r>
      <w:r w:rsidR="00D67F9E" w:rsidRPr="004F644F">
        <w:rPr>
          <w:rFonts w:ascii="Calibri" w:eastAsiaTheme="majorEastAsia" w:hAnsi="Calibri" w:cstheme="majorBidi"/>
          <w:color w:val="24206C"/>
          <w:spacing w:val="5"/>
          <w:sz w:val="44"/>
          <w:szCs w:val="44"/>
        </w:rPr>
        <w:t>2</w:t>
      </w:r>
      <w:r w:rsidR="00082369">
        <w:rPr>
          <w:rFonts w:ascii="Calibri" w:eastAsiaTheme="majorEastAsia" w:hAnsi="Calibri" w:cstheme="majorBidi"/>
          <w:color w:val="24206C"/>
          <w:spacing w:val="5"/>
          <w:sz w:val="44"/>
          <w:szCs w:val="44"/>
        </w:rPr>
        <w:t>3</w:t>
      </w:r>
      <w:r w:rsidRPr="004F644F">
        <w:rPr>
          <w:rFonts w:ascii="Calibri" w:eastAsiaTheme="majorEastAsia" w:hAnsi="Calibri" w:cstheme="majorBidi"/>
          <w:color w:val="24206C"/>
          <w:spacing w:val="5"/>
          <w:sz w:val="44"/>
          <w:szCs w:val="44"/>
        </w:rPr>
        <w:t xml:space="preserve"> to </w:t>
      </w:r>
      <w:r w:rsidR="00AF2AEE" w:rsidRPr="004F644F">
        <w:rPr>
          <w:rFonts w:ascii="Calibri" w:eastAsiaTheme="majorEastAsia" w:hAnsi="Calibri" w:cstheme="majorBidi"/>
          <w:color w:val="24206C"/>
          <w:spacing w:val="5"/>
          <w:sz w:val="44"/>
          <w:szCs w:val="44"/>
        </w:rPr>
        <w:t>3</w:t>
      </w:r>
      <w:r w:rsidR="00AD485C">
        <w:rPr>
          <w:rFonts w:ascii="Calibri" w:eastAsiaTheme="majorEastAsia" w:hAnsi="Calibri" w:cstheme="majorBidi"/>
          <w:color w:val="24206C"/>
          <w:spacing w:val="5"/>
          <w:sz w:val="44"/>
          <w:szCs w:val="44"/>
        </w:rPr>
        <w:t>1</w:t>
      </w:r>
      <w:r w:rsidR="00AF2AEE" w:rsidRPr="004F644F">
        <w:rPr>
          <w:rFonts w:ascii="Calibri" w:eastAsiaTheme="majorEastAsia" w:hAnsi="Calibri" w:cstheme="majorBidi"/>
          <w:color w:val="24206C"/>
          <w:spacing w:val="5"/>
          <w:sz w:val="44"/>
          <w:szCs w:val="44"/>
        </w:rPr>
        <w:t xml:space="preserve"> </w:t>
      </w:r>
      <w:r w:rsidR="00AD485C">
        <w:rPr>
          <w:rFonts w:ascii="Calibri" w:eastAsiaTheme="majorEastAsia" w:hAnsi="Calibri" w:cstheme="majorBidi"/>
          <w:color w:val="24206C"/>
          <w:spacing w:val="5"/>
          <w:sz w:val="44"/>
          <w:szCs w:val="44"/>
        </w:rPr>
        <w:t>December</w:t>
      </w:r>
      <w:r w:rsidR="006900E2" w:rsidRPr="00130111">
        <w:rPr>
          <w:rFonts w:ascii="Calibri" w:eastAsiaTheme="majorEastAsia" w:hAnsi="Calibri" w:cstheme="majorBidi"/>
          <w:color w:val="24206C"/>
          <w:spacing w:val="5"/>
          <w:sz w:val="44"/>
          <w:szCs w:val="44"/>
        </w:rPr>
        <w:t xml:space="preserve"> 20</w:t>
      </w:r>
      <w:r w:rsidR="00D67F9E">
        <w:rPr>
          <w:rFonts w:ascii="Calibri" w:eastAsiaTheme="majorEastAsia" w:hAnsi="Calibri" w:cstheme="majorBidi"/>
          <w:color w:val="24206C"/>
          <w:spacing w:val="5"/>
          <w:sz w:val="44"/>
          <w:szCs w:val="44"/>
        </w:rPr>
        <w:t>2</w:t>
      </w:r>
      <w:r w:rsidR="00082369">
        <w:rPr>
          <w:rFonts w:ascii="Calibri" w:eastAsiaTheme="majorEastAsia" w:hAnsi="Calibri" w:cstheme="majorBidi"/>
          <w:color w:val="24206C"/>
          <w:spacing w:val="5"/>
          <w:sz w:val="44"/>
          <w:szCs w:val="44"/>
        </w:rPr>
        <w:t>3</w:t>
      </w:r>
    </w:p>
    <w:p w14:paraId="49D5FB19" w14:textId="77777777" w:rsidR="00AF70CF" w:rsidRPr="009915EB" w:rsidRDefault="00AF70CF" w:rsidP="009915EB">
      <w:r w:rsidRPr="00130111">
        <w:br w:type="page"/>
      </w:r>
    </w:p>
    <w:p w14:paraId="4C030052" w14:textId="77777777" w:rsidR="009915EB" w:rsidRDefault="009915EB" w:rsidP="009915EB">
      <w:pPr>
        <w:pStyle w:val="Default"/>
        <w:spacing w:before="2040"/>
        <w:rPr>
          <w:rFonts w:asciiTheme="minorHAnsi" w:hAnsiTheme="minorHAnsi" w:cstheme="minorBidi"/>
          <w:color w:val="auto"/>
          <w:sz w:val="22"/>
          <w:szCs w:val="22"/>
        </w:rPr>
      </w:pPr>
    </w:p>
    <w:p w14:paraId="4691C789" w14:textId="7387B308" w:rsidR="00DF4EF8" w:rsidRPr="009915EB" w:rsidRDefault="00DF4EF8" w:rsidP="009915EB">
      <w:pPr>
        <w:spacing w:before="10680"/>
      </w:pPr>
      <w:proofErr w:type="gramStart"/>
      <w:r w:rsidRPr="009915EB">
        <w:t>With the exception of</w:t>
      </w:r>
      <w:proofErr w:type="gramEnd"/>
      <w:r w:rsidRPr="009915EB">
        <w:t xml:space="preserve"> the Commonwealth Coat of Arms, the Department’s logo, any material protected by a </w:t>
      </w:r>
      <w:r w:rsidR="00AD4CC0" w:rsidRPr="009915EB">
        <w:t>trademark</w:t>
      </w:r>
      <w:r w:rsidRPr="009915EB">
        <w:t xml:space="preserve"> and where otherwise noted all material presented in this document is provided under a Creative Commons Attribution 4.0 International (http://creativecommons.org/licenses/by/4.0/au/) licence. </w:t>
      </w:r>
    </w:p>
    <w:p w14:paraId="6E6EF2CB" w14:textId="77777777" w:rsidR="00DF4EF8" w:rsidRPr="009915EB" w:rsidRDefault="00DF4EF8" w:rsidP="009915EB">
      <w:r w:rsidRPr="009915EB">
        <w:t>The details of the relevant licence conditions are available on the Creative Commons website (accessible using the links provided) as is the full legal code for the CC BY 4.0 International (</w:t>
      </w:r>
      <w:hyperlink r:id="rId14" w:history="1">
        <w:r w:rsidR="0017674F" w:rsidRPr="009915EB">
          <w:rPr>
            <w:rStyle w:val="Hyperlink"/>
          </w:rPr>
          <w:t>http://creativecommons.org/licenses/by/4.0/legalcode</w:t>
        </w:r>
      </w:hyperlink>
      <w:r w:rsidRPr="009915EB">
        <w:t xml:space="preserve">). </w:t>
      </w:r>
    </w:p>
    <w:p w14:paraId="21A561D3" w14:textId="77777777" w:rsidR="001A0749" w:rsidRDefault="00DF4EF8" w:rsidP="009915EB">
      <w:r>
        <w:t xml:space="preserve">The document must be attributed as the </w:t>
      </w:r>
      <w:r w:rsidR="0017674F">
        <w:t xml:space="preserve">VSL </w:t>
      </w:r>
      <w:r w:rsidR="118D26FD">
        <w:t>s</w:t>
      </w:r>
      <w:r w:rsidR="0017674F">
        <w:t>ix-monthly</w:t>
      </w:r>
      <w:r>
        <w:t xml:space="preserve"> </w:t>
      </w:r>
      <w:r w:rsidR="0017674F">
        <w:t>r</w:t>
      </w:r>
      <w:r>
        <w:t>eport</w:t>
      </w:r>
      <w:r w:rsidR="0017674F">
        <w:t xml:space="preserve"> </w:t>
      </w:r>
      <w:r w:rsidR="00AD485C">
        <w:t>July</w:t>
      </w:r>
      <w:r w:rsidR="00AF2AEE">
        <w:t xml:space="preserve"> </w:t>
      </w:r>
      <w:r w:rsidR="0078037E">
        <w:t>202</w:t>
      </w:r>
      <w:r w:rsidR="00082369">
        <w:t>3</w:t>
      </w:r>
      <w:r w:rsidR="0078037E">
        <w:t xml:space="preserve"> </w:t>
      </w:r>
      <w:r w:rsidR="00AF2AEE">
        <w:t xml:space="preserve">to </w:t>
      </w:r>
      <w:r w:rsidR="00AD485C">
        <w:t>December</w:t>
      </w:r>
      <w:r w:rsidR="00AC5BB1">
        <w:t xml:space="preserve"> </w:t>
      </w:r>
      <w:r w:rsidR="0017674F">
        <w:t>20</w:t>
      </w:r>
      <w:r w:rsidR="0084685F">
        <w:t>2</w:t>
      </w:r>
      <w:r w:rsidR="00082369">
        <w:t>3</w:t>
      </w:r>
      <w:r>
        <w:t>.</w:t>
      </w:r>
    </w:p>
    <w:p w14:paraId="61A083C5" w14:textId="77777777" w:rsidR="004009FB" w:rsidRPr="004009FB" w:rsidRDefault="004009FB" w:rsidP="004009FB"/>
    <w:p w14:paraId="3EF854BD" w14:textId="206D3100" w:rsidR="004009FB" w:rsidRPr="004009FB" w:rsidRDefault="004009FB" w:rsidP="00FD7640">
      <w:pPr>
        <w:tabs>
          <w:tab w:val="center" w:pos="4535"/>
        </w:tabs>
        <w:sectPr w:rsidR="004009FB" w:rsidRPr="004009FB" w:rsidSect="009F1996">
          <w:headerReference w:type="default" r:id="rId15"/>
          <w:footerReference w:type="default" r:id="rId16"/>
          <w:type w:val="continuous"/>
          <w:pgSz w:w="11907" w:h="16839" w:code="9"/>
          <w:pgMar w:top="1247" w:right="1418" w:bottom="720" w:left="1418" w:header="425" w:footer="454" w:gutter="0"/>
          <w:pgNumType w:start="0"/>
          <w:cols w:space="708"/>
          <w:titlePg/>
          <w:docGrid w:linePitch="360"/>
        </w:sectPr>
      </w:pPr>
    </w:p>
    <w:p w14:paraId="183D35FD" w14:textId="68535960" w:rsidR="009915EB" w:rsidRPr="0039508C" w:rsidRDefault="009915EB" w:rsidP="009915EB"/>
    <w:p w14:paraId="7F4CEF64" w14:textId="77777777" w:rsidR="003D1711" w:rsidRPr="0039508C" w:rsidRDefault="003D1711" w:rsidP="00524956">
      <w:pPr>
        <w:pStyle w:val="Heading1"/>
      </w:pPr>
      <w:r w:rsidRPr="0039508C">
        <w:t>Introduction</w:t>
      </w:r>
    </w:p>
    <w:p w14:paraId="4588D048" w14:textId="0B27A52C" w:rsidR="003D1711" w:rsidRPr="0039508C" w:rsidRDefault="003D1711" w:rsidP="003D1711">
      <w:r w:rsidRPr="0039508C">
        <w:t xml:space="preserve">This report is provided in accordance with section 103A of the </w:t>
      </w:r>
      <w:r w:rsidRPr="0039508C">
        <w:rPr>
          <w:iCs/>
        </w:rPr>
        <w:t xml:space="preserve">VET Student Loans </w:t>
      </w:r>
      <w:r w:rsidR="006626C0">
        <w:rPr>
          <w:iCs/>
        </w:rPr>
        <w:t xml:space="preserve">(VSL) </w:t>
      </w:r>
      <w:r w:rsidRPr="0039508C">
        <w:rPr>
          <w:iCs/>
        </w:rPr>
        <w:t>Act 2016 (</w:t>
      </w:r>
      <w:r w:rsidR="006626C0">
        <w:rPr>
          <w:iCs/>
        </w:rPr>
        <w:t xml:space="preserve">the </w:t>
      </w:r>
      <w:r w:rsidRPr="0039508C">
        <w:rPr>
          <w:iCs/>
        </w:rPr>
        <w:t>Act),</w:t>
      </w:r>
      <w:r w:rsidRPr="0039508C">
        <w:t xml:space="preserve"> which requires that:</w:t>
      </w:r>
    </w:p>
    <w:p w14:paraId="2CAB24DC" w14:textId="77777777" w:rsidR="003D1711" w:rsidRPr="0078037E" w:rsidRDefault="003D1711" w:rsidP="003D1711">
      <w:pPr>
        <w:ind w:left="720"/>
        <w:rPr>
          <w:i/>
        </w:rPr>
      </w:pPr>
      <w:r w:rsidRPr="0078037E">
        <w:rPr>
          <w:i/>
        </w:rPr>
        <w:t>The Secretary must publish the following information within 42 days after the end of the period of 6 months beginning on 1 January and 1 July in each year (the reporting period):</w:t>
      </w:r>
    </w:p>
    <w:p w14:paraId="3CB1E96F" w14:textId="475BD274" w:rsidR="003D1711" w:rsidRPr="0078037E" w:rsidRDefault="003D1711" w:rsidP="005A6C1F">
      <w:pPr>
        <w:pStyle w:val="ListParagraph"/>
        <w:numPr>
          <w:ilvl w:val="0"/>
          <w:numId w:val="11"/>
        </w:numPr>
        <w:ind w:hanging="357"/>
        <w:contextualSpacing w:val="0"/>
        <w:rPr>
          <w:i/>
        </w:rPr>
      </w:pPr>
      <w:r w:rsidRPr="0078037E">
        <w:rPr>
          <w:i/>
        </w:rPr>
        <w:t>the number of approved course providers who operated during the reporting period</w:t>
      </w:r>
      <w:r w:rsidR="00D20E0D">
        <w:rPr>
          <w:i/>
        </w:rPr>
        <w:t>.</w:t>
      </w:r>
    </w:p>
    <w:p w14:paraId="1055152E" w14:textId="77777777" w:rsidR="003D1711" w:rsidRPr="0078037E" w:rsidRDefault="003D1711" w:rsidP="005A6C1F">
      <w:pPr>
        <w:pStyle w:val="ListParagraph"/>
        <w:numPr>
          <w:ilvl w:val="0"/>
          <w:numId w:val="11"/>
        </w:numPr>
        <w:ind w:hanging="357"/>
        <w:contextualSpacing w:val="0"/>
        <w:rPr>
          <w:i/>
        </w:rPr>
      </w:pPr>
      <w:r w:rsidRPr="0078037E">
        <w:rPr>
          <w:i/>
        </w:rPr>
        <w:t>for each of those providers:</w:t>
      </w:r>
    </w:p>
    <w:p w14:paraId="2B1A2EA0" w14:textId="7DA5024A" w:rsidR="003D1711" w:rsidRPr="0078037E" w:rsidRDefault="003D1711" w:rsidP="005A6C1F">
      <w:pPr>
        <w:pStyle w:val="ListParagraph"/>
        <w:numPr>
          <w:ilvl w:val="1"/>
          <w:numId w:val="11"/>
        </w:numPr>
        <w:ind w:hanging="357"/>
        <w:contextualSpacing w:val="0"/>
        <w:rPr>
          <w:i/>
        </w:rPr>
      </w:pPr>
      <w:r w:rsidRPr="0078037E">
        <w:rPr>
          <w:i/>
        </w:rPr>
        <w:t>the name of the provider and</w:t>
      </w:r>
    </w:p>
    <w:p w14:paraId="267B6A59" w14:textId="4C77DFFF" w:rsidR="003D1711" w:rsidRPr="0078037E" w:rsidRDefault="003D1711" w:rsidP="005A6C1F">
      <w:pPr>
        <w:pStyle w:val="ListParagraph"/>
        <w:numPr>
          <w:ilvl w:val="1"/>
          <w:numId w:val="11"/>
        </w:numPr>
        <w:ind w:hanging="357"/>
        <w:contextualSpacing w:val="0"/>
        <w:rPr>
          <w:i/>
        </w:rPr>
      </w:pPr>
      <w:r w:rsidRPr="0078037E">
        <w:rPr>
          <w:i/>
        </w:rPr>
        <w:t xml:space="preserve">the value of </w:t>
      </w:r>
      <w:r w:rsidR="00986E57">
        <w:rPr>
          <w:i/>
        </w:rPr>
        <w:t>VSL</w:t>
      </w:r>
      <w:r w:rsidRPr="0078037E">
        <w:rPr>
          <w:i/>
        </w:rPr>
        <w:t xml:space="preserve"> approved by the Secretary for approved courses offered by the provider during the reporting period and</w:t>
      </w:r>
    </w:p>
    <w:p w14:paraId="67AB90FA" w14:textId="44B18A2C" w:rsidR="003D1711" w:rsidRPr="0078037E" w:rsidRDefault="003D1711" w:rsidP="005A6C1F">
      <w:pPr>
        <w:pStyle w:val="ListParagraph"/>
        <w:numPr>
          <w:ilvl w:val="1"/>
          <w:numId w:val="11"/>
        </w:numPr>
        <w:ind w:hanging="357"/>
        <w:contextualSpacing w:val="0"/>
        <w:rPr>
          <w:i/>
        </w:rPr>
      </w:pPr>
      <w:r w:rsidRPr="0078037E">
        <w:rPr>
          <w:i/>
        </w:rPr>
        <w:t xml:space="preserve">the number of students who undertook approved courses offered by the provider during the reporting period and whose tuition fees for the courses were paid (whether in whole or in part) using </w:t>
      </w:r>
      <w:r w:rsidR="00986E57">
        <w:rPr>
          <w:i/>
        </w:rPr>
        <w:t>VSL</w:t>
      </w:r>
      <w:r w:rsidRPr="0078037E">
        <w:rPr>
          <w:i/>
        </w:rPr>
        <w:t xml:space="preserve"> and</w:t>
      </w:r>
    </w:p>
    <w:p w14:paraId="3BE5ACF3" w14:textId="357D4060" w:rsidR="003D1711" w:rsidRPr="0078037E" w:rsidRDefault="003D1711" w:rsidP="005A6C1F">
      <w:pPr>
        <w:pStyle w:val="ListParagraph"/>
        <w:numPr>
          <w:ilvl w:val="1"/>
          <w:numId w:val="11"/>
        </w:numPr>
        <w:ind w:hanging="357"/>
        <w:contextualSpacing w:val="0"/>
        <w:rPr>
          <w:i/>
        </w:rPr>
      </w:pPr>
      <w:r w:rsidRPr="0078037E">
        <w:rPr>
          <w:i/>
        </w:rPr>
        <w:t>the number of such students who completed approved courses during the reporting period and</w:t>
      </w:r>
    </w:p>
    <w:p w14:paraId="7528AFDB" w14:textId="33C929F8" w:rsidR="003D1711" w:rsidRPr="0078037E" w:rsidRDefault="003D1711" w:rsidP="005A6C1F">
      <w:pPr>
        <w:pStyle w:val="ListParagraph"/>
        <w:numPr>
          <w:ilvl w:val="1"/>
          <w:numId w:val="11"/>
        </w:numPr>
        <w:ind w:hanging="357"/>
        <w:contextualSpacing w:val="0"/>
        <w:rPr>
          <w:i/>
        </w:rPr>
      </w:pPr>
      <w:r w:rsidRPr="0078037E">
        <w:rPr>
          <w:i/>
        </w:rPr>
        <w:t>the amount of tuition fees charged to such students by the provider during the reporting period</w:t>
      </w:r>
      <w:r w:rsidR="00D20E0D">
        <w:rPr>
          <w:i/>
        </w:rPr>
        <w:t>.</w:t>
      </w:r>
    </w:p>
    <w:p w14:paraId="34EF4CA3" w14:textId="284D4561" w:rsidR="003D1711" w:rsidRPr="0078037E" w:rsidRDefault="003D1711" w:rsidP="005A6C1F">
      <w:pPr>
        <w:pStyle w:val="ListParagraph"/>
        <w:numPr>
          <w:ilvl w:val="0"/>
          <w:numId w:val="11"/>
        </w:numPr>
        <w:ind w:hanging="357"/>
        <w:contextualSpacing w:val="0"/>
        <w:rPr>
          <w:i/>
        </w:rPr>
      </w:pPr>
      <w:r w:rsidRPr="0078037E">
        <w:rPr>
          <w:i/>
        </w:rPr>
        <w:t xml:space="preserve">any other information in relation to </w:t>
      </w:r>
      <w:r w:rsidR="00986E57">
        <w:rPr>
          <w:i/>
        </w:rPr>
        <w:t>VSL</w:t>
      </w:r>
      <w:r w:rsidRPr="0078037E">
        <w:rPr>
          <w:i/>
        </w:rPr>
        <w:t xml:space="preserve"> prescribed under the </w:t>
      </w:r>
      <w:r w:rsidR="00E508C7">
        <w:rPr>
          <w:i/>
        </w:rPr>
        <w:t>VET Student Loans Rules 2016</w:t>
      </w:r>
      <w:r w:rsidRPr="0078037E">
        <w:rPr>
          <w:i/>
        </w:rPr>
        <w:t>.</w:t>
      </w:r>
    </w:p>
    <w:p w14:paraId="5B5BC83A" w14:textId="40D78B7C" w:rsidR="003D1711" w:rsidRPr="0039508C" w:rsidRDefault="003D1711" w:rsidP="003D1711">
      <w:r w:rsidRPr="0039508C">
        <w:t xml:space="preserve">This report covers the period from </w:t>
      </w:r>
      <w:r w:rsidR="00AC5BB1" w:rsidRPr="004F644F">
        <w:t>1 J</w:t>
      </w:r>
      <w:r w:rsidR="006E473C">
        <w:t>uly</w:t>
      </w:r>
      <w:r w:rsidR="00AC5BB1" w:rsidRPr="004F644F">
        <w:t xml:space="preserve"> 20</w:t>
      </w:r>
      <w:r w:rsidR="007549C3" w:rsidRPr="004F644F">
        <w:t>2</w:t>
      </w:r>
      <w:r w:rsidR="00082369">
        <w:t>3</w:t>
      </w:r>
      <w:r w:rsidR="00AC5BB1" w:rsidRPr="004F644F">
        <w:t xml:space="preserve"> to </w:t>
      </w:r>
      <w:r w:rsidR="00904BEC" w:rsidRPr="004F644F">
        <w:t>3</w:t>
      </w:r>
      <w:r w:rsidR="006E473C">
        <w:t>1</w:t>
      </w:r>
      <w:r w:rsidR="00904BEC" w:rsidRPr="004F644F">
        <w:t xml:space="preserve"> </w:t>
      </w:r>
      <w:r w:rsidR="006E473C">
        <w:t>December</w:t>
      </w:r>
      <w:r w:rsidR="00AC5BB1" w:rsidRPr="0039508C">
        <w:t xml:space="preserve"> 20</w:t>
      </w:r>
      <w:r w:rsidR="007549C3" w:rsidRPr="0039508C">
        <w:t>2</w:t>
      </w:r>
      <w:r w:rsidR="00082369">
        <w:t>3</w:t>
      </w:r>
      <w:r w:rsidR="00E17B6C" w:rsidRPr="0039508C">
        <w:t>.</w:t>
      </w:r>
    </w:p>
    <w:p w14:paraId="6B1D500E" w14:textId="63D58E37" w:rsidR="003D1711" w:rsidRPr="0039508C" w:rsidRDefault="003D1711" w:rsidP="003D1711">
      <w:r w:rsidRPr="0039508C">
        <w:t xml:space="preserve">Consistent with section 103A, the report focuses on students whose tuition fees were paid (whether in whole or in part) using a </w:t>
      </w:r>
      <w:r w:rsidR="00986E57">
        <w:t>VSL</w:t>
      </w:r>
      <w:r w:rsidRPr="0039508C">
        <w:t xml:space="preserve"> </w:t>
      </w:r>
      <w:r w:rsidR="00920AAC" w:rsidRPr="0039508C">
        <w:t>within the reporting period</w:t>
      </w:r>
      <w:r w:rsidRPr="0039508C">
        <w:t xml:space="preserve">. This report refers to these students as </w:t>
      </w:r>
      <w:r w:rsidRPr="0039508C">
        <w:rPr>
          <w:b/>
        </w:rPr>
        <w:t>VSL</w:t>
      </w:r>
      <w:r w:rsidRPr="0039508C">
        <w:rPr>
          <w:b/>
        </w:rPr>
        <w:noBreakHyphen/>
        <w:t>assisted students</w:t>
      </w:r>
      <w:r w:rsidRPr="0039508C">
        <w:t xml:space="preserve">. </w:t>
      </w:r>
    </w:p>
    <w:p w14:paraId="5E951402" w14:textId="15F94020" w:rsidR="003D1711" w:rsidRPr="0039508C" w:rsidRDefault="003D1711" w:rsidP="003D1711">
      <w:r w:rsidRPr="0039508C">
        <w:t xml:space="preserve">Information relating to students who have not </w:t>
      </w:r>
      <w:r w:rsidR="007078DA" w:rsidRPr="0039508C">
        <w:t>accessed</w:t>
      </w:r>
      <w:r w:rsidRPr="0039508C">
        <w:t xml:space="preserve"> a </w:t>
      </w:r>
      <w:r w:rsidR="00D20E0D">
        <w:t>VSL</w:t>
      </w:r>
      <w:r w:rsidRPr="0039508C">
        <w:t xml:space="preserve"> (or non</w:t>
      </w:r>
      <w:r w:rsidRPr="0039508C">
        <w:noBreakHyphen/>
        <w:t>VSL</w:t>
      </w:r>
      <w:r w:rsidRPr="0039508C">
        <w:noBreakHyphen/>
        <w:t>assisted students) is not included in this report.</w:t>
      </w:r>
    </w:p>
    <w:p w14:paraId="182D725C" w14:textId="77777777" w:rsidR="003D1711" w:rsidRPr="0039508C" w:rsidRDefault="003D1711" w:rsidP="009915EB">
      <w:r w:rsidRPr="0039508C">
        <w:br w:type="page"/>
      </w:r>
    </w:p>
    <w:p w14:paraId="228900E6" w14:textId="443AD463" w:rsidR="00C5363B" w:rsidRPr="0039508C" w:rsidRDefault="00C5363B" w:rsidP="00C5363B">
      <w:pPr>
        <w:pStyle w:val="Heading1"/>
      </w:pPr>
      <w:r w:rsidRPr="0039508C">
        <w:lastRenderedPageBreak/>
        <w:t xml:space="preserve">Background: The </w:t>
      </w:r>
      <w:r w:rsidR="00986E57">
        <w:t>VSL</w:t>
      </w:r>
      <w:r w:rsidRPr="0039508C">
        <w:t xml:space="preserve"> program</w:t>
      </w:r>
    </w:p>
    <w:p w14:paraId="7CF44A59" w14:textId="11EA201A" w:rsidR="00C5363B" w:rsidRDefault="00C5363B" w:rsidP="00C5363B">
      <w:r w:rsidRPr="0039508C">
        <w:t xml:space="preserve">The </w:t>
      </w:r>
      <w:r w:rsidR="00986E57">
        <w:t>VSL</w:t>
      </w:r>
      <w:r w:rsidRPr="0039508C">
        <w:t xml:space="preserve"> program commenced on 1 January 2017, replacing the VET FEE-HELP scheme which closed to new students on 31 December 2016. </w:t>
      </w:r>
    </w:p>
    <w:p w14:paraId="55A3A2FA" w14:textId="6C609E1B" w:rsidR="0046437E" w:rsidRDefault="0046437E" w:rsidP="0046437E">
      <w:r>
        <w:t xml:space="preserve">The program provides income contingent loans to eligible students to undertake training and/or approved courses at approved providers as prescribed under the </w:t>
      </w:r>
      <w:r w:rsidR="006626C0" w:rsidRPr="006626C0">
        <w:t>Act</w:t>
      </w:r>
      <w:r>
        <w:t xml:space="preserve">. </w:t>
      </w:r>
    </w:p>
    <w:p w14:paraId="42D52D85" w14:textId="4E46508A" w:rsidR="00C5363B" w:rsidRPr="0039508C" w:rsidRDefault="1815B4AF" w:rsidP="00C5363B">
      <w:r>
        <w:t xml:space="preserve">The </w:t>
      </w:r>
      <w:r w:rsidR="00986E57">
        <w:t>VSL</w:t>
      </w:r>
      <w:r w:rsidR="00986E57" w:rsidRPr="0039508C">
        <w:t xml:space="preserve"> </w:t>
      </w:r>
      <w:r w:rsidR="00C5363B">
        <w:t xml:space="preserve">program focuses on program integrity, manages </w:t>
      </w:r>
      <w:r w:rsidR="005076E3">
        <w:t>risk,</w:t>
      </w:r>
      <w:r w:rsidR="00C5363B">
        <w:t xml:space="preserve"> and promotes confidence in the regulated VET market by ensuring students are both academically suited to their course and are studying under a quality provider.</w:t>
      </w:r>
    </w:p>
    <w:p w14:paraId="07402475" w14:textId="1CF8535F" w:rsidR="00C5363B" w:rsidRPr="0039508C" w:rsidRDefault="00986E57" w:rsidP="00C5363B">
      <w:r>
        <w:t>VSL</w:t>
      </w:r>
      <w:r w:rsidRPr="0039508C">
        <w:t xml:space="preserve"> </w:t>
      </w:r>
      <w:r w:rsidR="00C5363B" w:rsidRPr="0039508C">
        <w:t>offer</w:t>
      </w:r>
      <w:r>
        <w:t>s</w:t>
      </w:r>
      <w:r w:rsidR="00C5363B" w:rsidRPr="0039508C">
        <w:t xml:space="preserve"> income contingent loan support to eligible students studying approved Diploma level and above vocational education and training qualifications. </w:t>
      </w:r>
      <w:r w:rsidR="00125D42" w:rsidRPr="0039508C">
        <w:t xml:space="preserve">In </w:t>
      </w:r>
      <w:r w:rsidR="00125D42" w:rsidRPr="57739008">
        <w:t>20</w:t>
      </w:r>
      <w:r w:rsidR="007549C3" w:rsidRPr="57739008">
        <w:t>2</w:t>
      </w:r>
      <w:r w:rsidR="0090694C">
        <w:t>3</w:t>
      </w:r>
      <w:r w:rsidR="00396C52" w:rsidRPr="0039508C">
        <w:t>,</w:t>
      </w:r>
      <w:r w:rsidR="00125D42" w:rsidRPr="0039508C">
        <w:t xml:space="preserve"> e</w:t>
      </w:r>
      <w:r w:rsidR="00C5363B" w:rsidRPr="0039508C">
        <w:t xml:space="preserve">ligible students </w:t>
      </w:r>
      <w:r w:rsidR="00125D42" w:rsidRPr="0039508C">
        <w:t>we</w:t>
      </w:r>
      <w:r w:rsidR="00C5363B" w:rsidRPr="0039508C">
        <w:t xml:space="preserve">re entitled to access loans up to a capped amount of either </w:t>
      </w:r>
      <w:r w:rsidR="00C5363B" w:rsidRPr="57739008">
        <w:t>$</w:t>
      </w:r>
      <w:r w:rsidR="00B65343" w:rsidRPr="57739008">
        <w:t>5,</w:t>
      </w:r>
      <w:r w:rsidR="00E87B99">
        <w:t>595</w:t>
      </w:r>
      <w:r w:rsidR="00C5363B" w:rsidRPr="57739008">
        <w:t>, $</w:t>
      </w:r>
      <w:r w:rsidR="00E87B99" w:rsidRPr="00227BEC">
        <w:t>11,</w:t>
      </w:r>
      <w:r w:rsidR="00E87B99">
        <w:t>191</w:t>
      </w:r>
      <w:r w:rsidR="00C5363B" w:rsidRPr="57739008">
        <w:t xml:space="preserve"> or $</w:t>
      </w:r>
      <w:r w:rsidR="00C82B82">
        <w:t>16,788</w:t>
      </w:r>
      <w:r w:rsidR="00AE73F0" w:rsidRPr="00680C54">
        <w:rPr>
          <w:rStyle w:val="FootnoteReference"/>
        </w:rPr>
        <w:footnoteReference w:id="2"/>
      </w:r>
      <w:r w:rsidR="00C5363B" w:rsidRPr="00680C54">
        <w:t xml:space="preserve"> based</w:t>
      </w:r>
      <w:r w:rsidR="00C5363B" w:rsidRPr="0039508C">
        <w:t xml:space="preserve"> on cost of delivery, though the Minister has the power to provide different (and higher) caps for </w:t>
      </w:r>
      <w:proofErr w:type="gramStart"/>
      <w:r w:rsidR="00C5363B" w:rsidRPr="0039508C">
        <w:t>particular courses</w:t>
      </w:r>
      <w:proofErr w:type="gramEnd"/>
      <w:r w:rsidR="00C5363B" w:rsidRPr="0039508C">
        <w:t xml:space="preserve"> (for example, aviation related courses</w:t>
      </w:r>
      <w:r w:rsidR="00296541" w:rsidRPr="0039508C">
        <w:t xml:space="preserve"> up to </w:t>
      </w:r>
      <w:r w:rsidR="00296541" w:rsidRPr="00680C54">
        <w:t>$</w:t>
      </w:r>
      <w:r w:rsidR="00EC33E8" w:rsidRPr="00227BEC">
        <w:t>83,949</w:t>
      </w:r>
      <w:r w:rsidR="00024F60" w:rsidRPr="57739008">
        <w:rPr>
          <w:vertAlign w:val="superscript"/>
        </w:rPr>
        <w:t>1</w:t>
      </w:r>
      <w:r w:rsidR="00C5363B" w:rsidRPr="0039508C">
        <w:t xml:space="preserve">). </w:t>
      </w:r>
    </w:p>
    <w:p w14:paraId="42C34783" w14:textId="78B50B8A" w:rsidR="00C5363B" w:rsidRPr="0039508C" w:rsidRDefault="00C5363B" w:rsidP="00C5363B">
      <w:r w:rsidRPr="0039508C">
        <w:t xml:space="preserve">The list of current </w:t>
      </w:r>
      <w:r w:rsidR="00986E57">
        <w:t>VSL</w:t>
      </w:r>
      <w:r w:rsidR="00986E57" w:rsidRPr="0039508C">
        <w:t xml:space="preserve"> </w:t>
      </w:r>
      <w:r w:rsidRPr="0039508C">
        <w:t xml:space="preserve">approved courses and maximum loan amount by course is available in the </w:t>
      </w:r>
      <w:hyperlink r:id="rId17" w:history="1">
        <w:r w:rsidRPr="0039508C">
          <w:rPr>
            <w:rStyle w:val="Hyperlink"/>
            <w:i/>
            <w:color w:val="auto"/>
            <w:u w:val="none"/>
          </w:rPr>
          <w:t>VET Student Loans (Courses and Loan Caps) Determination 2016</w:t>
        </w:r>
      </w:hyperlink>
      <w:r w:rsidRPr="0039508C">
        <w:rPr>
          <w:rStyle w:val="FootnoteReference"/>
        </w:rPr>
        <w:footnoteReference w:id="3"/>
      </w:r>
      <w:r w:rsidRPr="0039508C">
        <w:t>.</w:t>
      </w:r>
    </w:p>
    <w:p w14:paraId="589B5078" w14:textId="254B2F7C" w:rsidR="00C5363B" w:rsidRPr="0039508C" w:rsidRDefault="002D1CF4" w:rsidP="00520C7A">
      <w:bookmarkStart w:id="0" w:name="_Hlk93502496"/>
      <w:r w:rsidRPr="0039508C">
        <w:t xml:space="preserve">During the </w:t>
      </w:r>
      <w:r w:rsidR="00192083" w:rsidRPr="0039508C">
        <w:t>period</w:t>
      </w:r>
      <w:r w:rsidR="00F26C37" w:rsidRPr="0039508C">
        <w:t xml:space="preserve"> </w:t>
      </w:r>
      <w:r w:rsidR="00ED0FA5" w:rsidRPr="008D47FD">
        <w:t xml:space="preserve">from </w:t>
      </w:r>
      <w:r w:rsidR="00AC5BB1" w:rsidRPr="008D47FD">
        <w:t xml:space="preserve">1 </w:t>
      </w:r>
      <w:r w:rsidR="00904BEC" w:rsidRPr="008D47FD">
        <w:t>J</w:t>
      </w:r>
      <w:r w:rsidR="009479DA">
        <w:t>u</w:t>
      </w:r>
      <w:r w:rsidR="001570BE">
        <w:t>ly</w:t>
      </w:r>
      <w:r w:rsidR="00AC5BB1" w:rsidRPr="008D47FD">
        <w:t xml:space="preserve"> 20</w:t>
      </w:r>
      <w:r w:rsidR="0084685F" w:rsidRPr="008D47FD">
        <w:t>2</w:t>
      </w:r>
      <w:r w:rsidR="007C7DA6">
        <w:t>3</w:t>
      </w:r>
      <w:r w:rsidR="00AC5BB1" w:rsidRPr="008D47FD">
        <w:t xml:space="preserve"> to </w:t>
      </w:r>
      <w:r w:rsidR="00904BEC" w:rsidRPr="008D47FD">
        <w:t>3</w:t>
      </w:r>
      <w:r w:rsidR="001570BE">
        <w:t>1</w:t>
      </w:r>
      <w:r w:rsidR="00904BEC" w:rsidRPr="008D47FD">
        <w:t xml:space="preserve"> </w:t>
      </w:r>
      <w:r w:rsidR="001570BE">
        <w:t>December</w:t>
      </w:r>
      <w:r w:rsidR="00AC5BB1" w:rsidRPr="008D47FD">
        <w:t xml:space="preserve"> 20</w:t>
      </w:r>
      <w:r w:rsidR="0084685F" w:rsidRPr="008D47FD">
        <w:t>2</w:t>
      </w:r>
      <w:r w:rsidR="007C7DA6">
        <w:t>3</w:t>
      </w:r>
      <w:r w:rsidR="003D1711" w:rsidRPr="008D47FD">
        <w:t xml:space="preserve">, </w:t>
      </w:r>
      <w:r w:rsidR="00062DD1">
        <w:t>19</w:t>
      </w:r>
      <w:r w:rsidR="00357CEE">
        <w:t>4</w:t>
      </w:r>
      <w:r w:rsidR="00062DD1" w:rsidRPr="008D47FD">
        <w:t xml:space="preserve"> </w:t>
      </w:r>
      <w:r w:rsidR="003D1711" w:rsidRPr="008D47FD">
        <w:t>providers</w:t>
      </w:r>
      <w:r w:rsidR="003D1711" w:rsidRPr="0039508C">
        <w:t xml:space="preserve"> </w:t>
      </w:r>
      <w:r w:rsidR="00C94CE5" w:rsidRPr="0039508C">
        <w:t xml:space="preserve">operated as approved course providers </w:t>
      </w:r>
      <w:r w:rsidR="003D1711" w:rsidRPr="0039508C">
        <w:t xml:space="preserve">under the </w:t>
      </w:r>
      <w:r w:rsidR="00986E57">
        <w:t>VSL</w:t>
      </w:r>
      <w:r w:rsidR="00986E57" w:rsidRPr="0039508C">
        <w:t xml:space="preserve"> </w:t>
      </w:r>
      <w:r w:rsidR="003D1711" w:rsidRPr="0039508C">
        <w:t>program</w:t>
      </w:r>
      <w:bookmarkEnd w:id="0"/>
      <w:r w:rsidR="0047555A" w:rsidRPr="0039508C">
        <w:t xml:space="preserve">. </w:t>
      </w:r>
      <w:r w:rsidR="00F26C37" w:rsidRPr="0039508C">
        <w:t>This is</w:t>
      </w:r>
      <w:r w:rsidRPr="0039508C">
        <w:t xml:space="preserve"> </w:t>
      </w:r>
      <w:r w:rsidR="00AC5BB1" w:rsidRPr="0039508C">
        <w:t>compared to t</w:t>
      </w:r>
      <w:r w:rsidR="00F26C37" w:rsidRPr="0039508C">
        <w:t xml:space="preserve">he </w:t>
      </w:r>
      <w:r w:rsidR="00062DD1">
        <w:t>210</w:t>
      </w:r>
      <w:r w:rsidR="00062DD1" w:rsidRPr="0039508C">
        <w:t xml:space="preserve"> </w:t>
      </w:r>
      <w:r w:rsidRPr="0039508C">
        <w:t xml:space="preserve">providers </w:t>
      </w:r>
      <w:r w:rsidR="004267C3" w:rsidRPr="0039508C">
        <w:t xml:space="preserve">that operated during the </w:t>
      </w:r>
      <w:r w:rsidR="00CD1D57">
        <w:t>second</w:t>
      </w:r>
      <w:r w:rsidR="006517F2" w:rsidRPr="0039508C">
        <w:t xml:space="preserve"> half of 20</w:t>
      </w:r>
      <w:r w:rsidR="0084685F" w:rsidRPr="0039508C">
        <w:t>2</w:t>
      </w:r>
      <w:r w:rsidR="00062DD1">
        <w:t>2</w:t>
      </w:r>
      <w:r w:rsidR="00C83E72" w:rsidRPr="0039508C">
        <w:t xml:space="preserve"> (as detailed in the </w:t>
      </w:r>
      <w:hyperlink r:id="rId18" w:history="1">
        <w:r w:rsidR="006626C0">
          <w:rPr>
            <w:i/>
          </w:rPr>
          <w:t>VSL</w:t>
        </w:r>
        <w:r w:rsidR="001B4394" w:rsidRPr="0039508C">
          <w:rPr>
            <w:i/>
          </w:rPr>
          <w:t xml:space="preserve"> S</w:t>
        </w:r>
        <w:r w:rsidR="00C83E72" w:rsidRPr="0039508C">
          <w:rPr>
            <w:i/>
          </w:rPr>
          <w:t xml:space="preserve">ix-monthly </w:t>
        </w:r>
        <w:r w:rsidR="00617B8D" w:rsidRPr="0039508C">
          <w:rPr>
            <w:i/>
          </w:rPr>
          <w:t xml:space="preserve">report </w:t>
        </w:r>
        <w:r w:rsidR="001B4394" w:rsidRPr="0039508C">
          <w:rPr>
            <w:i/>
          </w:rPr>
          <w:t>1</w:t>
        </w:r>
        <w:r w:rsidR="00CE2AE6" w:rsidRPr="0039508C">
          <w:rPr>
            <w:i/>
          </w:rPr>
          <w:t> </w:t>
        </w:r>
        <w:r w:rsidR="00CD1D57">
          <w:rPr>
            <w:i/>
          </w:rPr>
          <w:t>July</w:t>
        </w:r>
        <w:r w:rsidR="004267C3" w:rsidRPr="0039508C">
          <w:rPr>
            <w:i/>
          </w:rPr>
          <w:t xml:space="preserve"> </w:t>
        </w:r>
        <w:r w:rsidR="001B4394" w:rsidRPr="0039508C">
          <w:rPr>
            <w:i/>
          </w:rPr>
          <w:t>20</w:t>
        </w:r>
        <w:r w:rsidR="0084685F" w:rsidRPr="0039508C">
          <w:rPr>
            <w:i/>
          </w:rPr>
          <w:t>2</w:t>
        </w:r>
        <w:r w:rsidR="00DE3AEC">
          <w:rPr>
            <w:i/>
          </w:rPr>
          <w:t>2</w:t>
        </w:r>
        <w:r w:rsidR="001B4394" w:rsidRPr="0039508C">
          <w:rPr>
            <w:i/>
          </w:rPr>
          <w:t xml:space="preserve"> to 3</w:t>
        </w:r>
      </w:hyperlink>
      <w:r w:rsidR="00CD1D57">
        <w:rPr>
          <w:i/>
        </w:rPr>
        <w:t>1</w:t>
      </w:r>
      <w:r w:rsidR="006517F2" w:rsidRPr="0039508C">
        <w:rPr>
          <w:i/>
        </w:rPr>
        <w:t xml:space="preserve"> </w:t>
      </w:r>
      <w:r w:rsidR="00CD1D57">
        <w:rPr>
          <w:i/>
        </w:rPr>
        <w:t>December</w:t>
      </w:r>
      <w:r w:rsidR="0078037E">
        <w:rPr>
          <w:i/>
        </w:rPr>
        <w:t xml:space="preserve"> </w:t>
      </w:r>
      <w:r w:rsidR="006517F2" w:rsidRPr="0039508C">
        <w:rPr>
          <w:i/>
        </w:rPr>
        <w:t>20</w:t>
      </w:r>
      <w:r w:rsidR="0084685F" w:rsidRPr="0039508C">
        <w:rPr>
          <w:i/>
        </w:rPr>
        <w:t>2</w:t>
      </w:r>
      <w:r w:rsidR="00DE3AEC">
        <w:rPr>
          <w:i/>
        </w:rPr>
        <w:t>2</w:t>
      </w:r>
      <w:r w:rsidR="001B4394" w:rsidRPr="0039508C">
        <w:rPr>
          <w:vertAlign w:val="superscript"/>
        </w:rPr>
        <w:footnoteReference w:id="4"/>
      </w:r>
      <w:r w:rsidR="00C83E72" w:rsidRPr="0039508C">
        <w:t>)</w:t>
      </w:r>
      <w:r w:rsidRPr="0039508C">
        <w:t>.</w:t>
      </w:r>
      <w:r w:rsidR="000A2655" w:rsidRPr="0039508C">
        <w:t xml:space="preserve"> </w:t>
      </w:r>
    </w:p>
    <w:p w14:paraId="596AEA4D" w14:textId="43B72F39" w:rsidR="003D1711" w:rsidRPr="0039508C" w:rsidRDefault="003D1711" w:rsidP="00524956">
      <w:pPr>
        <w:pStyle w:val="Heading1"/>
      </w:pPr>
      <w:r w:rsidRPr="0039508C">
        <w:t xml:space="preserve">Information required under section 103A of the </w:t>
      </w:r>
      <w:r w:rsidRPr="006626C0">
        <w:rPr>
          <w:iCs/>
        </w:rPr>
        <w:t>Act</w:t>
      </w:r>
      <w:r w:rsidRPr="0039508C">
        <w:rPr>
          <w:i/>
        </w:rPr>
        <w:t xml:space="preserve"> </w:t>
      </w:r>
    </w:p>
    <w:p w14:paraId="75AB7C96" w14:textId="76678DAD" w:rsidR="003D1711" w:rsidRPr="0039508C" w:rsidRDefault="003D1711" w:rsidP="003D1711">
      <w:r w:rsidRPr="0039508C">
        <w:t xml:space="preserve">During the </w:t>
      </w:r>
      <w:r w:rsidRPr="00BF2832">
        <w:t xml:space="preserve">period </w:t>
      </w:r>
      <w:r w:rsidR="00AC5BB1" w:rsidRPr="00BF2832">
        <w:t xml:space="preserve">1 </w:t>
      </w:r>
      <w:r w:rsidR="00904BEC" w:rsidRPr="00BF2832">
        <w:t>J</w:t>
      </w:r>
      <w:r w:rsidR="00AD55EA">
        <w:t>uly</w:t>
      </w:r>
      <w:r w:rsidR="00AC5BB1" w:rsidRPr="00BF2832">
        <w:t xml:space="preserve"> 20</w:t>
      </w:r>
      <w:r w:rsidR="007549C3" w:rsidRPr="00BF2832">
        <w:t>2</w:t>
      </w:r>
      <w:r w:rsidR="00B45C5B">
        <w:t>3</w:t>
      </w:r>
      <w:r w:rsidR="00AC5BB1" w:rsidRPr="00BF2832">
        <w:t xml:space="preserve"> to </w:t>
      </w:r>
      <w:r w:rsidR="00904BEC" w:rsidRPr="00BF2832">
        <w:t>3</w:t>
      </w:r>
      <w:r w:rsidR="00AD55EA">
        <w:t>1</w:t>
      </w:r>
      <w:r w:rsidR="00904BEC" w:rsidRPr="00BF2832">
        <w:t xml:space="preserve"> </w:t>
      </w:r>
      <w:r w:rsidR="00AD55EA">
        <w:t>December</w:t>
      </w:r>
      <w:r w:rsidR="00AC5BB1" w:rsidRPr="00BF2832">
        <w:t xml:space="preserve"> 20</w:t>
      </w:r>
      <w:r w:rsidR="007549C3" w:rsidRPr="00BF2832">
        <w:t>2</w:t>
      </w:r>
      <w:r w:rsidR="00B45C5B">
        <w:t>3</w:t>
      </w:r>
      <w:r w:rsidR="007362ED">
        <w:t>,</w:t>
      </w:r>
      <w:r w:rsidR="009A5472" w:rsidRPr="00BF2832">
        <w:t xml:space="preserve"> </w:t>
      </w:r>
      <w:r w:rsidR="00B45C5B">
        <w:t>19</w:t>
      </w:r>
      <w:r w:rsidR="00EB550B">
        <w:t>4</w:t>
      </w:r>
      <w:r w:rsidR="00B45C5B" w:rsidRPr="0039508C">
        <w:t xml:space="preserve"> </w:t>
      </w:r>
      <w:r w:rsidRPr="0039508C">
        <w:t xml:space="preserve">registered training organisations </w:t>
      </w:r>
      <w:r w:rsidR="00EB0A16" w:rsidRPr="0039508C">
        <w:t xml:space="preserve">(RTOs) </w:t>
      </w:r>
      <w:r w:rsidRPr="0039508C">
        <w:t xml:space="preserve">operated as approved course providers for </w:t>
      </w:r>
      <w:r w:rsidR="006626C0">
        <w:t>VSL</w:t>
      </w:r>
      <w:r w:rsidRPr="0039508C">
        <w:t xml:space="preserve"> (section 103A(a)).</w:t>
      </w:r>
      <w:r w:rsidR="00EB0A16" w:rsidRPr="0039508C">
        <w:t xml:space="preserve"> </w:t>
      </w:r>
      <w:r w:rsidR="00F72872" w:rsidRPr="0039508C">
        <w:t>The Addendum (</w:t>
      </w:r>
      <w:r w:rsidRPr="0039508C">
        <w:t>Table 1</w:t>
      </w:r>
      <w:r w:rsidR="00F72872" w:rsidRPr="0039508C">
        <w:t>)</w:t>
      </w:r>
      <w:r w:rsidRPr="0039508C">
        <w:t xml:space="preserve"> to this report sets out </w:t>
      </w:r>
      <w:r w:rsidR="002D48FD" w:rsidRPr="0039508C">
        <w:t>all</w:t>
      </w:r>
      <w:r w:rsidRPr="0039508C">
        <w:t xml:space="preserve"> the information required by section 103A(b) for each provider.</w:t>
      </w:r>
    </w:p>
    <w:p w14:paraId="4ED786EB" w14:textId="77777777" w:rsidR="003D1711" w:rsidRPr="0039508C" w:rsidRDefault="003D1711" w:rsidP="003D1711">
      <w:r w:rsidRPr="0039508C">
        <w:t>In addition, this report sets out information and commentary on highlights for each of the matters specified in section 103A(b) for the six</w:t>
      </w:r>
      <w:r w:rsidRPr="0039508C">
        <w:noBreakHyphen/>
        <w:t>month period, namely:</w:t>
      </w:r>
    </w:p>
    <w:p w14:paraId="3D5FCC19" w14:textId="2CA1A0D9" w:rsidR="003D1711" w:rsidRPr="0039508C" w:rsidRDefault="00E17B6C" w:rsidP="003D1711">
      <w:pPr>
        <w:pStyle w:val="ListParagraph"/>
        <w:numPr>
          <w:ilvl w:val="0"/>
          <w:numId w:val="8"/>
        </w:numPr>
      </w:pPr>
      <w:r w:rsidRPr="0039508C">
        <w:t>a</w:t>
      </w:r>
      <w:r w:rsidR="003D1711" w:rsidRPr="0039508C">
        <w:t>pproved course providers</w:t>
      </w:r>
      <w:r w:rsidR="007549C3" w:rsidRPr="0039508C">
        <w:t xml:space="preserve"> </w:t>
      </w:r>
    </w:p>
    <w:p w14:paraId="1F25B60C" w14:textId="6C730EDD" w:rsidR="003D1711" w:rsidRPr="0039508C" w:rsidRDefault="00E17B6C" w:rsidP="003D1711">
      <w:pPr>
        <w:pStyle w:val="ListParagraph"/>
        <w:numPr>
          <w:ilvl w:val="0"/>
          <w:numId w:val="8"/>
        </w:numPr>
      </w:pPr>
      <w:r w:rsidRPr="0039508C">
        <w:t>v</w:t>
      </w:r>
      <w:r w:rsidR="003D1711" w:rsidRPr="0039508C">
        <w:t xml:space="preserve">alue of </w:t>
      </w:r>
      <w:r w:rsidR="00986E57">
        <w:t>VSL</w:t>
      </w:r>
      <w:r w:rsidR="00AF0890" w:rsidRPr="0039508C">
        <w:t xml:space="preserve"> paid</w:t>
      </w:r>
    </w:p>
    <w:p w14:paraId="04C5B178" w14:textId="77777777" w:rsidR="003D1711" w:rsidRPr="0039508C" w:rsidRDefault="003D1711" w:rsidP="003D1711">
      <w:pPr>
        <w:pStyle w:val="ListParagraph"/>
        <w:numPr>
          <w:ilvl w:val="0"/>
          <w:numId w:val="8"/>
        </w:numPr>
      </w:pPr>
      <w:r w:rsidRPr="0039508C">
        <w:t>VSL</w:t>
      </w:r>
      <w:r w:rsidRPr="0039508C">
        <w:noBreakHyphen/>
        <w:t>assisted students</w:t>
      </w:r>
    </w:p>
    <w:p w14:paraId="2F360A88" w14:textId="77777777" w:rsidR="003D1711" w:rsidRPr="0039508C" w:rsidRDefault="00E17B6C" w:rsidP="003D1711">
      <w:pPr>
        <w:pStyle w:val="ListParagraph"/>
        <w:numPr>
          <w:ilvl w:val="0"/>
          <w:numId w:val="8"/>
        </w:numPr>
      </w:pPr>
      <w:r w:rsidRPr="0039508C">
        <w:t>c</w:t>
      </w:r>
      <w:r w:rsidR="003D1711" w:rsidRPr="0039508C">
        <w:t>ompletions</w:t>
      </w:r>
    </w:p>
    <w:p w14:paraId="473ED740" w14:textId="77777777" w:rsidR="003D1711" w:rsidRPr="0039508C" w:rsidRDefault="00E17B6C" w:rsidP="003D1711">
      <w:pPr>
        <w:pStyle w:val="ListParagraph"/>
        <w:numPr>
          <w:ilvl w:val="0"/>
          <w:numId w:val="8"/>
        </w:numPr>
      </w:pPr>
      <w:r w:rsidRPr="0039508C">
        <w:t>t</w:t>
      </w:r>
      <w:r w:rsidR="003D1711" w:rsidRPr="0039508C">
        <w:t>uition fees</w:t>
      </w:r>
      <w:r w:rsidR="00192083" w:rsidRPr="0039508C">
        <w:t>.</w:t>
      </w:r>
    </w:p>
    <w:p w14:paraId="50D495E7" w14:textId="46FCFD85" w:rsidR="006F383B" w:rsidRPr="0039508C" w:rsidRDefault="006F383B" w:rsidP="009915EB">
      <w:pPr>
        <w:pStyle w:val="Heading1"/>
        <w:spacing w:after="120"/>
      </w:pPr>
      <w:r w:rsidRPr="0039508C">
        <w:t>Summary</w:t>
      </w:r>
      <w:r w:rsidR="00B92133">
        <w:t xml:space="preserve"> of key stats</w:t>
      </w:r>
      <w:r w:rsidR="00580042">
        <w:t xml:space="preserve"> for the period 1 July 2023 to 31 December 2023</w:t>
      </w:r>
    </w:p>
    <w:tbl>
      <w:tblPr>
        <w:tblStyle w:val="TableGrid"/>
        <w:tblW w:w="4456" w:type="pct"/>
        <w:tblLook w:val="06A0" w:firstRow="1" w:lastRow="0" w:firstColumn="1" w:lastColumn="0" w:noHBand="1" w:noVBand="1"/>
      </w:tblPr>
      <w:tblGrid>
        <w:gridCol w:w="5595"/>
        <w:gridCol w:w="2480"/>
      </w:tblGrid>
      <w:tr w:rsidR="009915EB" w:rsidRPr="0039508C" w14:paraId="3C141B92" w14:textId="77777777" w:rsidTr="000B58F1">
        <w:trPr>
          <w:tblHeader/>
        </w:trPr>
        <w:tc>
          <w:tcPr>
            <w:tcW w:w="5595" w:type="dxa"/>
            <w:shd w:val="clear" w:color="auto" w:fill="23206C"/>
          </w:tcPr>
          <w:p w14:paraId="482A5A3B" w14:textId="42C443A8" w:rsidR="009915EB" w:rsidRPr="0039508C" w:rsidRDefault="009915EB" w:rsidP="006F383B">
            <w:pPr>
              <w:rPr>
                <w:b/>
                <w:color w:val="FFFFFF" w:themeColor="background1"/>
              </w:rPr>
            </w:pPr>
            <w:r w:rsidRPr="0039508C">
              <w:rPr>
                <w:b/>
                <w:color w:val="FFFFFF" w:themeColor="background1"/>
              </w:rPr>
              <w:t>Area</w:t>
            </w:r>
          </w:p>
        </w:tc>
        <w:tc>
          <w:tcPr>
            <w:tcW w:w="2480" w:type="dxa"/>
            <w:shd w:val="clear" w:color="auto" w:fill="23206C"/>
          </w:tcPr>
          <w:p w14:paraId="1BD456D6" w14:textId="65B4C76C" w:rsidR="009915EB" w:rsidRPr="0039508C" w:rsidRDefault="009915EB" w:rsidP="00E64627">
            <w:pPr>
              <w:jc w:val="center"/>
              <w:rPr>
                <w:b/>
                <w:color w:val="FFFFFF" w:themeColor="background1"/>
              </w:rPr>
            </w:pPr>
          </w:p>
        </w:tc>
      </w:tr>
      <w:tr w:rsidR="006F383B" w:rsidRPr="0039508C" w14:paraId="32C7FA9D" w14:textId="77777777" w:rsidTr="000B58F1">
        <w:tc>
          <w:tcPr>
            <w:tcW w:w="5595" w:type="dxa"/>
          </w:tcPr>
          <w:p w14:paraId="0687AF17" w14:textId="65C5768D" w:rsidR="006F383B" w:rsidRPr="00D20E0D" w:rsidRDefault="00D07370" w:rsidP="006F383B">
            <w:pPr>
              <w:rPr>
                <w:bCs/>
              </w:rPr>
            </w:pPr>
            <w:r w:rsidRPr="00D20E0D">
              <w:rPr>
                <w:bCs/>
              </w:rPr>
              <w:t xml:space="preserve">Approved </w:t>
            </w:r>
            <w:r w:rsidR="006F383B" w:rsidRPr="00D20E0D">
              <w:rPr>
                <w:bCs/>
              </w:rPr>
              <w:t>providers</w:t>
            </w:r>
          </w:p>
        </w:tc>
        <w:tc>
          <w:tcPr>
            <w:tcW w:w="2480" w:type="dxa"/>
          </w:tcPr>
          <w:p w14:paraId="1E54B59D" w14:textId="12891857" w:rsidR="006F383B" w:rsidRPr="00D20E0D" w:rsidRDefault="000B3E91" w:rsidP="000B58F1">
            <w:pPr>
              <w:jc w:val="right"/>
              <w:rPr>
                <w:bCs/>
              </w:rPr>
            </w:pPr>
            <w:r w:rsidRPr="00D20E0D">
              <w:rPr>
                <w:bCs/>
              </w:rPr>
              <w:t>19</w:t>
            </w:r>
            <w:r w:rsidR="001A063D" w:rsidRPr="00D20E0D">
              <w:rPr>
                <w:bCs/>
              </w:rPr>
              <w:t>4</w:t>
            </w:r>
          </w:p>
        </w:tc>
      </w:tr>
      <w:tr w:rsidR="006F383B" w:rsidRPr="0039508C" w14:paraId="59F8BAB9" w14:textId="77777777" w:rsidTr="000B58F1">
        <w:tc>
          <w:tcPr>
            <w:tcW w:w="5595" w:type="dxa"/>
          </w:tcPr>
          <w:p w14:paraId="3CE623D0" w14:textId="77777777" w:rsidR="006F383B" w:rsidRPr="00D20E0D" w:rsidRDefault="006F383B" w:rsidP="006F383B">
            <w:pPr>
              <w:rPr>
                <w:bCs/>
              </w:rPr>
            </w:pPr>
            <w:r w:rsidRPr="00D20E0D">
              <w:rPr>
                <w:bCs/>
              </w:rPr>
              <w:t>Students</w:t>
            </w:r>
          </w:p>
        </w:tc>
        <w:tc>
          <w:tcPr>
            <w:tcW w:w="2480" w:type="dxa"/>
          </w:tcPr>
          <w:p w14:paraId="63F8C70A" w14:textId="4D489708" w:rsidR="006F383B" w:rsidRPr="00D20E0D" w:rsidRDefault="00E73A04" w:rsidP="000B58F1">
            <w:pPr>
              <w:jc w:val="right"/>
              <w:rPr>
                <w:bCs/>
              </w:rPr>
            </w:pPr>
            <w:r w:rsidRPr="00D20E0D">
              <w:rPr>
                <w:bCs/>
              </w:rPr>
              <w:t>17,108</w:t>
            </w:r>
          </w:p>
        </w:tc>
      </w:tr>
      <w:tr w:rsidR="006F383B" w:rsidRPr="0039508C" w14:paraId="67CB062F" w14:textId="77777777" w:rsidTr="000B58F1">
        <w:tc>
          <w:tcPr>
            <w:tcW w:w="5595" w:type="dxa"/>
          </w:tcPr>
          <w:p w14:paraId="36204138" w14:textId="77777777" w:rsidR="006F383B" w:rsidRPr="00D20E0D" w:rsidRDefault="006F383B" w:rsidP="006F383B">
            <w:pPr>
              <w:rPr>
                <w:bCs/>
              </w:rPr>
            </w:pPr>
            <w:r w:rsidRPr="00D20E0D">
              <w:rPr>
                <w:bCs/>
              </w:rPr>
              <w:t>Course enrolments</w:t>
            </w:r>
          </w:p>
        </w:tc>
        <w:tc>
          <w:tcPr>
            <w:tcW w:w="2480" w:type="dxa"/>
          </w:tcPr>
          <w:p w14:paraId="0E72DE68" w14:textId="74D6F4EE" w:rsidR="006F383B" w:rsidRPr="00D20E0D" w:rsidRDefault="00E73A04" w:rsidP="000B58F1">
            <w:pPr>
              <w:jc w:val="right"/>
              <w:rPr>
                <w:bCs/>
              </w:rPr>
            </w:pPr>
            <w:r w:rsidRPr="00D20E0D">
              <w:rPr>
                <w:bCs/>
              </w:rPr>
              <w:t>18,971</w:t>
            </w:r>
          </w:p>
        </w:tc>
      </w:tr>
      <w:tr w:rsidR="006F383B" w:rsidRPr="0039508C" w14:paraId="24AD5603" w14:textId="77777777" w:rsidTr="000B58F1">
        <w:tc>
          <w:tcPr>
            <w:tcW w:w="5595" w:type="dxa"/>
          </w:tcPr>
          <w:p w14:paraId="72B92112" w14:textId="77777777" w:rsidR="006F383B" w:rsidRPr="00D20E0D" w:rsidRDefault="006F383B" w:rsidP="006F383B">
            <w:pPr>
              <w:rPr>
                <w:bCs/>
              </w:rPr>
            </w:pPr>
            <w:r w:rsidRPr="00D20E0D">
              <w:rPr>
                <w:bCs/>
              </w:rPr>
              <w:t>Loans</w:t>
            </w:r>
          </w:p>
        </w:tc>
        <w:tc>
          <w:tcPr>
            <w:tcW w:w="2480" w:type="dxa"/>
          </w:tcPr>
          <w:p w14:paraId="4336B43D" w14:textId="2E9251BF" w:rsidR="006F383B" w:rsidRPr="00D20E0D" w:rsidRDefault="00E73A04" w:rsidP="000B58F1">
            <w:pPr>
              <w:jc w:val="right"/>
              <w:rPr>
                <w:bCs/>
              </w:rPr>
            </w:pPr>
            <w:r w:rsidRPr="00D20E0D">
              <w:rPr>
                <w:bCs/>
              </w:rPr>
              <w:t>$103,388,497</w:t>
            </w:r>
          </w:p>
        </w:tc>
      </w:tr>
      <w:tr w:rsidR="006F383B" w:rsidRPr="0039508C" w14:paraId="386E0529" w14:textId="77777777" w:rsidTr="000B58F1">
        <w:tc>
          <w:tcPr>
            <w:tcW w:w="5595" w:type="dxa"/>
          </w:tcPr>
          <w:p w14:paraId="28C9805E" w14:textId="77777777" w:rsidR="006F383B" w:rsidRPr="00D20E0D" w:rsidRDefault="006F383B" w:rsidP="006F383B">
            <w:pPr>
              <w:rPr>
                <w:bCs/>
              </w:rPr>
            </w:pPr>
            <w:r w:rsidRPr="00D20E0D">
              <w:rPr>
                <w:bCs/>
              </w:rPr>
              <w:t>Course completions</w:t>
            </w:r>
          </w:p>
        </w:tc>
        <w:tc>
          <w:tcPr>
            <w:tcW w:w="2480" w:type="dxa"/>
          </w:tcPr>
          <w:p w14:paraId="554E505E" w14:textId="3E56DDD6" w:rsidR="006F383B" w:rsidRPr="00D20E0D" w:rsidRDefault="00E73A04" w:rsidP="000B58F1">
            <w:pPr>
              <w:jc w:val="right"/>
              <w:rPr>
                <w:bCs/>
              </w:rPr>
            </w:pPr>
            <w:r w:rsidRPr="00D20E0D">
              <w:rPr>
                <w:bCs/>
              </w:rPr>
              <w:t>4,051</w:t>
            </w:r>
          </w:p>
        </w:tc>
      </w:tr>
      <w:tr w:rsidR="006F383B" w:rsidRPr="0039508C" w14:paraId="1D6981AF" w14:textId="77777777" w:rsidTr="000B58F1">
        <w:tc>
          <w:tcPr>
            <w:tcW w:w="5595" w:type="dxa"/>
          </w:tcPr>
          <w:p w14:paraId="6FC8B5A8" w14:textId="77777777" w:rsidR="006F383B" w:rsidRPr="00D20E0D" w:rsidRDefault="006F383B" w:rsidP="006F383B">
            <w:pPr>
              <w:rPr>
                <w:bCs/>
              </w:rPr>
            </w:pPr>
            <w:r w:rsidRPr="00D20E0D">
              <w:rPr>
                <w:bCs/>
              </w:rPr>
              <w:t>Unit of study completion rate</w:t>
            </w:r>
          </w:p>
        </w:tc>
        <w:tc>
          <w:tcPr>
            <w:tcW w:w="2480" w:type="dxa"/>
          </w:tcPr>
          <w:p w14:paraId="01EDDDFA" w14:textId="187FCEA9" w:rsidR="006F383B" w:rsidRPr="00D20E0D" w:rsidRDefault="00E73A04" w:rsidP="000B58F1">
            <w:pPr>
              <w:jc w:val="right"/>
              <w:rPr>
                <w:bCs/>
              </w:rPr>
            </w:pPr>
            <w:r w:rsidRPr="00D20E0D">
              <w:rPr>
                <w:bCs/>
              </w:rPr>
              <w:t>86.8%</w:t>
            </w:r>
          </w:p>
        </w:tc>
      </w:tr>
    </w:tbl>
    <w:p w14:paraId="73A0E373" w14:textId="553FE8F4" w:rsidR="003D1711" w:rsidRPr="0039508C" w:rsidRDefault="00AB1DF6" w:rsidP="007C2499">
      <w:pPr>
        <w:pStyle w:val="Heading1"/>
        <w:spacing w:before="360"/>
      </w:pPr>
      <w:r w:rsidRPr="00AB1DF6">
        <w:lastRenderedPageBreak/>
        <w:t>Approved</w:t>
      </w:r>
      <w:r w:rsidR="00A86B9F" w:rsidRPr="00AB1DF6">
        <w:t xml:space="preserve"> </w:t>
      </w:r>
      <w:r w:rsidR="003D1711" w:rsidRPr="0039508C">
        <w:t xml:space="preserve">course providers </w:t>
      </w:r>
      <w:r w:rsidR="006626C0">
        <w:t>the</w:t>
      </w:r>
      <w:r w:rsidR="0002008F">
        <w:t xml:space="preserve"> Act</w:t>
      </w:r>
      <w:r w:rsidR="00CE6AA8">
        <w:t xml:space="preserve">, </w:t>
      </w:r>
      <w:r w:rsidR="003D1711" w:rsidRPr="0039508C">
        <w:t>sections 103A(a) and (b)(</w:t>
      </w:r>
      <w:proofErr w:type="spellStart"/>
      <w:r w:rsidR="003D1711" w:rsidRPr="0039508C">
        <w:t>i</w:t>
      </w:r>
      <w:proofErr w:type="spellEnd"/>
      <w:r w:rsidR="003D1711" w:rsidRPr="0039508C">
        <w:t>))</w:t>
      </w:r>
    </w:p>
    <w:p w14:paraId="7E42B18D" w14:textId="4A984635" w:rsidR="003D1711" w:rsidRPr="0039508C" w:rsidRDefault="003D1711" w:rsidP="001B6BA9">
      <w:pPr>
        <w:spacing w:after="0"/>
      </w:pPr>
      <w:r w:rsidRPr="0039508C">
        <w:t xml:space="preserve">The </w:t>
      </w:r>
      <w:r w:rsidR="005076E3">
        <w:t>194</w:t>
      </w:r>
      <w:r w:rsidR="00EE6FC8" w:rsidRPr="0039508C">
        <w:t xml:space="preserve"> </w:t>
      </w:r>
      <w:r w:rsidR="007C004E">
        <w:t>approved</w:t>
      </w:r>
      <w:r w:rsidRPr="0039508C">
        <w:t xml:space="preserve"> providers comprised:</w:t>
      </w:r>
    </w:p>
    <w:p w14:paraId="5FA27B50" w14:textId="3EC4D789" w:rsidR="003D1711" w:rsidRPr="0039508C" w:rsidRDefault="007D7AF3" w:rsidP="00F32245">
      <w:pPr>
        <w:pStyle w:val="ListParagraph"/>
        <w:numPr>
          <w:ilvl w:val="0"/>
          <w:numId w:val="9"/>
        </w:numPr>
        <w:spacing w:after="0"/>
      </w:pPr>
      <w:r>
        <w:t>23</w:t>
      </w:r>
      <w:r w:rsidRPr="0039508C">
        <w:t xml:space="preserve"> </w:t>
      </w:r>
      <w:r w:rsidR="003D1711" w:rsidRPr="0039508C">
        <w:t>TAFEs</w:t>
      </w:r>
    </w:p>
    <w:p w14:paraId="77618719" w14:textId="583D28B6" w:rsidR="003D1711" w:rsidRPr="0039508C" w:rsidRDefault="007D7AF3" w:rsidP="00F32245">
      <w:pPr>
        <w:pStyle w:val="ListParagraph"/>
        <w:numPr>
          <w:ilvl w:val="0"/>
          <w:numId w:val="9"/>
        </w:numPr>
        <w:spacing w:after="0"/>
      </w:pPr>
      <w:r>
        <w:t>1</w:t>
      </w:r>
      <w:r w:rsidR="005076E3">
        <w:t>1</w:t>
      </w:r>
      <w:r w:rsidRPr="0039508C">
        <w:t xml:space="preserve"> </w:t>
      </w:r>
      <w:r w:rsidR="003D1711" w:rsidRPr="0039508C">
        <w:t xml:space="preserve">other public organisations (including Table A providers), and </w:t>
      </w:r>
    </w:p>
    <w:p w14:paraId="7388BE85" w14:textId="0FC897A1" w:rsidR="003D1711" w:rsidRPr="0039508C" w:rsidRDefault="007D7AF3" w:rsidP="00F32245">
      <w:pPr>
        <w:pStyle w:val="ListParagraph"/>
        <w:numPr>
          <w:ilvl w:val="0"/>
          <w:numId w:val="9"/>
        </w:numPr>
        <w:spacing w:after="0"/>
        <w:ind w:left="714" w:hanging="357"/>
      </w:pPr>
      <w:r>
        <w:t>160</w:t>
      </w:r>
      <w:r w:rsidRPr="0039508C">
        <w:t xml:space="preserve"> </w:t>
      </w:r>
      <w:r w:rsidR="003D1711" w:rsidRPr="0039508C">
        <w:t xml:space="preserve">private providers. </w:t>
      </w:r>
    </w:p>
    <w:p w14:paraId="6001D8A5" w14:textId="70E16AF6" w:rsidR="001B6BA9" w:rsidRPr="0039508C" w:rsidRDefault="003D1711" w:rsidP="00E643E8">
      <w:pPr>
        <w:spacing w:before="160"/>
      </w:pPr>
      <w:r w:rsidRPr="0039508C">
        <w:t xml:space="preserve">The numbers of providers in these different categories </w:t>
      </w:r>
      <w:r w:rsidR="00B06127" w:rsidRPr="0039508C">
        <w:t>are</w:t>
      </w:r>
      <w:r w:rsidRPr="0039508C">
        <w:t xml:space="preserve"> </w:t>
      </w:r>
      <w:r w:rsidR="004E7F05" w:rsidRPr="0039508C">
        <w:t>shown</w:t>
      </w:r>
      <w:r w:rsidRPr="0039508C">
        <w:t xml:space="preserve"> in </w:t>
      </w:r>
      <w:r w:rsidR="00C94CE5" w:rsidRPr="0039508C">
        <w:t>Figure 1</w:t>
      </w:r>
      <w:r w:rsidRPr="0039508C">
        <w:t>.</w:t>
      </w:r>
      <w:bookmarkStart w:id="1" w:name="_Ref488839233"/>
    </w:p>
    <w:bookmarkEnd w:id="1"/>
    <w:p w14:paraId="23174D20" w14:textId="1D6DB124" w:rsidR="00EE494A" w:rsidRDefault="00EE494A" w:rsidP="00EE494A">
      <w:pPr>
        <w:pStyle w:val="Caption"/>
        <w:keepNext/>
      </w:pPr>
      <w:r w:rsidRPr="0039508C">
        <w:t xml:space="preserve">Figure </w:t>
      </w:r>
      <w:r>
        <w:fldChar w:fldCharType="begin"/>
      </w:r>
      <w:r>
        <w:instrText>SEQ Figure \* ARABIC</w:instrText>
      </w:r>
      <w:r>
        <w:fldChar w:fldCharType="separate"/>
      </w:r>
      <w:r w:rsidR="0076492B">
        <w:rPr>
          <w:noProof/>
        </w:rPr>
        <w:t>1</w:t>
      </w:r>
      <w:r>
        <w:fldChar w:fldCharType="end"/>
      </w:r>
      <w:r w:rsidRPr="0039508C">
        <w:t xml:space="preserve">: </w:t>
      </w:r>
      <w:r w:rsidR="009A123F">
        <w:t>Approved c</w:t>
      </w:r>
      <w:r w:rsidRPr="0039508C">
        <w:t>ourse providers by type</w:t>
      </w:r>
    </w:p>
    <w:p w14:paraId="10612EEB" w14:textId="7855F145" w:rsidR="00A86B9F" w:rsidRPr="00A86B9F" w:rsidRDefault="00E73A04" w:rsidP="006626C0">
      <w:pPr>
        <w:jc w:val="center"/>
      </w:pPr>
      <w:r>
        <w:rPr>
          <w:noProof/>
        </w:rPr>
        <w:drawing>
          <wp:inline distT="0" distB="0" distL="0" distR="0" wp14:anchorId="2209A7F1" wp14:editId="6AB728A9">
            <wp:extent cx="3984805" cy="1855470"/>
            <wp:effectExtent l="0" t="0" r="0" b="0"/>
            <wp:docPr id="1160197797" name="Chart 1160197797">
              <a:extLst xmlns:a="http://schemas.openxmlformats.org/drawingml/2006/main">
                <a:ext uri="{FF2B5EF4-FFF2-40B4-BE49-F238E27FC236}">
                  <a16:creationId xmlns:a16="http://schemas.microsoft.com/office/drawing/2014/main" id="{00000000-0008-0000-07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2A902F3" w14:textId="27B52D45" w:rsidR="0010577A" w:rsidRDefault="003D1711" w:rsidP="00E643E8">
      <w:pPr>
        <w:spacing w:after="0"/>
      </w:pPr>
      <w:r w:rsidRPr="0039508C">
        <w:t xml:space="preserve">The names of each of </w:t>
      </w:r>
      <w:r w:rsidRPr="0010577A">
        <w:t xml:space="preserve">the </w:t>
      </w:r>
      <w:r w:rsidR="005076E3">
        <w:t>194</w:t>
      </w:r>
      <w:r w:rsidR="00585FAA" w:rsidRPr="0010577A">
        <w:t xml:space="preserve"> </w:t>
      </w:r>
      <w:r w:rsidRPr="0010577A">
        <w:t xml:space="preserve">course </w:t>
      </w:r>
      <w:r w:rsidRPr="0039508C">
        <w:t xml:space="preserve">providers </w:t>
      </w:r>
      <w:r w:rsidR="007A6467">
        <w:t xml:space="preserve">approved </w:t>
      </w:r>
      <w:r w:rsidRPr="0039508C">
        <w:t xml:space="preserve">during the reporting period </w:t>
      </w:r>
      <w:r w:rsidR="00F25E44" w:rsidRPr="0039508C">
        <w:t>are</w:t>
      </w:r>
      <w:r w:rsidRPr="0039508C">
        <w:t xml:space="preserve"> provided in</w:t>
      </w:r>
      <w:r w:rsidR="00C94CE5" w:rsidRPr="0039508C">
        <w:t xml:space="preserve"> </w:t>
      </w:r>
      <w:r w:rsidR="00F72872" w:rsidRPr="0039508C">
        <w:t>the Addendum (Table 1)</w:t>
      </w:r>
      <w:r w:rsidRPr="0039508C">
        <w:t xml:space="preserve">. </w:t>
      </w:r>
      <w:r w:rsidR="00520C7A" w:rsidRPr="0039508C">
        <w:t>Of</w:t>
      </w:r>
      <w:r w:rsidR="003561F1" w:rsidRPr="0039508C">
        <w:t xml:space="preserve"> </w:t>
      </w:r>
      <w:r w:rsidR="00D51C2E">
        <w:t xml:space="preserve">which, </w:t>
      </w:r>
      <w:r w:rsidR="00D04120" w:rsidRPr="0039508C">
        <w:t>1</w:t>
      </w:r>
      <w:r w:rsidR="000D677E">
        <w:t>4</w:t>
      </w:r>
      <w:r w:rsidR="005B4D8B">
        <w:t>1</w:t>
      </w:r>
      <w:r w:rsidR="00C566A1" w:rsidRPr="0039508C">
        <w:t xml:space="preserve"> </w:t>
      </w:r>
      <w:r w:rsidR="003561F1" w:rsidRPr="0039508C">
        <w:t xml:space="preserve">had students who accessed a </w:t>
      </w:r>
      <w:r w:rsidR="00986E57">
        <w:t>VSL</w:t>
      </w:r>
      <w:r w:rsidR="003561F1" w:rsidRPr="0039508C">
        <w:t xml:space="preserve"> during </w:t>
      </w:r>
      <w:r w:rsidR="00D51C2E" w:rsidRPr="0039508C">
        <w:t>th</w:t>
      </w:r>
      <w:r w:rsidR="00D51C2E">
        <w:t>e reporting</w:t>
      </w:r>
      <w:r w:rsidR="00D51C2E" w:rsidRPr="0039508C">
        <w:t xml:space="preserve"> </w:t>
      </w:r>
      <w:r w:rsidR="003561F1" w:rsidRPr="0039508C">
        <w:t xml:space="preserve">period. </w:t>
      </w:r>
    </w:p>
    <w:p w14:paraId="7801CD4A" w14:textId="1E271DA3" w:rsidR="003D1711" w:rsidRPr="0039508C" w:rsidRDefault="007D32B7" w:rsidP="00EC6152">
      <w:pPr>
        <w:pStyle w:val="Heading1"/>
        <w:spacing w:before="240" w:after="200"/>
      </w:pPr>
      <w:bookmarkStart w:id="2" w:name="_Ref488783031"/>
      <w:r w:rsidRPr="0039508C">
        <w:t xml:space="preserve">Value of </w:t>
      </w:r>
      <w:r w:rsidR="006626C0">
        <w:t>VSL</w:t>
      </w:r>
      <w:r w:rsidRPr="0039508C">
        <w:t xml:space="preserve"> (section 103A(b)(ii)</w:t>
      </w:r>
      <w:r w:rsidR="0002008F">
        <w:t xml:space="preserve"> of the Act</w:t>
      </w:r>
      <w:r w:rsidRPr="0039508C">
        <w:t>)</w:t>
      </w:r>
      <w:bookmarkEnd w:id="2"/>
    </w:p>
    <w:p w14:paraId="5740C6D5" w14:textId="49781AC3" w:rsidR="0078037E" w:rsidRDefault="00222987" w:rsidP="00FD7640">
      <w:pPr>
        <w:pStyle w:val="ListBullet"/>
      </w:pPr>
      <w:r w:rsidRPr="0039508C">
        <w:t xml:space="preserve">The amount paid to approved course providers in respect of </w:t>
      </w:r>
      <w:r w:rsidR="00986E57">
        <w:t>VSL</w:t>
      </w:r>
      <w:r w:rsidRPr="0039508C">
        <w:t xml:space="preserve"> approved for</w:t>
      </w:r>
      <w:r w:rsidR="00B92133">
        <w:t xml:space="preserve"> </w:t>
      </w:r>
      <w:r w:rsidRPr="0039508C">
        <w:t xml:space="preserve">students studying eligible courses, for </w:t>
      </w:r>
      <w:r w:rsidR="003D1711" w:rsidRPr="0039508C">
        <w:t>the reporting period</w:t>
      </w:r>
      <w:r w:rsidRPr="0039508C">
        <w:t>, was</w:t>
      </w:r>
      <w:r w:rsidR="003D1711" w:rsidRPr="0039508C">
        <w:t xml:space="preserve"> </w:t>
      </w:r>
      <w:r w:rsidR="00E22CF6" w:rsidRPr="00E22CF6">
        <w:t>$103.4 million</w:t>
      </w:r>
      <w:r w:rsidR="00520C7A" w:rsidRPr="0039508C">
        <w:t>. A</w:t>
      </w:r>
      <w:r w:rsidR="0057423E" w:rsidRPr="0039508C">
        <w:t xml:space="preserve"> breakdown by approved course </w:t>
      </w:r>
      <w:r w:rsidR="00520C7A" w:rsidRPr="0039508C">
        <w:t xml:space="preserve">provider is provided in </w:t>
      </w:r>
      <w:r w:rsidR="00F72872" w:rsidRPr="0039508C">
        <w:t>the Addendum (</w:t>
      </w:r>
      <w:r w:rsidR="00520C7A" w:rsidRPr="0039508C">
        <w:t>Table 1</w:t>
      </w:r>
      <w:r w:rsidR="00F72872" w:rsidRPr="0039508C">
        <w:t>)</w:t>
      </w:r>
      <w:r w:rsidR="00520C7A" w:rsidRPr="0039508C">
        <w:t>.</w:t>
      </w:r>
      <w:r w:rsidR="00D04120" w:rsidRPr="0039508C">
        <w:t xml:space="preserve"> </w:t>
      </w:r>
      <w:r w:rsidR="00C94CE5" w:rsidRPr="0039508C">
        <w:t xml:space="preserve">Figure 2 </w:t>
      </w:r>
      <w:r w:rsidR="003D1711" w:rsidRPr="0039508C">
        <w:t xml:space="preserve">shows </w:t>
      </w:r>
      <w:r w:rsidR="003561F1" w:rsidRPr="0039508C">
        <w:t xml:space="preserve">the </w:t>
      </w:r>
      <w:r w:rsidR="00BA25F4" w:rsidRPr="0039508C">
        <w:t xml:space="preserve">value of </w:t>
      </w:r>
      <w:r w:rsidR="00986E57">
        <w:t>VSL</w:t>
      </w:r>
      <w:r w:rsidR="009255A3" w:rsidRPr="0039508C">
        <w:t xml:space="preserve"> </w:t>
      </w:r>
      <w:r w:rsidR="00D64F23" w:rsidRPr="0039508C">
        <w:t xml:space="preserve">paid </w:t>
      </w:r>
      <w:r w:rsidR="00E12502" w:rsidRPr="0039508C">
        <w:t>for study undertaken during</w:t>
      </w:r>
      <w:r w:rsidR="003561F1" w:rsidRPr="0039508C">
        <w:t xml:space="preserve"> each</w:t>
      </w:r>
      <w:r w:rsidR="003D1711" w:rsidRPr="0039508C">
        <w:t xml:space="preserve"> month</w:t>
      </w:r>
      <w:r w:rsidR="00E12502" w:rsidRPr="00580042">
        <w:rPr>
          <w:vertAlign w:val="superscript"/>
        </w:rPr>
        <w:footnoteReference w:id="5"/>
      </w:r>
      <w:r w:rsidR="003561F1" w:rsidRPr="0039508C">
        <w:t>.</w:t>
      </w:r>
    </w:p>
    <w:p w14:paraId="18CF5575" w14:textId="77777777" w:rsidR="00E5552B" w:rsidRDefault="00E5552B" w:rsidP="00FD7640">
      <w:pPr>
        <w:pStyle w:val="ListBullet"/>
      </w:pPr>
    </w:p>
    <w:p w14:paraId="7AE19C70" w14:textId="2013A789" w:rsidR="00EE494A" w:rsidRPr="00FD7640" w:rsidRDefault="00EE494A" w:rsidP="00EC6152">
      <w:pPr>
        <w:pStyle w:val="ListBullet"/>
        <w:contextualSpacing w:val="0"/>
        <w:rPr>
          <w:b/>
          <w:bCs/>
        </w:rPr>
      </w:pPr>
      <w:r w:rsidRPr="00EC6152">
        <w:rPr>
          <w:b/>
          <w:bCs/>
        </w:rPr>
        <w:t xml:space="preserve">Figure </w:t>
      </w:r>
      <w:r w:rsidR="00741BF3" w:rsidRPr="00FD7640">
        <w:rPr>
          <w:b/>
          <w:bCs/>
        </w:rPr>
        <w:fldChar w:fldCharType="begin"/>
      </w:r>
      <w:r w:rsidR="00741BF3" w:rsidRPr="00EC6152">
        <w:rPr>
          <w:b/>
          <w:bCs/>
        </w:rPr>
        <w:instrText xml:space="preserve"> SEQ Figure \* ARABIC </w:instrText>
      </w:r>
      <w:r w:rsidR="00741BF3" w:rsidRPr="00FD7640">
        <w:rPr>
          <w:b/>
          <w:bCs/>
        </w:rPr>
        <w:fldChar w:fldCharType="separate"/>
      </w:r>
      <w:r w:rsidR="0076492B" w:rsidRPr="00FD7640">
        <w:rPr>
          <w:b/>
          <w:bCs/>
        </w:rPr>
        <w:t>2</w:t>
      </w:r>
      <w:r w:rsidR="00741BF3" w:rsidRPr="00FD7640">
        <w:rPr>
          <w:b/>
          <w:bCs/>
        </w:rPr>
        <w:fldChar w:fldCharType="end"/>
      </w:r>
      <w:r w:rsidRPr="00EC6152">
        <w:rPr>
          <w:b/>
          <w:bCs/>
        </w:rPr>
        <w:t xml:space="preserve">: Value of </w:t>
      </w:r>
      <w:r w:rsidR="00986E57">
        <w:rPr>
          <w:b/>
          <w:bCs/>
        </w:rPr>
        <w:t>VSL</w:t>
      </w:r>
      <w:r w:rsidRPr="00EC6152">
        <w:rPr>
          <w:b/>
          <w:bCs/>
        </w:rPr>
        <w:t xml:space="preserve"> paid for study undertaken in each month</w:t>
      </w:r>
    </w:p>
    <w:p w14:paraId="7CCBE6FE" w14:textId="247AA668" w:rsidR="00EC6152" w:rsidRPr="00FD7640" w:rsidRDefault="00E22CF6" w:rsidP="00FD7640">
      <w:pPr>
        <w:tabs>
          <w:tab w:val="left" w:pos="2340"/>
        </w:tabs>
      </w:pPr>
      <w:r>
        <w:rPr>
          <w:noProof/>
        </w:rPr>
        <w:drawing>
          <wp:inline distT="0" distB="0" distL="0" distR="0" wp14:anchorId="492AD937" wp14:editId="29B64018">
            <wp:extent cx="6242050" cy="2343150"/>
            <wp:effectExtent l="0" t="0" r="0" b="0"/>
            <wp:docPr id="1390649032" name="Chart 1">
              <a:extLst xmlns:a="http://schemas.openxmlformats.org/drawingml/2006/main">
                <a:ext uri="{FF2B5EF4-FFF2-40B4-BE49-F238E27FC236}">
                  <a16:creationId xmlns:a16="http://schemas.microsoft.com/office/drawing/2014/main" id="{00000000-0008-0000-08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803F7B">
        <w:rPr>
          <w:noProof/>
        </w:rPr>
        <w:t xml:space="preserve"> </w:t>
      </w:r>
    </w:p>
    <w:p w14:paraId="7D883B70" w14:textId="070D4CD1" w:rsidR="003D1711" w:rsidRPr="0039508C" w:rsidRDefault="003D1711" w:rsidP="00F32245">
      <w:pPr>
        <w:pStyle w:val="Heading1"/>
        <w:spacing w:before="360" w:after="120"/>
      </w:pPr>
      <w:r w:rsidRPr="0039508C">
        <w:lastRenderedPageBreak/>
        <w:t>VSL</w:t>
      </w:r>
      <w:r w:rsidRPr="0039508C">
        <w:noBreakHyphen/>
        <w:t>assisted students (section 103A(b)(iii)</w:t>
      </w:r>
      <w:r w:rsidR="0002008F">
        <w:t xml:space="preserve"> of the Act</w:t>
      </w:r>
      <w:r w:rsidRPr="0039508C">
        <w:t>)</w:t>
      </w:r>
    </w:p>
    <w:p w14:paraId="7F76CD24" w14:textId="07772167" w:rsidR="00E22CF6" w:rsidRDefault="00E5552B" w:rsidP="00E22CF6">
      <w:pPr>
        <w:pStyle w:val="Caption"/>
        <w:keepNext/>
        <w:rPr>
          <w:b w:val="0"/>
          <w:bCs w:val="0"/>
          <w:szCs w:val="22"/>
        </w:rPr>
      </w:pPr>
      <w:r>
        <w:rPr>
          <w:b w:val="0"/>
          <w:bCs w:val="0"/>
          <w:szCs w:val="22"/>
        </w:rPr>
        <w:t xml:space="preserve">During the reporting period, </w:t>
      </w:r>
      <w:r w:rsidR="00E22CF6" w:rsidRPr="00E22CF6">
        <w:rPr>
          <w:b w:val="0"/>
          <w:bCs w:val="0"/>
          <w:szCs w:val="22"/>
        </w:rPr>
        <w:t xml:space="preserve">17,108 students </w:t>
      </w:r>
      <w:r>
        <w:rPr>
          <w:b w:val="0"/>
          <w:bCs w:val="0"/>
          <w:szCs w:val="22"/>
        </w:rPr>
        <w:t>accessed the VSL program,</w:t>
      </w:r>
      <w:r w:rsidR="00E22CF6" w:rsidRPr="00E22CF6">
        <w:rPr>
          <w:b w:val="0"/>
          <w:bCs w:val="0"/>
          <w:szCs w:val="22"/>
        </w:rPr>
        <w:t xml:space="preserve"> as listed in the Addendum (Table 1). Figure 3</w:t>
      </w:r>
      <w:r>
        <w:rPr>
          <w:b w:val="0"/>
          <w:bCs w:val="0"/>
          <w:szCs w:val="22"/>
        </w:rPr>
        <w:t xml:space="preserve"> below</w:t>
      </w:r>
      <w:r w:rsidR="00E22CF6" w:rsidRPr="00E22CF6">
        <w:rPr>
          <w:b w:val="0"/>
          <w:bCs w:val="0"/>
          <w:szCs w:val="22"/>
        </w:rPr>
        <w:t xml:space="preserve"> shows </w:t>
      </w:r>
      <w:r>
        <w:rPr>
          <w:b w:val="0"/>
          <w:bCs w:val="0"/>
          <w:szCs w:val="22"/>
        </w:rPr>
        <w:t xml:space="preserve">the monthly student numbers by </w:t>
      </w:r>
      <w:r w:rsidR="00E22CF6" w:rsidRPr="00E22CF6">
        <w:rPr>
          <w:b w:val="0"/>
          <w:bCs w:val="0"/>
          <w:szCs w:val="22"/>
        </w:rPr>
        <w:t xml:space="preserve">their first </w:t>
      </w:r>
      <w:r>
        <w:rPr>
          <w:b w:val="0"/>
          <w:bCs w:val="0"/>
          <w:szCs w:val="22"/>
        </w:rPr>
        <w:t>census date.</w:t>
      </w:r>
      <w:r w:rsidR="00E22CF6" w:rsidRPr="00E22CF6">
        <w:rPr>
          <w:b w:val="0"/>
          <w:bCs w:val="0"/>
          <w:szCs w:val="22"/>
        </w:rPr>
        <w:t xml:space="preserve"> </w:t>
      </w:r>
    </w:p>
    <w:p w14:paraId="12533A88" w14:textId="77777777" w:rsidR="00B92133" w:rsidRPr="001E5F89" w:rsidRDefault="00B92133" w:rsidP="00B92133">
      <w:pPr>
        <w:pStyle w:val="Caption"/>
        <w:keepNext/>
      </w:pPr>
      <w:r w:rsidRPr="0039508C">
        <w:t xml:space="preserve">Figure </w:t>
      </w:r>
      <w:r>
        <w:fldChar w:fldCharType="begin"/>
      </w:r>
      <w:r>
        <w:instrText>SEQ Figure \* ARABIC</w:instrText>
      </w:r>
      <w:r>
        <w:fldChar w:fldCharType="separate"/>
      </w:r>
      <w:r>
        <w:rPr>
          <w:noProof/>
        </w:rPr>
        <w:t>3</w:t>
      </w:r>
      <w:r>
        <w:fldChar w:fldCharType="end"/>
      </w:r>
      <w:r w:rsidRPr="0039508C">
        <w:t>: VSL-assisted student numbers, first time VSL-assisted during the period</w:t>
      </w:r>
      <w:r>
        <w:t>.</w:t>
      </w:r>
    </w:p>
    <w:p w14:paraId="5D96557B" w14:textId="41380850" w:rsidR="00EC6152" w:rsidRDefault="00B521A6" w:rsidP="00E22CF6">
      <w:r>
        <w:rPr>
          <w:noProof/>
        </w:rPr>
        <w:t xml:space="preserve"> </w:t>
      </w:r>
      <w:r w:rsidR="00E22CF6">
        <w:rPr>
          <w:noProof/>
        </w:rPr>
        <w:drawing>
          <wp:inline distT="0" distB="0" distL="0" distR="0" wp14:anchorId="64CEF04A" wp14:editId="1D0834CC">
            <wp:extent cx="5880100" cy="2489200"/>
            <wp:effectExtent l="0" t="0" r="6350" b="6350"/>
            <wp:docPr id="689684865" name="Chart 1">
              <a:extLst xmlns:a="http://schemas.openxmlformats.org/drawingml/2006/main">
                <a:ext uri="{FF2B5EF4-FFF2-40B4-BE49-F238E27FC236}">
                  <a16:creationId xmlns:a16="http://schemas.microsoft.com/office/drawing/2014/main" id="{00000000-0008-0000-09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E22CF6" w:rsidRPr="0039508C">
        <w:t xml:space="preserve">Monthly student numbers peaked in </w:t>
      </w:r>
      <w:r w:rsidR="00E22CF6">
        <w:t>August</w:t>
      </w:r>
      <w:r w:rsidR="00E22CF6" w:rsidRPr="0039508C">
        <w:t xml:space="preserve"> 202</w:t>
      </w:r>
      <w:r w:rsidR="00E22CF6">
        <w:t>3</w:t>
      </w:r>
      <w:r w:rsidR="00E22CF6" w:rsidRPr="0039508C">
        <w:t>, commensurate with the</w:t>
      </w:r>
      <w:r w:rsidR="00E22CF6">
        <w:t xml:space="preserve"> </w:t>
      </w:r>
      <w:r w:rsidR="00E22CF6" w:rsidRPr="0039508C">
        <w:t xml:space="preserve">peak in </w:t>
      </w:r>
      <w:r w:rsidR="00986E57">
        <w:t xml:space="preserve">VSL </w:t>
      </w:r>
      <w:r w:rsidR="00E22CF6" w:rsidRPr="0039508C">
        <w:t>payments</w:t>
      </w:r>
      <w:r w:rsidR="00E22CF6">
        <w:t xml:space="preserve">. </w:t>
      </w:r>
      <w:r w:rsidR="00E22CF6" w:rsidRPr="0039508C">
        <w:t xml:space="preserve">It should be noted that some students may have had a VSL-assisted unit of study in more than one month. </w:t>
      </w:r>
    </w:p>
    <w:p w14:paraId="35009CD4" w14:textId="09E247F9" w:rsidR="00E22CF6" w:rsidRPr="0039508C" w:rsidRDefault="00E22CF6" w:rsidP="00E22CF6">
      <w:r w:rsidRPr="0039508C">
        <w:t xml:space="preserve">This would occur, for example, if they accessed a </w:t>
      </w:r>
      <w:r w:rsidR="00986E57">
        <w:t>VSL</w:t>
      </w:r>
      <w:r w:rsidRPr="0039508C">
        <w:t xml:space="preserve"> for more than one part of a course, or for more than one course. These students are represented only the first time they accessed a </w:t>
      </w:r>
      <w:r w:rsidR="00986E57">
        <w:t>VSL</w:t>
      </w:r>
      <w:r w:rsidRPr="0039508C">
        <w:t>.</w:t>
      </w:r>
    </w:p>
    <w:p w14:paraId="738D302D" w14:textId="00492A03" w:rsidR="00E22CF6" w:rsidRPr="0039508C" w:rsidRDefault="00E22CF6" w:rsidP="00E22CF6">
      <w:r w:rsidRPr="0039508C">
        <w:t xml:space="preserve">A breakdown of students by provider is shown in the Addendum (Table 1). However, the total </w:t>
      </w:r>
      <w:r w:rsidRPr="00030B3B">
        <w:t>of </w:t>
      </w:r>
      <w:r>
        <w:t xml:space="preserve">17,108 </w:t>
      </w:r>
      <w:r w:rsidRPr="0039508C">
        <w:t xml:space="preserve">only counts each student once, regardless of how many providers they </w:t>
      </w:r>
      <w:r w:rsidR="00D51C2E">
        <w:t>studied</w:t>
      </w:r>
      <w:r w:rsidRPr="0039508C">
        <w:t xml:space="preserve"> with.</w:t>
      </w:r>
    </w:p>
    <w:p w14:paraId="7C9F0D55" w14:textId="2448A287" w:rsidR="003D1711" w:rsidRPr="0039508C" w:rsidRDefault="003D1711" w:rsidP="00F32245">
      <w:pPr>
        <w:pStyle w:val="Heading1"/>
        <w:spacing w:before="360" w:after="120"/>
      </w:pPr>
      <w:r w:rsidRPr="0039508C">
        <w:t>Completions (section 103A(b)(iv)</w:t>
      </w:r>
      <w:r w:rsidR="0002008F">
        <w:t xml:space="preserve"> of the Act</w:t>
      </w:r>
      <w:r w:rsidRPr="0039508C">
        <w:t>)</w:t>
      </w:r>
    </w:p>
    <w:p w14:paraId="7CCF7747" w14:textId="01945774" w:rsidR="005A1E71" w:rsidRPr="0039508C" w:rsidRDefault="00F72872" w:rsidP="009E19BD">
      <w:r w:rsidRPr="0039508C">
        <w:t>There were</w:t>
      </w:r>
      <w:r w:rsidR="005A1E71" w:rsidRPr="0039508C">
        <w:t xml:space="preserve"> </w:t>
      </w:r>
      <w:r w:rsidR="00D93EE6" w:rsidRPr="00D93EE6">
        <w:t xml:space="preserve">4,051 </w:t>
      </w:r>
      <w:r w:rsidR="00360B7A" w:rsidRPr="000D724E">
        <w:t>students</w:t>
      </w:r>
      <w:r w:rsidR="00360B7A" w:rsidRPr="0039508C">
        <w:t xml:space="preserve"> </w:t>
      </w:r>
      <w:r w:rsidR="00ED0FA5" w:rsidRPr="0039508C">
        <w:t>recorded</w:t>
      </w:r>
      <w:r w:rsidR="00192083" w:rsidRPr="0039508C">
        <w:t xml:space="preserve"> as having</w:t>
      </w:r>
      <w:r w:rsidR="005A1E71" w:rsidRPr="0039508C">
        <w:t xml:space="preserve"> completed </w:t>
      </w:r>
      <w:r w:rsidR="00EE1AC6">
        <w:t>at least one</w:t>
      </w:r>
      <w:r w:rsidR="00631D43">
        <w:t xml:space="preserve"> </w:t>
      </w:r>
      <w:r w:rsidR="005A1E71" w:rsidRPr="0039508C">
        <w:t>course</w:t>
      </w:r>
      <w:r w:rsidR="00192083" w:rsidRPr="0039508C">
        <w:t xml:space="preserve"> bas</w:t>
      </w:r>
      <w:r w:rsidRPr="0039508C">
        <w:t>ed on data reported for the six </w:t>
      </w:r>
      <w:r w:rsidR="006B752F" w:rsidRPr="0039508C">
        <w:t xml:space="preserve">months to </w:t>
      </w:r>
      <w:r w:rsidR="00C12D1A">
        <w:t>3</w:t>
      </w:r>
      <w:r w:rsidR="005776A8">
        <w:t>1</w:t>
      </w:r>
      <w:r w:rsidR="00C12D1A">
        <w:t xml:space="preserve"> </w:t>
      </w:r>
      <w:r w:rsidR="005776A8">
        <w:t>December</w:t>
      </w:r>
      <w:r w:rsidR="002946DA" w:rsidRPr="0039508C">
        <w:t xml:space="preserve"> 20</w:t>
      </w:r>
      <w:r w:rsidR="00A416E9" w:rsidRPr="0039508C">
        <w:t>2</w:t>
      </w:r>
      <w:r w:rsidR="009238DC">
        <w:t>3</w:t>
      </w:r>
      <w:r w:rsidR="005A1E71" w:rsidRPr="0039508C">
        <w:t xml:space="preserve">, as shown in </w:t>
      </w:r>
      <w:r w:rsidRPr="0039508C">
        <w:t>the Addendum (Table 1)</w:t>
      </w:r>
      <w:r w:rsidR="005A1E71" w:rsidRPr="0039508C">
        <w:t xml:space="preserve">. </w:t>
      </w:r>
      <w:r w:rsidR="00907391">
        <w:t>T</w:t>
      </w:r>
      <w:r w:rsidR="008A29B6" w:rsidRPr="0039508C">
        <w:t>h</w:t>
      </w:r>
      <w:r w:rsidR="00B5174B" w:rsidRPr="0039508C">
        <w:t xml:space="preserve">is report only covers students </w:t>
      </w:r>
      <w:r w:rsidR="00F73106" w:rsidRPr="0039508C">
        <w:t xml:space="preserve">who have </w:t>
      </w:r>
      <w:r w:rsidR="00A90F9D" w:rsidRPr="0039508C">
        <w:t>had a census day</w:t>
      </w:r>
      <w:r w:rsidR="00B5174B" w:rsidRPr="0039508C">
        <w:t xml:space="preserve"> within </w:t>
      </w:r>
      <w:r w:rsidR="00014E08" w:rsidRPr="0039508C">
        <w:t xml:space="preserve">the reporting </w:t>
      </w:r>
      <w:r w:rsidR="00B5174B" w:rsidRPr="0039508C">
        <w:t>period</w:t>
      </w:r>
      <w:r w:rsidR="00F73106" w:rsidRPr="0039508C">
        <w:t xml:space="preserve"> </w:t>
      </w:r>
      <w:r w:rsidR="00A90F9D" w:rsidRPr="0039508C">
        <w:t xml:space="preserve">where the study was paid for </w:t>
      </w:r>
      <w:r w:rsidR="00F73106" w:rsidRPr="0039508C">
        <w:t xml:space="preserve">with a </w:t>
      </w:r>
      <w:r w:rsidR="00986E57">
        <w:t>VSL</w:t>
      </w:r>
      <w:r w:rsidR="008A29B6" w:rsidRPr="0039508C">
        <w:t>.</w:t>
      </w:r>
    </w:p>
    <w:p w14:paraId="3E1FD34F" w14:textId="441CE614" w:rsidR="009E3652" w:rsidRPr="0039508C" w:rsidRDefault="005619AF" w:rsidP="009E3652">
      <w:r w:rsidRPr="0039508C">
        <w:t xml:space="preserve">A course consists of </w:t>
      </w:r>
      <w:r w:rsidR="007F55A9">
        <w:t>multiple</w:t>
      </w:r>
      <w:r w:rsidRPr="0039508C">
        <w:t xml:space="preserve"> units of study (referred to as “parts of the course” in the </w:t>
      </w:r>
      <w:r w:rsidRPr="0039508C">
        <w:rPr>
          <w:i/>
        </w:rPr>
        <w:t xml:space="preserve">VET Student Loans </w:t>
      </w:r>
      <w:r w:rsidR="00395532" w:rsidRPr="0039508C">
        <w:rPr>
          <w:i/>
        </w:rPr>
        <w:t>Rules</w:t>
      </w:r>
      <w:r w:rsidRPr="0039508C">
        <w:rPr>
          <w:i/>
        </w:rPr>
        <w:t xml:space="preserve"> 2016</w:t>
      </w:r>
      <w:r w:rsidRPr="0039508C">
        <w:t>).</w:t>
      </w:r>
      <w:r w:rsidR="00A45A99" w:rsidRPr="0039508C">
        <w:t xml:space="preserve"> </w:t>
      </w:r>
      <w:r w:rsidR="009E3652" w:rsidRPr="0039508C">
        <w:t>Th</w:t>
      </w:r>
      <w:r w:rsidRPr="0039508C">
        <w:t>us, reporting on unit of study completion rates provides</w:t>
      </w:r>
      <w:r w:rsidR="009E3652" w:rsidRPr="0039508C">
        <w:t xml:space="preserve"> an alternative way of presenting information on students’ progression through their courses</w:t>
      </w:r>
      <w:r w:rsidR="00A90F9D" w:rsidRPr="0039508C">
        <w:t xml:space="preserve">, and these are included in </w:t>
      </w:r>
      <w:r w:rsidR="00F72872" w:rsidRPr="0039508C">
        <w:t>the Addendum (Table 1)</w:t>
      </w:r>
      <w:r w:rsidR="009E3652" w:rsidRPr="0039508C">
        <w:t xml:space="preserve">. </w:t>
      </w:r>
    </w:p>
    <w:p w14:paraId="38984EEA" w14:textId="1C302F0E" w:rsidR="00080581" w:rsidRPr="0039508C" w:rsidRDefault="00CF7B01" w:rsidP="00CF7B01">
      <w:r w:rsidRPr="0039508C">
        <w:t xml:space="preserve">The unit of study completion rate is the proportion of units of study that were </w:t>
      </w:r>
      <w:r w:rsidRPr="0039508C">
        <w:rPr>
          <w:i/>
        </w:rPr>
        <w:t>passed</w:t>
      </w:r>
      <w:r w:rsidRPr="0039508C">
        <w:t xml:space="preserve">, of the total </w:t>
      </w:r>
      <w:r w:rsidRPr="0039508C">
        <w:rPr>
          <w:i/>
        </w:rPr>
        <w:t>units of study undertaken</w:t>
      </w:r>
      <w:r w:rsidRPr="0039508C">
        <w:t xml:space="preserve">, with units of study measured in Equivalent Full Time Student Load (EFTSL) rather than student numbers. </w:t>
      </w:r>
      <w:r w:rsidRPr="0039508C">
        <w:rPr>
          <w:i/>
        </w:rPr>
        <w:t>Units of study undertaken</w:t>
      </w:r>
      <w:r w:rsidRPr="0039508C">
        <w:t xml:space="preserve"> are units that providers have reported as being withdrawn from, failed</w:t>
      </w:r>
      <w:r w:rsidR="00E643E8">
        <w:t>,</w:t>
      </w:r>
      <w:r w:rsidRPr="0039508C">
        <w:t xml:space="preserve"> or successfully completed, as well as units for which providers have failed to report a completion status. </w:t>
      </w:r>
    </w:p>
    <w:p w14:paraId="4CD83F04" w14:textId="3AB39306" w:rsidR="00CF7B01" w:rsidRPr="0039508C" w:rsidRDefault="00CF7B01" w:rsidP="00CF7B01">
      <w:r w:rsidRPr="0039508C">
        <w:t xml:space="preserve">The overall unit of study completion rate for VSL-assisted students </w:t>
      </w:r>
      <w:r w:rsidR="008A10CE">
        <w:t>was</w:t>
      </w:r>
      <w:r w:rsidRPr="0039508C">
        <w:t xml:space="preserve"> </w:t>
      </w:r>
      <w:r w:rsidR="00954428">
        <w:t>86.</w:t>
      </w:r>
      <w:r w:rsidR="00D93EE6">
        <w:t>8</w:t>
      </w:r>
      <w:r w:rsidR="00A90F9D" w:rsidRPr="00030B3B">
        <w:t> per cent</w:t>
      </w:r>
      <w:r w:rsidR="00A90F9D" w:rsidRPr="0039508C">
        <w:t xml:space="preserve"> for study</w:t>
      </w:r>
      <w:r w:rsidR="00B90E46" w:rsidRPr="0039508C">
        <w:t> </w:t>
      </w:r>
      <w:r w:rsidR="00A90F9D" w:rsidRPr="0039508C">
        <w:t>undertaken in the</w:t>
      </w:r>
      <w:r w:rsidRPr="0039508C">
        <w:t xml:space="preserve"> reporting period. This </w:t>
      </w:r>
      <w:r w:rsidR="008A29B6" w:rsidRPr="0039508C">
        <w:t xml:space="preserve">is </w:t>
      </w:r>
      <w:r w:rsidR="005E1905">
        <w:t xml:space="preserve">slightly </w:t>
      </w:r>
      <w:r w:rsidR="004510AB">
        <w:t>higher than</w:t>
      </w:r>
      <w:r w:rsidR="008A29B6" w:rsidRPr="0039508C">
        <w:t xml:space="preserve"> </w:t>
      </w:r>
      <w:r w:rsidRPr="0039508C">
        <w:t>the unit of study completion</w:t>
      </w:r>
      <w:r w:rsidR="00B90E46" w:rsidRPr="0039508C">
        <w:t> </w:t>
      </w:r>
      <w:r w:rsidRPr="0039508C">
        <w:t>rate</w:t>
      </w:r>
      <w:r w:rsidR="00B90E46" w:rsidRPr="0039508C">
        <w:t> </w:t>
      </w:r>
      <w:r w:rsidRPr="0039508C">
        <w:t>of</w:t>
      </w:r>
      <w:r w:rsidR="00B90E46" w:rsidRPr="0039508C">
        <w:t> </w:t>
      </w:r>
      <w:r w:rsidR="00954428">
        <w:t>83.4</w:t>
      </w:r>
      <w:r w:rsidR="00954428" w:rsidRPr="00030B3B">
        <w:t> </w:t>
      </w:r>
      <w:r w:rsidRPr="0039508C">
        <w:t>per cent</w:t>
      </w:r>
      <w:r w:rsidR="00445CF7" w:rsidRPr="0039508C">
        <w:t xml:space="preserve"> </w:t>
      </w:r>
      <w:r w:rsidR="00D25CFA" w:rsidRPr="0039508C">
        <w:t xml:space="preserve">reported </w:t>
      </w:r>
      <w:r w:rsidR="00B90E46" w:rsidRPr="0039508C">
        <w:t xml:space="preserve">for the same </w:t>
      </w:r>
      <w:r w:rsidR="008A10CE">
        <w:t xml:space="preserve">reporting </w:t>
      </w:r>
      <w:r w:rsidR="00B90E46" w:rsidRPr="0039508C">
        <w:t xml:space="preserve">period </w:t>
      </w:r>
      <w:r w:rsidR="008A10CE">
        <w:t xml:space="preserve">of </w:t>
      </w:r>
      <w:r w:rsidR="00D25CFA" w:rsidRPr="004510AB">
        <w:t>1</w:t>
      </w:r>
      <w:r w:rsidR="00B90E46" w:rsidRPr="004510AB">
        <w:t> </w:t>
      </w:r>
      <w:r w:rsidR="00C12D1A" w:rsidRPr="004510AB">
        <w:t>J</w:t>
      </w:r>
      <w:r w:rsidR="003636E1">
        <w:t>uly</w:t>
      </w:r>
      <w:r w:rsidR="00D25CFA" w:rsidRPr="004510AB">
        <w:t xml:space="preserve"> 20</w:t>
      </w:r>
      <w:r w:rsidR="005330B4" w:rsidRPr="004510AB">
        <w:t>2</w:t>
      </w:r>
      <w:r w:rsidR="00954428">
        <w:t>2</w:t>
      </w:r>
      <w:r w:rsidR="00D25CFA" w:rsidRPr="004510AB">
        <w:t xml:space="preserve"> to </w:t>
      </w:r>
      <w:r w:rsidR="00C12D1A" w:rsidRPr="004510AB">
        <w:t>3</w:t>
      </w:r>
      <w:r w:rsidR="003636E1">
        <w:t>1</w:t>
      </w:r>
      <w:r w:rsidR="00D20E0D">
        <w:t> </w:t>
      </w:r>
      <w:r w:rsidR="002D4BB2">
        <w:t>December</w:t>
      </w:r>
      <w:r w:rsidR="00D25CFA" w:rsidRPr="0039508C">
        <w:t xml:space="preserve"> 20</w:t>
      </w:r>
      <w:r w:rsidR="005330B4" w:rsidRPr="0039508C">
        <w:t>2</w:t>
      </w:r>
      <w:r w:rsidR="00954428">
        <w:t>2</w:t>
      </w:r>
      <w:r w:rsidRPr="0039508C">
        <w:t xml:space="preserve">. </w:t>
      </w:r>
    </w:p>
    <w:p w14:paraId="1EF658D8" w14:textId="049E16C6" w:rsidR="00CF7B01" w:rsidRPr="0039508C" w:rsidRDefault="00CF7B01" w:rsidP="00CF7B01">
      <w:r w:rsidRPr="0039508C">
        <w:lastRenderedPageBreak/>
        <w:t xml:space="preserve">Figure 4 shows unit of study completion rates for the reporting period. Of the </w:t>
      </w:r>
      <w:r w:rsidR="00E432F6">
        <w:t>19</w:t>
      </w:r>
      <w:r w:rsidR="000A552A">
        <w:t>4</w:t>
      </w:r>
      <w:r w:rsidR="00E432F6" w:rsidRPr="0039508C">
        <w:t> </w:t>
      </w:r>
      <w:r w:rsidR="008A10CE">
        <w:t>VSL approved</w:t>
      </w:r>
      <w:r w:rsidR="001F2260" w:rsidRPr="0039508C">
        <w:t> </w:t>
      </w:r>
      <w:r w:rsidRPr="0039508C">
        <w:t>providers</w:t>
      </w:r>
      <w:r w:rsidR="003E0685">
        <w:t>,</w:t>
      </w:r>
      <w:r w:rsidRPr="0039508C">
        <w:t xml:space="preserve"> </w:t>
      </w:r>
      <w:r w:rsidR="00866652">
        <w:t>9</w:t>
      </w:r>
      <w:r w:rsidR="00D93EE6">
        <w:t>2</w:t>
      </w:r>
      <w:r w:rsidR="00866652" w:rsidRPr="00030B3B">
        <w:t xml:space="preserve"> </w:t>
      </w:r>
      <w:r w:rsidR="001F2260" w:rsidRPr="00030B3B">
        <w:t xml:space="preserve">providers </w:t>
      </w:r>
      <w:r w:rsidRPr="00030B3B">
        <w:t>(</w:t>
      </w:r>
      <w:r w:rsidR="000F5300">
        <w:t>4</w:t>
      </w:r>
      <w:r w:rsidR="00D93EE6">
        <w:t>7</w:t>
      </w:r>
      <w:r w:rsidR="003E0685">
        <w:t>%</w:t>
      </w:r>
      <w:r w:rsidRPr="00030B3B">
        <w:t xml:space="preserve">) </w:t>
      </w:r>
      <w:r w:rsidR="003E0685">
        <w:t xml:space="preserve">reported </w:t>
      </w:r>
      <w:r w:rsidRPr="0039508C">
        <w:t>unit of study completion rates above 70</w:t>
      </w:r>
      <w:r w:rsidR="003E0685">
        <w:t>% and a small number reported completion rate below 50%</w:t>
      </w:r>
      <w:r w:rsidRPr="0039508C">
        <w:t xml:space="preserve">. </w:t>
      </w:r>
      <w:bookmarkStart w:id="3" w:name="_Hlk93505489"/>
      <w:r w:rsidRPr="0039508C">
        <w:t xml:space="preserve">A unit of study completion rate could not be calculated </w:t>
      </w:r>
      <w:r w:rsidR="0010103E" w:rsidRPr="00030B3B">
        <w:t xml:space="preserve">for </w:t>
      </w:r>
      <w:r w:rsidR="001F30CC">
        <w:t>7</w:t>
      </w:r>
      <w:r w:rsidR="00246BC8">
        <w:t>5</w:t>
      </w:r>
      <w:r w:rsidR="001F30CC" w:rsidRPr="00030B3B">
        <w:t xml:space="preserve"> </w:t>
      </w:r>
      <w:r w:rsidR="0010103E" w:rsidRPr="00030B3B">
        <w:t>providers (</w:t>
      </w:r>
      <w:r w:rsidR="001F30CC">
        <w:t>3</w:t>
      </w:r>
      <w:r w:rsidR="00246BC8">
        <w:t>9</w:t>
      </w:r>
      <w:r w:rsidR="000B58F1">
        <w:t>%</w:t>
      </w:r>
      <w:r w:rsidRPr="0039508C">
        <w:t>)</w:t>
      </w:r>
      <w:r w:rsidR="00F26351">
        <w:t xml:space="preserve">. Of </w:t>
      </w:r>
      <w:r w:rsidR="00580042">
        <w:t>these</w:t>
      </w:r>
      <w:r w:rsidR="00F26351">
        <w:t xml:space="preserve">, </w:t>
      </w:r>
      <w:r w:rsidR="00DF7DFF" w:rsidRPr="00227BEC">
        <w:t>53</w:t>
      </w:r>
      <w:r w:rsidR="002443FA" w:rsidRPr="005B0238">
        <w:t xml:space="preserve"> providers </w:t>
      </w:r>
      <w:r w:rsidR="002D19F8" w:rsidRPr="005B0238">
        <w:t xml:space="preserve">didn’t </w:t>
      </w:r>
      <w:r w:rsidR="00771C43" w:rsidRPr="005B0238">
        <w:t xml:space="preserve">report </w:t>
      </w:r>
      <w:r w:rsidR="00A50A8D" w:rsidRPr="005B0238">
        <w:t xml:space="preserve">any </w:t>
      </w:r>
      <w:r w:rsidR="00DA1B96" w:rsidRPr="005B0238">
        <w:t>VSL-assis</w:t>
      </w:r>
      <w:r w:rsidR="006101CE" w:rsidRPr="005B0238">
        <w:t>ted students</w:t>
      </w:r>
      <w:r w:rsidR="006101CE">
        <w:t xml:space="preserve"> and </w:t>
      </w:r>
      <w:r w:rsidR="00F90700">
        <w:t xml:space="preserve">the remaining </w:t>
      </w:r>
      <w:r w:rsidR="004C17F8" w:rsidRPr="00227BEC">
        <w:t>2</w:t>
      </w:r>
      <w:r w:rsidR="00C4073A" w:rsidRPr="00227BEC">
        <w:t>2</w:t>
      </w:r>
      <w:r w:rsidR="00A35B55" w:rsidRPr="00F26351">
        <w:t xml:space="preserve"> </w:t>
      </w:r>
      <w:r w:rsidR="00560E33" w:rsidRPr="00F26351">
        <w:t xml:space="preserve">providers </w:t>
      </w:r>
      <w:r w:rsidRPr="00F26351">
        <w:t xml:space="preserve">reported </w:t>
      </w:r>
      <w:r w:rsidR="00B756CE" w:rsidRPr="00F26351">
        <w:t>all</w:t>
      </w:r>
      <w:r w:rsidRPr="00F26351">
        <w:t xml:space="preserve"> their students’ units of study as being in progress</w:t>
      </w:r>
      <w:r w:rsidR="0010103E" w:rsidRPr="00F26351">
        <w:t>.</w:t>
      </w:r>
    </w:p>
    <w:bookmarkEnd w:id="3"/>
    <w:p w14:paraId="408E2E68" w14:textId="341BAF3A" w:rsidR="00C65363" w:rsidRDefault="00EE494A" w:rsidP="0078037E">
      <w:pPr>
        <w:pStyle w:val="Caption"/>
        <w:keepNext/>
      </w:pPr>
      <w:r w:rsidRPr="0039508C">
        <w:t xml:space="preserve">Figure </w:t>
      </w:r>
      <w:r>
        <w:fldChar w:fldCharType="begin"/>
      </w:r>
      <w:r>
        <w:instrText>SEQ Figure \* ARABIC</w:instrText>
      </w:r>
      <w:r>
        <w:fldChar w:fldCharType="separate"/>
      </w:r>
      <w:r w:rsidR="0076492B">
        <w:rPr>
          <w:noProof/>
        </w:rPr>
        <w:t>4</w:t>
      </w:r>
      <w:r>
        <w:fldChar w:fldCharType="end"/>
      </w:r>
      <w:r w:rsidRPr="0039508C">
        <w:t>: VSL-assisted student unit of study completion rates</w:t>
      </w:r>
    </w:p>
    <w:p w14:paraId="12F25D41" w14:textId="21436ACB" w:rsidR="00A41EA7" w:rsidRDefault="00D93EE6">
      <w:pPr>
        <w:rPr>
          <w:rFonts w:ascii="Calibri" w:eastAsiaTheme="majorEastAsia" w:hAnsi="Calibri" w:cstheme="majorBidi"/>
          <w:b/>
          <w:color w:val="24206C"/>
          <w:sz w:val="28"/>
          <w:szCs w:val="28"/>
        </w:rPr>
      </w:pPr>
      <w:r>
        <w:rPr>
          <w:noProof/>
        </w:rPr>
        <w:drawing>
          <wp:inline distT="0" distB="0" distL="0" distR="0" wp14:anchorId="1D2E8A24" wp14:editId="36CAB901">
            <wp:extent cx="6292850" cy="2457450"/>
            <wp:effectExtent l="0" t="0" r="0" b="0"/>
            <wp:docPr id="47771083" name="Chart 1">
              <a:extLst xmlns:a="http://schemas.openxmlformats.org/drawingml/2006/main">
                <a:ext uri="{FF2B5EF4-FFF2-40B4-BE49-F238E27FC236}">
                  <a16:creationId xmlns:a16="http://schemas.microsoft.com/office/drawing/2014/main" id="{00000000-0008-0000-0A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85B2A08" w14:textId="118FDC27" w:rsidR="003D1711" w:rsidRPr="0039508C" w:rsidRDefault="003D1711" w:rsidP="00442B95">
      <w:pPr>
        <w:pStyle w:val="Heading1"/>
        <w:spacing w:before="360" w:after="120"/>
      </w:pPr>
      <w:r w:rsidRPr="0039508C">
        <w:t>Tuition fees (section 103A(b)(v)</w:t>
      </w:r>
      <w:r w:rsidR="0002008F">
        <w:t xml:space="preserve"> of the Act</w:t>
      </w:r>
      <w:r w:rsidRPr="0039508C">
        <w:t>)</w:t>
      </w:r>
    </w:p>
    <w:p w14:paraId="189AF70A" w14:textId="609B4DEA" w:rsidR="00B33F40" w:rsidRPr="0039508C" w:rsidRDefault="00B33F40" w:rsidP="00B33F40">
      <w:r w:rsidRPr="0039508C">
        <w:t>During the reporting period, VSL</w:t>
      </w:r>
      <w:r w:rsidRPr="0039508C">
        <w:noBreakHyphen/>
        <w:t xml:space="preserve">assisted students were charged a total of </w:t>
      </w:r>
      <w:r w:rsidRPr="00211A37">
        <w:rPr>
          <w:bCs/>
        </w:rPr>
        <w:t>$</w:t>
      </w:r>
      <w:r>
        <w:rPr>
          <w:bCs/>
        </w:rPr>
        <w:t>109.6 million</w:t>
      </w:r>
      <w:r>
        <w:t xml:space="preserve"> </w:t>
      </w:r>
      <w:r w:rsidRPr="0039508C">
        <w:t xml:space="preserve">in course tuition fees. </w:t>
      </w:r>
      <w:r w:rsidR="008A10CE">
        <w:t>These students</w:t>
      </w:r>
      <w:r w:rsidRPr="0039508C">
        <w:t xml:space="preserve"> paid </w:t>
      </w:r>
      <w:r w:rsidRPr="004510AB">
        <w:t>$</w:t>
      </w:r>
      <w:r>
        <w:t>6.2 million</w:t>
      </w:r>
      <w:r w:rsidRPr="0039508C">
        <w:t xml:space="preserve"> of their tuition fees up front in addition to the amounts paid in </w:t>
      </w:r>
      <w:r w:rsidR="006626C0">
        <w:t>VSL</w:t>
      </w:r>
      <w:r w:rsidRPr="0039508C">
        <w:t xml:space="preserve">. </w:t>
      </w:r>
    </w:p>
    <w:p w14:paraId="0C03FA53" w14:textId="3F6F09F6" w:rsidR="00B33F40" w:rsidRPr="0039508C" w:rsidRDefault="00B33F40" w:rsidP="00B33F40">
      <w:r w:rsidRPr="0039508C">
        <w:t xml:space="preserve">Figure 5 provides </w:t>
      </w:r>
      <w:r w:rsidR="008A10CE">
        <w:t>the</w:t>
      </w:r>
      <w:r w:rsidRPr="0039508C">
        <w:t xml:space="preserve"> </w:t>
      </w:r>
      <w:r w:rsidR="008A10CE">
        <w:t xml:space="preserve">monthly </w:t>
      </w:r>
      <w:r w:rsidRPr="0039508C">
        <w:t xml:space="preserve">breakdown of tuition fees charged to VSL-assisted students in the reporting period. Tuition fees charged peaked in </w:t>
      </w:r>
      <w:r>
        <w:t>August</w:t>
      </w:r>
      <w:r w:rsidRPr="0039508C">
        <w:t xml:space="preserve"> 202</w:t>
      </w:r>
      <w:r>
        <w:t>3</w:t>
      </w:r>
      <w:r w:rsidR="008A10CE">
        <w:t>,</w:t>
      </w:r>
      <w:r w:rsidRPr="0039508C">
        <w:t xml:space="preserve"> commensurate with the peaks in value of loans paid for study undertaken and student numbers.</w:t>
      </w:r>
    </w:p>
    <w:p w14:paraId="09B0D694" w14:textId="2922C162" w:rsidR="008F2C40" w:rsidRDefault="00EE494A" w:rsidP="00211A37">
      <w:pPr>
        <w:pStyle w:val="Caption"/>
        <w:keepNext/>
      </w:pPr>
      <w:r w:rsidRPr="0039508C">
        <w:t xml:space="preserve">Figure </w:t>
      </w:r>
      <w:r>
        <w:fldChar w:fldCharType="begin"/>
      </w:r>
      <w:r>
        <w:instrText>SEQ Figure \* ARABIC</w:instrText>
      </w:r>
      <w:r>
        <w:fldChar w:fldCharType="separate"/>
      </w:r>
      <w:r w:rsidR="0076492B">
        <w:rPr>
          <w:noProof/>
        </w:rPr>
        <w:t>5</w:t>
      </w:r>
      <w:r>
        <w:fldChar w:fldCharType="end"/>
      </w:r>
      <w:r w:rsidRPr="0039508C">
        <w:t>: Tuition fees charged to VSL-assisted students by month</w:t>
      </w:r>
    </w:p>
    <w:p w14:paraId="7AE93D91" w14:textId="5CA5CFF0" w:rsidR="008F2C40" w:rsidRPr="008F2C40" w:rsidRDefault="00B33F40" w:rsidP="008F2C40">
      <w:r>
        <w:rPr>
          <w:noProof/>
        </w:rPr>
        <w:drawing>
          <wp:inline distT="0" distB="0" distL="0" distR="0" wp14:anchorId="1927DF8F" wp14:editId="5A97EB68">
            <wp:extent cx="5760085" cy="2648585"/>
            <wp:effectExtent l="0" t="0" r="0" b="0"/>
            <wp:docPr id="63958741" name="Chart 1">
              <a:extLst xmlns:a="http://schemas.openxmlformats.org/drawingml/2006/main">
                <a:ext uri="{FF2B5EF4-FFF2-40B4-BE49-F238E27FC236}">
                  <a16:creationId xmlns:a16="http://schemas.microsoft.com/office/drawing/2014/main" id="{00000000-0008-0000-0B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57E58DA" w14:textId="6525134C" w:rsidR="003D1711" w:rsidRPr="0039508C" w:rsidRDefault="003D1711" w:rsidP="0096419D">
      <w:pPr>
        <w:pStyle w:val="Heading1"/>
        <w:spacing w:before="360" w:after="120"/>
      </w:pPr>
      <w:r w:rsidRPr="0039508C">
        <w:lastRenderedPageBreak/>
        <w:t xml:space="preserve">Additional </w:t>
      </w:r>
      <w:r w:rsidR="006626C0">
        <w:t>VSL</w:t>
      </w:r>
      <w:r w:rsidRPr="0039508C">
        <w:t xml:space="preserve"> provider and course information</w:t>
      </w:r>
    </w:p>
    <w:p w14:paraId="6B237670" w14:textId="4F66DA24" w:rsidR="00E803FE" w:rsidRPr="0039508C" w:rsidRDefault="00F72872" w:rsidP="00E803FE">
      <w:r w:rsidRPr="0039508C">
        <w:t>The Addendum (</w:t>
      </w:r>
      <w:r w:rsidR="003D1711" w:rsidRPr="0039508C">
        <w:t>Tables </w:t>
      </w:r>
      <w:r w:rsidR="00ED17BC" w:rsidRPr="0039508C">
        <w:t>1</w:t>
      </w:r>
      <w:r w:rsidR="003D1711" w:rsidRPr="0039508C">
        <w:t xml:space="preserve"> to </w:t>
      </w:r>
      <w:r w:rsidR="00ED17BC" w:rsidRPr="0039508C">
        <w:t>6</w:t>
      </w:r>
      <w:r w:rsidRPr="0039508C">
        <w:t>)</w:t>
      </w:r>
      <w:r w:rsidR="001B0EF8" w:rsidRPr="0039508C">
        <w:t xml:space="preserve"> </w:t>
      </w:r>
      <w:r w:rsidR="0096419D" w:rsidRPr="0039508C">
        <w:t>provide</w:t>
      </w:r>
      <w:r w:rsidR="001B0EF8" w:rsidRPr="0039508C">
        <w:t>s</w:t>
      </w:r>
      <w:r w:rsidR="0096419D" w:rsidRPr="0039508C">
        <w:t xml:space="preserve"> </w:t>
      </w:r>
      <w:r w:rsidR="001B0EF8" w:rsidRPr="0039508C">
        <w:t xml:space="preserve">the </w:t>
      </w:r>
      <w:r w:rsidR="00C50A72">
        <w:t xml:space="preserve">details of </w:t>
      </w:r>
      <w:r w:rsidR="006626C0">
        <w:t>VSL</w:t>
      </w:r>
      <w:r w:rsidR="00B32D8E" w:rsidRPr="0039508C">
        <w:t xml:space="preserve"> </w:t>
      </w:r>
      <w:r w:rsidR="001B0EF8" w:rsidRPr="0039508C">
        <w:t xml:space="preserve">data listed in the report </w:t>
      </w:r>
      <w:r w:rsidR="002F15C5" w:rsidRPr="0039508C">
        <w:t xml:space="preserve">for </w:t>
      </w:r>
      <w:r w:rsidR="0096419D" w:rsidRPr="0039508C">
        <w:t xml:space="preserve">the reporting period. </w:t>
      </w:r>
    </w:p>
    <w:p w14:paraId="5C3ED50F" w14:textId="25BAFD61" w:rsidR="00413B3D" w:rsidRPr="0039508C" w:rsidRDefault="0096419D" w:rsidP="0096419D">
      <w:r w:rsidRPr="0039508C">
        <w:t xml:space="preserve">In terms of student numbers, </w:t>
      </w:r>
      <w:r w:rsidR="000B58F1">
        <w:t>six</w:t>
      </w:r>
      <w:r w:rsidR="00FE0767" w:rsidRPr="0039508C">
        <w:t xml:space="preserve"> </w:t>
      </w:r>
      <w:r w:rsidRPr="0039508C">
        <w:t xml:space="preserve">of the top </w:t>
      </w:r>
      <w:r w:rsidR="002E3F3E">
        <w:t>10</w:t>
      </w:r>
      <w:r w:rsidR="002E3F3E" w:rsidRPr="0039508C">
        <w:t xml:space="preserve"> </w:t>
      </w:r>
      <w:r w:rsidRPr="0039508C">
        <w:t xml:space="preserve">providers </w:t>
      </w:r>
      <w:r w:rsidR="00891652">
        <w:t>are</w:t>
      </w:r>
      <w:r w:rsidRPr="0039508C">
        <w:t xml:space="preserve"> public providers</w:t>
      </w:r>
      <w:r w:rsidR="00393B7C" w:rsidRPr="0039508C">
        <w:t>, as detailed in</w:t>
      </w:r>
      <w:r w:rsidR="001B0EF8" w:rsidRPr="0039508C">
        <w:t xml:space="preserve"> </w:t>
      </w:r>
      <w:r w:rsidR="00AD24CB">
        <w:t xml:space="preserve">Table 2 of </w:t>
      </w:r>
      <w:r w:rsidR="001B0EF8" w:rsidRPr="0039508C">
        <w:t>the Addendum</w:t>
      </w:r>
      <w:r w:rsidR="00AD24CB">
        <w:t xml:space="preserve">. </w:t>
      </w:r>
      <w:r w:rsidR="00495349">
        <w:t>Three</w:t>
      </w:r>
      <w:r w:rsidR="003629A1" w:rsidRPr="0039508C">
        <w:t xml:space="preserve"> </w:t>
      </w:r>
      <w:r w:rsidRPr="0039508C">
        <w:t xml:space="preserve">of the top </w:t>
      </w:r>
      <w:r w:rsidR="007E72ED">
        <w:t>10</w:t>
      </w:r>
      <w:r w:rsidR="007E72ED" w:rsidRPr="0039508C">
        <w:t xml:space="preserve"> </w:t>
      </w:r>
      <w:r w:rsidRPr="0039508C">
        <w:t>providers ranked by value of loans paid</w:t>
      </w:r>
      <w:r w:rsidR="001B0EF8" w:rsidRPr="0039508C">
        <w:t>, listed</w:t>
      </w:r>
      <w:r w:rsidRPr="0039508C">
        <w:t xml:space="preserve"> in </w:t>
      </w:r>
      <w:r w:rsidR="006A6469">
        <w:t xml:space="preserve">Table 3 of </w:t>
      </w:r>
      <w:r w:rsidR="001B0EF8" w:rsidRPr="0039508C">
        <w:t xml:space="preserve">the </w:t>
      </w:r>
      <w:r w:rsidR="00F72872" w:rsidRPr="0039508C">
        <w:t>Addendum</w:t>
      </w:r>
      <w:r w:rsidR="001B0EF8" w:rsidRPr="0039508C">
        <w:t>,</w:t>
      </w:r>
      <w:r w:rsidRPr="0039508C">
        <w:t xml:space="preserve"> </w:t>
      </w:r>
      <w:r w:rsidR="00891652">
        <w:t>are</w:t>
      </w:r>
      <w:r w:rsidRPr="0039508C">
        <w:t xml:space="preserve"> public providers (</w:t>
      </w:r>
      <w:r w:rsidR="00C15CF8">
        <w:t xml:space="preserve">including </w:t>
      </w:r>
      <w:r w:rsidRPr="0039508C">
        <w:t>TAFEs</w:t>
      </w:r>
      <w:r w:rsidR="006A350F">
        <w:t xml:space="preserve"> </w:t>
      </w:r>
      <w:r w:rsidR="00C15CF8">
        <w:t xml:space="preserve">and </w:t>
      </w:r>
      <w:r w:rsidRPr="0039508C">
        <w:t xml:space="preserve">universities). </w:t>
      </w:r>
      <w:r w:rsidR="00785C10">
        <w:t>Nine</w:t>
      </w:r>
      <w:r w:rsidR="00BF7538" w:rsidRPr="000D724E">
        <w:t xml:space="preserve"> </w:t>
      </w:r>
      <w:r w:rsidR="00413B3D" w:rsidRPr="000D724E">
        <w:t>of the</w:t>
      </w:r>
      <w:r w:rsidR="00155E50" w:rsidRPr="000D724E">
        <w:t xml:space="preserve"> </w:t>
      </w:r>
      <w:r w:rsidRPr="000D724E">
        <w:t xml:space="preserve">top </w:t>
      </w:r>
      <w:r w:rsidR="00BF7538">
        <w:t>10</w:t>
      </w:r>
      <w:r w:rsidR="000D4285">
        <w:t xml:space="preserve">, listed in </w:t>
      </w:r>
      <w:r w:rsidR="004A670C">
        <w:t xml:space="preserve">Table </w:t>
      </w:r>
      <w:r w:rsidR="00C15CF8">
        <w:t xml:space="preserve">3 of </w:t>
      </w:r>
      <w:r w:rsidR="000D4285">
        <w:t>the Addendum</w:t>
      </w:r>
      <w:r w:rsidR="00891652">
        <w:t xml:space="preserve">, </w:t>
      </w:r>
      <w:r w:rsidR="00891652" w:rsidRPr="000D724E">
        <w:t>are</w:t>
      </w:r>
      <w:r w:rsidRPr="000D724E">
        <w:t xml:space="preserve"> the same providers as for the </w:t>
      </w:r>
      <w:r w:rsidR="00647F09">
        <w:t>second</w:t>
      </w:r>
      <w:r w:rsidRPr="000D724E">
        <w:t xml:space="preserve"> half </w:t>
      </w:r>
      <w:r w:rsidR="007A70FE" w:rsidRPr="000D724E">
        <w:t xml:space="preserve">of </w:t>
      </w:r>
      <w:r w:rsidRPr="000D724E">
        <w:t>20</w:t>
      </w:r>
      <w:r w:rsidR="00157D41" w:rsidRPr="000D724E">
        <w:t>2</w:t>
      </w:r>
      <w:r w:rsidR="009E1E61">
        <w:t>2</w:t>
      </w:r>
      <w:r w:rsidR="00441DE6">
        <w:t>.</w:t>
      </w:r>
      <w:r w:rsidR="006830C8">
        <w:t xml:space="preserve"> </w:t>
      </w:r>
      <w:r w:rsidR="006250F9">
        <w:t>Technical and Further</w:t>
      </w:r>
      <w:r w:rsidR="005117E8">
        <w:t xml:space="preserve"> Education Commission</w:t>
      </w:r>
      <w:r w:rsidR="007D7CBD">
        <w:t xml:space="preserve"> (TAFE NSW)</w:t>
      </w:r>
      <w:r w:rsidR="00266D67">
        <w:t xml:space="preserve"> </w:t>
      </w:r>
      <w:r w:rsidR="00413B3D" w:rsidRPr="000D724E">
        <w:t>move</w:t>
      </w:r>
      <w:r w:rsidR="00B842A1">
        <w:t>s</w:t>
      </w:r>
      <w:r w:rsidR="00413B3D" w:rsidRPr="000D724E">
        <w:t xml:space="preserve"> out of </w:t>
      </w:r>
      <w:r w:rsidR="002E79C9">
        <w:t>this</w:t>
      </w:r>
      <w:r w:rsidR="00413B3D" w:rsidRPr="000D724E">
        <w:t xml:space="preserve"> list while </w:t>
      </w:r>
      <w:r w:rsidR="004A1F0B">
        <w:t>Australian Education Group Pty Ltd</w:t>
      </w:r>
      <w:r w:rsidR="000010D6" w:rsidRPr="000010D6">
        <w:t xml:space="preserve"> </w:t>
      </w:r>
      <w:r w:rsidR="00413B3D" w:rsidRPr="000D724E">
        <w:t>move</w:t>
      </w:r>
      <w:r w:rsidR="003B1DA9">
        <w:t>s</w:t>
      </w:r>
      <w:r w:rsidR="00413B3D" w:rsidRPr="000D724E">
        <w:t xml:space="preserve"> up to be included</w:t>
      </w:r>
      <w:r w:rsidR="003B1DA9">
        <w:t xml:space="preserve"> in the </w:t>
      </w:r>
      <w:r w:rsidR="000010D6">
        <w:t>second</w:t>
      </w:r>
      <w:r w:rsidR="003B1DA9">
        <w:t xml:space="preserve"> half of 202</w:t>
      </w:r>
      <w:r w:rsidR="004A1F0B">
        <w:t>3</w:t>
      </w:r>
      <w:r w:rsidR="00413B3D" w:rsidRPr="000D724E">
        <w:t>.</w:t>
      </w:r>
      <w:r w:rsidR="00413B3D">
        <w:t xml:space="preserve"> </w:t>
      </w:r>
    </w:p>
    <w:p w14:paraId="115B4F79" w14:textId="61395F62" w:rsidR="00D030DB" w:rsidRDefault="006353F7" w:rsidP="002F15C5">
      <w:r>
        <w:t xml:space="preserve">Seven </w:t>
      </w:r>
      <w:r w:rsidR="0096419D" w:rsidRPr="0039508C">
        <w:t xml:space="preserve">of the top </w:t>
      </w:r>
      <w:r w:rsidR="005233BD" w:rsidRPr="0039508C">
        <w:t>ten</w:t>
      </w:r>
      <w:r w:rsidR="0096419D" w:rsidRPr="0039508C">
        <w:t xml:space="preserve"> courses</w:t>
      </w:r>
      <w:r w:rsidR="00366039">
        <w:t xml:space="preserve"> </w:t>
      </w:r>
      <w:r w:rsidR="0065207A" w:rsidRPr="0039508C">
        <w:t xml:space="preserve">in terms of </w:t>
      </w:r>
      <w:r w:rsidR="00D500F2">
        <w:t>enrolment</w:t>
      </w:r>
      <w:r w:rsidR="00D500F2" w:rsidRPr="0039508C">
        <w:t xml:space="preserve"> </w:t>
      </w:r>
      <w:r w:rsidR="0065207A" w:rsidRPr="0039508C">
        <w:t>numbers</w:t>
      </w:r>
      <w:r w:rsidR="000971E3">
        <w:t xml:space="preserve"> </w:t>
      </w:r>
      <w:r w:rsidR="006C7113">
        <w:t>(</w:t>
      </w:r>
      <w:r w:rsidR="00366039">
        <w:t>lis</w:t>
      </w:r>
      <w:r w:rsidR="009A0AE9">
        <w:t xml:space="preserve">ted in </w:t>
      </w:r>
      <w:r w:rsidR="00872D00">
        <w:t xml:space="preserve">Table 4 of </w:t>
      </w:r>
      <w:r w:rsidR="009A0AE9">
        <w:t>the Addendum</w:t>
      </w:r>
      <w:r w:rsidR="006C7113">
        <w:t xml:space="preserve">) </w:t>
      </w:r>
      <w:r w:rsidR="000971E3">
        <w:t>remain the s</w:t>
      </w:r>
      <w:r w:rsidR="00DC0781">
        <w:t>ame</w:t>
      </w:r>
      <w:r w:rsidR="000971E3">
        <w:t xml:space="preserve"> as</w:t>
      </w:r>
      <w:r w:rsidR="004E1DC5">
        <w:t xml:space="preserve"> </w:t>
      </w:r>
      <w:r w:rsidR="00B41A6A">
        <w:t xml:space="preserve">courses </w:t>
      </w:r>
      <w:r w:rsidR="008D73F4">
        <w:t xml:space="preserve">in </w:t>
      </w:r>
      <w:r w:rsidR="00393B7C" w:rsidRPr="0039508C">
        <w:t xml:space="preserve">the </w:t>
      </w:r>
      <w:r w:rsidR="002F2834">
        <w:t>second</w:t>
      </w:r>
      <w:r w:rsidR="0096419D" w:rsidRPr="0039508C">
        <w:t xml:space="preserve"> half of </w:t>
      </w:r>
      <w:r w:rsidR="000C459C" w:rsidRPr="0039508C">
        <w:t>202</w:t>
      </w:r>
      <w:r w:rsidR="006E10EE">
        <w:t>2</w:t>
      </w:r>
      <w:r w:rsidR="0096419D" w:rsidRPr="007019E8">
        <w:t>.</w:t>
      </w:r>
      <w:r w:rsidR="006F6EC6">
        <w:t xml:space="preserve"> </w:t>
      </w:r>
      <w:r w:rsidR="008768C7">
        <w:t xml:space="preserve">The updated </w:t>
      </w:r>
      <w:r w:rsidR="00CD1F5F">
        <w:t xml:space="preserve">method </w:t>
      </w:r>
      <w:r w:rsidR="00432843">
        <w:t xml:space="preserve">of </w:t>
      </w:r>
      <w:r w:rsidR="00217D78">
        <w:t xml:space="preserve">ranking courses by course name (current and superseded </w:t>
      </w:r>
      <w:r w:rsidR="00EC2F33">
        <w:t xml:space="preserve">course codes) </w:t>
      </w:r>
      <w:r w:rsidR="003D1F13">
        <w:t>has</w:t>
      </w:r>
      <w:r w:rsidR="00F01C74">
        <w:t xml:space="preserve"> contributed </w:t>
      </w:r>
      <w:r w:rsidR="00BC6983">
        <w:t xml:space="preserve">to </w:t>
      </w:r>
      <w:r w:rsidR="009563C4" w:rsidRPr="007019E8">
        <w:t>the c</w:t>
      </w:r>
      <w:r w:rsidR="00A3168D" w:rsidRPr="007019E8">
        <w:t>hange</w:t>
      </w:r>
      <w:r w:rsidR="00DD3AE7">
        <w:t xml:space="preserve"> in</w:t>
      </w:r>
      <w:r w:rsidR="00A3168D" w:rsidRPr="007019E8">
        <w:t xml:space="preserve"> </w:t>
      </w:r>
      <w:r w:rsidR="00BC6983">
        <w:t>ranking</w:t>
      </w:r>
      <w:r w:rsidR="00A3168D" w:rsidRPr="007019E8">
        <w:t xml:space="preserve"> the top 10 </w:t>
      </w:r>
      <w:r w:rsidR="00DD3AE7">
        <w:t xml:space="preserve">courses </w:t>
      </w:r>
      <w:r w:rsidR="00A3168D" w:rsidRPr="007019E8">
        <w:t>in 2023</w:t>
      </w:r>
      <w:r w:rsidR="000D1CC2">
        <w:t>. With this approach</w:t>
      </w:r>
      <w:r w:rsidR="00C07487">
        <w:t>,</w:t>
      </w:r>
      <w:r w:rsidR="000D1CC2">
        <w:t xml:space="preserve"> </w:t>
      </w:r>
      <w:r w:rsidR="008765EE" w:rsidRPr="007019E8">
        <w:t>courses no longer appear twice in the top 10 list</w:t>
      </w:r>
      <w:r w:rsidR="000606CE" w:rsidRPr="007019E8">
        <w:t>.</w:t>
      </w:r>
      <w:r w:rsidR="000C459C" w:rsidRPr="0039508C">
        <w:t xml:space="preserve"> </w:t>
      </w:r>
      <w:bookmarkStart w:id="4" w:name="_Hlk93506114"/>
    </w:p>
    <w:p w14:paraId="3683F7B6" w14:textId="22B3AE97" w:rsidR="002F15C5" w:rsidRPr="0039508C" w:rsidRDefault="0096419D" w:rsidP="002F15C5">
      <w:r w:rsidRPr="0039508C">
        <w:t xml:space="preserve">The Diploma of Nursing </w:t>
      </w:r>
      <w:r w:rsidR="00F14EFF">
        <w:t>remain</w:t>
      </w:r>
      <w:r w:rsidR="008A10CE">
        <w:t>ed</w:t>
      </w:r>
      <w:r w:rsidR="000E590E">
        <w:t xml:space="preserve"> </w:t>
      </w:r>
      <w:r w:rsidRPr="0039508C">
        <w:t xml:space="preserve">the highest ranked </w:t>
      </w:r>
      <w:r w:rsidR="00D030DB">
        <w:t xml:space="preserve">course </w:t>
      </w:r>
      <w:r w:rsidRPr="0039508C">
        <w:t xml:space="preserve">in terms of </w:t>
      </w:r>
      <w:r w:rsidR="008A10CE" w:rsidRPr="0039508C">
        <w:t>enrolments</w:t>
      </w:r>
      <w:r w:rsidR="008A10CE">
        <w:t xml:space="preserve"> but</w:t>
      </w:r>
      <w:r w:rsidR="000C459C" w:rsidRPr="0039508C">
        <w:t xml:space="preserve"> </w:t>
      </w:r>
      <w:r w:rsidR="00A23D68" w:rsidRPr="0039508C">
        <w:t>become</w:t>
      </w:r>
      <w:r w:rsidR="00A23D68">
        <w:t>s</w:t>
      </w:r>
      <w:r w:rsidR="000C459C" w:rsidRPr="0039508C">
        <w:t xml:space="preserve"> </w:t>
      </w:r>
      <w:r w:rsidR="003440BA">
        <w:t>third</w:t>
      </w:r>
      <w:r w:rsidR="003440BA" w:rsidRPr="0039508C">
        <w:t xml:space="preserve"> </w:t>
      </w:r>
      <w:r w:rsidR="000C459C" w:rsidRPr="0039508C">
        <w:t xml:space="preserve">in terms of </w:t>
      </w:r>
      <w:r w:rsidRPr="0039508C">
        <w:t xml:space="preserve">loans paid </w:t>
      </w:r>
      <w:r w:rsidR="000E35F3">
        <w:t>(</w:t>
      </w:r>
      <w:r w:rsidR="00097395">
        <w:t>see</w:t>
      </w:r>
      <w:r w:rsidRPr="0039508C">
        <w:t xml:space="preserve"> </w:t>
      </w:r>
      <w:r w:rsidR="000E35F3">
        <w:t xml:space="preserve">Tables 4 and 5 of </w:t>
      </w:r>
      <w:r w:rsidR="00F72872" w:rsidRPr="0039508C">
        <w:t>the Addendum</w:t>
      </w:r>
      <w:bookmarkEnd w:id="4"/>
      <w:r w:rsidR="00AF577B">
        <w:t>)</w:t>
      </w:r>
      <w:r w:rsidR="000E35F3">
        <w:t>.</w:t>
      </w:r>
    </w:p>
    <w:p w14:paraId="7FC2E2AC" w14:textId="35BFD038" w:rsidR="001A6841" w:rsidRPr="0039508C" w:rsidRDefault="002F15C5" w:rsidP="002F15C5">
      <w:r w:rsidRPr="0039508C">
        <w:t>Additional information on approved course providers and the eligible courses they offered, a</w:t>
      </w:r>
      <w:r w:rsidR="006C64A4">
        <w:t>re</w:t>
      </w:r>
      <w:r w:rsidRPr="0039508C">
        <w:t xml:space="preserve"> shown in </w:t>
      </w:r>
      <w:r w:rsidR="005F522F">
        <w:t xml:space="preserve">Table 6 of </w:t>
      </w:r>
      <w:r w:rsidRPr="0039508C">
        <w:t>the Addendum</w:t>
      </w:r>
      <w:r w:rsidR="005F522F">
        <w:t>.</w:t>
      </w:r>
    </w:p>
    <w:p w14:paraId="727ECD5A" w14:textId="0840089C" w:rsidR="003036C8" w:rsidRDefault="0047679C" w:rsidP="003036C8">
      <w:r>
        <w:t>Note</w:t>
      </w:r>
      <w:r w:rsidR="007362ED">
        <w:t xml:space="preserve">, some </w:t>
      </w:r>
      <w:r>
        <w:t>s</w:t>
      </w:r>
      <w:r w:rsidR="005A7E48" w:rsidRPr="0039508C">
        <w:t>tudents enrol</w:t>
      </w:r>
      <w:r w:rsidR="007362ED">
        <w:t>led</w:t>
      </w:r>
      <w:r w:rsidR="005A7E48" w:rsidRPr="0039508C">
        <w:t xml:space="preserve"> in </w:t>
      </w:r>
      <w:r w:rsidR="007362ED">
        <w:t>multiple</w:t>
      </w:r>
      <w:r w:rsidR="005A7E48" w:rsidRPr="0039508C">
        <w:t xml:space="preserve"> course</w:t>
      </w:r>
      <w:r w:rsidR="007362ED">
        <w:t>s</w:t>
      </w:r>
      <w:r w:rsidR="005A7E48" w:rsidRPr="0039508C">
        <w:t xml:space="preserve">, so </w:t>
      </w:r>
      <w:r w:rsidR="000B58F1">
        <w:t xml:space="preserve">the </w:t>
      </w:r>
      <w:r w:rsidR="005A7E48" w:rsidRPr="0039508C">
        <w:t xml:space="preserve">enrolment </w:t>
      </w:r>
      <w:r w:rsidR="000B58F1">
        <w:t>count</w:t>
      </w:r>
      <w:r w:rsidR="005A7E48" w:rsidRPr="0039508C">
        <w:t xml:space="preserve"> </w:t>
      </w:r>
      <w:r w:rsidR="007362ED">
        <w:t>is</w:t>
      </w:r>
      <w:r w:rsidR="005A7E48" w:rsidRPr="0039508C">
        <w:t xml:space="preserve"> greater </w:t>
      </w:r>
      <w:r w:rsidR="003036C8" w:rsidRPr="0039508C">
        <w:t xml:space="preserve">than </w:t>
      </w:r>
      <w:r w:rsidR="000B58F1">
        <w:t xml:space="preserve">the </w:t>
      </w:r>
      <w:r w:rsidR="003036C8" w:rsidRPr="0039508C">
        <w:t xml:space="preserve">student </w:t>
      </w:r>
      <w:r w:rsidR="000B58F1">
        <w:t>count</w:t>
      </w:r>
      <w:r w:rsidR="003036C8" w:rsidRPr="0039508C">
        <w:t>.</w:t>
      </w:r>
    </w:p>
    <w:p w14:paraId="4D6697C1" w14:textId="77777777" w:rsidR="006E1A9D" w:rsidRDefault="006E1A9D" w:rsidP="003036C8"/>
    <w:p w14:paraId="0B5DA8BF" w14:textId="113D693F" w:rsidR="00903CC6" w:rsidRPr="00F17A6C" w:rsidRDefault="00903CC6" w:rsidP="00F17A6C">
      <w:pPr>
        <w:rPr>
          <w:rFonts w:ascii="Calibri" w:eastAsiaTheme="majorEastAsia" w:hAnsi="Calibri" w:cstheme="majorBidi"/>
          <w:b/>
          <w:color w:val="24206C"/>
          <w:sz w:val="28"/>
          <w:szCs w:val="28"/>
        </w:rPr>
      </w:pPr>
      <w:r w:rsidRPr="00211A37">
        <w:rPr>
          <w:rFonts w:ascii="Calibri" w:eastAsiaTheme="majorEastAsia" w:hAnsi="Calibri" w:cstheme="majorBidi"/>
          <w:b/>
          <w:color w:val="24206C"/>
          <w:sz w:val="24"/>
          <w:szCs w:val="24"/>
        </w:rPr>
        <w:t>A</w:t>
      </w:r>
      <w:r w:rsidR="00B55737" w:rsidRPr="00211A37">
        <w:rPr>
          <w:rFonts w:ascii="Calibri" w:eastAsiaTheme="majorEastAsia" w:hAnsi="Calibri" w:cstheme="majorBidi"/>
          <w:b/>
          <w:color w:val="24206C"/>
          <w:sz w:val="24"/>
          <w:szCs w:val="24"/>
        </w:rPr>
        <w:t>ddendum</w:t>
      </w:r>
      <w:r w:rsidRPr="00211A37">
        <w:rPr>
          <w:rFonts w:ascii="Calibri" w:eastAsiaTheme="majorEastAsia" w:hAnsi="Calibri" w:cstheme="majorBidi"/>
          <w:b/>
          <w:color w:val="24206C"/>
          <w:sz w:val="24"/>
          <w:szCs w:val="24"/>
        </w:rPr>
        <w:t xml:space="preserve">: List of Tables – </w:t>
      </w:r>
      <w:r w:rsidR="008B21E9">
        <w:rPr>
          <w:rFonts w:ascii="Calibri" w:eastAsiaTheme="majorEastAsia" w:hAnsi="Calibri" w:cstheme="majorBidi"/>
          <w:b/>
          <w:color w:val="24206C"/>
          <w:sz w:val="24"/>
          <w:szCs w:val="24"/>
        </w:rPr>
        <w:t>July</w:t>
      </w:r>
      <w:r w:rsidR="00BE3CF6" w:rsidRPr="00211A37">
        <w:rPr>
          <w:rFonts w:ascii="Calibri" w:eastAsiaTheme="majorEastAsia" w:hAnsi="Calibri" w:cstheme="majorBidi"/>
          <w:b/>
          <w:color w:val="24206C"/>
          <w:sz w:val="24"/>
          <w:szCs w:val="24"/>
        </w:rPr>
        <w:t xml:space="preserve"> to </w:t>
      </w:r>
      <w:r w:rsidR="008B21E9">
        <w:rPr>
          <w:rFonts w:ascii="Calibri" w:eastAsiaTheme="majorEastAsia" w:hAnsi="Calibri" w:cstheme="majorBidi"/>
          <w:b/>
          <w:color w:val="24206C"/>
          <w:sz w:val="24"/>
          <w:szCs w:val="24"/>
        </w:rPr>
        <w:t>December</w:t>
      </w:r>
      <w:r w:rsidR="00BE3CF6" w:rsidRPr="00211A37">
        <w:rPr>
          <w:rFonts w:ascii="Calibri" w:eastAsiaTheme="majorEastAsia" w:hAnsi="Calibri" w:cstheme="majorBidi"/>
          <w:b/>
          <w:color w:val="24206C"/>
          <w:sz w:val="24"/>
          <w:szCs w:val="24"/>
        </w:rPr>
        <w:t xml:space="preserve"> </w:t>
      </w:r>
      <w:r w:rsidR="00126BA5" w:rsidRPr="00211A37">
        <w:rPr>
          <w:rFonts w:ascii="Calibri" w:eastAsiaTheme="majorEastAsia" w:hAnsi="Calibri" w:cstheme="majorBidi"/>
          <w:b/>
          <w:color w:val="24206C"/>
          <w:sz w:val="24"/>
          <w:szCs w:val="24"/>
        </w:rPr>
        <w:t>202</w:t>
      </w:r>
      <w:r w:rsidR="008B21E9">
        <w:rPr>
          <w:rFonts w:ascii="Calibri" w:eastAsiaTheme="majorEastAsia" w:hAnsi="Calibri" w:cstheme="majorBidi"/>
          <w:b/>
          <w:color w:val="24206C"/>
          <w:sz w:val="24"/>
          <w:szCs w:val="24"/>
        </w:rPr>
        <w:t>3</w:t>
      </w:r>
    </w:p>
    <w:p w14:paraId="231F685A" w14:textId="53E98482" w:rsidR="00903CC6" w:rsidRPr="0039508C" w:rsidRDefault="00903CC6" w:rsidP="00903CC6">
      <w:pPr>
        <w:spacing w:before="160" w:after="120"/>
        <w:ind w:left="360" w:hanging="218"/>
      </w:pPr>
      <w:r w:rsidRPr="0039508C">
        <w:t>Table 1: VSL provider</w:t>
      </w:r>
      <w:r w:rsidR="000D724E">
        <w:t>s</w:t>
      </w:r>
      <w:r w:rsidRPr="0039508C">
        <w:t xml:space="preserve"> with VSL-assisted student and loan details</w:t>
      </w:r>
    </w:p>
    <w:p w14:paraId="06F30AAF" w14:textId="77777777" w:rsidR="00903CC6" w:rsidRPr="0039508C" w:rsidRDefault="00903CC6" w:rsidP="00903CC6">
      <w:pPr>
        <w:spacing w:before="160" w:after="120"/>
        <w:ind w:left="360" w:hanging="218"/>
      </w:pPr>
      <w:r w:rsidRPr="0039508C">
        <w:t>Table 2: VSL providers ordered by VSL-assisted student numbers</w:t>
      </w:r>
    </w:p>
    <w:p w14:paraId="34ED81B7" w14:textId="245DBA9C" w:rsidR="00903CC6" w:rsidRPr="0039508C" w:rsidRDefault="00903CC6" w:rsidP="00903CC6">
      <w:pPr>
        <w:spacing w:before="160" w:after="120"/>
        <w:ind w:left="360" w:hanging="218"/>
      </w:pPr>
      <w:r w:rsidRPr="0039508C">
        <w:t xml:space="preserve">Table 3: VSL providers ordered by </w:t>
      </w:r>
      <w:r w:rsidR="00211A37">
        <w:t xml:space="preserve">value of </w:t>
      </w:r>
      <w:r w:rsidRPr="0039508C">
        <w:t xml:space="preserve">VSL loans paid </w:t>
      </w:r>
    </w:p>
    <w:p w14:paraId="16960E6B" w14:textId="77777777" w:rsidR="00903CC6" w:rsidRPr="0039508C" w:rsidRDefault="00903CC6" w:rsidP="00903CC6">
      <w:pPr>
        <w:spacing w:before="160" w:after="120"/>
        <w:ind w:left="360" w:hanging="218"/>
      </w:pPr>
      <w:r w:rsidRPr="0039508C">
        <w:t xml:space="preserve">Table 4: VSL courses ordered by VSL-assisted enrolments </w:t>
      </w:r>
    </w:p>
    <w:p w14:paraId="15B3D68C" w14:textId="77777777" w:rsidR="00903CC6" w:rsidRPr="0039508C" w:rsidRDefault="00903CC6" w:rsidP="00903CC6">
      <w:pPr>
        <w:spacing w:before="160" w:after="120"/>
        <w:ind w:left="360" w:hanging="218"/>
      </w:pPr>
      <w:r w:rsidRPr="0039508C">
        <w:t xml:space="preserve">Table 5: VSL courses ordered by VSL loans paid </w:t>
      </w:r>
    </w:p>
    <w:p w14:paraId="2F3A6AC3" w14:textId="46FA5327" w:rsidR="00E33628" w:rsidRPr="00795AB3" w:rsidRDefault="00903CC6" w:rsidP="00903CC6">
      <w:pPr>
        <w:spacing w:before="160" w:after="120"/>
        <w:ind w:left="360" w:hanging="218"/>
      </w:pPr>
      <w:r w:rsidRPr="0039508C">
        <w:t>Table 6: VSL provider course details</w:t>
      </w:r>
    </w:p>
    <w:sectPr w:rsidR="00E33628" w:rsidRPr="00795AB3" w:rsidSect="003B63E9">
      <w:footerReference w:type="default" r:id="rId24"/>
      <w:footerReference w:type="first" r:id="rId25"/>
      <w:pgSz w:w="11907" w:h="16839" w:code="9"/>
      <w:pgMar w:top="1247" w:right="1418" w:bottom="720" w:left="1418" w:header="425"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97CA2" w14:textId="77777777" w:rsidR="000867AE" w:rsidRDefault="000867AE">
      <w:pPr>
        <w:spacing w:after="0" w:line="240" w:lineRule="auto"/>
      </w:pPr>
      <w:r>
        <w:separator/>
      </w:r>
    </w:p>
  </w:endnote>
  <w:endnote w:type="continuationSeparator" w:id="0">
    <w:p w14:paraId="1FA081AB" w14:textId="77777777" w:rsidR="000867AE" w:rsidRDefault="000867AE">
      <w:pPr>
        <w:spacing w:after="0" w:line="240" w:lineRule="auto"/>
      </w:pPr>
      <w:r>
        <w:continuationSeparator/>
      </w:r>
    </w:p>
  </w:endnote>
  <w:endnote w:type="continuationNotice" w:id="1">
    <w:p w14:paraId="3CCC41EF" w14:textId="77777777" w:rsidR="000867AE" w:rsidRDefault="000867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9E769" w14:textId="75ED971A" w:rsidR="00EE25B4" w:rsidRDefault="00EE25B4">
    <w:pPr>
      <w:pStyle w:val="Footer"/>
      <w:jc w:val="center"/>
    </w:pPr>
  </w:p>
  <w:p w14:paraId="5BEBAC3E" w14:textId="77777777" w:rsidR="00EE25B4" w:rsidRDefault="00EE25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877038"/>
      <w:docPartObj>
        <w:docPartGallery w:val="Page Numbers (Bottom of Page)"/>
        <w:docPartUnique/>
      </w:docPartObj>
    </w:sdtPr>
    <w:sdtEndPr>
      <w:rPr>
        <w:noProof/>
      </w:rPr>
    </w:sdtEndPr>
    <w:sdtContent>
      <w:p w14:paraId="3A02D3D2" w14:textId="77777777" w:rsidR="00D67751" w:rsidRDefault="00D677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84FA8E" w14:textId="77777777" w:rsidR="00D67751" w:rsidRDefault="00D677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8396"/>
      <w:docPartObj>
        <w:docPartGallery w:val="Page Numbers (Bottom of Page)"/>
        <w:docPartUnique/>
      </w:docPartObj>
    </w:sdtPr>
    <w:sdtEndPr>
      <w:rPr>
        <w:noProof/>
      </w:rPr>
    </w:sdtEndPr>
    <w:sdtContent>
      <w:p w14:paraId="471BB459" w14:textId="534D9174" w:rsidR="003B63E9" w:rsidRDefault="003B63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E14024" w14:textId="77777777" w:rsidR="00C37F11" w:rsidRDefault="00C37F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2DC03" w14:textId="77777777" w:rsidR="000867AE" w:rsidRDefault="000867AE">
      <w:pPr>
        <w:spacing w:after="0" w:line="240" w:lineRule="auto"/>
      </w:pPr>
      <w:r>
        <w:separator/>
      </w:r>
    </w:p>
  </w:footnote>
  <w:footnote w:type="continuationSeparator" w:id="0">
    <w:p w14:paraId="77B23FE6" w14:textId="77777777" w:rsidR="000867AE" w:rsidRDefault="000867AE">
      <w:pPr>
        <w:spacing w:after="0" w:line="240" w:lineRule="auto"/>
      </w:pPr>
      <w:r>
        <w:continuationSeparator/>
      </w:r>
    </w:p>
  </w:footnote>
  <w:footnote w:type="continuationNotice" w:id="1">
    <w:p w14:paraId="1A2CC5F3" w14:textId="77777777" w:rsidR="000867AE" w:rsidRDefault="000867AE">
      <w:pPr>
        <w:spacing w:after="0" w:line="240" w:lineRule="auto"/>
      </w:pPr>
    </w:p>
  </w:footnote>
  <w:footnote w:id="2">
    <w:p w14:paraId="423FBA7C" w14:textId="7BC9EF85" w:rsidR="00296541" w:rsidRPr="009915EB" w:rsidRDefault="009E3CA4" w:rsidP="00EE494A">
      <w:pPr>
        <w:pStyle w:val="FootnoteText"/>
        <w:rPr>
          <w:rStyle w:val="Hyperlink"/>
          <w:color w:val="auto"/>
          <w:u w:val="none"/>
        </w:rPr>
      </w:pPr>
      <w:r>
        <w:rPr>
          <w:rStyle w:val="FootnoteReference"/>
        </w:rPr>
        <w:footnoteRef/>
      </w:r>
      <w:r>
        <w:t xml:space="preserve"> The legislation requires that these caps are indexed on an annual basis.</w:t>
      </w:r>
      <w:r w:rsidR="00EE494A">
        <w:br/>
      </w:r>
      <w:r w:rsidR="0039508C">
        <w:t xml:space="preserve">   </w:t>
      </w:r>
      <w:hyperlink r:id="rId1" w:history="1">
        <w:r w:rsidR="0039508C" w:rsidRPr="00847219">
          <w:rPr>
            <w:rStyle w:val="Hyperlink"/>
          </w:rPr>
          <w:t>https://www.de</w:t>
        </w:r>
        <w:r w:rsidR="003474BE" w:rsidRPr="00847219">
          <w:rPr>
            <w:rStyle w:val="Hyperlink"/>
          </w:rPr>
          <w:t>wr</w:t>
        </w:r>
        <w:r w:rsidR="0039508C" w:rsidRPr="00847219">
          <w:rPr>
            <w:rStyle w:val="Hyperlink"/>
          </w:rPr>
          <w:t>.gov.au/vet-student-loans/resources/vet-student-loans-courses-and-loan-caps</w:t>
        </w:r>
      </w:hyperlink>
    </w:p>
  </w:footnote>
  <w:footnote w:id="3">
    <w:p w14:paraId="21E1EE75" w14:textId="158F3C48" w:rsidR="009E3CA4" w:rsidRPr="00125D42" w:rsidRDefault="009E3CA4" w:rsidP="001D0B11">
      <w:pPr>
        <w:pStyle w:val="FootnoteText"/>
        <w:rPr>
          <w:highlight w:val="yellow"/>
        </w:rPr>
      </w:pPr>
      <w:r w:rsidRPr="00125D42">
        <w:rPr>
          <w:rStyle w:val="FootnoteReference"/>
        </w:rPr>
        <w:footnoteRef/>
      </w:r>
      <w:r w:rsidRPr="00125D42">
        <w:t xml:space="preserve"> </w:t>
      </w:r>
      <w:hyperlink r:id="rId2" w:history="1">
        <w:r w:rsidR="00B503E3" w:rsidRPr="00C81F2F">
          <w:rPr>
            <w:rStyle w:val="Hyperlink"/>
          </w:rPr>
          <w:t>https://www.legislation.gov.au/Details/F2016L02016</w:t>
        </w:r>
      </w:hyperlink>
    </w:p>
  </w:footnote>
  <w:footnote w:id="4">
    <w:p w14:paraId="7385B5F3" w14:textId="30A5AF8B" w:rsidR="009E3CA4" w:rsidRPr="008D47FD" w:rsidRDefault="009E3CA4" w:rsidP="00EE494A">
      <w:pPr>
        <w:rPr>
          <w:rStyle w:val="Hyperlink"/>
          <w:sz w:val="20"/>
          <w:szCs w:val="20"/>
        </w:rPr>
      </w:pPr>
      <w:r w:rsidRPr="00125D42">
        <w:rPr>
          <w:rStyle w:val="FootnoteReference"/>
        </w:rPr>
        <w:footnoteRef/>
      </w:r>
      <w:r w:rsidR="00EE494A">
        <w:rPr>
          <w:rStyle w:val="FootnoteTextChar"/>
        </w:rPr>
        <w:t xml:space="preserve"> </w:t>
      </w:r>
      <w:hyperlink r:id="rId3" w:history="1">
        <w:r w:rsidR="0039508C" w:rsidRPr="00C81F2F">
          <w:rPr>
            <w:rStyle w:val="Hyperlink"/>
            <w:sz w:val="20"/>
            <w:szCs w:val="20"/>
          </w:rPr>
          <w:t>https://www.de</w:t>
        </w:r>
        <w:r w:rsidR="006A2655" w:rsidRPr="00C81F2F">
          <w:rPr>
            <w:rStyle w:val="Hyperlink"/>
            <w:sz w:val="20"/>
            <w:szCs w:val="20"/>
          </w:rPr>
          <w:t>wr</w:t>
        </w:r>
        <w:r w:rsidR="0039508C" w:rsidRPr="00C81F2F">
          <w:rPr>
            <w:rStyle w:val="Hyperlink"/>
            <w:sz w:val="20"/>
            <w:szCs w:val="20"/>
          </w:rPr>
          <w:t>.gov.au/vet-student-loans/vet-student-loans-statistics</w:t>
        </w:r>
      </w:hyperlink>
    </w:p>
  </w:footnote>
  <w:footnote w:id="5">
    <w:p w14:paraId="6BA21500" w14:textId="01A33F7B" w:rsidR="009E3CA4" w:rsidRDefault="00966C33">
      <w:pPr>
        <w:pStyle w:val="FootnoteText"/>
      </w:pPr>
      <w:r>
        <w:rPr>
          <w:rStyle w:val="FootnoteReference"/>
        </w:rPr>
        <w:t>4</w:t>
      </w:r>
      <w:r w:rsidR="009E3CA4" w:rsidRPr="00E00BE4">
        <w:t xml:space="preserve"> Study undertaken during each month is defined as a part of the course where the census day is in that month, regardless of when payment was made.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6A952" w14:textId="77777777" w:rsidR="009E3CA4" w:rsidRDefault="009E3CA4" w:rsidP="004B5E0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AAC517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F20B8E"/>
    <w:multiLevelType w:val="hybridMultilevel"/>
    <w:tmpl w:val="AD1C9822"/>
    <w:lvl w:ilvl="0" w:tplc="98D82990">
      <w:start w:val="1"/>
      <w:numFmt w:val="lowerLetter"/>
      <w:lvlText w:val="(%1)"/>
      <w:lvlJc w:val="left"/>
      <w:pPr>
        <w:ind w:left="720" w:hanging="360"/>
      </w:pPr>
      <w:rPr>
        <w:rFonts w:hint="default"/>
      </w:rPr>
    </w:lvl>
    <w:lvl w:ilvl="1" w:tplc="9D2AF78E">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1026FC"/>
    <w:multiLevelType w:val="hybridMultilevel"/>
    <w:tmpl w:val="36467D24"/>
    <w:lvl w:ilvl="0" w:tplc="6D84EC08">
      <w:start w:val="1"/>
      <w:numFmt w:val="lowerLetter"/>
      <w:lvlText w:val="103A (%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7B495B"/>
    <w:multiLevelType w:val="hybridMultilevel"/>
    <w:tmpl w:val="1C9255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B27471"/>
    <w:multiLevelType w:val="hybridMultilevel"/>
    <w:tmpl w:val="72FED908"/>
    <w:lvl w:ilvl="0" w:tplc="45288EE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DA277D5"/>
    <w:multiLevelType w:val="hybridMultilevel"/>
    <w:tmpl w:val="119AA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4922B95"/>
    <w:multiLevelType w:val="hybridMultilevel"/>
    <w:tmpl w:val="02C2040C"/>
    <w:lvl w:ilvl="0" w:tplc="C18E078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94C0E12"/>
    <w:multiLevelType w:val="hybridMultilevel"/>
    <w:tmpl w:val="B308A882"/>
    <w:lvl w:ilvl="0" w:tplc="5C7C75D8">
      <w:start w:val="1"/>
      <w:numFmt w:val="lowerRoman"/>
      <w:lvlText w:val="103A (b) (%1)"/>
      <w:lvlJc w:val="left"/>
      <w:pPr>
        <w:ind w:left="720" w:hanging="60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F383887"/>
    <w:multiLevelType w:val="hybridMultilevel"/>
    <w:tmpl w:val="C85AD8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2291294"/>
    <w:multiLevelType w:val="hybridMultilevel"/>
    <w:tmpl w:val="1E6EBCE8"/>
    <w:lvl w:ilvl="0" w:tplc="292E2A6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4067EC3"/>
    <w:multiLevelType w:val="hybridMultilevel"/>
    <w:tmpl w:val="ABFA43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40C70F2"/>
    <w:multiLevelType w:val="hybridMultilevel"/>
    <w:tmpl w:val="9F5071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2DD124C"/>
    <w:multiLevelType w:val="hybridMultilevel"/>
    <w:tmpl w:val="5D840E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6BB6C6B"/>
    <w:multiLevelType w:val="multilevel"/>
    <w:tmpl w:val="8564B9CE"/>
    <w:lvl w:ilvl="0">
      <w:start w:val="1"/>
      <w:numFmt w:val="lowerLetter"/>
      <w:lvlText w:val="%1)"/>
      <w:lvlJc w:val="left"/>
      <w:pPr>
        <w:ind w:left="1074" w:hanging="360"/>
      </w:pPr>
      <w:rPr>
        <w:rFonts w:hint="default"/>
      </w:rPr>
    </w:lvl>
    <w:lvl w:ilvl="1">
      <w:start w:val="1"/>
      <w:numFmt w:val="lowerRoman"/>
      <w:lvlText w:val="%2)"/>
      <w:lvlJc w:val="left"/>
      <w:pPr>
        <w:ind w:left="1434" w:hanging="360"/>
      </w:pPr>
      <w:rPr>
        <w:rFonts w:hint="default"/>
      </w:rPr>
    </w:lvl>
    <w:lvl w:ilvl="2">
      <w:start w:val="1"/>
      <w:numFmt w:val="lowerRoman"/>
      <w:lvlText w:val="%3)"/>
      <w:lvlJc w:val="left"/>
      <w:pPr>
        <w:ind w:left="1794" w:hanging="360"/>
      </w:pPr>
      <w:rPr>
        <w:rFonts w:hint="default"/>
      </w:rPr>
    </w:lvl>
    <w:lvl w:ilvl="3">
      <w:start w:val="1"/>
      <w:numFmt w:val="decimal"/>
      <w:lvlText w:val="(%4)"/>
      <w:lvlJc w:val="left"/>
      <w:pPr>
        <w:ind w:left="2154" w:hanging="360"/>
      </w:pPr>
      <w:rPr>
        <w:rFonts w:hint="default"/>
      </w:rPr>
    </w:lvl>
    <w:lvl w:ilvl="4">
      <w:start w:val="1"/>
      <w:numFmt w:val="lowerLetter"/>
      <w:lvlText w:val="(%5)"/>
      <w:lvlJc w:val="left"/>
      <w:pPr>
        <w:ind w:left="2514" w:hanging="360"/>
      </w:pPr>
      <w:rPr>
        <w:rFonts w:hint="default"/>
      </w:rPr>
    </w:lvl>
    <w:lvl w:ilvl="5">
      <w:start w:val="1"/>
      <w:numFmt w:val="lowerRoman"/>
      <w:lvlText w:val="(%6)"/>
      <w:lvlJc w:val="left"/>
      <w:pPr>
        <w:ind w:left="2874" w:hanging="360"/>
      </w:pPr>
      <w:rPr>
        <w:rFonts w:hint="default"/>
      </w:rPr>
    </w:lvl>
    <w:lvl w:ilvl="6">
      <w:start w:val="1"/>
      <w:numFmt w:val="decimal"/>
      <w:lvlText w:val="%7."/>
      <w:lvlJc w:val="left"/>
      <w:pPr>
        <w:ind w:left="3234" w:hanging="360"/>
      </w:pPr>
      <w:rPr>
        <w:rFonts w:hint="default"/>
      </w:rPr>
    </w:lvl>
    <w:lvl w:ilvl="7">
      <w:start w:val="1"/>
      <w:numFmt w:val="lowerLetter"/>
      <w:lvlText w:val="%8."/>
      <w:lvlJc w:val="left"/>
      <w:pPr>
        <w:ind w:left="3594" w:hanging="360"/>
      </w:pPr>
      <w:rPr>
        <w:rFonts w:hint="default"/>
      </w:rPr>
    </w:lvl>
    <w:lvl w:ilvl="8">
      <w:start w:val="1"/>
      <w:numFmt w:val="lowerRoman"/>
      <w:lvlText w:val="%9."/>
      <w:lvlJc w:val="left"/>
      <w:pPr>
        <w:ind w:left="3954" w:hanging="360"/>
      </w:pPr>
      <w:rPr>
        <w:rFonts w:hint="default"/>
      </w:rPr>
    </w:lvl>
  </w:abstractNum>
  <w:abstractNum w:abstractNumId="14" w15:restartNumberingAfterBreak="0">
    <w:nsid w:val="6A1A4648"/>
    <w:multiLevelType w:val="hybridMultilevel"/>
    <w:tmpl w:val="E31AF6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91476829">
    <w:abstractNumId w:val="3"/>
  </w:num>
  <w:num w:numId="2" w16cid:durableId="1860656043">
    <w:abstractNumId w:val="1"/>
  </w:num>
  <w:num w:numId="3" w16cid:durableId="448206444">
    <w:abstractNumId w:val="4"/>
  </w:num>
  <w:num w:numId="4" w16cid:durableId="1770197344">
    <w:abstractNumId w:val="2"/>
  </w:num>
  <w:num w:numId="5" w16cid:durableId="2011788746">
    <w:abstractNumId w:val="7"/>
  </w:num>
  <w:num w:numId="6" w16cid:durableId="298996117">
    <w:abstractNumId w:val="10"/>
  </w:num>
  <w:num w:numId="7" w16cid:durableId="1760517840">
    <w:abstractNumId w:val="8"/>
  </w:num>
  <w:num w:numId="8" w16cid:durableId="1037774124">
    <w:abstractNumId w:val="14"/>
  </w:num>
  <w:num w:numId="9" w16cid:durableId="1071806112">
    <w:abstractNumId w:val="5"/>
  </w:num>
  <w:num w:numId="10" w16cid:durableId="301889157">
    <w:abstractNumId w:val="0"/>
  </w:num>
  <w:num w:numId="11" w16cid:durableId="710958478">
    <w:abstractNumId w:val="13"/>
  </w:num>
  <w:num w:numId="12" w16cid:durableId="938102672">
    <w:abstractNumId w:val="9"/>
  </w:num>
  <w:num w:numId="13" w16cid:durableId="2094625803">
    <w:abstractNumId w:val="6"/>
  </w:num>
  <w:num w:numId="14" w16cid:durableId="83961035">
    <w:abstractNumId w:val="11"/>
  </w:num>
  <w:num w:numId="15" w16cid:durableId="5292955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836"/>
    <w:rsid w:val="00000B3B"/>
    <w:rsid w:val="000010D6"/>
    <w:rsid w:val="000051CB"/>
    <w:rsid w:val="0000551C"/>
    <w:rsid w:val="0001491E"/>
    <w:rsid w:val="00014E08"/>
    <w:rsid w:val="0001527B"/>
    <w:rsid w:val="000155BB"/>
    <w:rsid w:val="0002008F"/>
    <w:rsid w:val="00021130"/>
    <w:rsid w:val="0002398E"/>
    <w:rsid w:val="00024D26"/>
    <w:rsid w:val="00024F60"/>
    <w:rsid w:val="00026856"/>
    <w:rsid w:val="000279E2"/>
    <w:rsid w:val="00030B3B"/>
    <w:rsid w:val="00036A23"/>
    <w:rsid w:val="0004050F"/>
    <w:rsid w:val="00044E01"/>
    <w:rsid w:val="00046D77"/>
    <w:rsid w:val="0005061A"/>
    <w:rsid w:val="00050A54"/>
    <w:rsid w:val="00050B97"/>
    <w:rsid w:val="00051EB7"/>
    <w:rsid w:val="00053E45"/>
    <w:rsid w:val="00054400"/>
    <w:rsid w:val="00054E58"/>
    <w:rsid w:val="00055C57"/>
    <w:rsid w:val="000606CE"/>
    <w:rsid w:val="00061E9D"/>
    <w:rsid w:val="00062DD1"/>
    <w:rsid w:val="00070647"/>
    <w:rsid w:val="00070729"/>
    <w:rsid w:val="00071AB8"/>
    <w:rsid w:val="00073C90"/>
    <w:rsid w:val="00074839"/>
    <w:rsid w:val="00074EFD"/>
    <w:rsid w:val="000779B2"/>
    <w:rsid w:val="00080581"/>
    <w:rsid w:val="00081D01"/>
    <w:rsid w:val="00082369"/>
    <w:rsid w:val="0008321B"/>
    <w:rsid w:val="00083716"/>
    <w:rsid w:val="000867AE"/>
    <w:rsid w:val="00086E74"/>
    <w:rsid w:val="00090948"/>
    <w:rsid w:val="00091AA6"/>
    <w:rsid w:val="00091EEB"/>
    <w:rsid w:val="0009246F"/>
    <w:rsid w:val="0009419C"/>
    <w:rsid w:val="00095FB3"/>
    <w:rsid w:val="00096927"/>
    <w:rsid w:val="000971E3"/>
    <w:rsid w:val="00097395"/>
    <w:rsid w:val="000A1836"/>
    <w:rsid w:val="000A2111"/>
    <w:rsid w:val="000A21A3"/>
    <w:rsid w:val="000A2655"/>
    <w:rsid w:val="000A552A"/>
    <w:rsid w:val="000A6CC6"/>
    <w:rsid w:val="000B3E91"/>
    <w:rsid w:val="000B58F1"/>
    <w:rsid w:val="000B6D46"/>
    <w:rsid w:val="000C0AAF"/>
    <w:rsid w:val="000C0B23"/>
    <w:rsid w:val="000C1B73"/>
    <w:rsid w:val="000C2456"/>
    <w:rsid w:val="000C3F74"/>
    <w:rsid w:val="000C427F"/>
    <w:rsid w:val="000C459C"/>
    <w:rsid w:val="000C687C"/>
    <w:rsid w:val="000C6C8B"/>
    <w:rsid w:val="000D1407"/>
    <w:rsid w:val="000D1CC2"/>
    <w:rsid w:val="000D4145"/>
    <w:rsid w:val="000D4285"/>
    <w:rsid w:val="000D55B4"/>
    <w:rsid w:val="000D5655"/>
    <w:rsid w:val="000D5695"/>
    <w:rsid w:val="000D677E"/>
    <w:rsid w:val="000D724E"/>
    <w:rsid w:val="000E2C41"/>
    <w:rsid w:val="000E35F3"/>
    <w:rsid w:val="000E3B40"/>
    <w:rsid w:val="000E5621"/>
    <w:rsid w:val="000E590E"/>
    <w:rsid w:val="000F1C6E"/>
    <w:rsid w:val="000F300C"/>
    <w:rsid w:val="000F5300"/>
    <w:rsid w:val="000F7A1D"/>
    <w:rsid w:val="0010103E"/>
    <w:rsid w:val="0010577A"/>
    <w:rsid w:val="00105BA1"/>
    <w:rsid w:val="001162FE"/>
    <w:rsid w:val="00117DFD"/>
    <w:rsid w:val="00120220"/>
    <w:rsid w:val="00120830"/>
    <w:rsid w:val="00121718"/>
    <w:rsid w:val="00121814"/>
    <w:rsid w:val="00121E5B"/>
    <w:rsid w:val="001251D3"/>
    <w:rsid w:val="00125D42"/>
    <w:rsid w:val="0012678E"/>
    <w:rsid w:val="00126BA5"/>
    <w:rsid w:val="00127E8A"/>
    <w:rsid w:val="00130111"/>
    <w:rsid w:val="0013445F"/>
    <w:rsid w:val="001379B3"/>
    <w:rsid w:val="00146F4C"/>
    <w:rsid w:val="00147928"/>
    <w:rsid w:val="00152809"/>
    <w:rsid w:val="0015460D"/>
    <w:rsid w:val="00155E50"/>
    <w:rsid w:val="00156D14"/>
    <w:rsid w:val="001570BE"/>
    <w:rsid w:val="00157D41"/>
    <w:rsid w:val="00161257"/>
    <w:rsid w:val="00161267"/>
    <w:rsid w:val="00164667"/>
    <w:rsid w:val="00164C1E"/>
    <w:rsid w:val="00170D27"/>
    <w:rsid w:val="00173A7C"/>
    <w:rsid w:val="00173C8E"/>
    <w:rsid w:val="0017674F"/>
    <w:rsid w:val="00181C55"/>
    <w:rsid w:val="00181D59"/>
    <w:rsid w:val="00182B73"/>
    <w:rsid w:val="00192083"/>
    <w:rsid w:val="00193465"/>
    <w:rsid w:val="00194FBF"/>
    <w:rsid w:val="00195890"/>
    <w:rsid w:val="00195E76"/>
    <w:rsid w:val="001A063D"/>
    <w:rsid w:val="001A0749"/>
    <w:rsid w:val="001A191C"/>
    <w:rsid w:val="001A33D2"/>
    <w:rsid w:val="001A5B4E"/>
    <w:rsid w:val="001A5E18"/>
    <w:rsid w:val="001A6841"/>
    <w:rsid w:val="001B0EF8"/>
    <w:rsid w:val="001B33C8"/>
    <w:rsid w:val="001B4163"/>
    <w:rsid w:val="001B4394"/>
    <w:rsid w:val="001B4ACA"/>
    <w:rsid w:val="001B57ED"/>
    <w:rsid w:val="001B6497"/>
    <w:rsid w:val="001B6BA9"/>
    <w:rsid w:val="001C1660"/>
    <w:rsid w:val="001C4BD9"/>
    <w:rsid w:val="001C5FE6"/>
    <w:rsid w:val="001C6862"/>
    <w:rsid w:val="001C6B7F"/>
    <w:rsid w:val="001C71A6"/>
    <w:rsid w:val="001D0B11"/>
    <w:rsid w:val="001D1578"/>
    <w:rsid w:val="001D234A"/>
    <w:rsid w:val="001D3CA3"/>
    <w:rsid w:val="001D520D"/>
    <w:rsid w:val="001E1AC4"/>
    <w:rsid w:val="001E2013"/>
    <w:rsid w:val="001E36CD"/>
    <w:rsid w:val="001E3915"/>
    <w:rsid w:val="001E3B17"/>
    <w:rsid w:val="001E6ADC"/>
    <w:rsid w:val="001E71E4"/>
    <w:rsid w:val="001E78E5"/>
    <w:rsid w:val="001E793F"/>
    <w:rsid w:val="001F0B5E"/>
    <w:rsid w:val="001F0CA4"/>
    <w:rsid w:val="001F2260"/>
    <w:rsid w:val="001F30CC"/>
    <w:rsid w:val="001F32E5"/>
    <w:rsid w:val="001F4F81"/>
    <w:rsid w:val="001F61CC"/>
    <w:rsid w:val="001F6CDE"/>
    <w:rsid w:val="002000DE"/>
    <w:rsid w:val="00200515"/>
    <w:rsid w:val="002009D3"/>
    <w:rsid w:val="00201C79"/>
    <w:rsid w:val="002044C0"/>
    <w:rsid w:val="0020672A"/>
    <w:rsid w:val="00207931"/>
    <w:rsid w:val="00211A37"/>
    <w:rsid w:val="00211ECA"/>
    <w:rsid w:val="002154EE"/>
    <w:rsid w:val="002170A0"/>
    <w:rsid w:val="00217D78"/>
    <w:rsid w:val="00217F5C"/>
    <w:rsid w:val="002200AA"/>
    <w:rsid w:val="00222987"/>
    <w:rsid w:val="0022328F"/>
    <w:rsid w:val="00225A70"/>
    <w:rsid w:val="00227BEC"/>
    <w:rsid w:val="00230983"/>
    <w:rsid w:val="00233001"/>
    <w:rsid w:val="00235108"/>
    <w:rsid w:val="0023560C"/>
    <w:rsid w:val="00243C3E"/>
    <w:rsid w:val="002443FA"/>
    <w:rsid w:val="00246BC8"/>
    <w:rsid w:val="00246FA7"/>
    <w:rsid w:val="00252914"/>
    <w:rsid w:val="0025598F"/>
    <w:rsid w:val="00261180"/>
    <w:rsid w:val="00261C62"/>
    <w:rsid w:val="00261E70"/>
    <w:rsid w:val="00262605"/>
    <w:rsid w:val="002650FE"/>
    <w:rsid w:val="00265B85"/>
    <w:rsid w:val="00266D67"/>
    <w:rsid w:val="00270EE2"/>
    <w:rsid w:val="00276D8C"/>
    <w:rsid w:val="00277C10"/>
    <w:rsid w:val="002828A1"/>
    <w:rsid w:val="00282C0F"/>
    <w:rsid w:val="0028788F"/>
    <w:rsid w:val="002946DA"/>
    <w:rsid w:val="00295303"/>
    <w:rsid w:val="00296541"/>
    <w:rsid w:val="002A1299"/>
    <w:rsid w:val="002A559E"/>
    <w:rsid w:val="002A63A6"/>
    <w:rsid w:val="002A7318"/>
    <w:rsid w:val="002B07DA"/>
    <w:rsid w:val="002B1D0B"/>
    <w:rsid w:val="002B5A87"/>
    <w:rsid w:val="002B5BBE"/>
    <w:rsid w:val="002B6F26"/>
    <w:rsid w:val="002C3E57"/>
    <w:rsid w:val="002C6068"/>
    <w:rsid w:val="002D0190"/>
    <w:rsid w:val="002D0CDA"/>
    <w:rsid w:val="002D19F8"/>
    <w:rsid w:val="002D1CF4"/>
    <w:rsid w:val="002D35A9"/>
    <w:rsid w:val="002D3A44"/>
    <w:rsid w:val="002D48FD"/>
    <w:rsid w:val="002D4BB2"/>
    <w:rsid w:val="002D7583"/>
    <w:rsid w:val="002D7FD4"/>
    <w:rsid w:val="002E25CF"/>
    <w:rsid w:val="002E3157"/>
    <w:rsid w:val="002E3F3E"/>
    <w:rsid w:val="002E783B"/>
    <w:rsid w:val="002E79C9"/>
    <w:rsid w:val="002E7DB7"/>
    <w:rsid w:val="002E7F38"/>
    <w:rsid w:val="002F15C5"/>
    <w:rsid w:val="002F2834"/>
    <w:rsid w:val="002F4583"/>
    <w:rsid w:val="002F6C48"/>
    <w:rsid w:val="00301DBA"/>
    <w:rsid w:val="00302239"/>
    <w:rsid w:val="00303337"/>
    <w:rsid w:val="003036C8"/>
    <w:rsid w:val="003046DC"/>
    <w:rsid w:val="0030490C"/>
    <w:rsid w:val="00305A86"/>
    <w:rsid w:val="00307E30"/>
    <w:rsid w:val="00312175"/>
    <w:rsid w:val="00313B42"/>
    <w:rsid w:val="00315AFE"/>
    <w:rsid w:val="00315DDF"/>
    <w:rsid w:val="00316366"/>
    <w:rsid w:val="003241E3"/>
    <w:rsid w:val="0032783C"/>
    <w:rsid w:val="00327A90"/>
    <w:rsid w:val="003304CB"/>
    <w:rsid w:val="00331674"/>
    <w:rsid w:val="003316D3"/>
    <w:rsid w:val="00336A73"/>
    <w:rsid w:val="00337DE6"/>
    <w:rsid w:val="0034035C"/>
    <w:rsid w:val="00342D4A"/>
    <w:rsid w:val="0034365C"/>
    <w:rsid w:val="003440BA"/>
    <w:rsid w:val="003443C0"/>
    <w:rsid w:val="00344821"/>
    <w:rsid w:val="00345205"/>
    <w:rsid w:val="003474BE"/>
    <w:rsid w:val="00352D38"/>
    <w:rsid w:val="0035321D"/>
    <w:rsid w:val="003561F1"/>
    <w:rsid w:val="0035725A"/>
    <w:rsid w:val="00357CEE"/>
    <w:rsid w:val="00360B7A"/>
    <w:rsid w:val="00360ED0"/>
    <w:rsid w:val="003629A1"/>
    <w:rsid w:val="003636E1"/>
    <w:rsid w:val="003647E0"/>
    <w:rsid w:val="00364ABF"/>
    <w:rsid w:val="00366039"/>
    <w:rsid w:val="00366A0A"/>
    <w:rsid w:val="00371096"/>
    <w:rsid w:val="003746AE"/>
    <w:rsid w:val="00374DF3"/>
    <w:rsid w:val="00375161"/>
    <w:rsid w:val="00375DEB"/>
    <w:rsid w:val="0037765F"/>
    <w:rsid w:val="00380254"/>
    <w:rsid w:val="00380300"/>
    <w:rsid w:val="003821A3"/>
    <w:rsid w:val="00384CFA"/>
    <w:rsid w:val="00386F1F"/>
    <w:rsid w:val="00387AE5"/>
    <w:rsid w:val="00390E43"/>
    <w:rsid w:val="00391D40"/>
    <w:rsid w:val="00393B7C"/>
    <w:rsid w:val="00393FC8"/>
    <w:rsid w:val="0039508C"/>
    <w:rsid w:val="00395532"/>
    <w:rsid w:val="00396C52"/>
    <w:rsid w:val="003A124C"/>
    <w:rsid w:val="003A565E"/>
    <w:rsid w:val="003B0FF6"/>
    <w:rsid w:val="003B1DA9"/>
    <w:rsid w:val="003B214B"/>
    <w:rsid w:val="003B2978"/>
    <w:rsid w:val="003B2C81"/>
    <w:rsid w:val="003B6213"/>
    <w:rsid w:val="003B63E9"/>
    <w:rsid w:val="003C12E0"/>
    <w:rsid w:val="003C2997"/>
    <w:rsid w:val="003D0C7D"/>
    <w:rsid w:val="003D1711"/>
    <w:rsid w:val="003D1F13"/>
    <w:rsid w:val="003D3890"/>
    <w:rsid w:val="003E0685"/>
    <w:rsid w:val="003E271C"/>
    <w:rsid w:val="003E5475"/>
    <w:rsid w:val="003E58E5"/>
    <w:rsid w:val="003E6E7D"/>
    <w:rsid w:val="003E7510"/>
    <w:rsid w:val="003F35A7"/>
    <w:rsid w:val="003F707D"/>
    <w:rsid w:val="004009FB"/>
    <w:rsid w:val="00401AB4"/>
    <w:rsid w:val="00402EF7"/>
    <w:rsid w:val="0040528A"/>
    <w:rsid w:val="0041083C"/>
    <w:rsid w:val="004118B1"/>
    <w:rsid w:val="00411F2C"/>
    <w:rsid w:val="00412D60"/>
    <w:rsid w:val="00413A5F"/>
    <w:rsid w:val="00413B3D"/>
    <w:rsid w:val="004154B2"/>
    <w:rsid w:val="00415F17"/>
    <w:rsid w:val="00416778"/>
    <w:rsid w:val="004201A0"/>
    <w:rsid w:val="00421E1B"/>
    <w:rsid w:val="004228B1"/>
    <w:rsid w:val="00425199"/>
    <w:rsid w:val="004267C3"/>
    <w:rsid w:val="00427C71"/>
    <w:rsid w:val="00431CDA"/>
    <w:rsid w:val="00432843"/>
    <w:rsid w:val="00432F7D"/>
    <w:rsid w:val="004345D6"/>
    <w:rsid w:val="00440013"/>
    <w:rsid w:val="00441DE6"/>
    <w:rsid w:val="004421C1"/>
    <w:rsid w:val="00442236"/>
    <w:rsid w:val="00442B95"/>
    <w:rsid w:val="00444446"/>
    <w:rsid w:val="00445CF7"/>
    <w:rsid w:val="004469EE"/>
    <w:rsid w:val="00447973"/>
    <w:rsid w:val="004510AB"/>
    <w:rsid w:val="00453939"/>
    <w:rsid w:val="0046008F"/>
    <w:rsid w:val="0046129C"/>
    <w:rsid w:val="0046437E"/>
    <w:rsid w:val="0046740D"/>
    <w:rsid w:val="00467DD0"/>
    <w:rsid w:val="00473345"/>
    <w:rsid w:val="00473ACB"/>
    <w:rsid w:val="0047555A"/>
    <w:rsid w:val="00475DE3"/>
    <w:rsid w:val="0047679C"/>
    <w:rsid w:val="004822C7"/>
    <w:rsid w:val="00482509"/>
    <w:rsid w:val="00485F86"/>
    <w:rsid w:val="00491A82"/>
    <w:rsid w:val="00492143"/>
    <w:rsid w:val="00494D68"/>
    <w:rsid w:val="00494D88"/>
    <w:rsid w:val="00495349"/>
    <w:rsid w:val="00495377"/>
    <w:rsid w:val="004A091B"/>
    <w:rsid w:val="004A1F0B"/>
    <w:rsid w:val="004A2691"/>
    <w:rsid w:val="004A4615"/>
    <w:rsid w:val="004A4FF2"/>
    <w:rsid w:val="004A61F0"/>
    <w:rsid w:val="004A670C"/>
    <w:rsid w:val="004A777B"/>
    <w:rsid w:val="004B2A77"/>
    <w:rsid w:val="004B3EED"/>
    <w:rsid w:val="004B5C87"/>
    <w:rsid w:val="004B5E0F"/>
    <w:rsid w:val="004B7EEF"/>
    <w:rsid w:val="004C17F8"/>
    <w:rsid w:val="004C26DC"/>
    <w:rsid w:val="004C333C"/>
    <w:rsid w:val="004C3859"/>
    <w:rsid w:val="004C3ED7"/>
    <w:rsid w:val="004C714B"/>
    <w:rsid w:val="004D28AD"/>
    <w:rsid w:val="004D473B"/>
    <w:rsid w:val="004E01F2"/>
    <w:rsid w:val="004E06A5"/>
    <w:rsid w:val="004E1528"/>
    <w:rsid w:val="004E1DC5"/>
    <w:rsid w:val="004E3634"/>
    <w:rsid w:val="004E7F05"/>
    <w:rsid w:val="004F149E"/>
    <w:rsid w:val="004F514D"/>
    <w:rsid w:val="004F644F"/>
    <w:rsid w:val="004F682B"/>
    <w:rsid w:val="004F7A89"/>
    <w:rsid w:val="00502010"/>
    <w:rsid w:val="00503400"/>
    <w:rsid w:val="00506367"/>
    <w:rsid w:val="00506903"/>
    <w:rsid w:val="005076E3"/>
    <w:rsid w:val="0051045F"/>
    <w:rsid w:val="00510595"/>
    <w:rsid w:val="005117E8"/>
    <w:rsid w:val="005129E7"/>
    <w:rsid w:val="00513604"/>
    <w:rsid w:val="00513963"/>
    <w:rsid w:val="00514CDD"/>
    <w:rsid w:val="00517BAA"/>
    <w:rsid w:val="00520C7A"/>
    <w:rsid w:val="005214BB"/>
    <w:rsid w:val="005233BD"/>
    <w:rsid w:val="00524956"/>
    <w:rsid w:val="00526267"/>
    <w:rsid w:val="005306DE"/>
    <w:rsid w:val="0053170A"/>
    <w:rsid w:val="00531BE6"/>
    <w:rsid w:val="00532550"/>
    <w:rsid w:val="005330B4"/>
    <w:rsid w:val="00535CA6"/>
    <w:rsid w:val="00536734"/>
    <w:rsid w:val="005376A4"/>
    <w:rsid w:val="005426BE"/>
    <w:rsid w:val="005436F2"/>
    <w:rsid w:val="00544AD6"/>
    <w:rsid w:val="00546FF7"/>
    <w:rsid w:val="005474AE"/>
    <w:rsid w:val="00547AE2"/>
    <w:rsid w:val="00550DFB"/>
    <w:rsid w:val="00551BA0"/>
    <w:rsid w:val="0055486B"/>
    <w:rsid w:val="00555B9C"/>
    <w:rsid w:val="00557BCA"/>
    <w:rsid w:val="00560721"/>
    <w:rsid w:val="00560E33"/>
    <w:rsid w:val="005619AF"/>
    <w:rsid w:val="0057005E"/>
    <w:rsid w:val="0057172D"/>
    <w:rsid w:val="005724CA"/>
    <w:rsid w:val="00572B54"/>
    <w:rsid w:val="0057423E"/>
    <w:rsid w:val="005742E5"/>
    <w:rsid w:val="00574836"/>
    <w:rsid w:val="005748B6"/>
    <w:rsid w:val="0057563C"/>
    <w:rsid w:val="00576249"/>
    <w:rsid w:val="005776A8"/>
    <w:rsid w:val="00577DAF"/>
    <w:rsid w:val="00577EF9"/>
    <w:rsid w:val="00580042"/>
    <w:rsid w:val="00581C0F"/>
    <w:rsid w:val="00585FAA"/>
    <w:rsid w:val="005913E1"/>
    <w:rsid w:val="0059507F"/>
    <w:rsid w:val="005959CC"/>
    <w:rsid w:val="00596D25"/>
    <w:rsid w:val="005A10EB"/>
    <w:rsid w:val="005A1E71"/>
    <w:rsid w:val="005A46BA"/>
    <w:rsid w:val="005A6745"/>
    <w:rsid w:val="005A6BFD"/>
    <w:rsid w:val="005A6C1F"/>
    <w:rsid w:val="005A7291"/>
    <w:rsid w:val="005A7E48"/>
    <w:rsid w:val="005B0238"/>
    <w:rsid w:val="005B0271"/>
    <w:rsid w:val="005B2ECB"/>
    <w:rsid w:val="005B41DD"/>
    <w:rsid w:val="005B4D8B"/>
    <w:rsid w:val="005B67A8"/>
    <w:rsid w:val="005B6F9B"/>
    <w:rsid w:val="005B752B"/>
    <w:rsid w:val="005C295C"/>
    <w:rsid w:val="005C5CA3"/>
    <w:rsid w:val="005C6C92"/>
    <w:rsid w:val="005C7B8D"/>
    <w:rsid w:val="005D0EB4"/>
    <w:rsid w:val="005D137B"/>
    <w:rsid w:val="005D1B12"/>
    <w:rsid w:val="005D3984"/>
    <w:rsid w:val="005D3E7F"/>
    <w:rsid w:val="005D459B"/>
    <w:rsid w:val="005D4CC4"/>
    <w:rsid w:val="005D6526"/>
    <w:rsid w:val="005E1905"/>
    <w:rsid w:val="005E4CD2"/>
    <w:rsid w:val="005F0163"/>
    <w:rsid w:val="005F03AB"/>
    <w:rsid w:val="005F4300"/>
    <w:rsid w:val="005F522F"/>
    <w:rsid w:val="005F758B"/>
    <w:rsid w:val="006101CE"/>
    <w:rsid w:val="006124E3"/>
    <w:rsid w:val="0061294F"/>
    <w:rsid w:val="00612C32"/>
    <w:rsid w:val="00613E17"/>
    <w:rsid w:val="00617B8D"/>
    <w:rsid w:val="00620A4C"/>
    <w:rsid w:val="0062102B"/>
    <w:rsid w:val="006242CB"/>
    <w:rsid w:val="006250F9"/>
    <w:rsid w:val="006252D0"/>
    <w:rsid w:val="00626ADD"/>
    <w:rsid w:val="00626EE4"/>
    <w:rsid w:val="00627961"/>
    <w:rsid w:val="0063067B"/>
    <w:rsid w:val="00631D43"/>
    <w:rsid w:val="00632F9E"/>
    <w:rsid w:val="006353F7"/>
    <w:rsid w:val="00635A1C"/>
    <w:rsid w:val="00635B00"/>
    <w:rsid w:val="00636222"/>
    <w:rsid w:val="0064276A"/>
    <w:rsid w:val="00642843"/>
    <w:rsid w:val="006443E2"/>
    <w:rsid w:val="00646194"/>
    <w:rsid w:val="00646482"/>
    <w:rsid w:val="0064734F"/>
    <w:rsid w:val="00647612"/>
    <w:rsid w:val="00647F09"/>
    <w:rsid w:val="006504F7"/>
    <w:rsid w:val="006512E3"/>
    <w:rsid w:val="006517F2"/>
    <w:rsid w:val="0065207A"/>
    <w:rsid w:val="006533A2"/>
    <w:rsid w:val="00653594"/>
    <w:rsid w:val="006578AC"/>
    <w:rsid w:val="006626C0"/>
    <w:rsid w:val="00662C9B"/>
    <w:rsid w:val="00670C6A"/>
    <w:rsid w:val="00672E18"/>
    <w:rsid w:val="00673095"/>
    <w:rsid w:val="00674EA8"/>
    <w:rsid w:val="00677177"/>
    <w:rsid w:val="00680C54"/>
    <w:rsid w:val="0068119F"/>
    <w:rsid w:val="00682B61"/>
    <w:rsid w:val="006830C8"/>
    <w:rsid w:val="00684D79"/>
    <w:rsid w:val="00685572"/>
    <w:rsid w:val="00686EFB"/>
    <w:rsid w:val="006900E2"/>
    <w:rsid w:val="00691286"/>
    <w:rsid w:val="006935E8"/>
    <w:rsid w:val="00694341"/>
    <w:rsid w:val="0069743F"/>
    <w:rsid w:val="006976B8"/>
    <w:rsid w:val="006A0976"/>
    <w:rsid w:val="006A2655"/>
    <w:rsid w:val="006A350F"/>
    <w:rsid w:val="006A3545"/>
    <w:rsid w:val="006A6469"/>
    <w:rsid w:val="006B3487"/>
    <w:rsid w:val="006B752F"/>
    <w:rsid w:val="006C0B7A"/>
    <w:rsid w:val="006C1F02"/>
    <w:rsid w:val="006C27BC"/>
    <w:rsid w:val="006C3653"/>
    <w:rsid w:val="006C5695"/>
    <w:rsid w:val="006C5ACA"/>
    <w:rsid w:val="006C64A4"/>
    <w:rsid w:val="006C7113"/>
    <w:rsid w:val="006D2572"/>
    <w:rsid w:val="006D3033"/>
    <w:rsid w:val="006D4251"/>
    <w:rsid w:val="006D775E"/>
    <w:rsid w:val="006E0105"/>
    <w:rsid w:val="006E10EE"/>
    <w:rsid w:val="006E12DB"/>
    <w:rsid w:val="006E18DF"/>
    <w:rsid w:val="006E1A9D"/>
    <w:rsid w:val="006E473C"/>
    <w:rsid w:val="006E65E9"/>
    <w:rsid w:val="006F0700"/>
    <w:rsid w:val="006F1FC7"/>
    <w:rsid w:val="006F255C"/>
    <w:rsid w:val="006F383B"/>
    <w:rsid w:val="006F38C7"/>
    <w:rsid w:val="006F3B6B"/>
    <w:rsid w:val="006F553D"/>
    <w:rsid w:val="006F6EC6"/>
    <w:rsid w:val="00700DCF"/>
    <w:rsid w:val="007019E8"/>
    <w:rsid w:val="007019F4"/>
    <w:rsid w:val="00703034"/>
    <w:rsid w:val="00703370"/>
    <w:rsid w:val="007078DA"/>
    <w:rsid w:val="0071021C"/>
    <w:rsid w:val="00710F3F"/>
    <w:rsid w:val="00712180"/>
    <w:rsid w:val="00714166"/>
    <w:rsid w:val="00714F0E"/>
    <w:rsid w:val="0071646D"/>
    <w:rsid w:val="0071746E"/>
    <w:rsid w:val="007174D7"/>
    <w:rsid w:val="00717B7F"/>
    <w:rsid w:val="007257E7"/>
    <w:rsid w:val="00731C11"/>
    <w:rsid w:val="0073285D"/>
    <w:rsid w:val="00733CE3"/>
    <w:rsid w:val="007362ED"/>
    <w:rsid w:val="00741BF3"/>
    <w:rsid w:val="0074430F"/>
    <w:rsid w:val="0074755D"/>
    <w:rsid w:val="00750FCB"/>
    <w:rsid w:val="00751C46"/>
    <w:rsid w:val="0075204E"/>
    <w:rsid w:val="007549C3"/>
    <w:rsid w:val="00761A95"/>
    <w:rsid w:val="0076492B"/>
    <w:rsid w:val="0076501F"/>
    <w:rsid w:val="00765544"/>
    <w:rsid w:val="007710CE"/>
    <w:rsid w:val="00771C43"/>
    <w:rsid w:val="0077389E"/>
    <w:rsid w:val="0078037E"/>
    <w:rsid w:val="00780D47"/>
    <w:rsid w:val="007810B1"/>
    <w:rsid w:val="007850E6"/>
    <w:rsid w:val="00785C10"/>
    <w:rsid w:val="00791C98"/>
    <w:rsid w:val="007947A8"/>
    <w:rsid w:val="00795AB3"/>
    <w:rsid w:val="007A39C5"/>
    <w:rsid w:val="007A58A4"/>
    <w:rsid w:val="007A6467"/>
    <w:rsid w:val="007A70FE"/>
    <w:rsid w:val="007A73D8"/>
    <w:rsid w:val="007B0FB8"/>
    <w:rsid w:val="007B1273"/>
    <w:rsid w:val="007B4EB4"/>
    <w:rsid w:val="007C004E"/>
    <w:rsid w:val="007C2499"/>
    <w:rsid w:val="007C3691"/>
    <w:rsid w:val="007C61A7"/>
    <w:rsid w:val="007C6759"/>
    <w:rsid w:val="007C7549"/>
    <w:rsid w:val="007C7DA6"/>
    <w:rsid w:val="007D25EE"/>
    <w:rsid w:val="007D32B7"/>
    <w:rsid w:val="007D4591"/>
    <w:rsid w:val="007D7AF3"/>
    <w:rsid w:val="007D7CBD"/>
    <w:rsid w:val="007D7DF9"/>
    <w:rsid w:val="007E0669"/>
    <w:rsid w:val="007E61AA"/>
    <w:rsid w:val="007E65DA"/>
    <w:rsid w:val="007E6CC4"/>
    <w:rsid w:val="007E72ED"/>
    <w:rsid w:val="007E7CA3"/>
    <w:rsid w:val="007E7CF5"/>
    <w:rsid w:val="007F03DA"/>
    <w:rsid w:val="007F0ACC"/>
    <w:rsid w:val="007F45B7"/>
    <w:rsid w:val="007F46E9"/>
    <w:rsid w:val="007F4953"/>
    <w:rsid w:val="007F5498"/>
    <w:rsid w:val="007F55A9"/>
    <w:rsid w:val="007F5DF9"/>
    <w:rsid w:val="007F6569"/>
    <w:rsid w:val="007F6CA3"/>
    <w:rsid w:val="007F6FC5"/>
    <w:rsid w:val="0080137E"/>
    <w:rsid w:val="008022AD"/>
    <w:rsid w:val="00803E73"/>
    <w:rsid w:val="00803F7B"/>
    <w:rsid w:val="00803FC8"/>
    <w:rsid w:val="0080672A"/>
    <w:rsid w:val="00806AF6"/>
    <w:rsid w:val="00811E12"/>
    <w:rsid w:val="00813DD2"/>
    <w:rsid w:val="008142CF"/>
    <w:rsid w:val="00817569"/>
    <w:rsid w:val="008203EB"/>
    <w:rsid w:val="00822D6A"/>
    <w:rsid w:val="00825D8E"/>
    <w:rsid w:val="00827E3B"/>
    <w:rsid w:val="0083138B"/>
    <w:rsid w:val="008326F2"/>
    <w:rsid w:val="008333A1"/>
    <w:rsid w:val="00833D37"/>
    <w:rsid w:val="00834089"/>
    <w:rsid w:val="008345E3"/>
    <w:rsid w:val="008374F9"/>
    <w:rsid w:val="008405AB"/>
    <w:rsid w:val="00845CEE"/>
    <w:rsid w:val="0084685F"/>
    <w:rsid w:val="00847219"/>
    <w:rsid w:val="0085134C"/>
    <w:rsid w:val="0085189F"/>
    <w:rsid w:val="00852322"/>
    <w:rsid w:val="00852758"/>
    <w:rsid w:val="00853C59"/>
    <w:rsid w:val="00855677"/>
    <w:rsid w:val="0085585A"/>
    <w:rsid w:val="008614A4"/>
    <w:rsid w:val="00862B44"/>
    <w:rsid w:val="00862C5B"/>
    <w:rsid w:val="00866652"/>
    <w:rsid w:val="00870DD7"/>
    <w:rsid w:val="00872D00"/>
    <w:rsid w:val="008734D7"/>
    <w:rsid w:val="00875818"/>
    <w:rsid w:val="008765EE"/>
    <w:rsid w:val="008768C7"/>
    <w:rsid w:val="00882117"/>
    <w:rsid w:val="00882A1D"/>
    <w:rsid w:val="00882F4F"/>
    <w:rsid w:val="00885068"/>
    <w:rsid w:val="008852AD"/>
    <w:rsid w:val="0088571B"/>
    <w:rsid w:val="00887683"/>
    <w:rsid w:val="00887848"/>
    <w:rsid w:val="00891652"/>
    <w:rsid w:val="0089303F"/>
    <w:rsid w:val="00893049"/>
    <w:rsid w:val="00893A3C"/>
    <w:rsid w:val="008959F7"/>
    <w:rsid w:val="008968B1"/>
    <w:rsid w:val="00896F3F"/>
    <w:rsid w:val="008970E3"/>
    <w:rsid w:val="00897ADF"/>
    <w:rsid w:val="008A10CE"/>
    <w:rsid w:val="008A29B6"/>
    <w:rsid w:val="008A2E1B"/>
    <w:rsid w:val="008A5DCD"/>
    <w:rsid w:val="008A70C8"/>
    <w:rsid w:val="008B21E9"/>
    <w:rsid w:val="008B31C4"/>
    <w:rsid w:val="008B5488"/>
    <w:rsid w:val="008B6B46"/>
    <w:rsid w:val="008B6FAB"/>
    <w:rsid w:val="008C176B"/>
    <w:rsid w:val="008C35FE"/>
    <w:rsid w:val="008C5C3E"/>
    <w:rsid w:val="008D0F5E"/>
    <w:rsid w:val="008D4006"/>
    <w:rsid w:val="008D47FD"/>
    <w:rsid w:val="008D71F6"/>
    <w:rsid w:val="008D73F4"/>
    <w:rsid w:val="008E42FA"/>
    <w:rsid w:val="008E45E9"/>
    <w:rsid w:val="008E5878"/>
    <w:rsid w:val="008E74DC"/>
    <w:rsid w:val="008F2546"/>
    <w:rsid w:val="008F2C40"/>
    <w:rsid w:val="008F63C2"/>
    <w:rsid w:val="00903CC6"/>
    <w:rsid w:val="00904BEC"/>
    <w:rsid w:val="0090660F"/>
    <w:rsid w:val="0090694C"/>
    <w:rsid w:val="00907391"/>
    <w:rsid w:val="00910190"/>
    <w:rsid w:val="00912057"/>
    <w:rsid w:val="0091471C"/>
    <w:rsid w:val="00914DBE"/>
    <w:rsid w:val="00916D22"/>
    <w:rsid w:val="00920AAC"/>
    <w:rsid w:val="00921085"/>
    <w:rsid w:val="009238DC"/>
    <w:rsid w:val="009255A3"/>
    <w:rsid w:val="00925D89"/>
    <w:rsid w:val="00925E87"/>
    <w:rsid w:val="00927B21"/>
    <w:rsid w:val="009311CA"/>
    <w:rsid w:val="009316BA"/>
    <w:rsid w:val="00933AEF"/>
    <w:rsid w:val="00945DFC"/>
    <w:rsid w:val="0094631D"/>
    <w:rsid w:val="009479DA"/>
    <w:rsid w:val="00947DAC"/>
    <w:rsid w:val="009536B0"/>
    <w:rsid w:val="00954428"/>
    <w:rsid w:val="009563C4"/>
    <w:rsid w:val="009634D1"/>
    <w:rsid w:val="00963CC7"/>
    <w:rsid w:val="0096419D"/>
    <w:rsid w:val="00966B89"/>
    <w:rsid w:val="00966C33"/>
    <w:rsid w:val="0096766C"/>
    <w:rsid w:val="00971EB0"/>
    <w:rsid w:val="009744B4"/>
    <w:rsid w:val="00975DDE"/>
    <w:rsid w:val="00977B32"/>
    <w:rsid w:val="0098234E"/>
    <w:rsid w:val="00984A69"/>
    <w:rsid w:val="0098598E"/>
    <w:rsid w:val="0098630C"/>
    <w:rsid w:val="00986BC7"/>
    <w:rsid w:val="00986E57"/>
    <w:rsid w:val="009904E1"/>
    <w:rsid w:val="009915EB"/>
    <w:rsid w:val="00992169"/>
    <w:rsid w:val="00993C1D"/>
    <w:rsid w:val="00994249"/>
    <w:rsid w:val="00995599"/>
    <w:rsid w:val="00995B7C"/>
    <w:rsid w:val="009A05F8"/>
    <w:rsid w:val="009A0AE9"/>
    <w:rsid w:val="009A123F"/>
    <w:rsid w:val="009A176C"/>
    <w:rsid w:val="009A3425"/>
    <w:rsid w:val="009A5472"/>
    <w:rsid w:val="009A6FAE"/>
    <w:rsid w:val="009A7C9C"/>
    <w:rsid w:val="009B49D0"/>
    <w:rsid w:val="009B5296"/>
    <w:rsid w:val="009B6C8C"/>
    <w:rsid w:val="009B7EE7"/>
    <w:rsid w:val="009C2477"/>
    <w:rsid w:val="009C2570"/>
    <w:rsid w:val="009C7664"/>
    <w:rsid w:val="009D001E"/>
    <w:rsid w:val="009D13F1"/>
    <w:rsid w:val="009D1A06"/>
    <w:rsid w:val="009D1CD3"/>
    <w:rsid w:val="009D3104"/>
    <w:rsid w:val="009D318B"/>
    <w:rsid w:val="009D3F0C"/>
    <w:rsid w:val="009D4D4D"/>
    <w:rsid w:val="009D7D60"/>
    <w:rsid w:val="009E19BD"/>
    <w:rsid w:val="009E1E61"/>
    <w:rsid w:val="009E3652"/>
    <w:rsid w:val="009E3CA4"/>
    <w:rsid w:val="009E3EFF"/>
    <w:rsid w:val="009E5407"/>
    <w:rsid w:val="009E5480"/>
    <w:rsid w:val="009F0926"/>
    <w:rsid w:val="009F0A47"/>
    <w:rsid w:val="009F1996"/>
    <w:rsid w:val="009F1FC2"/>
    <w:rsid w:val="009F2A5B"/>
    <w:rsid w:val="009F4F34"/>
    <w:rsid w:val="009F56D0"/>
    <w:rsid w:val="00A0014A"/>
    <w:rsid w:val="00A01787"/>
    <w:rsid w:val="00A020A1"/>
    <w:rsid w:val="00A05134"/>
    <w:rsid w:val="00A12210"/>
    <w:rsid w:val="00A15CD1"/>
    <w:rsid w:val="00A163B3"/>
    <w:rsid w:val="00A16750"/>
    <w:rsid w:val="00A206E6"/>
    <w:rsid w:val="00A23D68"/>
    <w:rsid w:val="00A258AC"/>
    <w:rsid w:val="00A30514"/>
    <w:rsid w:val="00A3168D"/>
    <w:rsid w:val="00A31C52"/>
    <w:rsid w:val="00A31EF6"/>
    <w:rsid w:val="00A33532"/>
    <w:rsid w:val="00A345E9"/>
    <w:rsid w:val="00A35B55"/>
    <w:rsid w:val="00A35DF6"/>
    <w:rsid w:val="00A3648C"/>
    <w:rsid w:val="00A416E9"/>
    <w:rsid w:val="00A41EA7"/>
    <w:rsid w:val="00A421FB"/>
    <w:rsid w:val="00A45A99"/>
    <w:rsid w:val="00A46A7F"/>
    <w:rsid w:val="00A47E01"/>
    <w:rsid w:val="00A5002E"/>
    <w:rsid w:val="00A50A8D"/>
    <w:rsid w:val="00A529ED"/>
    <w:rsid w:val="00A5327B"/>
    <w:rsid w:val="00A53515"/>
    <w:rsid w:val="00A539FA"/>
    <w:rsid w:val="00A558E0"/>
    <w:rsid w:val="00A60435"/>
    <w:rsid w:val="00A637F2"/>
    <w:rsid w:val="00A63AB1"/>
    <w:rsid w:val="00A70289"/>
    <w:rsid w:val="00A70A5A"/>
    <w:rsid w:val="00A71DD1"/>
    <w:rsid w:val="00A73668"/>
    <w:rsid w:val="00A81EE4"/>
    <w:rsid w:val="00A834C3"/>
    <w:rsid w:val="00A83CFF"/>
    <w:rsid w:val="00A849CF"/>
    <w:rsid w:val="00A86B9F"/>
    <w:rsid w:val="00A90F9D"/>
    <w:rsid w:val="00A96CAD"/>
    <w:rsid w:val="00AA422C"/>
    <w:rsid w:val="00AA7535"/>
    <w:rsid w:val="00AB12E5"/>
    <w:rsid w:val="00AB1BF4"/>
    <w:rsid w:val="00AB1DF6"/>
    <w:rsid w:val="00AB21CE"/>
    <w:rsid w:val="00AB42DB"/>
    <w:rsid w:val="00AC0E1E"/>
    <w:rsid w:val="00AC101F"/>
    <w:rsid w:val="00AC5BB1"/>
    <w:rsid w:val="00AC76BF"/>
    <w:rsid w:val="00AD2223"/>
    <w:rsid w:val="00AD24CB"/>
    <w:rsid w:val="00AD38D8"/>
    <w:rsid w:val="00AD485C"/>
    <w:rsid w:val="00AD4CC0"/>
    <w:rsid w:val="00AD55EA"/>
    <w:rsid w:val="00AD5607"/>
    <w:rsid w:val="00AD7F3A"/>
    <w:rsid w:val="00AE1E27"/>
    <w:rsid w:val="00AE23FC"/>
    <w:rsid w:val="00AE2CE1"/>
    <w:rsid w:val="00AE3325"/>
    <w:rsid w:val="00AE73F0"/>
    <w:rsid w:val="00AF0890"/>
    <w:rsid w:val="00AF0DCA"/>
    <w:rsid w:val="00AF2AEE"/>
    <w:rsid w:val="00AF34F1"/>
    <w:rsid w:val="00AF55C8"/>
    <w:rsid w:val="00AF567C"/>
    <w:rsid w:val="00AF577B"/>
    <w:rsid w:val="00AF70CF"/>
    <w:rsid w:val="00AF73F4"/>
    <w:rsid w:val="00AF7788"/>
    <w:rsid w:val="00B00DBB"/>
    <w:rsid w:val="00B056F8"/>
    <w:rsid w:val="00B06127"/>
    <w:rsid w:val="00B06AC0"/>
    <w:rsid w:val="00B06AC3"/>
    <w:rsid w:val="00B11901"/>
    <w:rsid w:val="00B121E2"/>
    <w:rsid w:val="00B144DB"/>
    <w:rsid w:val="00B156FB"/>
    <w:rsid w:val="00B168A7"/>
    <w:rsid w:val="00B22F90"/>
    <w:rsid w:val="00B23B67"/>
    <w:rsid w:val="00B24E08"/>
    <w:rsid w:val="00B25289"/>
    <w:rsid w:val="00B255AD"/>
    <w:rsid w:val="00B260B8"/>
    <w:rsid w:val="00B27468"/>
    <w:rsid w:val="00B31DC3"/>
    <w:rsid w:val="00B31EED"/>
    <w:rsid w:val="00B32D8E"/>
    <w:rsid w:val="00B33071"/>
    <w:rsid w:val="00B337D8"/>
    <w:rsid w:val="00B33CD6"/>
    <w:rsid w:val="00B33F40"/>
    <w:rsid w:val="00B34825"/>
    <w:rsid w:val="00B34EB3"/>
    <w:rsid w:val="00B35515"/>
    <w:rsid w:val="00B3557D"/>
    <w:rsid w:val="00B36338"/>
    <w:rsid w:val="00B41A6A"/>
    <w:rsid w:val="00B441DE"/>
    <w:rsid w:val="00B45C5B"/>
    <w:rsid w:val="00B470F8"/>
    <w:rsid w:val="00B47986"/>
    <w:rsid w:val="00B47D38"/>
    <w:rsid w:val="00B503E3"/>
    <w:rsid w:val="00B5174B"/>
    <w:rsid w:val="00B521A6"/>
    <w:rsid w:val="00B55737"/>
    <w:rsid w:val="00B6147E"/>
    <w:rsid w:val="00B61A46"/>
    <w:rsid w:val="00B61B1A"/>
    <w:rsid w:val="00B62197"/>
    <w:rsid w:val="00B63CFE"/>
    <w:rsid w:val="00B64DF8"/>
    <w:rsid w:val="00B64E40"/>
    <w:rsid w:val="00B65343"/>
    <w:rsid w:val="00B70E7F"/>
    <w:rsid w:val="00B756CE"/>
    <w:rsid w:val="00B76C00"/>
    <w:rsid w:val="00B842A1"/>
    <w:rsid w:val="00B862D6"/>
    <w:rsid w:val="00B90E46"/>
    <w:rsid w:val="00B92133"/>
    <w:rsid w:val="00B92C20"/>
    <w:rsid w:val="00B9415B"/>
    <w:rsid w:val="00B96295"/>
    <w:rsid w:val="00B979C2"/>
    <w:rsid w:val="00BA0AFE"/>
    <w:rsid w:val="00BA2330"/>
    <w:rsid w:val="00BA25F4"/>
    <w:rsid w:val="00BA3147"/>
    <w:rsid w:val="00BA4074"/>
    <w:rsid w:val="00BA44B1"/>
    <w:rsid w:val="00BB0C40"/>
    <w:rsid w:val="00BB5DB6"/>
    <w:rsid w:val="00BC365B"/>
    <w:rsid w:val="00BC3B03"/>
    <w:rsid w:val="00BC6983"/>
    <w:rsid w:val="00BC798E"/>
    <w:rsid w:val="00BD2671"/>
    <w:rsid w:val="00BD5AC9"/>
    <w:rsid w:val="00BD6970"/>
    <w:rsid w:val="00BD7694"/>
    <w:rsid w:val="00BD7FD7"/>
    <w:rsid w:val="00BE0175"/>
    <w:rsid w:val="00BE09C2"/>
    <w:rsid w:val="00BE2B43"/>
    <w:rsid w:val="00BE3CF6"/>
    <w:rsid w:val="00BE65B2"/>
    <w:rsid w:val="00BF1231"/>
    <w:rsid w:val="00BF2832"/>
    <w:rsid w:val="00BF7538"/>
    <w:rsid w:val="00C02EE8"/>
    <w:rsid w:val="00C03941"/>
    <w:rsid w:val="00C046A7"/>
    <w:rsid w:val="00C070E2"/>
    <w:rsid w:val="00C07487"/>
    <w:rsid w:val="00C1049A"/>
    <w:rsid w:val="00C10AEB"/>
    <w:rsid w:val="00C12D1A"/>
    <w:rsid w:val="00C13247"/>
    <w:rsid w:val="00C13611"/>
    <w:rsid w:val="00C15CF8"/>
    <w:rsid w:val="00C1635A"/>
    <w:rsid w:val="00C2165E"/>
    <w:rsid w:val="00C23159"/>
    <w:rsid w:val="00C30133"/>
    <w:rsid w:val="00C301DB"/>
    <w:rsid w:val="00C3095F"/>
    <w:rsid w:val="00C33C14"/>
    <w:rsid w:val="00C368EF"/>
    <w:rsid w:val="00C3700A"/>
    <w:rsid w:val="00C375A9"/>
    <w:rsid w:val="00C37F11"/>
    <w:rsid w:val="00C40356"/>
    <w:rsid w:val="00C4073A"/>
    <w:rsid w:val="00C4259A"/>
    <w:rsid w:val="00C42793"/>
    <w:rsid w:val="00C42FE9"/>
    <w:rsid w:val="00C44069"/>
    <w:rsid w:val="00C501BB"/>
    <w:rsid w:val="00C50A72"/>
    <w:rsid w:val="00C5202A"/>
    <w:rsid w:val="00C5213F"/>
    <w:rsid w:val="00C5363B"/>
    <w:rsid w:val="00C55758"/>
    <w:rsid w:val="00C566A1"/>
    <w:rsid w:val="00C604A5"/>
    <w:rsid w:val="00C626F1"/>
    <w:rsid w:val="00C62C90"/>
    <w:rsid w:val="00C65363"/>
    <w:rsid w:val="00C66826"/>
    <w:rsid w:val="00C66EBD"/>
    <w:rsid w:val="00C704F3"/>
    <w:rsid w:val="00C70BCF"/>
    <w:rsid w:val="00C70CEF"/>
    <w:rsid w:val="00C74E12"/>
    <w:rsid w:val="00C75A7F"/>
    <w:rsid w:val="00C770AD"/>
    <w:rsid w:val="00C77168"/>
    <w:rsid w:val="00C77432"/>
    <w:rsid w:val="00C779D1"/>
    <w:rsid w:val="00C81F2F"/>
    <w:rsid w:val="00C82B82"/>
    <w:rsid w:val="00C83939"/>
    <w:rsid w:val="00C83E72"/>
    <w:rsid w:val="00C8459F"/>
    <w:rsid w:val="00C916A4"/>
    <w:rsid w:val="00C94CE5"/>
    <w:rsid w:val="00C97A40"/>
    <w:rsid w:val="00CA1321"/>
    <w:rsid w:val="00CA7AB1"/>
    <w:rsid w:val="00CB53B0"/>
    <w:rsid w:val="00CC153C"/>
    <w:rsid w:val="00CC25F1"/>
    <w:rsid w:val="00CC46A3"/>
    <w:rsid w:val="00CC4ACF"/>
    <w:rsid w:val="00CC51B1"/>
    <w:rsid w:val="00CC6166"/>
    <w:rsid w:val="00CD061B"/>
    <w:rsid w:val="00CD1D57"/>
    <w:rsid w:val="00CD1F5F"/>
    <w:rsid w:val="00CD6BDD"/>
    <w:rsid w:val="00CD778E"/>
    <w:rsid w:val="00CE2AE6"/>
    <w:rsid w:val="00CE6AA8"/>
    <w:rsid w:val="00CF1049"/>
    <w:rsid w:val="00CF32EC"/>
    <w:rsid w:val="00CF4327"/>
    <w:rsid w:val="00CF6899"/>
    <w:rsid w:val="00CF7B01"/>
    <w:rsid w:val="00D01A13"/>
    <w:rsid w:val="00D030DB"/>
    <w:rsid w:val="00D04120"/>
    <w:rsid w:val="00D042DC"/>
    <w:rsid w:val="00D0611B"/>
    <w:rsid w:val="00D07370"/>
    <w:rsid w:val="00D179AE"/>
    <w:rsid w:val="00D2097A"/>
    <w:rsid w:val="00D20E0D"/>
    <w:rsid w:val="00D241CD"/>
    <w:rsid w:val="00D24960"/>
    <w:rsid w:val="00D24DC0"/>
    <w:rsid w:val="00D25CFA"/>
    <w:rsid w:val="00D25EE1"/>
    <w:rsid w:val="00D3011D"/>
    <w:rsid w:val="00D30C1D"/>
    <w:rsid w:val="00D32514"/>
    <w:rsid w:val="00D343D3"/>
    <w:rsid w:val="00D45172"/>
    <w:rsid w:val="00D4525B"/>
    <w:rsid w:val="00D500F2"/>
    <w:rsid w:val="00D514AA"/>
    <w:rsid w:val="00D519F7"/>
    <w:rsid w:val="00D51C2E"/>
    <w:rsid w:val="00D51F51"/>
    <w:rsid w:val="00D550EB"/>
    <w:rsid w:val="00D551AE"/>
    <w:rsid w:val="00D63343"/>
    <w:rsid w:val="00D647F4"/>
    <w:rsid w:val="00D64F23"/>
    <w:rsid w:val="00D67751"/>
    <w:rsid w:val="00D67F9E"/>
    <w:rsid w:val="00D715A5"/>
    <w:rsid w:val="00D7372C"/>
    <w:rsid w:val="00D743E5"/>
    <w:rsid w:val="00D7549D"/>
    <w:rsid w:val="00D75827"/>
    <w:rsid w:val="00D831D1"/>
    <w:rsid w:val="00D839C1"/>
    <w:rsid w:val="00D85361"/>
    <w:rsid w:val="00D9273E"/>
    <w:rsid w:val="00D93EE6"/>
    <w:rsid w:val="00D96397"/>
    <w:rsid w:val="00D966EA"/>
    <w:rsid w:val="00D97F3E"/>
    <w:rsid w:val="00DA1B96"/>
    <w:rsid w:val="00DA5654"/>
    <w:rsid w:val="00DB5770"/>
    <w:rsid w:val="00DB58E2"/>
    <w:rsid w:val="00DB6197"/>
    <w:rsid w:val="00DB6612"/>
    <w:rsid w:val="00DB66F7"/>
    <w:rsid w:val="00DB6706"/>
    <w:rsid w:val="00DC0781"/>
    <w:rsid w:val="00DC21DE"/>
    <w:rsid w:val="00DC794D"/>
    <w:rsid w:val="00DD082E"/>
    <w:rsid w:val="00DD0889"/>
    <w:rsid w:val="00DD0CAE"/>
    <w:rsid w:val="00DD17A3"/>
    <w:rsid w:val="00DD3AE7"/>
    <w:rsid w:val="00DD3F3E"/>
    <w:rsid w:val="00DD4F53"/>
    <w:rsid w:val="00DD6748"/>
    <w:rsid w:val="00DE0D7C"/>
    <w:rsid w:val="00DE205F"/>
    <w:rsid w:val="00DE27FB"/>
    <w:rsid w:val="00DE3AEC"/>
    <w:rsid w:val="00DE4E21"/>
    <w:rsid w:val="00DE5A7E"/>
    <w:rsid w:val="00DF2875"/>
    <w:rsid w:val="00DF4D90"/>
    <w:rsid w:val="00DF4EF8"/>
    <w:rsid w:val="00DF6CF8"/>
    <w:rsid w:val="00DF7DFF"/>
    <w:rsid w:val="00E00BE4"/>
    <w:rsid w:val="00E0507F"/>
    <w:rsid w:val="00E06670"/>
    <w:rsid w:val="00E10106"/>
    <w:rsid w:val="00E12313"/>
    <w:rsid w:val="00E12502"/>
    <w:rsid w:val="00E1434F"/>
    <w:rsid w:val="00E1569C"/>
    <w:rsid w:val="00E17B6C"/>
    <w:rsid w:val="00E20224"/>
    <w:rsid w:val="00E217AC"/>
    <w:rsid w:val="00E21CEB"/>
    <w:rsid w:val="00E22CF6"/>
    <w:rsid w:val="00E26CE3"/>
    <w:rsid w:val="00E27803"/>
    <w:rsid w:val="00E308CB"/>
    <w:rsid w:val="00E30C91"/>
    <w:rsid w:val="00E33628"/>
    <w:rsid w:val="00E370F5"/>
    <w:rsid w:val="00E374CE"/>
    <w:rsid w:val="00E42798"/>
    <w:rsid w:val="00E432F6"/>
    <w:rsid w:val="00E44622"/>
    <w:rsid w:val="00E45CD9"/>
    <w:rsid w:val="00E47FCD"/>
    <w:rsid w:val="00E508C7"/>
    <w:rsid w:val="00E5552B"/>
    <w:rsid w:val="00E6234E"/>
    <w:rsid w:val="00E643E8"/>
    <w:rsid w:val="00E64627"/>
    <w:rsid w:val="00E64F1A"/>
    <w:rsid w:val="00E658B8"/>
    <w:rsid w:val="00E65B33"/>
    <w:rsid w:val="00E66879"/>
    <w:rsid w:val="00E70507"/>
    <w:rsid w:val="00E72062"/>
    <w:rsid w:val="00E72FD3"/>
    <w:rsid w:val="00E735BA"/>
    <w:rsid w:val="00E73A04"/>
    <w:rsid w:val="00E740FD"/>
    <w:rsid w:val="00E74755"/>
    <w:rsid w:val="00E803FE"/>
    <w:rsid w:val="00E80468"/>
    <w:rsid w:val="00E81243"/>
    <w:rsid w:val="00E84340"/>
    <w:rsid w:val="00E86C0A"/>
    <w:rsid w:val="00E87B99"/>
    <w:rsid w:val="00E90BA3"/>
    <w:rsid w:val="00EA2611"/>
    <w:rsid w:val="00EA7AE6"/>
    <w:rsid w:val="00EB0A16"/>
    <w:rsid w:val="00EB13EE"/>
    <w:rsid w:val="00EB314F"/>
    <w:rsid w:val="00EB3D46"/>
    <w:rsid w:val="00EB550B"/>
    <w:rsid w:val="00EB5D9B"/>
    <w:rsid w:val="00EC01F0"/>
    <w:rsid w:val="00EC07AC"/>
    <w:rsid w:val="00EC2F33"/>
    <w:rsid w:val="00EC33E8"/>
    <w:rsid w:val="00EC3DBE"/>
    <w:rsid w:val="00EC6152"/>
    <w:rsid w:val="00EC6FFD"/>
    <w:rsid w:val="00EC7F50"/>
    <w:rsid w:val="00ED0FA5"/>
    <w:rsid w:val="00ED17BC"/>
    <w:rsid w:val="00EE0306"/>
    <w:rsid w:val="00EE1AC6"/>
    <w:rsid w:val="00EE25B4"/>
    <w:rsid w:val="00EE494A"/>
    <w:rsid w:val="00EE4960"/>
    <w:rsid w:val="00EE6BC5"/>
    <w:rsid w:val="00EE6FC8"/>
    <w:rsid w:val="00EE708B"/>
    <w:rsid w:val="00EE762A"/>
    <w:rsid w:val="00EE76BE"/>
    <w:rsid w:val="00EF0B69"/>
    <w:rsid w:val="00EF0EAD"/>
    <w:rsid w:val="00EF1FDA"/>
    <w:rsid w:val="00EF4DD0"/>
    <w:rsid w:val="00F014ED"/>
    <w:rsid w:val="00F01C74"/>
    <w:rsid w:val="00F01E9F"/>
    <w:rsid w:val="00F05681"/>
    <w:rsid w:val="00F12734"/>
    <w:rsid w:val="00F13331"/>
    <w:rsid w:val="00F14EFF"/>
    <w:rsid w:val="00F17A6C"/>
    <w:rsid w:val="00F20BE8"/>
    <w:rsid w:val="00F2214D"/>
    <w:rsid w:val="00F22A45"/>
    <w:rsid w:val="00F22B5B"/>
    <w:rsid w:val="00F24446"/>
    <w:rsid w:val="00F25E44"/>
    <w:rsid w:val="00F26351"/>
    <w:rsid w:val="00F26C37"/>
    <w:rsid w:val="00F275BD"/>
    <w:rsid w:val="00F30C6A"/>
    <w:rsid w:val="00F32245"/>
    <w:rsid w:val="00F32724"/>
    <w:rsid w:val="00F3510D"/>
    <w:rsid w:val="00F35C4B"/>
    <w:rsid w:val="00F44FD8"/>
    <w:rsid w:val="00F45202"/>
    <w:rsid w:val="00F454BF"/>
    <w:rsid w:val="00F46019"/>
    <w:rsid w:val="00F470B2"/>
    <w:rsid w:val="00F5006D"/>
    <w:rsid w:val="00F50775"/>
    <w:rsid w:val="00F542CE"/>
    <w:rsid w:val="00F55289"/>
    <w:rsid w:val="00F62251"/>
    <w:rsid w:val="00F63B60"/>
    <w:rsid w:val="00F6527E"/>
    <w:rsid w:val="00F66651"/>
    <w:rsid w:val="00F70CBF"/>
    <w:rsid w:val="00F72872"/>
    <w:rsid w:val="00F73106"/>
    <w:rsid w:val="00F742C1"/>
    <w:rsid w:val="00F75214"/>
    <w:rsid w:val="00F8067A"/>
    <w:rsid w:val="00F81005"/>
    <w:rsid w:val="00F81E57"/>
    <w:rsid w:val="00F82676"/>
    <w:rsid w:val="00F83656"/>
    <w:rsid w:val="00F8516A"/>
    <w:rsid w:val="00F857B1"/>
    <w:rsid w:val="00F8629D"/>
    <w:rsid w:val="00F90700"/>
    <w:rsid w:val="00F91CC9"/>
    <w:rsid w:val="00F93F50"/>
    <w:rsid w:val="00F944ED"/>
    <w:rsid w:val="00F949A0"/>
    <w:rsid w:val="00F94CFD"/>
    <w:rsid w:val="00FA0909"/>
    <w:rsid w:val="00FA302C"/>
    <w:rsid w:val="00FA5ACE"/>
    <w:rsid w:val="00FA5BEC"/>
    <w:rsid w:val="00FA7C88"/>
    <w:rsid w:val="00FB03AF"/>
    <w:rsid w:val="00FB0728"/>
    <w:rsid w:val="00FB2E94"/>
    <w:rsid w:val="00FB35AD"/>
    <w:rsid w:val="00FB37C2"/>
    <w:rsid w:val="00FB5B37"/>
    <w:rsid w:val="00FC316C"/>
    <w:rsid w:val="00FC3C2E"/>
    <w:rsid w:val="00FC4492"/>
    <w:rsid w:val="00FC7EF1"/>
    <w:rsid w:val="00FD12C9"/>
    <w:rsid w:val="00FD23A1"/>
    <w:rsid w:val="00FD2BC5"/>
    <w:rsid w:val="00FD7640"/>
    <w:rsid w:val="00FE0767"/>
    <w:rsid w:val="00FE09D2"/>
    <w:rsid w:val="00FE0FAE"/>
    <w:rsid w:val="00FE334E"/>
    <w:rsid w:val="00FE3AA1"/>
    <w:rsid w:val="00FE5580"/>
    <w:rsid w:val="00FE6681"/>
    <w:rsid w:val="00FF44EE"/>
    <w:rsid w:val="00FF4EAB"/>
    <w:rsid w:val="00FF785D"/>
    <w:rsid w:val="118D26FD"/>
    <w:rsid w:val="156588FA"/>
    <w:rsid w:val="1815B4AF"/>
    <w:rsid w:val="2F52C7DC"/>
    <w:rsid w:val="2F9AE93E"/>
    <w:rsid w:val="39A4E618"/>
    <w:rsid w:val="55711DC3"/>
    <w:rsid w:val="5773900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0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5EB"/>
  </w:style>
  <w:style w:type="paragraph" w:styleId="Heading1">
    <w:name w:val="heading 1"/>
    <w:basedOn w:val="Normal"/>
    <w:next w:val="Normal"/>
    <w:link w:val="Heading1Char"/>
    <w:uiPriority w:val="9"/>
    <w:qFormat/>
    <w:rsid w:val="00524956"/>
    <w:pPr>
      <w:keepNext/>
      <w:keepLines/>
      <w:spacing w:after="240"/>
      <w:outlineLvl w:val="0"/>
    </w:pPr>
    <w:rPr>
      <w:rFonts w:ascii="Calibri" w:eastAsiaTheme="majorEastAsia" w:hAnsi="Calibri" w:cstheme="majorBidi"/>
      <w:b/>
      <w:color w:val="24206C"/>
      <w:sz w:val="28"/>
      <w:szCs w:val="28"/>
    </w:rPr>
  </w:style>
  <w:style w:type="paragraph" w:styleId="Heading2">
    <w:name w:val="heading 2"/>
    <w:basedOn w:val="Normal"/>
    <w:next w:val="Normal"/>
    <w:link w:val="Heading2Char"/>
    <w:uiPriority w:val="9"/>
    <w:unhideWhenUsed/>
    <w:qFormat/>
    <w:rsid w:val="00524956"/>
    <w:pPr>
      <w:spacing w:before="160" w:after="12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956"/>
    <w:rPr>
      <w:rFonts w:ascii="Calibri" w:eastAsiaTheme="majorEastAsia" w:hAnsi="Calibri" w:cstheme="majorBidi"/>
      <w:b/>
      <w:color w:val="24206C"/>
      <w:sz w:val="28"/>
      <w:szCs w:val="28"/>
    </w:rPr>
  </w:style>
  <w:style w:type="character" w:customStyle="1" w:styleId="Heading2Char">
    <w:name w:val="Heading 2 Char"/>
    <w:basedOn w:val="DefaultParagraphFont"/>
    <w:link w:val="Heading2"/>
    <w:uiPriority w:val="9"/>
    <w:rsid w:val="00524956"/>
    <w:rPr>
      <w:b/>
      <w:sz w:val="28"/>
      <w:szCs w:val="28"/>
    </w:rPr>
  </w:style>
  <w:style w:type="paragraph" w:styleId="BalloonText">
    <w:name w:val="Balloon Text"/>
    <w:basedOn w:val="Normal"/>
    <w:link w:val="BalloonTextChar"/>
    <w:uiPriority w:val="99"/>
    <w:semiHidden/>
    <w:unhideWhenUsed/>
    <w:rsid w:val="00682B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B61"/>
    <w:rPr>
      <w:rFonts w:ascii="Segoe UI" w:hAnsi="Segoe UI" w:cs="Segoe UI"/>
      <w:sz w:val="18"/>
      <w:szCs w:val="18"/>
    </w:rPr>
  </w:style>
  <w:style w:type="character" w:styleId="Emphasis">
    <w:name w:val="Emphasis"/>
    <w:uiPriority w:val="20"/>
    <w:qFormat/>
    <w:rsid w:val="004E1528"/>
    <w:rPr>
      <w:b/>
      <w:bCs/>
      <w:i/>
      <w:iCs/>
      <w:spacing w:val="10"/>
      <w:bdr w:val="none" w:sz="0" w:space="0" w:color="auto"/>
      <w:shd w:val="clear" w:color="auto" w:fill="auto"/>
    </w:rPr>
  </w:style>
  <w:style w:type="paragraph" w:styleId="Title">
    <w:name w:val="Title"/>
    <w:basedOn w:val="Normal"/>
    <w:next w:val="Normal"/>
    <w:link w:val="TitleChar"/>
    <w:uiPriority w:val="10"/>
    <w:qFormat/>
    <w:rsid w:val="004E1528"/>
    <w:pPr>
      <w:spacing w:after="120" w:line="240" w:lineRule="auto"/>
      <w:contextualSpacing/>
    </w:pPr>
    <w:rPr>
      <w:rFonts w:ascii="Calibri" w:eastAsiaTheme="majorEastAsia" w:hAnsi="Calibri" w:cstheme="majorBidi"/>
      <w:b/>
      <w:color w:val="522761"/>
      <w:spacing w:val="5"/>
      <w:sz w:val="72"/>
      <w:szCs w:val="52"/>
    </w:rPr>
  </w:style>
  <w:style w:type="character" w:customStyle="1" w:styleId="TitleChar">
    <w:name w:val="Title Char"/>
    <w:basedOn w:val="DefaultParagraphFont"/>
    <w:link w:val="Title"/>
    <w:uiPriority w:val="10"/>
    <w:rsid w:val="004E1528"/>
    <w:rPr>
      <w:rFonts w:ascii="Calibri" w:eastAsiaTheme="majorEastAsia" w:hAnsi="Calibri" w:cstheme="majorBidi"/>
      <w:b/>
      <w:color w:val="522761"/>
      <w:spacing w:val="5"/>
      <w:sz w:val="72"/>
      <w:szCs w:val="52"/>
    </w:rPr>
  </w:style>
  <w:style w:type="paragraph" w:styleId="Subtitle">
    <w:name w:val="Subtitle"/>
    <w:basedOn w:val="Normal"/>
    <w:next w:val="Normal"/>
    <w:link w:val="SubtitleChar"/>
    <w:uiPriority w:val="11"/>
    <w:qFormat/>
    <w:rsid w:val="004E1528"/>
    <w:pPr>
      <w:spacing w:after="240" w:line="276" w:lineRule="auto"/>
    </w:pPr>
    <w:rPr>
      <w:rFonts w:ascii="Calibri" w:eastAsiaTheme="majorEastAsia" w:hAnsi="Calibri" w:cstheme="majorBidi"/>
      <w:b/>
      <w:iCs/>
      <w:color w:val="522761"/>
      <w:spacing w:val="13"/>
      <w:sz w:val="40"/>
      <w:szCs w:val="24"/>
    </w:rPr>
  </w:style>
  <w:style w:type="character" w:customStyle="1" w:styleId="SubtitleChar">
    <w:name w:val="Subtitle Char"/>
    <w:basedOn w:val="DefaultParagraphFont"/>
    <w:link w:val="Subtitle"/>
    <w:uiPriority w:val="11"/>
    <w:rsid w:val="004E1528"/>
    <w:rPr>
      <w:rFonts w:ascii="Calibri" w:eastAsiaTheme="majorEastAsia" w:hAnsi="Calibri" w:cstheme="majorBidi"/>
      <w:b/>
      <w:iCs/>
      <w:color w:val="522761"/>
      <w:spacing w:val="13"/>
      <w:sz w:val="40"/>
      <w:szCs w:val="24"/>
    </w:rPr>
  </w:style>
  <w:style w:type="paragraph" w:styleId="BodyText">
    <w:name w:val="Body Text"/>
    <w:basedOn w:val="Normal"/>
    <w:link w:val="BodyTextChar"/>
    <w:rsid w:val="004E1528"/>
    <w:pPr>
      <w:spacing w:after="120" w:line="240" w:lineRule="auto"/>
    </w:pPr>
    <w:rPr>
      <w:rFonts w:eastAsia="Times New Roman" w:cs="Times New Roman"/>
      <w:szCs w:val="24"/>
      <w:lang w:eastAsia="en-AU"/>
    </w:rPr>
  </w:style>
  <w:style w:type="character" w:customStyle="1" w:styleId="BodyTextChar">
    <w:name w:val="Body Text Char"/>
    <w:basedOn w:val="DefaultParagraphFont"/>
    <w:link w:val="BodyText"/>
    <w:rsid w:val="004E1528"/>
    <w:rPr>
      <w:rFonts w:eastAsia="Times New Roman" w:cs="Times New Roman"/>
      <w:szCs w:val="24"/>
      <w:lang w:eastAsia="en-AU"/>
    </w:rPr>
  </w:style>
  <w:style w:type="paragraph" w:styleId="Header">
    <w:name w:val="header"/>
    <w:basedOn w:val="Normal"/>
    <w:link w:val="HeaderChar"/>
    <w:uiPriority w:val="99"/>
    <w:unhideWhenUsed/>
    <w:rsid w:val="004E1528"/>
    <w:pPr>
      <w:tabs>
        <w:tab w:val="center" w:pos="4513"/>
        <w:tab w:val="right" w:pos="9026"/>
      </w:tabs>
      <w:spacing w:after="0" w:line="240" w:lineRule="auto"/>
    </w:pPr>
    <w:rPr>
      <w:rFonts w:eastAsiaTheme="minorEastAsia"/>
    </w:rPr>
  </w:style>
  <w:style w:type="character" w:customStyle="1" w:styleId="HeaderChar">
    <w:name w:val="Header Char"/>
    <w:basedOn w:val="DefaultParagraphFont"/>
    <w:link w:val="Header"/>
    <w:uiPriority w:val="99"/>
    <w:rsid w:val="004E1528"/>
    <w:rPr>
      <w:rFonts w:eastAsiaTheme="minorEastAsia"/>
    </w:rPr>
  </w:style>
  <w:style w:type="paragraph" w:styleId="Footer">
    <w:name w:val="footer"/>
    <w:basedOn w:val="Normal"/>
    <w:link w:val="FooterChar"/>
    <w:uiPriority w:val="99"/>
    <w:unhideWhenUsed/>
    <w:rsid w:val="004E1528"/>
    <w:pPr>
      <w:tabs>
        <w:tab w:val="center" w:pos="4513"/>
        <w:tab w:val="right" w:pos="9026"/>
      </w:tabs>
      <w:spacing w:after="0" w:line="240" w:lineRule="auto"/>
    </w:pPr>
    <w:rPr>
      <w:rFonts w:eastAsiaTheme="minorEastAsia"/>
    </w:rPr>
  </w:style>
  <w:style w:type="character" w:customStyle="1" w:styleId="FooterChar">
    <w:name w:val="Footer Char"/>
    <w:basedOn w:val="DefaultParagraphFont"/>
    <w:link w:val="Footer"/>
    <w:uiPriority w:val="99"/>
    <w:rsid w:val="004E1528"/>
    <w:rPr>
      <w:rFonts w:eastAsiaTheme="minorEastAsia"/>
    </w:rPr>
  </w:style>
  <w:style w:type="character" w:styleId="PlaceholderText">
    <w:name w:val="Placeholder Text"/>
    <w:basedOn w:val="DefaultParagraphFont"/>
    <w:uiPriority w:val="99"/>
    <w:semiHidden/>
    <w:rsid w:val="004E1528"/>
    <w:rPr>
      <w:color w:val="808080"/>
    </w:rPr>
  </w:style>
  <w:style w:type="paragraph" w:styleId="FootnoteText">
    <w:name w:val="footnote text"/>
    <w:basedOn w:val="Normal"/>
    <w:link w:val="FootnoteTextChar"/>
    <w:uiPriority w:val="99"/>
    <w:rsid w:val="00C13247"/>
    <w:pPr>
      <w:spacing w:after="0" w:line="240" w:lineRule="auto"/>
    </w:pPr>
    <w:rPr>
      <w:sz w:val="20"/>
      <w:szCs w:val="20"/>
    </w:rPr>
  </w:style>
  <w:style w:type="character" w:customStyle="1" w:styleId="FootnoteTextChar">
    <w:name w:val="Footnote Text Char"/>
    <w:basedOn w:val="DefaultParagraphFont"/>
    <w:link w:val="FootnoteText"/>
    <w:uiPriority w:val="99"/>
    <w:rsid w:val="009915EB"/>
    <w:rPr>
      <w:sz w:val="20"/>
      <w:szCs w:val="20"/>
    </w:rPr>
  </w:style>
  <w:style w:type="character" w:styleId="FootnoteReference">
    <w:name w:val="footnote reference"/>
    <w:basedOn w:val="DefaultParagraphFont"/>
    <w:uiPriority w:val="99"/>
    <w:rsid w:val="00C13247"/>
    <w:rPr>
      <w:vertAlign w:val="superscript"/>
    </w:rPr>
  </w:style>
  <w:style w:type="character" w:styleId="Hyperlink">
    <w:name w:val="Hyperlink"/>
    <w:basedOn w:val="DefaultParagraphFont"/>
    <w:uiPriority w:val="99"/>
    <w:unhideWhenUsed/>
    <w:rsid w:val="007D7DF9"/>
    <w:rPr>
      <w:color w:val="0000FF"/>
      <w:u w:val="single"/>
    </w:rPr>
  </w:style>
  <w:style w:type="character" w:styleId="FollowedHyperlink">
    <w:name w:val="FollowedHyperlink"/>
    <w:basedOn w:val="DefaultParagraphFont"/>
    <w:uiPriority w:val="99"/>
    <w:semiHidden/>
    <w:unhideWhenUsed/>
    <w:rsid w:val="007D7DF9"/>
    <w:rPr>
      <w:color w:val="800080"/>
      <w:u w:val="single"/>
    </w:rPr>
  </w:style>
  <w:style w:type="paragraph" w:customStyle="1" w:styleId="xl65">
    <w:name w:val="xl65"/>
    <w:basedOn w:val="Normal"/>
    <w:rsid w:val="007D7DF9"/>
    <w:pPr>
      <w:shd w:val="clear" w:color="000000" w:fill="EEECE1"/>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n-AU"/>
    </w:rPr>
  </w:style>
  <w:style w:type="paragraph" w:customStyle="1" w:styleId="xl66">
    <w:name w:val="xl66"/>
    <w:basedOn w:val="Normal"/>
    <w:rsid w:val="007D7DF9"/>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n-AU"/>
    </w:rPr>
  </w:style>
  <w:style w:type="paragraph" w:customStyle="1" w:styleId="xl67">
    <w:name w:val="xl67"/>
    <w:basedOn w:val="Normal"/>
    <w:rsid w:val="007D7DF9"/>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xl68">
    <w:name w:val="xl68"/>
    <w:basedOn w:val="Normal"/>
    <w:rsid w:val="00CC6166"/>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xl69">
    <w:name w:val="xl69"/>
    <w:basedOn w:val="Normal"/>
    <w:rsid w:val="00CC6166"/>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xl70">
    <w:name w:val="xl70"/>
    <w:basedOn w:val="Normal"/>
    <w:rsid w:val="00CC6166"/>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CD061B"/>
    <w:pPr>
      <w:ind w:left="720"/>
      <w:contextualSpacing/>
    </w:pPr>
  </w:style>
  <w:style w:type="character" w:styleId="CommentReference">
    <w:name w:val="annotation reference"/>
    <w:basedOn w:val="DefaultParagraphFont"/>
    <w:uiPriority w:val="99"/>
    <w:semiHidden/>
    <w:unhideWhenUsed/>
    <w:rsid w:val="001B4163"/>
    <w:rPr>
      <w:sz w:val="16"/>
      <w:szCs w:val="16"/>
    </w:rPr>
  </w:style>
  <w:style w:type="paragraph" w:styleId="CommentText">
    <w:name w:val="annotation text"/>
    <w:basedOn w:val="Normal"/>
    <w:link w:val="CommentTextChar"/>
    <w:uiPriority w:val="99"/>
    <w:unhideWhenUsed/>
    <w:rsid w:val="001B4163"/>
    <w:pPr>
      <w:spacing w:line="240" w:lineRule="auto"/>
    </w:pPr>
    <w:rPr>
      <w:sz w:val="20"/>
      <w:szCs w:val="20"/>
    </w:rPr>
  </w:style>
  <w:style w:type="character" w:customStyle="1" w:styleId="CommentTextChar">
    <w:name w:val="Comment Text Char"/>
    <w:basedOn w:val="DefaultParagraphFont"/>
    <w:link w:val="CommentText"/>
    <w:uiPriority w:val="99"/>
    <w:rsid w:val="001B4163"/>
    <w:rPr>
      <w:sz w:val="20"/>
      <w:szCs w:val="20"/>
    </w:rPr>
  </w:style>
  <w:style w:type="paragraph" w:styleId="CommentSubject">
    <w:name w:val="annotation subject"/>
    <w:basedOn w:val="CommentText"/>
    <w:next w:val="CommentText"/>
    <w:link w:val="CommentSubjectChar"/>
    <w:uiPriority w:val="99"/>
    <w:semiHidden/>
    <w:unhideWhenUsed/>
    <w:rsid w:val="001B4163"/>
    <w:rPr>
      <w:b/>
      <w:bCs/>
    </w:rPr>
  </w:style>
  <w:style w:type="character" w:customStyle="1" w:styleId="CommentSubjectChar">
    <w:name w:val="Comment Subject Char"/>
    <w:basedOn w:val="CommentTextChar"/>
    <w:link w:val="CommentSubject"/>
    <w:uiPriority w:val="99"/>
    <w:semiHidden/>
    <w:rsid w:val="001B4163"/>
    <w:rPr>
      <w:b/>
      <w:bCs/>
      <w:sz w:val="20"/>
      <w:szCs w:val="20"/>
    </w:rPr>
  </w:style>
  <w:style w:type="paragraph" w:styleId="Caption">
    <w:name w:val="caption"/>
    <w:basedOn w:val="Normal"/>
    <w:next w:val="Normal"/>
    <w:uiPriority w:val="35"/>
    <w:unhideWhenUsed/>
    <w:qFormat/>
    <w:rsid w:val="00EE494A"/>
    <w:pPr>
      <w:spacing w:before="240" w:after="40" w:line="240" w:lineRule="auto"/>
    </w:pPr>
    <w:rPr>
      <w:b/>
      <w:bCs/>
      <w:szCs w:val="18"/>
    </w:rPr>
  </w:style>
  <w:style w:type="paragraph" w:customStyle="1" w:styleId="xl71">
    <w:name w:val="xl71"/>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2">
    <w:name w:val="xl72"/>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n-AU"/>
    </w:rPr>
  </w:style>
  <w:style w:type="paragraph" w:customStyle="1" w:styleId="xl73">
    <w:name w:val="xl73"/>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4">
    <w:name w:val="xl74"/>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5">
    <w:name w:val="xl75"/>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6">
    <w:name w:val="xl76"/>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7">
    <w:name w:val="xl77"/>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8">
    <w:name w:val="xl78"/>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n-AU"/>
    </w:rPr>
  </w:style>
  <w:style w:type="paragraph" w:customStyle="1" w:styleId="xl79">
    <w:name w:val="xl79"/>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xl80">
    <w:name w:val="xl80"/>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xl81">
    <w:name w:val="xl81"/>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xl82">
    <w:name w:val="xl82"/>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msonormal0">
    <w:name w:val="msonormal"/>
    <w:basedOn w:val="Normal"/>
    <w:rsid w:val="00862C5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ragraph">
    <w:name w:val="paragraph"/>
    <w:aliases w:val="a"/>
    <w:basedOn w:val="Normal"/>
    <w:link w:val="paragraphChar"/>
    <w:rsid w:val="0057563C"/>
    <w:pPr>
      <w:tabs>
        <w:tab w:val="right" w:pos="1531"/>
      </w:tabs>
      <w:spacing w:before="40" w:after="0" w:line="240" w:lineRule="auto"/>
      <w:ind w:left="1644" w:hanging="1644"/>
    </w:pPr>
    <w:rPr>
      <w:rFonts w:ascii="Times New Roman" w:eastAsia="Times New Roman" w:hAnsi="Times New Roman" w:cs="Times New Roman"/>
      <w:szCs w:val="20"/>
      <w:lang w:eastAsia="en-AU"/>
    </w:rPr>
  </w:style>
  <w:style w:type="character" w:customStyle="1" w:styleId="paragraphChar">
    <w:name w:val="paragraph Char"/>
    <w:aliases w:val="a Char"/>
    <w:link w:val="paragraph"/>
    <w:rsid w:val="0057563C"/>
    <w:rPr>
      <w:rFonts w:ascii="Times New Roman" w:eastAsia="Times New Roman" w:hAnsi="Times New Roman" w:cs="Times New Roman"/>
      <w:szCs w:val="20"/>
      <w:lang w:eastAsia="en-AU"/>
    </w:rPr>
  </w:style>
  <w:style w:type="paragraph" w:styleId="Revision">
    <w:name w:val="Revision"/>
    <w:hidden/>
    <w:uiPriority w:val="99"/>
    <w:semiHidden/>
    <w:rsid w:val="00316366"/>
    <w:pPr>
      <w:spacing w:after="0" w:line="240" w:lineRule="auto"/>
    </w:pPr>
  </w:style>
  <w:style w:type="paragraph" w:styleId="ListBullet">
    <w:name w:val="List Bullet"/>
    <w:basedOn w:val="Normal"/>
    <w:uiPriority w:val="99"/>
    <w:unhideWhenUsed/>
    <w:rsid w:val="00222987"/>
    <w:pPr>
      <w:contextualSpacing/>
    </w:pPr>
  </w:style>
  <w:style w:type="paragraph" w:styleId="TOC1">
    <w:name w:val="toc 1"/>
    <w:basedOn w:val="Normal"/>
    <w:next w:val="Normal"/>
    <w:autoRedefine/>
    <w:uiPriority w:val="39"/>
    <w:unhideWhenUsed/>
    <w:rsid w:val="008D4006"/>
    <w:pPr>
      <w:spacing w:after="100"/>
    </w:pPr>
  </w:style>
  <w:style w:type="paragraph" w:styleId="TOC2">
    <w:name w:val="toc 2"/>
    <w:basedOn w:val="Normal"/>
    <w:next w:val="Normal"/>
    <w:autoRedefine/>
    <w:uiPriority w:val="39"/>
    <w:unhideWhenUsed/>
    <w:rsid w:val="008D4006"/>
    <w:pPr>
      <w:spacing w:after="100"/>
      <w:ind w:left="220"/>
    </w:pPr>
  </w:style>
  <w:style w:type="table" w:styleId="TableGrid">
    <w:name w:val="Table Grid"/>
    <w:basedOn w:val="TableNormal"/>
    <w:uiPriority w:val="39"/>
    <w:rsid w:val="006F3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1A191C"/>
  </w:style>
  <w:style w:type="paragraph" w:customStyle="1" w:styleId="xl83">
    <w:name w:val="xl83"/>
    <w:basedOn w:val="Normal"/>
    <w:rsid w:val="001A191C"/>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jc w:val="right"/>
    </w:pPr>
    <w:rPr>
      <w:rFonts w:ascii="Times New Roman" w:eastAsia="Times New Roman" w:hAnsi="Times New Roman" w:cs="Times New Roman"/>
      <w:sz w:val="16"/>
      <w:szCs w:val="16"/>
      <w:lang w:eastAsia="en-AU"/>
    </w:rPr>
  </w:style>
  <w:style w:type="paragraph" w:customStyle="1" w:styleId="xl84">
    <w:name w:val="xl84"/>
    <w:basedOn w:val="Normal"/>
    <w:rsid w:val="001A191C"/>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jc w:val="right"/>
    </w:pPr>
    <w:rPr>
      <w:rFonts w:ascii="Times New Roman" w:eastAsia="Times New Roman" w:hAnsi="Times New Roman" w:cs="Times New Roman"/>
      <w:b/>
      <w:bCs/>
      <w:sz w:val="16"/>
      <w:szCs w:val="16"/>
      <w:lang w:eastAsia="en-AU"/>
    </w:rPr>
  </w:style>
  <w:style w:type="paragraph" w:customStyle="1" w:styleId="xl85">
    <w:name w:val="xl85"/>
    <w:basedOn w:val="Normal"/>
    <w:rsid w:val="001A191C"/>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pPr>
    <w:rPr>
      <w:rFonts w:ascii="Times New Roman" w:eastAsia="Times New Roman" w:hAnsi="Times New Roman" w:cs="Times New Roman"/>
      <w:b/>
      <w:bCs/>
      <w:sz w:val="16"/>
      <w:szCs w:val="16"/>
      <w:lang w:eastAsia="en-AU"/>
    </w:rPr>
  </w:style>
  <w:style w:type="paragraph" w:customStyle="1" w:styleId="xl86">
    <w:name w:val="xl86"/>
    <w:basedOn w:val="Normal"/>
    <w:rsid w:val="001A191C"/>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pPr>
    <w:rPr>
      <w:rFonts w:ascii="Times New Roman" w:eastAsia="Times New Roman" w:hAnsi="Times New Roman" w:cs="Times New Roman"/>
      <w:sz w:val="16"/>
      <w:szCs w:val="16"/>
      <w:lang w:eastAsia="en-AU"/>
    </w:rPr>
  </w:style>
  <w:style w:type="numbering" w:customStyle="1" w:styleId="NoList2">
    <w:name w:val="No List2"/>
    <w:next w:val="NoList"/>
    <w:uiPriority w:val="99"/>
    <w:semiHidden/>
    <w:unhideWhenUsed/>
    <w:rsid w:val="003316D3"/>
  </w:style>
  <w:style w:type="numbering" w:customStyle="1" w:styleId="NoList3">
    <w:name w:val="No List3"/>
    <w:next w:val="NoList"/>
    <w:uiPriority w:val="99"/>
    <w:semiHidden/>
    <w:unhideWhenUsed/>
    <w:rsid w:val="003316D3"/>
  </w:style>
  <w:style w:type="numbering" w:customStyle="1" w:styleId="NoList4">
    <w:name w:val="No List4"/>
    <w:next w:val="NoList"/>
    <w:uiPriority w:val="99"/>
    <w:semiHidden/>
    <w:unhideWhenUsed/>
    <w:rsid w:val="00A529ED"/>
  </w:style>
  <w:style w:type="paragraph" w:customStyle="1" w:styleId="Default">
    <w:name w:val="Default"/>
    <w:rsid w:val="00DF4EF8"/>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39508C"/>
    <w:rPr>
      <w:color w:val="605E5C"/>
      <w:shd w:val="clear" w:color="auto" w:fill="E1DFDD"/>
    </w:rPr>
  </w:style>
  <w:style w:type="character" w:styleId="Mention">
    <w:name w:val="Mention"/>
    <w:basedOn w:val="DefaultParagraphFont"/>
    <w:uiPriority w:val="99"/>
    <w:unhideWhenUsed/>
    <w:rsid w:val="0062102B"/>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4330">
      <w:bodyDiv w:val="1"/>
      <w:marLeft w:val="0"/>
      <w:marRight w:val="0"/>
      <w:marTop w:val="0"/>
      <w:marBottom w:val="0"/>
      <w:divBdr>
        <w:top w:val="none" w:sz="0" w:space="0" w:color="auto"/>
        <w:left w:val="none" w:sz="0" w:space="0" w:color="auto"/>
        <w:bottom w:val="none" w:sz="0" w:space="0" w:color="auto"/>
        <w:right w:val="none" w:sz="0" w:space="0" w:color="auto"/>
      </w:divBdr>
    </w:div>
    <w:div w:id="17632347">
      <w:bodyDiv w:val="1"/>
      <w:marLeft w:val="0"/>
      <w:marRight w:val="0"/>
      <w:marTop w:val="0"/>
      <w:marBottom w:val="0"/>
      <w:divBdr>
        <w:top w:val="none" w:sz="0" w:space="0" w:color="auto"/>
        <w:left w:val="none" w:sz="0" w:space="0" w:color="auto"/>
        <w:bottom w:val="none" w:sz="0" w:space="0" w:color="auto"/>
        <w:right w:val="none" w:sz="0" w:space="0" w:color="auto"/>
      </w:divBdr>
    </w:div>
    <w:div w:id="134033010">
      <w:bodyDiv w:val="1"/>
      <w:marLeft w:val="0"/>
      <w:marRight w:val="0"/>
      <w:marTop w:val="0"/>
      <w:marBottom w:val="0"/>
      <w:divBdr>
        <w:top w:val="none" w:sz="0" w:space="0" w:color="auto"/>
        <w:left w:val="none" w:sz="0" w:space="0" w:color="auto"/>
        <w:bottom w:val="none" w:sz="0" w:space="0" w:color="auto"/>
        <w:right w:val="none" w:sz="0" w:space="0" w:color="auto"/>
      </w:divBdr>
    </w:div>
    <w:div w:id="164831491">
      <w:bodyDiv w:val="1"/>
      <w:marLeft w:val="0"/>
      <w:marRight w:val="0"/>
      <w:marTop w:val="0"/>
      <w:marBottom w:val="0"/>
      <w:divBdr>
        <w:top w:val="none" w:sz="0" w:space="0" w:color="auto"/>
        <w:left w:val="none" w:sz="0" w:space="0" w:color="auto"/>
        <w:bottom w:val="none" w:sz="0" w:space="0" w:color="auto"/>
        <w:right w:val="none" w:sz="0" w:space="0" w:color="auto"/>
      </w:divBdr>
    </w:div>
    <w:div w:id="200871363">
      <w:bodyDiv w:val="1"/>
      <w:marLeft w:val="0"/>
      <w:marRight w:val="0"/>
      <w:marTop w:val="0"/>
      <w:marBottom w:val="0"/>
      <w:divBdr>
        <w:top w:val="none" w:sz="0" w:space="0" w:color="auto"/>
        <w:left w:val="none" w:sz="0" w:space="0" w:color="auto"/>
        <w:bottom w:val="none" w:sz="0" w:space="0" w:color="auto"/>
        <w:right w:val="none" w:sz="0" w:space="0" w:color="auto"/>
      </w:divBdr>
    </w:div>
    <w:div w:id="223369048">
      <w:bodyDiv w:val="1"/>
      <w:marLeft w:val="0"/>
      <w:marRight w:val="0"/>
      <w:marTop w:val="0"/>
      <w:marBottom w:val="0"/>
      <w:divBdr>
        <w:top w:val="none" w:sz="0" w:space="0" w:color="auto"/>
        <w:left w:val="none" w:sz="0" w:space="0" w:color="auto"/>
        <w:bottom w:val="none" w:sz="0" w:space="0" w:color="auto"/>
        <w:right w:val="none" w:sz="0" w:space="0" w:color="auto"/>
      </w:divBdr>
    </w:div>
    <w:div w:id="229773766">
      <w:bodyDiv w:val="1"/>
      <w:marLeft w:val="0"/>
      <w:marRight w:val="0"/>
      <w:marTop w:val="0"/>
      <w:marBottom w:val="0"/>
      <w:divBdr>
        <w:top w:val="none" w:sz="0" w:space="0" w:color="auto"/>
        <w:left w:val="none" w:sz="0" w:space="0" w:color="auto"/>
        <w:bottom w:val="none" w:sz="0" w:space="0" w:color="auto"/>
        <w:right w:val="none" w:sz="0" w:space="0" w:color="auto"/>
      </w:divBdr>
    </w:div>
    <w:div w:id="259148586">
      <w:bodyDiv w:val="1"/>
      <w:marLeft w:val="0"/>
      <w:marRight w:val="0"/>
      <w:marTop w:val="0"/>
      <w:marBottom w:val="0"/>
      <w:divBdr>
        <w:top w:val="none" w:sz="0" w:space="0" w:color="auto"/>
        <w:left w:val="none" w:sz="0" w:space="0" w:color="auto"/>
        <w:bottom w:val="none" w:sz="0" w:space="0" w:color="auto"/>
        <w:right w:val="none" w:sz="0" w:space="0" w:color="auto"/>
      </w:divBdr>
    </w:div>
    <w:div w:id="362168240">
      <w:bodyDiv w:val="1"/>
      <w:marLeft w:val="0"/>
      <w:marRight w:val="0"/>
      <w:marTop w:val="0"/>
      <w:marBottom w:val="0"/>
      <w:divBdr>
        <w:top w:val="none" w:sz="0" w:space="0" w:color="auto"/>
        <w:left w:val="none" w:sz="0" w:space="0" w:color="auto"/>
        <w:bottom w:val="none" w:sz="0" w:space="0" w:color="auto"/>
        <w:right w:val="none" w:sz="0" w:space="0" w:color="auto"/>
      </w:divBdr>
    </w:div>
    <w:div w:id="395906196">
      <w:bodyDiv w:val="1"/>
      <w:marLeft w:val="0"/>
      <w:marRight w:val="0"/>
      <w:marTop w:val="0"/>
      <w:marBottom w:val="0"/>
      <w:divBdr>
        <w:top w:val="none" w:sz="0" w:space="0" w:color="auto"/>
        <w:left w:val="none" w:sz="0" w:space="0" w:color="auto"/>
        <w:bottom w:val="none" w:sz="0" w:space="0" w:color="auto"/>
        <w:right w:val="none" w:sz="0" w:space="0" w:color="auto"/>
      </w:divBdr>
    </w:div>
    <w:div w:id="396629970">
      <w:bodyDiv w:val="1"/>
      <w:marLeft w:val="0"/>
      <w:marRight w:val="0"/>
      <w:marTop w:val="0"/>
      <w:marBottom w:val="0"/>
      <w:divBdr>
        <w:top w:val="none" w:sz="0" w:space="0" w:color="auto"/>
        <w:left w:val="none" w:sz="0" w:space="0" w:color="auto"/>
        <w:bottom w:val="none" w:sz="0" w:space="0" w:color="auto"/>
        <w:right w:val="none" w:sz="0" w:space="0" w:color="auto"/>
      </w:divBdr>
    </w:div>
    <w:div w:id="424033005">
      <w:bodyDiv w:val="1"/>
      <w:marLeft w:val="0"/>
      <w:marRight w:val="0"/>
      <w:marTop w:val="0"/>
      <w:marBottom w:val="0"/>
      <w:divBdr>
        <w:top w:val="none" w:sz="0" w:space="0" w:color="auto"/>
        <w:left w:val="none" w:sz="0" w:space="0" w:color="auto"/>
        <w:bottom w:val="none" w:sz="0" w:space="0" w:color="auto"/>
        <w:right w:val="none" w:sz="0" w:space="0" w:color="auto"/>
      </w:divBdr>
    </w:div>
    <w:div w:id="438569401">
      <w:bodyDiv w:val="1"/>
      <w:marLeft w:val="0"/>
      <w:marRight w:val="0"/>
      <w:marTop w:val="0"/>
      <w:marBottom w:val="0"/>
      <w:divBdr>
        <w:top w:val="none" w:sz="0" w:space="0" w:color="auto"/>
        <w:left w:val="none" w:sz="0" w:space="0" w:color="auto"/>
        <w:bottom w:val="none" w:sz="0" w:space="0" w:color="auto"/>
        <w:right w:val="none" w:sz="0" w:space="0" w:color="auto"/>
      </w:divBdr>
    </w:div>
    <w:div w:id="461964501">
      <w:bodyDiv w:val="1"/>
      <w:marLeft w:val="0"/>
      <w:marRight w:val="0"/>
      <w:marTop w:val="0"/>
      <w:marBottom w:val="0"/>
      <w:divBdr>
        <w:top w:val="none" w:sz="0" w:space="0" w:color="auto"/>
        <w:left w:val="none" w:sz="0" w:space="0" w:color="auto"/>
        <w:bottom w:val="none" w:sz="0" w:space="0" w:color="auto"/>
        <w:right w:val="none" w:sz="0" w:space="0" w:color="auto"/>
      </w:divBdr>
    </w:div>
    <w:div w:id="561451306">
      <w:bodyDiv w:val="1"/>
      <w:marLeft w:val="0"/>
      <w:marRight w:val="0"/>
      <w:marTop w:val="0"/>
      <w:marBottom w:val="0"/>
      <w:divBdr>
        <w:top w:val="none" w:sz="0" w:space="0" w:color="auto"/>
        <w:left w:val="none" w:sz="0" w:space="0" w:color="auto"/>
        <w:bottom w:val="none" w:sz="0" w:space="0" w:color="auto"/>
        <w:right w:val="none" w:sz="0" w:space="0" w:color="auto"/>
      </w:divBdr>
    </w:div>
    <w:div w:id="627123740">
      <w:bodyDiv w:val="1"/>
      <w:marLeft w:val="0"/>
      <w:marRight w:val="0"/>
      <w:marTop w:val="0"/>
      <w:marBottom w:val="0"/>
      <w:divBdr>
        <w:top w:val="none" w:sz="0" w:space="0" w:color="auto"/>
        <w:left w:val="none" w:sz="0" w:space="0" w:color="auto"/>
        <w:bottom w:val="none" w:sz="0" w:space="0" w:color="auto"/>
        <w:right w:val="none" w:sz="0" w:space="0" w:color="auto"/>
      </w:divBdr>
    </w:div>
    <w:div w:id="693847323">
      <w:bodyDiv w:val="1"/>
      <w:marLeft w:val="0"/>
      <w:marRight w:val="0"/>
      <w:marTop w:val="0"/>
      <w:marBottom w:val="0"/>
      <w:divBdr>
        <w:top w:val="none" w:sz="0" w:space="0" w:color="auto"/>
        <w:left w:val="none" w:sz="0" w:space="0" w:color="auto"/>
        <w:bottom w:val="none" w:sz="0" w:space="0" w:color="auto"/>
        <w:right w:val="none" w:sz="0" w:space="0" w:color="auto"/>
      </w:divBdr>
    </w:div>
    <w:div w:id="756369472">
      <w:bodyDiv w:val="1"/>
      <w:marLeft w:val="0"/>
      <w:marRight w:val="0"/>
      <w:marTop w:val="0"/>
      <w:marBottom w:val="0"/>
      <w:divBdr>
        <w:top w:val="none" w:sz="0" w:space="0" w:color="auto"/>
        <w:left w:val="none" w:sz="0" w:space="0" w:color="auto"/>
        <w:bottom w:val="none" w:sz="0" w:space="0" w:color="auto"/>
        <w:right w:val="none" w:sz="0" w:space="0" w:color="auto"/>
      </w:divBdr>
    </w:div>
    <w:div w:id="794371079">
      <w:bodyDiv w:val="1"/>
      <w:marLeft w:val="0"/>
      <w:marRight w:val="0"/>
      <w:marTop w:val="0"/>
      <w:marBottom w:val="0"/>
      <w:divBdr>
        <w:top w:val="none" w:sz="0" w:space="0" w:color="auto"/>
        <w:left w:val="none" w:sz="0" w:space="0" w:color="auto"/>
        <w:bottom w:val="none" w:sz="0" w:space="0" w:color="auto"/>
        <w:right w:val="none" w:sz="0" w:space="0" w:color="auto"/>
      </w:divBdr>
    </w:div>
    <w:div w:id="865481667">
      <w:bodyDiv w:val="1"/>
      <w:marLeft w:val="0"/>
      <w:marRight w:val="0"/>
      <w:marTop w:val="0"/>
      <w:marBottom w:val="0"/>
      <w:divBdr>
        <w:top w:val="none" w:sz="0" w:space="0" w:color="auto"/>
        <w:left w:val="none" w:sz="0" w:space="0" w:color="auto"/>
        <w:bottom w:val="none" w:sz="0" w:space="0" w:color="auto"/>
        <w:right w:val="none" w:sz="0" w:space="0" w:color="auto"/>
      </w:divBdr>
    </w:div>
    <w:div w:id="877469777">
      <w:bodyDiv w:val="1"/>
      <w:marLeft w:val="0"/>
      <w:marRight w:val="0"/>
      <w:marTop w:val="0"/>
      <w:marBottom w:val="0"/>
      <w:divBdr>
        <w:top w:val="none" w:sz="0" w:space="0" w:color="auto"/>
        <w:left w:val="none" w:sz="0" w:space="0" w:color="auto"/>
        <w:bottom w:val="none" w:sz="0" w:space="0" w:color="auto"/>
        <w:right w:val="none" w:sz="0" w:space="0" w:color="auto"/>
      </w:divBdr>
    </w:div>
    <w:div w:id="885339769">
      <w:bodyDiv w:val="1"/>
      <w:marLeft w:val="0"/>
      <w:marRight w:val="0"/>
      <w:marTop w:val="0"/>
      <w:marBottom w:val="0"/>
      <w:divBdr>
        <w:top w:val="none" w:sz="0" w:space="0" w:color="auto"/>
        <w:left w:val="none" w:sz="0" w:space="0" w:color="auto"/>
        <w:bottom w:val="none" w:sz="0" w:space="0" w:color="auto"/>
        <w:right w:val="none" w:sz="0" w:space="0" w:color="auto"/>
      </w:divBdr>
    </w:div>
    <w:div w:id="911474818">
      <w:bodyDiv w:val="1"/>
      <w:marLeft w:val="0"/>
      <w:marRight w:val="0"/>
      <w:marTop w:val="0"/>
      <w:marBottom w:val="0"/>
      <w:divBdr>
        <w:top w:val="none" w:sz="0" w:space="0" w:color="auto"/>
        <w:left w:val="none" w:sz="0" w:space="0" w:color="auto"/>
        <w:bottom w:val="none" w:sz="0" w:space="0" w:color="auto"/>
        <w:right w:val="none" w:sz="0" w:space="0" w:color="auto"/>
      </w:divBdr>
    </w:div>
    <w:div w:id="1000162525">
      <w:bodyDiv w:val="1"/>
      <w:marLeft w:val="0"/>
      <w:marRight w:val="0"/>
      <w:marTop w:val="0"/>
      <w:marBottom w:val="0"/>
      <w:divBdr>
        <w:top w:val="none" w:sz="0" w:space="0" w:color="auto"/>
        <w:left w:val="none" w:sz="0" w:space="0" w:color="auto"/>
        <w:bottom w:val="none" w:sz="0" w:space="0" w:color="auto"/>
        <w:right w:val="none" w:sz="0" w:space="0" w:color="auto"/>
      </w:divBdr>
    </w:div>
    <w:div w:id="1016537213">
      <w:bodyDiv w:val="1"/>
      <w:marLeft w:val="0"/>
      <w:marRight w:val="0"/>
      <w:marTop w:val="0"/>
      <w:marBottom w:val="0"/>
      <w:divBdr>
        <w:top w:val="none" w:sz="0" w:space="0" w:color="auto"/>
        <w:left w:val="none" w:sz="0" w:space="0" w:color="auto"/>
        <w:bottom w:val="none" w:sz="0" w:space="0" w:color="auto"/>
        <w:right w:val="none" w:sz="0" w:space="0" w:color="auto"/>
      </w:divBdr>
    </w:div>
    <w:div w:id="1027413860">
      <w:bodyDiv w:val="1"/>
      <w:marLeft w:val="0"/>
      <w:marRight w:val="0"/>
      <w:marTop w:val="0"/>
      <w:marBottom w:val="0"/>
      <w:divBdr>
        <w:top w:val="none" w:sz="0" w:space="0" w:color="auto"/>
        <w:left w:val="none" w:sz="0" w:space="0" w:color="auto"/>
        <w:bottom w:val="none" w:sz="0" w:space="0" w:color="auto"/>
        <w:right w:val="none" w:sz="0" w:space="0" w:color="auto"/>
      </w:divBdr>
    </w:div>
    <w:div w:id="1027948735">
      <w:bodyDiv w:val="1"/>
      <w:marLeft w:val="0"/>
      <w:marRight w:val="0"/>
      <w:marTop w:val="0"/>
      <w:marBottom w:val="0"/>
      <w:divBdr>
        <w:top w:val="none" w:sz="0" w:space="0" w:color="auto"/>
        <w:left w:val="none" w:sz="0" w:space="0" w:color="auto"/>
        <w:bottom w:val="none" w:sz="0" w:space="0" w:color="auto"/>
        <w:right w:val="none" w:sz="0" w:space="0" w:color="auto"/>
      </w:divBdr>
    </w:div>
    <w:div w:id="1064597293">
      <w:bodyDiv w:val="1"/>
      <w:marLeft w:val="0"/>
      <w:marRight w:val="0"/>
      <w:marTop w:val="0"/>
      <w:marBottom w:val="0"/>
      <w:divBdr>
        <w:top w:val="none" w:sz="0" w:space="0" w:color="auto"/>
        <w:left w:val="none" w:sz="0" w:space="0" w:color="auto"/>
        <w:bottom w:val="none" w:sz="0" w:space="0" w:color="auto"/>
        <w:right w:val="none" w:sz="0" w:space="0" w:color="auto"/>
      </w:divBdr>
    </w:div>
    <w:div w:id="1078405710">
      <w:bodyDiv w:val="1"/>
      <w:marLeft w:val="0"/>
      <w:marRight w:val="0"/>
      <w:marTop w:val="0"/>
      <w:marBottom w:val="0"/>
      <w:divBdr>
        <w:top w:val="none" w:sz="0" w:space="0" w:color="auto"/>
        <w:left w:val="none" w:sz="0" w:space="0" w:color="auto"/>
        <w:bottom w:val="none" w:sz="0" w:space="0" w:color="auto"/>
        <w:right w:val="none" w:sz="0" w:space="0" w:color="auto"/>
      </w:divBdr>
    </w:div>
    <w:div w:id="1106268966">
      <w:bodyDiv w:val="1"/>
      <w:marLeft w:val="0"/>
      <w:marRight w:val="0"/>
      <w:marTop w:val="0"/>
      <w:marBottom w:val="0"/>
      <w:divBdr>
        <w:top w:val="none" w:sz="0" w:space="0" w:color="auto"/>
        <w:left w:val="none" w:sz="0" w:space="0" w:color="auto"/>
        <w:bottom w:val="none" w:sz="0" w:space="0" w:color="auto"/>
        <w:right w:val="none" w:sz="0" w:space="0" w:color="auto"/>
      </w:divBdr>
    </w:div>
    <w:div w:id="1129736963">
      <w:bodyDiv w:val="1"/>
      <w:marLeft w:val="0"/>
      <w:marRight w:val="0"/>
      <w:marTop w:val="0"/>
      <w:marBottom w:val="0"/>
      <w:divBdr>
        <w:top w:val="none" w:sz="0" w:space="0" w:color="auto"/>
        <w:left w:val="none" w:sz="0" w:space="0" w:color="auto"/>
        <w:bottom w:val="none" w:sz="0" w:space="0" w:color="auto"/>
        <w:right w:val="none" w:sz="0" w:space="0" w:color="auto"/>
      </w:divBdr>
    </w:div>
    <w:div w:id="1155341381">
      <w:bodyDiv w:val="1"/>
      <w:marLeft w:val="0"/>
      <w:marRight w:val="0"/>
      <w:marTop w:val="0"/>
      <w:marBottom w:val="0"/>
      <w:divBdr>
        <w:top w:val="none" w:sz="0" w:space="0" w:color="auto"/>
        <w:left w:val="none" w:sz="0" w:space="0" w:color="auto"/>
        <w:bottom w:val="none" w:sz="0" w:space="0" w:color="auto"/>
        <w:right w:val="none" w:sz="0" w:space="0" w:color="auto"/>
      </w:divBdr>
    </w:div>
    <w:div w:id="1177618393">
      <w:bodyDiv w:val="1"/>
      <w:marLeft w:val="0"/>
      <w:marRight w:val="0"/>
      <w:marTop w:val="0"/>
      <w:marBottom w:val="0"/>
      <w:divBdr>
        <w:top w:val="none" w:sz="0" w:space="0" w:color="auto"/>
        <w:left w:val="none" w:sz="0" w:space="0" w:color="auto"/>
        <w:bottom w:val="none" w:sz="0" w:space="0" w:color="auto"/>
        <w:right w:val="none" w:sz="0" w:space="0" w:color="auto"/>
      </w:divBdr>
    </w:div>
    <w:div w:id="1183667459">
      <w:bodyDiv w:val="1"/>
      <w:marLeft w:val="0"/>
      <w:marRight w:val="0"/>
      <w:marTop w:val="0"/>
      <w:marBottom w:val="0"/>
      <w:divBdr>
        <w:top w:val="none" w:sz="0" w:space="0" w:color="auto"/>
        <w:left w:val="none" w:sz="0" w:space="0" w:color="auto"/>
        <w:bottom w:val="none" w:sz="0" w:space="0" w:color="auto"/>
        <w:right w:val="none" w:sz="0" w:space="0" w:color="auto"/>
      </w:divBdr>
    </w:div>
    <w:div w:id="1212499789">
      <w:bodyDiv w:val="1"/>
      <w:marLeft w:val="0"/>
      <w:marRight w:val="0"/>
      <w:marTop w:val="0"/>
      <w:marBottom w:val="0"/>
      <w:divBdr>
        <w:top w:val="none" w:sz="0" w:space="0" w:color="auto"/>
        <w:left w:val="none" w:sz="0" w:space="0" w:color="auto"/>
        <w:bottom w:val="none" w:sz="0" w:space="0" w:color="auto"/>
        <w:right w:val="none" w:sz="0" w:space="0" w:color="auto"/>
      </w:divBdr>
    </w:div>
    <w:div w:id="1224409596">
      <w:bodyDiv w:val="1"/>
      <w:marLeft w:val="0"/>
      <w:marRight w:val="0"/>
      <w:marTop w:val="0"/>
      <w:marBottom w:val="0"/>
      <w:divBdr>
        <w:top w:val="none" w:sz="0" w:space="0" w:color="auto"/>
        <w:left w:val="none" w:sz="0" w:space="0" w:color="auto"/>
        <w:bottom w:val="none" w:sz="0" w:space="0" w:color="auto"/>
        <w:right w:val="none" w:sz="0" w:space="0" w:color="auto"/>
      </w:divBdr>
    </w:div>
    <w:div w:id="1260791436">
      <w:bodyDiv w:val="1"/>
      <w:marLeft w:val="0"/>
      <w:marRight w:val="0"/>
      <w:marTop w:val="0"/>
      <w:marBottom w:val="0"/>
      <w:divBdr>
        <w:top w:val="none" w:sz="0" w:space="0" w:color="auto"/>
        <w:left w:val="none" w:sz="0" w:space="0" w:color="auto"/>
        <w:bottom w:val="none" w:sz="0" w:space="0" w:color="auto"/>
        <w:right w:val="none" w:sz="0" w:space="0" w:color="auto"/>
      </w:divBdr>
    </w:div>
    <w:div w:id="1286280006">
      <w:bodyDiv w:val="1"/>
      <w:marLeft w:val="0"/>
      <w:marRight w:val="0"/>
      <w:marTop w:val="0"/>
      <w:marBottom w:val="0"/>
      <w:divBdr>
        <w:top w:val="none" w:sz="0" w:space="0" w:color="auto"/>
        <w:left w:val="none" w:sz="0" w:space="0" w:color="auto"/>
        <w:bottom w:val="none" w:sz="0" w:space="0" w:color="auto"/>
        <w:right w:val="none" w:sz="0" w:space="0" w:color="auto"/>
      </w:divBdr>
    </w:div>
    <w:div w:id="1296179985">
      <w:bodyDiv w:val="1"/>
      <w:marLeft w:val="0"/>
      <w:marRight w:val="0"/>
      <w:marTop w:val="0"/>
      <w:marBottom w:val="0"/>
      <w:divBdr>
        <w:top w:val="none" w:sz="0" w:space="0" w:color="auto"/>
        <w:left w:val="none" w:sz="0" w:space="0" w:color="auto"/>
        <w:bottom w:val="none" w:sz="0" w:space="0" w:color="auto"/>
        <w:right w:val="none" w:sz="0" w:space="0" w:color="auto"/>
      </w:divBdr>
      <w:divsChild>
        <w:div w:id="307131005">
          <w:marLeft w:val="0"/>
          <w:marRight w:val="0"/>
          <w:marTop w:val="0"/>
          <w:marBottom w:val="0"/>
          <w:divBdr>
            <w:top w:val="none" w:sz="0" w:space="0" w:color="auto"/>
            <w:left w:val="none" w:sz="0" w:space="0" w:color="auto"/>
            <w:bottom w:val="none" w:sz="0" w:space="0" w:color="auto"/>
            <w:right w:val="none" w:sz="0" w:space="0" w:color="auto"/>
          </w:divBdr>
        </w:div>
      </w:divsChild>
    </w:div>
    <w:div w:id="1355612628">
      <w:bodyDiv w:val="1"/>
      <w:marLeft w:val="0"/>
      <w:marRight w:val="0"/>
      <w:marTop w:val="0"/>
      <w:marBottom w:val="0"/>
      <w:divBdr>
        <w:top w:val="none" w:sz="0" w:space="0" w:color="auto"/>
        <w:left w:val="none" w:sz="0" w:space="0" w:color="auto"/>
        <w:bottom w:val="none" w:sz="0" w:space="0" w:color="auto"/>
        <w:right w:val="none" w:sz="0" w:space="0" w:color="auto"/>
      </w:divBdr>
    </w:div>
    <w:div w:id="1420175861">
      <w:bodyDiv w:val="1"/>
      <w:marLeft w:val="0"/>
      <w:marRight w:val="0"/>
      <w:marTop w:val="0"/>
      <w:marBottom w:val="0"/>
      <w:divBdr>
        <w:top w:val="none" w:sz="0" w:space="0" w:color="auto"/>
        <w:left w:val="none" w:sz="0" w:space="0" w:color="auto"/>
        <w:bottom w:val="none" w:sz="0" w:space="0" w:color="auto"/>
        <w:right w:val="none" w:sz="0" w:space="0" w:color="auto"/>
      </w:divBdr>
    </w:div>
    <w:div w:id="1420717639">
      <w:bodyDiv w:val="1"/>
      <w:marLeft w:val="0"/>
      <w:marRight w:val="0"/>
      <w:marTop w:val="0"/>
      <w:marBottom w:val="0"/>
      <w:divBdr>
        <w:top w:val="none" w:sz="0" w:space="0" w:color="auto"/>
        <w:left w:val="none" w:sz="0" w:space="0" w:color="auto"/>
        <w:bottom w:val="none" w:sz="0" w:space="0" w:color="auto"/>
        <w:right w:val="none" w:sz="0" w:space="0" w:color="auto"/>
      </w:divBdr>
    </w:div>
    <w:div w:id="1422526446">
      <w:bodyDiv w:val="1"/>
      <w:marLeft w:val="0"/>
      <w:marRight w:val="0"/>
      <w:marTop w:val="0"/>
      <w:marBottom w:val="0"/>
      <w:divBdr>
        <w:top w:val="none" w:sz="0" w:space="0" w:color="auto"/>
        <w:left w:val="none" w:sz="0" w:space="0" w:color="auto"/>
        <w:bottom w:val="none" w:sz="0" w:space="0" w:color="auto"/>
        <w:right w:val="none" w:sz="0" w:space="0" w:color="auto"/>
      </w:divBdr>
    </w:div>
    <w:div w:id="1458834285">
      <w:bodyDiv w:val="1"/>
      <w:marLeft w:val="0"/>
      <w:marRight w:val="0"/>
      <w:marTop w:val="0"/>
      <w:marBottom w:val="0"/>
      <w:divBdr>
        <w:top w:val="none" w:sz="0" w:space="0" w:color="auto"/>
        <w:left w:val="none" w:sz="0" w:space="0" w:color="auto"/>
        <w:bottom w:val="none" w:sz="0" w:space="0" w:color="auto"/>
        <w:right w:val="none" w:sz="0" w:space="0" w:color="auto"/>
      </w:divBdr>
    </w:div>
    <w:div w:id="1574969278">
      <w:bodyDiv w:val="1"/>
      <w:marLeft w:val="0"/>
      <w:marRight w:val="0"/>
      <w:marTop w:val="0"/>
      <w:marBottom w:val="0"/>
      <w:divBdr>
        <w:top w:val="none" w:sz="0" w:space="0" w:color="auto"/>
        <w:left w:val="none" w:sz="0" w:space="0" w:color="auto"/>
        <w:bottom w:val="none" w:sz="0" w:space="0" w:color="auto"/>
        <w:right w:val="none" w:sz="0" w:space="0" w:color="auto"/>
      </w:divBdr>
    </w:div>
    <w:div w:id="1629319219">
      <w:bodyDiv w:val="1"/>
      <w:marLeft w:val="0"/>
      <w:marRight w:val="0"/>
      <w:marTop w:val="0"/>
      <w:marBottom w:val="0"/>
      <w:divBdr>
        <w:top w:val="none" w:sz="0" w:space="0" w:color="auto"/>
        <w:left w:val="none" w:sz="0" w:space="0" w:color="auto"/>
        <w:bottom w:val="none" w:sz="0" w:space="0" w:color="auto"/>
        <w:right w:val="none" w:sz="0" w:space="0" w:color="auto"/>
      </w:divBdr>
    </w:div>
    <w:div w:id="1754005845">
      <w:bodyDiv w:val="1"/>
      <w:marLeft w:val="0"/>
      <w:marRight w:val="0"/>
      <w:marTop w:val="0"/>
      <w:marBottom w:val="0"/>
      <w:divBdr>
        <w:top w:val="none" w:sz="0" w:space="0" w:color="auto"/>
        <w:left w:val="none" w:sz="0" w:space="0" w:color="auto"/>
        <w:bottom w:val="none" w:sz="0" w:space="0" w:color="auto"/>
        <w:right w:val="none" w:sz="0" w:space="0" w:color="auto"/>
      </w:divBdr>
    </w:div>
    <w:div w:id="1808011091">
      <w:bodyDiv w:val="1"/>
      <w:marLeft w:val="0"/>
      <w:marRight w:val="0"/>
      <w:marTop w:val="0"/>
      <w:marBottom w:val="0"/>
      <w:divBdr>
        <w:top w:val="none" w:sz="0" w:space="0" w:color="auto"/>
        <w:left w:val="none" w:sz="0" w:space="0" w:color="auto"/>
        <w:bottom w:val="none" w:sz="0" w:space="0" w:color="auto"/>
        <w:right w:val="none" w:sz="0" w:space="0" w:color="auto"/>
      </w:divBdr>
    </w:div>
    <w:div w:id="1832671612">
      <w:bodyDiv w:val="1"/>
      <w:marLeft w:val="0"/>
      <w:marRight w:val="0"/>
      <w:marTop w:val="0"/>
      <w:marBottom w:val="0"/>
      <w:divBdr>
        <w:top w:val="none" w:sz="0" w:space="0" w:color="auto"/>
        <w:left w:val="none" w:sz="0" w:space="0" w:color="auto"/>
        <w:bottom w:val="none" w:sz="0" w:space="0" w:color="auto"/>
        <w:right w:val="none" w:sz="0" w:space="0" w:color="auto"/>
      </w:divBdr>
    </w:div>
    <w:div w:id="1851673373">
      <w:bodyDiv w:val="1"/>
      <w:marLeft w:val="0"/>
      <w:marRight w:val="0"/>
      <w:marTop w:val="0"/>
      <w:marBottom w:val="0"/>
      <w:divBdr>
        <w:top w:val="none" w:sz="0" w:space="0" w:color="auto"/>
        <w:left w:val="none" w:sz="0" w:space="0" w:color="auto"/>
        <w:bottom w:val="none" w:sz="0" w:space="0" w:color="auto"/>
        <w:right w:val="none" w:sz="0" w:space="0" w:color="auto"/>
      </w:divBdr>
    </w:div>
    <w:div w:id="1869638947">
      <w:bodyDiv w:val="1"/>
      <w:marLeft w:val="0"/>
      <w:marRight w:val="0"/>
      <w:marTop w:val="0"/>
      <w:marBottom w:val="0"/>
      <w:divBdr>
        <w:top w:val="none" w:sz="0" w:space="0" w:color="auto"/>
        <w:left w:val="none" w:sz="0" w:space="0" w:color="auto"/>
        <w:bottom w:val="none" w:sz="0" w:space="0" w:color="auto"/>
        <w:right w:val="none" w:sz="0" w:space="0" w:color="auto"/>
      </w:divBdr>
    </w:div>
    <w:div w:id="1889486812">
      <w:bodyDiv w:val="1"/>
      <w:marLeft w:val="0"/>
      <w:marRight w:val="0"/>
      <w:marTop w:val="0"/>
      <w:marBottom w:val="0"/>
      <w:divBdr>
        <w:top w:val="none" w:sz="0" w:space="0" w:color="auto"/>
        <w:left w:val="none" w:sz="0" w:space="0" w:color="auto"/>
        <w:bottom w:val="none" w:sz="0" w:space="0" w:color="auto"/>
        <w:right w:val="none" w:sz="0" w:space="0" w:color="auto"/>
      </w:divBdr>
    </w:div>
    <w:div w:id="1938563733">
      <w:bodyDiv w:val="1"/>
      <w:marLeft w:val="0"/>
      <w:marRight w:val="0"/>
      <w:marTop w:val="0"/>
      <w:marBottom w:val="0"/>
      <w:divBdr>
        <w:top w:val="none" w:sz="0" w:space="0" w:color="auto"/>
        <w:left w:val="none" w:sz="0" w:space="0" w:color="auto"/>
        <w:bottom w:val="none" w:sz="0" w:space="0" w:color="auto"/>
        <w:right w:val="none" w:sz="0" w:space="0" w:color="auto"/>
      </w:divBdr>
    </w:div>
    <w:div w:id="1978997267">
      <w:bodyDiv w:val="1"/>
      <w:marLeft w:val="0"/>
      <w:marRight w:val="0"/>
      <w:marTop w:val="0"/>
      <w:marBottom w:val="0"/>
      <w:divBdr>
        <w:top w:val="none" w:sz="0" w:space="0" w:color="auto"/>
        <w:left w:val="none" w:sz="0" w:space="0" w:color="auto"/>
        <w:bottom w:val="none" w:sz="0" w:space="0" w:color="auto"/>
        <w:right w:val="none" w:sz="0" w:space="0" w:color="auto"/>
      </w:divBdr>
    </w:div>
    <w:div w:id="1999265816">
      <w:bodyDiv w:val="1"/>
      <w:marLeft w:val="0"/>
      <w:marRight w:val="0"/>
      <w:marTop w:val="0"/>
      <w:marBottom w:val="0"/>
      <w:divBdr>
        <w:top w:val="none" w:sz="0" w:space="0" w:color="auto"/>
        <w:left w:val="none" w:sz="0" w:space="0" w:color="auto"/>
        <w:bottom w:val="none" w:sz="0" w:space="0" w:color="auto"/>
        <w:right w:val="none" w:sz="0" w:space="0" w:color="auto"/>
      </w:divBdr>
    </w:div>
    <w:div w:id="2000303038">
      <w:bodyDiv w:val="1"/>
      <w:marLeft w:val="0"/>
      <w:marRight w:val="0"/>
      <w:marTop w:val="0"/>
      <w:marBottom w:val="0"/>
      <w:divBdr>
        <w:top w:val="none" w:sz="0" w:space="0" w:color="auto"/>
        <w:left w:val="none" w:sz="0" w:space="0" w:color="auto"/>
        <w:bottom w:val="none" w:sz="0" w:space="0" w:color="auto"/>
        <w:right w:val="none" w:sz="0" w:space="0" w:color="auto"/>
      </w:divBdr>
    </w:div>
    <w:div w:id="2071464583">
      <w:bodyDiv w:val="1"/>
      <w:marLeft w:val="0"/>
      <w:marRight w:val="0"/>
      <w:marTop w:val="0"/>
      <w:marBottom w:val="0"/>
      <w:divBdr>
        <w:top w:val="none" w:sz="0" w:space="0" w:color="auto"/>
        <w:left w:val="none" w:sz="0" w:space="0" w:color="auto"/>
        <w:bottom w:val="none" w:sz="0" w:space="0" w:color="auto"/>
        <w:right w:val="none" w:sz="0" w:space="0" w:color="auto"/>
      </w:divBdr>
    </w:div>
    <w:div w:id="2080860186">
      <w:bodyDiv w:val="1"/>
      <w:marLeft w:val="0"/>
      <w:marRight w:val="0"/>
      <w:marTop w:val="0"/>
      <w:marBottom w:val="0"/>
      <w:divBdr>
        <w:top w:val="none" w:sz="0" w:space="0" w:color="auto"/>
        <w:left w:val="none" w:sz="0" w:space="0" w:color="auto"/>
        <w:bottom w:val="none" w:sz="0" w:space="0" w:color="auto"/>
        <w:right w:val="none" w:sz="0" w:space="0" w:color="auto"/>
      </w:divBdr>
    </w:div>
    <w:div w:id="2101639987">
      <w:bodyDiv w:val="1"/>
      <w:marLeft w:val="0"/>
      <w:marRight w:val="0"/>
      <w:marTop w:val="0"/>
      <w:marBottom w:val="0"/>
      <w:divBdr>
        <w:top w:val="none" w:sz="0" w:space="0" w:color="auto"/>
        <w:left w:val="none" w:sz="0" w:space="0" w:color="auto"/>
        <w:bottom w:val="none" w:sz="0" w:space="0" w:color="auto"/>
        <w:right w:val="none" w:sz="0" w:space="0" w:color="auto"/>
      </w:divBdr>
    </w:div>
    <w:div w:id="2107849706">
      <w:bodyDiv w:val="1"/>
      <w:marLeft w:val="0"/>
      <w:marRight w:val="0"/>
      <w:marTop w:val="0"/>
      <w:marBottom w:val="0"/>
      <w:divBdr>
        <w:top w:val="none" w:sz="0" w:space="0" w:color="auto"/>
        <w:left w:val="none" w:sz="0" w:space="0" w:color="auto"/>
        <w:bottom w:val="none" w:sz="0" w:space="0" w:color="auto"/>
        <w:right w:val="none" w:sz="0" w:space="0" w:color="auto"/>
      </w:divBdr>
    </w:div>
    <w:div w:id="2124961127">
      <w:bodyDiv w:val="1"/>
      <w:marLeft w:val="0"/>
      <w:marRight w:val="0"/>
      <w:marTop w:val="0"/>
      <w:marBottom w:val="0"/>
      <w:divBdr>
        <w:top w:val="none" w:sz="0" w:space="0" w:color="auto"/>
        <w:left w:val="none" w:sz="0" w:space="0" w:color="auto"/>
        <w:bottom w:val="none" w:sz="0" w:space="0" w:color="auto"/>
        <w:right w:val="none" w:sz="0" w:space="0" w:color="auto"/>
      </w:divBdr>
    </w:div>
    <w:div w:id="213497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www.education.gov.au/vet-student-loans-statistic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hart" Target="charts/chart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legislation.gov.au/Series/F2016L02016"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chart" Target="charts/chart5.xml"/><Relationship Id="rId10" Type="http://schemas.openxmlformats.org/officeDocument/2006/relationships/endnotes" Target="endnotes.xml"/><Relationship Id="rId19"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reativecommons.org/licenses/by/4.0/legalcode" TargetMode="External"/><Relationship Id="rId22" Type="http://schemas.openxmlformats.org/officeDocument/2006/relationships/chart" Target="charts/chart4.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dewr.gov.au/vet-student-loans/vet-student-loans-statistics" TargetMode="External"/><Relationship Id="rId2" Type="http://schemas.openxmlformats.org/officeDocument/2006/relationships/hyperlink" Target="https://www.legislation.gov.au/Details/F2016L02016" TargetMode="External"/><Relationship Id="rId1" Type="http://schemas.openxmlformats.org/officeDocument/2006/relationships/hyperlink" Target="https://www.dewr.gov.au/vet-student-loans/resources/vet-student-loans-courses-and-loan-caps"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https://sharedservicescentre.sharepoint.com/sites/DESE-VETStudentLoansDataandReporting-TEAM/Shared%20Documents/Data%20Request/Regular%20Request/RR19-0060%20-%20Statistical%20Reports/2023/6%20months/Jul%20to%20Dec%202023/VSL%20Six-monthly%20Report%20-%20Jul%20to%20Dec%202023%20-%20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s://sharedservicescentre.sharepoint.com/sites/DESE-VETStudentLoansDataandReporting-TEAM/Shared%20Documents/Data%20Request/Regular%20Request/RR19-0060%20-%20Statistical%20Reports/2023/6%20months/Jul%20to%20Dec%202023/VSL%20Six-monthly%20Report%20-%20Jul%20to%20Dec%202023%20-%20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https://sharedservicescentre.sharepoint.com/sites/DESE-VETStudentLoansDataandReporting-TEAM/Shared%20Documents/Data%20Request/Regular%20Request/RR19-0060%20-%20Statistical%20Reports/2023/6%20months/Jul%20to%20Dec%202023/VSL%20Six-monthly%20Report%20-%20Jul%20to%20Dec%202023%20-%20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https://sharedservicescentre.sharepoint.com/sites/DESE-VETStudentLoansDataandReporting-TEAM/Shared%20Documents/Data%20Request/Regular%20Request/RR19-0060%20-%20Statistical%20Reports/2023/6%20months/Jul%20to%20Dec%202023/VSL%20Six-monthly%20Report%20-%20Jul%20to%20Dec%202023%20-%20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https://sharedservicescentre.sharepoint.com/sites/DESE-VETStudentLoansDataandReporting-TEAM/Shared%20Documents/Data%20Request/Regular%20Request/RR19-0060%20-%20Statistical%20Reports/2023/6%20months/Jul%20to%20Dec%202023/VSL%20Six-monthly%20Report%20-%20Jul%20to%20Dec%202023%20-%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544656021582961"/>
          <c:y val="7.6368194681098622E-2"/>
          <c:w val="0.83030021645700669"/>
          <c:h val="0.76650444361805903"/>
        </c:manualLayout>
      </c:layout>
      <c:barChart>
        <c:barDir val="col"/>
        <c:grouping val="clustered"/>
        <c:varyColors val="0"/>
        <c:ser>
          <c:idx val="0"/>
          <c:order val="0"/>
          <c:tx>
            <c:strRef>
              <c:f>'[VSL Six-monthly Report - Jul to Dec 2023 - Graphs.xlsx]Graph 1'!$B$4</c:f>
              <c:strCache>
                <c:ptCount val="1"/>
                <c:pt idx="0">
                  <c:v>VSL Providers </c:v>
                </c:pt>
              </c:strCache>
            </c:strRef>
          </c:tx>
          <c:spPr>
            <a:solidFill>
              <a:srgbClr val="24206C"/>
            </a:solidFill>
            <a:ln>
              <a:noFill/>
            </a:ln>
          </c:spPr>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'[1]Graph 1'!$A$5:$A$7</c:f>
              <c:strCache>
                <c:ptCount val="3"/>
                <c:pt idx="0">
                  <c:v>TAFE</c:v>
                </c:pt>
                <c:pt idx="1">
                  <c:v>Other Public</c:v>
                </c:pt>
                <c:pt idx="2">
                  <c:v>Private</c:v>
                </c:pt>
              </c:strCache>
            </c:strRef>
          </c:cat>
          <c:val>
            <c:numRef>
              <c:f>'[1]Graph 1'!$B$5:$B$7</c:f>
              <c:numCache>
                <c:formatCode>General</c:formatCode>
                <c:ptCount val="3"/>
                <c:pt idx="0">
                  <c:v>23</c:v>
                </c:pt>
                <c:pt idx="1">
                  <c:v>11</c:v>
                </c:pt>
                <c:pt idx="2">
                  <c:v>160</c:v>
                </c:pt>
              </c:numCache>
            </c:numRef>
          </c:val>
          <c:extLst>
            <c:ext xmlns:c16="http://schemas.microsoft.com/office/drawing/2014/chart" uri="{C3380CC4-5D6E-409C-BE32-E72D297353CC}">
              <c16:uniqueId val="{00000000-37A0-4003-A3CB-CA9DB7ACAAFD}"/>
            </c:ext>
          </c:extLst>
        </c:ser>
        <c:dLbls>
          <c:showLegendKey val="0"/>
          <c:showVal val="0"/>
          <c:showCatName val="0"/>
          <c:showSerName val="0"/>
          <c:showPercent val="0"/>
          <c:showBubbleSize val="0"/>
        </c:dLbls>
        <c:gapWidth val="75"/>
        <c:overlap val="-25"/>
        <c:axId val="217093632"/>
        <c:axId val="217095168"/>
      </c:barChart>
      <c:catAx>
        <c:axId val="217093632"/>
        <c:scaling>
          <c:orientation val="minMax"/>
        </c:scaling>
        <c:delete val="0"/>
        <c:axPos val="b"/>
        <c:numFmt formatCode="General" sourceLinked="0"/>
        <c:majorTickMark val="none"/>
        <c:minorTickMark val="none"/>
        <c:tickLblPos val="nextTo"/>
        <c:crossAx val="217095168"/>
        <c:crosses val="autoZero"/>
        <c:auto val="1"/>
        <c:lblAlgn val="ctr"/>
        <c:lblOffset val="100"/>
        <c:noMultiLvlLbl val="0"/>
      </c:catAx>
      <c:valAx>
        <c:axId val="217095168"/>
        <c:scaling>
          <c:orientation val="minMax"/>
        </c:scaling>
        <c:delete val="0"/>
        <c:axPos val="l"/>
        <c:title>
          <c:tx>
            <c:rich>
              <a:bodyPr/>
              <a:lstStyle/>
              <a:p>
                <a:pPr>
                  <a:defRPr/>
                </a:pPr>
                <a:r>
                  <a:rPr lang="en-AU"/>
                  <a:t>Number of providers</a:t>
                </a:r>
              </a:p>
            </c:rich>
          </c:tx>
          <c:overlay val="0"/>
        </c:title>
        <c:numFmt formatCode="General" sourceLinked="1"/>
        <c:majorTickMark val="none"/>
        <c:minorTickMark val="none"/>
        <c:tickLblPos val="nextTo"/>
        <c:spPr>
          <a:ln w="9525">
            <a:noFill/>
          </a:ln>
        </c:spPr>
        <c:crossAx val="217093632"/>
        <c:crosses val="autoZero"/>
        <c:crossBetween val="between"/>
      </c:valAx>
    </c:plotArea>
    <c:plotVisOnly val="1"/>
    <c:dispBlanksAs val="gap"/>
    <c:showDLblsOverMax val="0"/>
  </c:chart>
  <c:spPr>
    <a:ln w="38100">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'[VSL Six-monthly Report - Jul to Dec 2023 - Graphs.xlsx]Graph 2'!$B$4</c:f>
              <c:strCache>
                <c:ptCount val="1"/>
                <c:pt idx="0">
                  <c:v>VSL Loans</c:v>
                </c:pt>
              </c:strCache>
            </c:strRef>
          </c:tx>
          <c:spPr>
            <a:solidFill>
              <a:srgbClr val="24206C"/>
            </a:solidFill>
            <a:ln>
              <a:noFill/>
            </a:ln>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numRef>
              <c:f>'[VSL Six-monthly Report - Jul to Dec 2023 - Graphs.xlsx]Graph 2'!$A$5:$A$16</c:f>
              <c:numCache>
                <c:formatCode>mmm\ yyyy</c:formatCode>
                <c:ptCount val="12"/>
                <c:pt idx="0">
                  <c:v>45108</c:v>
                </c:pt>
                <c:pt idx="1">
                  <c:v>45139</c:v>
                </c:pt>
                <c:pt idx="2">
                  <c:v>45170</c:v>
                </c:pt>
                <c:pt idx="3">
                  <c:v>45200</c:v>
                </c:pt>
                <c:pt idx="4">
                  <c:v>45231</c:v>
                </c:pt>
                <c:pt idx="5">
                  <c:v>45261</c:v>
                </c:pt>
              </c:numCache>
            </c:numRef>
          </c:cat>
          <c:val>
            <c:numRef>
              <c:f>'[VSL Six-monthly Report - Jul to Dec 2023 - Graphs.xlsx]Graph 2'!$B$5:$B$16</c:f>
              <c:numCache>
                <c:formatCode>"$"#,##0</c:formatCode>
                <c:ptCount val="12"/>
                <c:pt idx="0">
                  <c:v>17455025.149999999</c:v>
                </c:pt>
                <c:pt idx="1">
                  <c:v>27770051.079999998</c:v>
                </c:pt>
                <c:pt idx="2">
                  <c:v>16271417.130000001</c:v>
                </c:pt>
                <c:pt idx="3">
                  <c:v>21584196.030000001</c:v>
                </c:pt>
                <c:pt idx="4">
                  <c:v>12133899.75</c:v>
                </c:pt>
                <c:pt idx="5">
                  <c:v>8173908.2400000002</c:v>
                </c:pt>
              </c:numCache>
            </c:numRef>
          </c:val>
          <c:extLst>
            <c:ext xmlns:c16="http://schemas.microsoft.com/office/drawing/2014/chart" uri="{C3380CC4-5D6E-409C-BE32-E72D297353CC}">
              <c16:uniqueId val="{00000000-5602-4167-BF4D-830E60AE5F7C}"/>
            </c:ext>
          </c:extLst>
        </c:ser>
        <c:dLbls>
          <c:showLegendKey val="0"/>
          <c:showVal val="0"/>
          <c:showCatName val="0"/>
          <c:showSerName val="0"/>
          <c:showPercent val="0"/>
          <c:showBubbleSize val="0"/>
        </c:dLbls>
        <c:gapWidth val="150"/>
        <c:axId val="215601152"/>
        <c:axId val="215602688"/>
      </c:barChart>
      <c:dateAx>
        <c:axId val="215601152"/>
        <c:scaling>
          <c:orientation val="minMax"/>
        </c:scaling>
        <c:delete val="0"/>
        <c:axPos val="b"/>
        <c:numFmt formatCode="mmm\ yyyy" sourceLinked="1"/>
        <c:majorTickMark val="out"/>
        <c:minorTickMark val="none"/>
        <c:tickLblPos val="nextTo"/>
        <c:txPr>
          <a:bodyPr/>
          <a:lstStyle/>
          <a:p>
            <a:pPr>
              <a:defRPr sz="1000"/>
            </a:pPr>
            <a:endParaRPr lang="en-US"/>
          </a:p>
        </c:txPr>
        <c:crossAx val="215602688"/>
        <c:crosses val="autoZero"/>
        <c:auto val="1"/>
        <c:lblOffset val="100"/>
        <c:baseTimeUnit val="months"/>
      </c:dateAx>
      <c:valAx>
        <c:axId val="215602688"/>
        <c:scaling>
          <c:orientation val="minMax"/>
          <c:max val="30000000"/>
        </c:scaling>
        <c:delete val="0"/>
        <c:axPos val="l"/>
        <c:numFmt formatCode="&quot;$&quot;#,##0" sourceLinked="1"/>
        <c:majorTickMark val="out"/>
        <c:minorTickMark val="none"/>
        <c:tickLblPos val="nextTo"/>
        <c:crossAx val="215601152"/>
        <c:crosses val="autoZero"/>
        <c:crossBetween val="between"/>
        <c:dispUnits>
          <c:builtInUnit val="millions"/>
          <c:dispUnitsLbl>
            <c:layout>
              <c:manualLayout>
                <c:xMode val="edge"/>
                <c:yMode val="edge"/>
                <c:x val="2.2222222222222223E-2"/>
                <c:y val="0.41702573636628754"/>
              </c:manualLayout>
            </c:layout>
            <c:tx>
              <c:rich>
                <a:bodyPr/>
                <a:lstStyle/>
                <a:p>
                  <a:pPr>
                    <a:defRPr/>
                  </a:pPr>
                  <a:r>
                    <a:rPr lang="en-AU"/>
                    <a:t>$ Millions</a:t>
                  </a:r>
                </a:p>
              </c:rich>
            </c:tx>
          </c:dispUnitsLbl>
        </c:dispUnits>
      </c:valAx>
    </c:plotArea>
    <c:plotVisOnly val="1"/>
    <c:dispBlanksAs val="gap"/>
    <c:showDLblsOverMax val="0"/>
  </c:chart>
  <c:spPr>
    <a:noFill/>
    <a:ln w="38100">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rgbClr val="24206C"/>
            </a:solidFill>
            <a:ln>
              <a:noFill/>
            </a:ln>
          </c:spPr>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'[VSL Six-monthly Report - Jul to Dec 2023 - Graphs.xlsx]Graph 3'!$A$5:$A$10</c:f>
              <c:strCache>
                <c:ptCount val="6"/>
                <c:pt idx="0">
                  <c:v>Jul 2023</c:v>
                </c:pt>
                <c:pt idx="1">
                  <c:v>Aug 2023</c:v>
                </c:pt>
                <c:pt idx="2">
                  <c:v>Sep 2023</c:v>
                </c:pt>
                <c:pt idx="3">
                  <c:v>Oct 2023</c:v>
                </c:pt>
                <c:pt idx="4">
                  <c:v>Nov 2023</c:v>
                </c:pt>
                <c:pt idx="5">
                  <c:v>Dec 2023</c:v>
                </c:pt>
              </c:strCache>
            </c:strRef>
          </c:cat>
          <c:val>
            <c:numRef>
              <c:f>'[VSL Six-monthly Report - Jul to Dec 2023 - Graphs.xlsx]Graph 3'!$B$5:$B$10</c:f>
              <c:numCache>
                <c:formatCode>_-* #,##0_-;\-* #,##0_-;_-* "-"??_-;_-@_-</c:formatCode>
                <c:ptCount val="6"/>
                <c:pt idx="0">
                  <c:v>4497</c:v>
                </c:pt>
                <c:pt idx="1">
                  <c:v>7306</c:v>
                </c:pt>
                <c:pt idx="2">
                  <c:v>2633</c:v>
                </c:pt>
                <c:pt idx="3">
                  <c:v>1527</c:v>
                </c:pt>
                <c:pt idx="4">
                  <c:v>654</c:v>
                </c:pt>
                <c:pt idx="5">
                  <c:v>491</c:v>
                </c:pt>
              </c:numCache>
            </c:numRef>
          </c:val>
          <c:extLst>
            <c:ext xmlns:c16="http://schemas.microsoft.com/office/drawing/2014/chart" uri="{C3380CC4-5D6E-409C-BE32-E72D297353CC}">
              <c16:uniqueId val="{00000000-D11E-4F15-96CB-3085D24AA7BF}"/>
            </c:ext>
          </c:extLst>
        </c:ser>
        <c:dLbls>
          <c:dLblPos val="outEnd"/>
          <c:showLegendKey val="0"/>
          <c:showVal val="1"/>
          <c:showCatName val="0"/>
          <c:showSerName val="0"/>
          <c:showPercent val="0"/>
          <c:showBubbleSize val="0"/>
        </c:dLbls>
        <c:gapWidth val="150"/>
        <c:axId val="234144896"/>
        <c:axId val="234146432"/>
      </c:barChart>
      <c:catAx>
        <c:axId val="234144896"/>
        <c:scaling>
          <c:orientation val="minMax"/>
        </c:scaling>
        <c:delete val="0"/>
        <c:axPos val="b"/>
        <c:numFmt formatCode="General" sourceLinked="0"/>
        <c:majorTickMark val="out"/>
        <c:minorTickMark val="none"/>
        <c:tickLblPos val="nextTo"/>
        <c:crossAx val="234146432"/>
        <c:crosses val="autoZero"/>
        <c:auto val="1"/>
        <c:lblAlgn val="ctr"/>
        <c:lblOffset val="100"/>
        <c:noMultiLvlLbl val="0"/>
      </c:catAx>
      <c:valAx>
        <c:axId val="234146432"/>
        <c:scaling>
          <c:orientation val="minMax"/>
        </c:scaling>
        <c:delete val="0"/>
        <c:axPos val="l"/>
        <c:title>
          <c:tx>
            <c:rich>
              <a:bodyPr/>
              <a:lstStyle/>
              <a:p>
                <a:pPr>
                  <a:defRPr/>
                </a:pPr>
                <a:r>
                  <a:rPr lang="en-AU"/>
                  <a:t>Number of students</a:t>
                </a:r>
              </a:p>
            </c:rich>
          </c:tx>
          <c:overlay val="0"/>
        </c:title>
        <c:numFmt formatCode="_-* #,##0_-;\-* #,##0_-;_-* &quot;-&quot;??_-;_-@_-" sourceLinked="1"/>
        <c:majorTickMark val="out"/>
        <c:minorTickMark val="none"/>
        <c:tickLblPos val="nextTo"/>
        <c:crossAx val="234144896"/>
        <c:crosses val="autoZero"/>
        <c:crossBetween val="between"/>
      </c:valAx>
    </c:plotArea>
    <c:plotVisOnly val="1"/>
    <c:dispBlanksAs val="gap"/>
    <c:showDLblsOverMax val="0"/>
  </c:chart>
  <c:spPr>
    <a:ln w="38100">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'[VSL Six-monthly Report - Jul to Dec 2023 - Graphs.xlsx]Graph 4'!$J$4</c:f>
              <c:strCache>
                <c:ptCount val="1"/>
                <c:pt idx="0">
                  <c:v>Number of providers</c:v>
                </c:pt>
              </c:strCache>
            </c:strRef>
          </c:tx>
          <c:spPr>
            <a:solidFill>
              <a:srgbClr val="24206C"/>
            </a:solidFill>
            <a:ln>
              <a:noFill/>
            </a:ln>
          </c:spPr>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'[VSL Six-monthly Report - Jul to Dec 2023 - Graphs.xlsx]Graph 4'!$I$5:$I$16</c:f>
              <c:strCache>
                <c:ptCount val="12"/>
                <c:pt idx="0">
                  <c:v>n/a</c:v>
                </c:pt>
                <c:pt idx="1">
                  <c:v>0</c:v>
                </c:pt>
                <c:pt idx="2">
                  <c:v>1-10</c:v>
                </c:pt>
                <c:pt idx="3">
                  <c:v>11-20</c:v>
                </c:pt>
                <c:pt idx="4">
                  <c:v>21-30</c:v>
                </c:pt>
                <c:pt idx="5">
                  <c:v>31-40</c:v>
                </c:pt>
                <c:pt idx="6">
                  <c:v>41-50</c:v>
                </c:pt>
                <c:pt idx="7">
                  <c:v>51-60</c:v>
                </c:pt>
                <c:pt idx="8">
                  <c:v>61-70</c:v>
                </c:pt>
                <c:pt idx="9">
                  <c:v>71-80</c:v>
                </c:pt>
                <c:pt idx="10">
                  <c:v>81-90</c:v>
                </c:pt>
                <c:pt idx="11">
                  <c:v>91-100</c:v>
                </c:pt>
              </c:strCache>
            </c:strRef>
          </c:cat>
          <c:val>
            <c:numRef>
              <c:f>'[VSL Six-monthly Report - Jul to Dec 2023 - Graphs.xlsx]Graph 4'!$J$5:$J$16</c:f>
              <c:numCache>
                <c:formatCode>General</c:formatCode>
                <c:ptCount val="12"/>
                <c:pt idx="0">
                  <c:v>75</c:v>
                </c:pt>
                <c:pt idx="1">
                  <c:v>6</c:v>
                </c:pt>
                <c:pt idx="2">
                  <c:v>0</c:v>
                </c:pt>
                <c:pt idx="3">
                  <c:v>2</c:v>
                </c:pt>
                <c:pt idx="4">
                  <c:v>2</c:v>
                </c:pt>
                <c:pt idx="5">
                  <c:v>2</c:v>
                </c:pt>
                <c:pt idx="6">
                  <c:v>3</c:v>
                </c:pt>
                <c:pt idx="7">
                  <c:v>7</c:v>
                </c:pt>
                <c:pt idx="8">
                  <c:v>5</c:v>
                </c:pt>
                <c:pt idx="9">
                  <c:v>17</c:v>
                </c:pt>
                <c:pt idx="10">
                  <c:v>17</c:v>
                </c:pt>
                <c:pt idx="11">
                  <c:v>58</c:v>
                </c:pt>
              </c:numCache>
            </c:numRef>
          </c:val>
          <c:extLst>
            <c:ext xmlns:c16="http://schemas.microsoft.com/office/drawing/2014/chart" uri="{C3380CC4-5D6E-409C-BE32-E72D297353CC}">
              <c16:uniqueId val="{00000000-7854-4A74-8930-8BE0B6177DE8}"/>
            </c:ext>
          </c:extLst>
        </c:ser>
        <c:dLbls>
          <c:dLblPos val="outEnd"/>
          <c:showLegendKey val="0"/>
          <c:showVal val="1"/>
          <c:showCatName val="0"/>
          <c:showSerName val="0"/>
          <c:showPercent val="0"/>
          <c:showBubbleSize val="0"/>
        </c:dLbls>
        <c:gapWidth val="0"/>
        <c:axId val="214761856"/>
        <c:axId val="214763776"/>
      </c:barChart>
      <c:catAx>
        <c:axId val="214761856"/>
        <c:scaling>
          <c:orientation val="minMax"/>
        </c:scaling>
        <c:delete val="0"/>
        <c:axPos val="b"/>
        <c:title>
          <c:tx>
            <c:rich>
              <a:bodyPr/>
              <a:lstStyle/>
              <a:p>
                <a:pPr>
                  <a:defRPr/>
                </a:pPr>
                <a:r>
                  <a:rPr lang="en-AU"/>
                  <a:t>Uni</a:t>
                </a:r>
                <a:r>
                  <a:rPr lang="en-AU" baseline="0"/>
                  <a:t>t of study completion rate ranges</a:t>
                </a:r>
              </a:p>
            </c:rich>
          </c:tx>
          <c:overlay val="0"/>
        </c:title>
        <c:numFmt formatCode="General" sourceLinked="0"/>
        <c:majorTickMark val="none"/>
        <c:minorTickMark val="none"/>
        <c:tickLblPos val="nextTo"/>
        <c:crossAx val="214763776"/>
        <c:crosses val="autoZero"/>
        <c:auto val="1"/>
        <c:lblAlgn val="ctr"/>
        <c:lblOffset val="100"/>
        <c:noMultiLvlLbl val="0"/>
      </c:catAx>
      <c:valAx>
        <c:axId val="214763776"/>
        <c:scaling>
          <c:orientation val="minMax"/>
        </c:scaling>
        <c:delete val="0"/>
        <c:axPos val="l"/>
        <c:title>
          <c:tx>
            <c:rich>
              <a:bodyPr/>
              <a:lstStyle/>
              <a:p>
                <a:pPr>
                  <a:defRPr/>
                </a:pPr>
                <a:r>
                  <a:rPr lang="en-AU"/>
                  <a:t>Number of providers</a:t>
                </a:r>
              </a:p>
            </c:rich>
          </c:tx>
          <c:layout>
            <c:manualLayout>
              <c:xMode val="edge"/>
              <c:yMode val="edge"/>
              <c:x val="1.4909142916166761E-2"/>
              <c:y val="0.15259720441921498"/>
            </c:manualLayout>
          </c:layout>
          <c:overlay val="0"/>
        </c:title>
        <c:numFmt formatCode="0" sourceLinked="0"/>
        <c:majorTickMark val="out"/>
        <c:minorTickMark val="none"/>
        <c:tickLblPos val="nextTo"/>
        <c:crossAx val="214761856"/>
        <c:crosses val="autoZero"/>
        <c:crossBetween val="between"/>
      </c:valAx>
      <c:spPr>
        <a:ln>
          <a:noFill/>
        </a:ln>
      </c:spPr>
    </c:plotArea>
    <c:plotVisOnly val="1"/>
    <c:dispBlanksAs val="gap"/>
    <c:showDLblsOverMax val="0"/>
  </c:chart>
  <c:spPr>
    <a:ln w="38100">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rgbClr val="24206C"/>
            </a:solidFill>
          </c:spPr>
          <c:invertIfNegative val="0"/>
          <c:dLbls>
            <c:dLbl>
              <c:idx val="0"/>
              <c:dLblPos val="outEnd"/>
              <c:showLegendKey val="0"/>
              <c:showVal val="1"/>
              <c:showCatName val="0"/>
              <c:showSerName val="0"/>
              <c:showPercent val="0"/>
              <c:showBubbleSize val="0"/>
              <c:extLst>
                <c:ext xmlns:c15="http://schemas.microsoft.com/office/drawing/2012/chart" uri="{CE6537A1-D6FC-4f65-9D91-7224C49458BB}">
                  <c15:layout>
                    <c:manualLayout>
                      <c:w val="8.3353631066208217E-2"/>
                      <c:h val="7.2908364277529322E-2"/>
                    </c:manualLayout>
                  </c15:layout>
                </c:ext>
                <c:ext xmlns:c16="http://schemas.microsoft.com/office/drawing/2014/chart" uri="{C3380CC4-5D6E-409C-BE32-E72D297353CC}">
                  <c16:uniqueId val="{00000000-AF27-44E9-88FF-9463937F2441}"/>
                </c:ext>
              </c:extLst>
            </c:dLbl>
            <c:numFmt formatCode="&quot;$&quot;#,##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'[VSL Six-monthly Report - Jul to Dec 2023 - Graphs.xlsx]Graph 5'!$A$5:$A$10</c:f>
              <c:strCache>
                <c:ptCount val="6"/>
                <c:pt idx="0">
                  <c:v>Jul 2023</c:v>
                </c:pt>
                <c:pt idx="1">
                  <c:v>Aug 2023</c:v>
                </c:pt>
                <c:pt idx="2">
                  <c:v>Sep 2023</c:v>
                </c:pt>
                <c:pt idx="3">
                  <c:v>Oct 2023</c:v>
                </c:pt>
                <c:pt idx="4">
                  <c:v>Nov 2023</c:v>
                </c:pt>
                <c:pt idx="5">
                  <c:v>Dec 2023</c:v>
                </c:pt>
              </c:strCache>
            </c:strRef>
          </c:cat>
          <c:val>
            <c:numRef>
              <c:f>'[VSL Six-monthly Report - Jul to Dec 2023 - Graphs.xlsx]Graph 5'!$B$5:$B$10</c:f>
              <c:numCache>
                <c:formatCode>"$"#,##0</c:formatCode>
                <c:ptCount val="6"/>
                <c:pt idx="0">
                  <c:v>18213357.640000001</c:v>
                </c:pt>
                <c:pt idx="1">
                  <c:v>29041154.73</c:v>
                </c:pt>
                <c:pt idx="2">
                  <c:v>17106783.030000001</c:v>
                </c:pt>
                <c:pt idx="3">
                  <c:v>23645560.289999999</c:v>
                </c:pt>
                <c:pt idx="4">
                  <c:v>12721100.890000001</c:v>
                </c:pt>
                <c:pt idx="5">
                  <c:v>8873139.8200000003</c:v>
                </c:pt>
              </c:numCache>
            </c:numRef>
          </c:val>
          <c:extLst>
            <c:ext xmlns:c16="http://schemas.microsoft.com/office/drawing/2014/chart" uri="{C3380CC4-5D6E-409C-BE32-E72D297353CC}">
              <c16:uniqueId val="{00000000-0B4A-417D-A7D7-521C332381A2}"/>
            </c:ext>
          </c:extLst>
        </c:ser>
        <c:dLbls>
          <c:dLblPos val="outEnd"/>
          <c:showLegendKey val="0"/>
          <c:showVal val="1"/>
          <c:showCatName val="0"/>
          <c:showSerName val="0"/>
          <c:showPercent val="0"/>
          <c:showBubbleSize val="0"/>
        </c:dLbls>
        <c:gapWidth val="150"/>
        <c:axId val="234575744"/>
        <c:axId val="234577280"/>
      </c:barChart>
      <c:catAx>
        <c:axId val="234575744"/>
        <c:scaling>
          <c:orientation val="minMax"/>
        </c:scaling>
        <c:delete val="0"/>
        <c:axPos val="b"/>
        <c:numFmt formatCode="General" sourceLinked="0"/>
        <c:majorTickMark val="out"/>
        <c:minorTickMark val="none"/>
        <c:tickLblPos val="nextTo"/>
        <c:crossAx val="234577280"/>
        <c:crosses val="autoZero"/>
        <c:auto val="1"/>
        <c:lblAlgn val="ctr"/>
        <c:lblOffset val="100"/>
        <c:noMultiLvlLbl val="0"/>
      </c:catAx>
      <c:valAx>
        <c:axId val="234577280"/>
        <c:scaling>
          <c:orientation val="minMax"/>
        </c:scaling>
        <c:delete val="0"/>
        <c:axPos val="l"/>
        <c:numFmt formatCode="#,##0" sourceLinked="0"/>
        <c:majorTickMark val="out"/>
        <c:minorTickMark val="none"/>
        <c:tickLblPos val="nextTo"/>
        <c:crossAx val="234575744"/>
        <c:crosses val="autoZero"/>
        <c:crossBetween val="between"/>
        <c:dispUnits>
          <c:builtInUnit val="millions"/>
          <c:dispUnitsLbl>
            <c:layout>
              <c:manualLayout>
                <c:xMode val="edge"/>
                <c:yMode val="edge"/>
                <c:x val="1.9444444444444445E-2"/>
                <c:y val="0.43091462525517643"/>
              </c:manualLayout>
            </c:layout>
            <c:tx>
              <c:rich>
                <a:bodyPr/>
                <a:lstStyle/>
                <a:p>
                  <a:pPr>
                    <a:defRPr/>
                  </a:pPr>
                  <a:r>
                    <a:rPr lang="en-AU"/>
                    <a:t>$ Millions</a:t>
                  </a:r>
                </a:p>
              </c:rich>
            </c:tx>
          </c:dispUnitsLbl>
        </c:dispUnits>
      </c:valAx>
    </c:plotArea>
    <c:plotVisOnly val="1"/>
    <c:dispBlanksAs val="gap"/>
    <c:showDLblsOverMax val="0"/>
  </c:chart>
  <c:spPr>
    <a:ln w="38100">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1bba48b-5e9c-4a6b-8c87-af146ca15ca1" xsi:nil="true"/>
    <lcf76f155ced4ddcb4097134ff3c332f xmlns="74b214de-b2cb-4b64-9cf9-f17c021c4d29">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E54DDAF54D54044A037F2194A22F7FE" ma:contentTypeVersion="14" ma:contentTypeDescription="Create a new document." ma:contentTypeScope="" ma:versionID="7f46898442e75fb8fd63280afd52e1f2">
  <xsd:schema xmlns:xsd="http://www.w3.org/2001/XMLSchema" xmlns:xs="http://www.w3.org/2001/XMLSchema" xmlns:p="http://schemas.microsoft.com/office/2006/metadata/properties" xmlns:ns2="74b214de-b2cb-4b64-9cf9-f17c021c4d29" xmlns:ns3="f1bba48b-5e9c-4a6b-8c87-af146ca15ca1" targetNamespace="http://schemas.microsoft.com/office/2006/metadata/properties" ma:root="true" ma:fieldsID="308e2880fd92d23dcd576baec0bd41ea" ns2:_="" ns3:_="">
    <xsd:import namespace="74b214de-b2cb-4b64-9cf9-f17c021c4d29"/>
    <xsd:import namespace="f1bba48b-5e9c-4a6b-8c87-af146ca15ca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b214de-b2cb-4b64-9cf9-f17c021c4d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147e460-a74b-4414-8224-31362e5846f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1bba48b-5e9c-4a6b-8c87-af146ca15ca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6ae1549e-0490-4567-bdd5-fc0808141634}" ma:internalName="TaxCatchAll" ma:showField="CatchAllData" ma:web="f1bba48b-5e9c-4a6b-8c87-af146ca15ca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2F9FC3-9207-4122-BEBC-035519A095C2}">
  <ds:schemaRefs>
    <ds:schemaRef ds:uri="http://schemas.openxmlformats.org/officeDocument/2006/bibliography"/>
  </ds:schemaRefs>
</ds:datastoreItem>
</file>

<file path=customXml/itemProps2.xml><?xml version="1.0" encoding="utf-8"?>
<ds:datastoreItem xmlns:ds="http://schemas.openxmlformats.org/officeDocument/2006/customXml" ds:itemID="{ED94D405-9973-48D1-8EDD-10C2A48FE605}">
  <ds:schemaRefs>
    <ds:schemaRef ds:uri="http://schemas.microsoft.com/sharepoint/v3/contenttype/forms"/>
  </ds:schemaRefs>
</ds:datastoreItem>
</file>

<file path=customXml/itemProps3.xml><?xml version="1.0" encoding="utf-8"?>
<ds:datastoreItem xmlns:ds="http://schemas.openxmlformats.org/officeDocument/2006/customXml" ds:itemID="{FC24D5FC-EC8C-4E7A-9147-571FE389FB1D}">
  <ds:schemaRefs>
    <ds:schemaRef ds:uri="http://schemas.openxmlformats.org/package/2006/metadata/core-properties"/>
    <ds:schemaRef ds:uri="http://schemas.microsoft.com/office/infopath/2007/PartnerControls"/>
    <ds:schemaRef ds:uri="59B85C97-871D-4F19-8E3F-DDCED3889E2A"/>
    <ds:schemaRef ds:uri="http://schemas.microsoft.com/office/2006/metadata/properties"/>
    <ds:schemaRef ds:uri="http://schemas.microsoft.com/office/2006/documentManagement/types"/>
    <ds:schemaRef ds:uri="http://purl.org/dc/terms/"/>
    <ds:schemaRef ds:uri="http://purl.org/dc/elements/1.1/"/>
    <ds:schemaRef ds:uri="http://www.w3.org/XML/1998/namespace"/>
    <ds:schemaRef ds:uri="http://purl.org/dc/dcmitype/"/>
  </ds:schemaRefs>
</ds:datastoreItem>
</file>

<file path=customXml/itemProps4.xml><?xml version="1.0" encoding="utf-8"?>
<ds:datastoreItem xmlns:ds="http://schemas.openxmlformats.org/officeDocument/2006/customXml" ds:itemID="{E804963D-119A-4B84-8AA6-8F9CF525C67D}"/>
</file>

<file path=docProps/app.xml><?xml version="1.0" encoding="utf-8"?>
<Properties xmlns="http://schemas.openxmlformats.org/officeDocument/2006/extended-properties" xmlns:vt="http://schemas.openxmlformats.org/officeDocument/2006/docPropsVTypes">
  <Template>Normal</Template>
  <TotalTime>0</TotalTime>
  <Pages>8</Pages>
  <Words>1640</Words>
  <Characters>9350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10969</CharactersWithSpaces>
  <SharedDoc>false</SharedDoc>
  <HLinks>
    <vt:vector size="36" baseType="variant">
      <vt:variant>
        <vt:i4>4784196</vt:i4>
      </vt:variant>
      <vt:variant>
        <vt:i4>6</vt:i4>
      </vt:variant>
      <vt:variant>
        <vt:i4>0</vt:i4>
      </vt:variant>
      <vt:variant>
        <vt:i4>5</vt:i4>
      </vt:variant>
      <vt:variant>
        <vt:lpwstr>https://www.education.gov.au/vet-student-loans-statistics</vt:lpwstr>
      </vt:variant>
      <vt:variant>
        <vt:lpwstr/>
      </vt:variant>
      <vt:variant>
        <vt:i4>917534</vt:i4>
      </vt:variant>
      <vt:variant>
        <vt:i4>3</vt:i4>
      </vt:variant>
      <vt:variant>
        <vt:i4>0</vt:i4>
      </vt:variant>
      <vt:variant>
        <vt:i4>5</vt:i4>
      </vt:variant>
      <vt:variant>
        <vt:lpwstr>https://www.legislation.gov.au/Series/F2016L02016</vt:lpwstr>
      </vt:variant>
      <vt:variant>
        <vt:lpwstr/>
      </vt:variant>
      <vt:variant>
        <vt:i4>917578</vt:i4>
      </vt:variant>
      <vt:variant>
        <vt:i4>0</vt:i4>
      </vt:variant>
      <vt:variant>
        <vt:i4>0</vt:i4>
      </vt:variant>
      <vt:variant>
        <vt:i4>5</vt:i4>
      </vt:variant>
      <vt:variant>
        <vt:lpwstr>http://creativecommons.org/licenses/by/4.0/legalcode</vt:lpwstr>
      </vt:variant>
      <vt:variant>
        <vt:lpwstr/>
      </vt:variant>
      <vt:variant>
        <vt:i4>7012389</vt:i4>
      </vt:variant>
      <vt:variant>
        <vt:i4>6</vt:i4>
      </vt:variant>
      <vt:variant>
        <vt:i4>0</vt:i4>
      </vt:variant>
      <vt:variant>
        <vt:i4>5</vt:i4>
      </vt:variant>
      <vt:variant>
        <vt:lpwstr>https://www.dewr.gov.au/vet-student-loans/vet-student-loans-statistics</vt:lpwstr>
      </vt:variant>
      <vt:variant>
        <vt:lpwstr/>
      </vt:variant>
      <vt:variant>
        <vt:i4>7667754</vt:i4>
      </vt:variant>
      <vt:variant>
        <vt:i4>3</vt:i4>
      </vt:variant>
      <vt:variant>
        <vt:i4>0</vt:i4>
      </vt:variant>
      <vt:variant>
        <vt:i4>5</vt:i4>
      </vt:variant>
      <vt:variant>
        <vt:lpwstr>https://www.legislation.gov.au/Details/F2016L02016</vt:lpwstr>
      </vt:variant>
      <vt:variant>
        <vt:lpwstr/>
      </vt:variant>
      <vt:variant>
        <vt:i4>3407999</vt:i4>
      </vt:variant>
      <vt:variant>
        <vt:i4>0</vt:i4>
      </vt:variant>
      <vt:variant>
        <vt:i4>0</vt:i4>
      </vt:variant>
      <vt:variant>
        <vt:i4>5</vt:i4>
      </vt:variant>
      <vt:variant>
        <vt:lpwstr>https://www.dewr.gov.au/vet-student-loans/resources/vet-student-loans-courses-and-loan-caps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2024-02-06T01:47:00Z</dcterms:created>
  <dcterms:modified xsi:type="dcterms:W3CDTF">2024-02-06T01:47:00Z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2022-07-28T07:53:57Z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73ccba2b-7def-4743-8e46-893b476230c5</vt:lpwstr>
  </property>
  <property fmtid="{D5CDD505-2E9C-101B-9397-08002B2CF9AE}" pid="8" name="MSIP_Label_79d889eb-932f-4752-8739-64d25806ef64_ContentBits">
    <vt:lpwstr>0</vt:lpwstr>
  </property>
  <property fmtid="{D5CDD505-2E9C-101B-9397-08002B2CF9AE}" pid="9" name="ContentTypeId">
    <vt:lpwstr>0x0101007E54DDAF54D54044A037F2194A22F7FE</vt:lpwstr>
  </property>
  <property fmtid="{D5CDD505-2E9C-101B-9397-08002B2CF9AE}" pid="10" name="MediaServiceImageTags">
    <vt:lpwstr/>
  </property>
</Properties>
</file>