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5645D" w14:textId="00B604B7" w:rsidR="003E65A1" w:rsidRPr="00C07887" w:rsidRDefault="00C07887" w:rsidP="00C07887">
      <w:pPr>
        <w:pStyle w:val="Title"/>
        <w:rPr>
          <w:sz w:val="60"/>
          <w:szCs w:val="60"/>
        </w:rPr>
      </w:pPr>
      <w:bookmarkStart w:id="0" w:name="_Toc30065222"/>
      <w:r w:rsidRPr="00BE58B0">
        <w:rPr>
          <w:sz w:val="60"/>
          <w:szCs w:val="60"/>
        </w:rPr>
        <w:t>VSL Course Caps Indexed Amounts</w:t>
      </w:r>
    </w:p>
    <w:p w14:paraId="25AD71DE" w14:textId="77777777" w:rsidR="005627FB" w:rsidRDefault="005627FB" w:rsidP="005627FB">
      <w:pPr>
        <w:rPr>
          <w:rFonts w:cstheme="minorHAnsi"/>
        </w:rPr>
      </w:pPr>
      <w:bookmarkStart w:id="1" w:name="_Hlk109643532"/>
      <w:bookmarkStart w:id="2" w:name="_Hlk109391065"/>
      <w:bookmarkEnd w:id="0"/>
      <w:r>
        <w:rPr>
          <w:rFonts w:cstheme="minorHAnsi"/>
        </w:rPr>
        <w:t xml:space="preserve">Maximum loan amounts for VSL courses are indexed annually on 1 January in line with the </w:t>
      </w:r>
      <w:r>
        <w:rPr>
          <w:rFonts w:cstheme="minorHAnsi"/>
        </w:rPr>
        <w:br/>
      </w:r>
      <w:r w:rsidRPr="00322E88">
        <w:rPr>
          <w:rFonts w:cstheme="minorHAnsi"/>
        </w:rPr>
        <w:t>VET Student Loans (Courses and Loan Caps) Determination 2016.</w:t>
      </w:r>
      <w:r>
        <w:rPr>
          <w:rFonts w:cstheme="minorHAnsi"/>
        </w:rPr>
        <w:t xml:space="preserve"> </w:t>
      </w:r>
    </w:p>
    <w:p w14:paraId="09F62340" w14:textId="191ADDB1" w:rsidR="005627FB" w:rsidRDefault="005627FB" w:rsidP="005627FB">
      <w:pPr>
        <w:rPr>
          <w:rFonts w:cstheme="minorHAnsi"/>
        </w:rPr>
      </w:pPr>
      <w:r>
        <w:rPr>
          <w:rFonts w:cstheme="minorHAnsi"/>
        </w:rPr>
        <w:t>The maximum loan amounts for 202</w:t>
      </w:r>
      <w:r w:rsidR="001829FD">
        <w:rPr>
          <w:rFonts w:cstheme="minorHAnsi"/>
        </w:rPr>
        <w:t>4</w:t>
      </w:r>
      <w:r>
        <w:rPr>
          <w:rFonts w:cstheme="minorHAnsi"/>
        </w:rPr>
        <w:t xml:space="preserve"> have recently been finalised. These will apply to all units of study (new and continuing VSL students) with a census day of 1 January 202</w:t>
      </w:r>
      <w:r w:rsidR="00C24E4E">
        <w:rPr>
          <w:rFonts w:cstheme="minorHAnsi"/>
        </w:rPr>
        <w:t>5</w:t>
      </w:r>
      <w:r>
        <w:rPr>
          <w:rFonts w:cstheme="minorHAnsi"/>
        </w:rPr>
        <w:t xml:space="preserve"> or later.  </w:t>
      </w:r>
    </w:p>
    <w:bookmarkEnd w:id="1"/>
    <w:p w14:paraId="42B2FA4F" w14:textId="3CFAD19B" w:rsidR="005627FB" w:rsidRDefault="005627FB" w:rsidP="005627FB">
      <w:pPr>
        <w:rPr>
          <w:rFonts w:cstheme="minorHAnsi"/>
        </w:rPr>
      </w:pPr>
      <w:r>
        <w:rPr>
          <w:rFonts w:cstheme="minorHAnsi"/>
        </w:rPr>
        <w:t>Providers seeking to adjust their tuition fees for 202</w:t>
      </w:r>
      <w:r w:rsidR="00C24E4E">
        <w:rPr>
          <w:rFonts w:cstheme="minorHAnsi"/>
        </w:rPr>
        <w:t>5</w:t>
      </w:r>
      <w:r>
        <w:rPr>
          <w:rFonts w:cstheme="minorHAnsi"/>
        </w:rPr>
        <w:t xml:space="preserve">, including increasing fees to reflect the indexed amounts, must publish the new tuition fee schedule on their website. </w:t>
      </w:r>
    </w:p>
    <w:p w14:paraId="67397B0B" w14:textId="77777777" w:rsidR="005627FB" w:rsidRDefault="005627FB" w:rsidP="005627FB">
      <w:pPr>
        <w:rPr>
          <w:rFonts w:cstheme="minorHAnsi"/>
        </w:rPr>
      </w:pPr>
      <w:r>
        <w:rPr>
          <w:rFonts w:cstheme="minorHAnsi"/>
        </w:rPr>
        <w:t xml:space="preserve">Providers must ensure that tuition fees charged to students align with fees prescribed in the issued Statements of Covered Fees and Fee </w:t>
      </w:r>
      <w:proofErr w:type="gramStart"/>
      <w:r>
        <w:rPr>
          <w:rFonts w:cstheme="minorHAnsi"/>
        </w:rPr>
        <w:t>Notices, and</w:t>
      </w:r>
      <w:proofErr w:type="gramEnd"/>
      <w:r>
        <w:rPr>
          <w:rFonts w:cstheme="minorHAnsi"/>
        </w:rPr>
        <w:t xml:space="preserve"> must not exceed the maximum tuition fees specified in a student’s eCAF VSL application. Any changes to a continuing student’s VSL loan amounts must be discussed and agreed with the student and new Statements and Notices issued as required.</w:t>
      </w:r>
    </w:p>
    <w:p w14:paraId="10DA1B36" w14:textId="1E2D817F" w:rsidR="00802D93" w:rsidRDefault="00BA4964" w:rsidP="00BA4964">
      <w:pPr>
        <w:pStyle w:val="Caption"/>
        <w:keepNext/>
      </w:pPr>
      <w:r>
        <w:t xml:space="preserve">Table </w:t>
      </w:r>
      <w:r w:rsidR="00ED7FF5">
        <w:fldChar w:fldCharType="begin"/>
      </w:r>
      <w:r w:rsidR="00ED7FF5">
        <w:instrText xml:space="preserve"> SEQ Table \* ARABIC </w:instrText>
      </w:r>
      <w:r w:rsidR="00ED7FF5">
        <w:fldChar w:fldCharType="separate"/>
      </w:r>
      <w:r w:rsidR="00F13E56">
        <w:rPr>
          <w:noProof/>
        </w:rPr>
        <w:t>1</w:t>
      </w:r>
      <w:r w:rsidR="00ED7FF5">
        <w:rPr>
          <w:noProof/>
        </w:rPr>
        <w:fldChar w:fldCharType="end"/>
      </w:r>
      <w:r w:rsidR="00E87421">
        <w:t>:</w:t>
      </w:r>
      <w:r>
        <w:t xml:space="preserve"> VET Student Loans (Courses and Loan Caps) Determination 2016 </w:t>
      </w:r>
      <w:r w:rsidR="00C60577">
        <w:t xml:space="preserve">– Loan amount indexation </w:t>
      </w:r>
    </w:p>
    <w:p w14:paraId="5F08031A" w14:textId="693A474D" w:rsidR="00BA4964" w:rsidRDefault="00C60577" w:rsidP="00802D93">
      <w:pPr>
        <w:pStyle w:val="Caption"/>
        <w:keepNext/>
        <w:spacing w:before="0"/>
      </w:pPr>
      <w:r>
        <w:t xml:space="preserve">for </w:t>
      </w:r>
      <w:r w:rsidR="00BA4964">
        <w:t>2018, 2019, 2020, 2021, 2022</w:t>
      </w:r>
      <w:r w:rsidR="001829FD">
        <w:t xml:space="preserve">, </w:t>
      </w:r>
      <w:r w:rsidR="00BA4964">
        <w:t>2023</w:t>
      </w:r>
      <w:r w:rsidR="00C24E4E">
        <w:t xml:space="preserve">, </w:t>
      </w:r>
      <w:r w:rsidR="001829FD">
        <w:t>2024</w:t>
      </w:r>
      <w:r w:rsidR="00C24E4E">
        <w:t xml:space="preserve"> and 2025</w:t>
      </w:r>
    </w:p>
    <w:tbl>
      <w:tblPr>
        <w:tblStyle w:val="TableGrid"/>
        <w:tblpPr w:leftFromText="181" w:rightFromText="181" w:bottomFromText="142" w:vertAnchor="text" w:tblpY="1"/>
        <w:tblOverlap w:val="never"/>
        <w:tblW w:w="9455" w:type="dxa"/>
        <w:tblBorders>
          <w:top w:val="single" w:sz="8" w:space="0" w:color="292065"/>
          <w:left w:val="single" w:sz="8" w:space="0" w:color="292065"/>
          <w:bottom w:val="single" w:sz="8" w:space="0" w:color="292065"/>
          <w:right w:val="single" w:sz="8" w:space="0" w:color="292065"/>
          <w:insideH w:val="single" w:sz="8" w:space="0" w:color="292065"/>
          <w:insideV w:val="single" w:sz="8" w:space="0" w:color="292065"/>
        </w:tblBorders>
        <w:tblLayout w:type="fixed"/>
        <w:tblLook w:val="04A0" w:firstRow="1" w:lastRow="0" w:firstColumn="1" w:lastColumn="0" w:noHBand="0" w:noVBand="1"/>
        <w:tblCaption w:val="Table 1: VEt Student Loans (Courses and Loan Caps) Determiantion 2016 - 2018, 2019, 2020, 2021, 2022 and 2023"/>
        <w:tblDescription w:val="The table shows the loan caps amounts, indexed for each of the years."/>
      </w:tblPr>
      <w:tblGrid>
        <w:gridCol w:w="2399"/>
        <w:gridCol w:w="882"/>
        <w:gridCol w:w="23"/>
        <w:gridCol w:w="859"/>
        <w:gridCol w:w="46"/>
        <w:gridCol w:w="836"/>
        <w:gridCol w:w="68"/>
        <w:gridCol w:w="815"/>
        <w:gridCol w:w="90"/>
        <w:gridCol w:w="779"/>
        <w:gridCol w:w="16"/>
        <w:gridCol w:w="882"/>
        <w:gridCol w:w="8"/>
        <w:gridCol w:w="876"/>
        <w:gridCol w:w="876"/>
      </w:tblGrid>
      <w:tr w:rsidR="00C24E4E" w14:paraId="77F76D0C" w14:textId="27AED6AC" w:rsidTr="00C24E4E">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99" w:type="dxa"/>
            <w:shd w:val="clear" w:color="auto" w:fill="292065"/>
          </w:tcPr>
          <w:p w14:paraId="308473BD" w14:textId="77777777" w:rsidR="00C24E4E" w:rsidRDefault="00C24E4E" w:rsidP="00DA5B04">
            <w:pPr>
              <w:spacing w:after="0"/>
              <w:jc w:val="center"/>
              <w:rPr>
                <w:rFonts w:cstheme="minorHAnsi"/>
                <w:b w:val="0"/>
              </w:rPr>
            </w:pPr>
          </w:p>
        </w:tc>
        <w:tc>
          <w:tcPr>
            <w:tcW w:w="905" w:type="dxa"/>
            <w:gridSpan w:val="2"/>
            <w:shd w:val="clear" w:color="auto" w:fill="292065"/>
            <w:vAlign w:val="center"/>
          </w:tcPr>
          <w:p w14:paraId="6458D813" w14:textId="77777777"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2018</w:t>
            </w:r>
            <w:r>
              <w:rPr>
                <w:rFonts w:cstheme="minorHAnsi"/>
                <w:b w:val="0"/>
              </w:rPr>
              <w:br/>
              <w:t>($)</w:t>
            </w:r>
          </w:p>
        </w:tc>
        <w:tc>
          <w:tcPr>
            <w:tcW w:w="905" w:type="dxa"/>
            <w:gridSpan w:val="2"/>
            <w:shd w:val="clear" w:color="auto" w:fill="292065"/>
            <w:vAlign w:val="center"/>
          </w:tcPr>
          <w:p w14:paraId="3F663681" w14:textId="77777777"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2019</w:t>
            </w:r>
            <w:r>
              <w:rPr>
                <w:rFonts w:cstheme="minorHAnsi"/>
                <w:b w:val="0"/>
              </w:rPr>
              <w:br/>
              <w:t>($)</w:t>
            </w:r>
          </w:p>
        </w:tc>
        <w:tc>
          <w:tcPr>
            <w:tcW w:w="904" w:type="dxa"/>
            <w:gridSpan w:val="2"/>
            <w:shd w:val="clear" w:color="auto" w:fill="292065"/>
            <w:vAlign w:val="center"/>
          </w:tcPr>
          <w:p w14:paraId="4F45D864" w14:textId="77777777"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2020</w:t>
            </w:r>
            <w:r>
              <w:rPr>
                <w:rFonts w:cstheme="minorHAnsi"/>
                <w:b w:val="0"/>
              </w:rPr>
              <w:br/>
              <w:t>($)</w:t>
            </w:r>
          </w:p>
        </w:tc>
        <w:tc>
          <w:tcPr>
            <w:tcW w:w="905" w:type="dxa"/>
            <w:gridSpan w:val="2"/>
            <w:shd w:val="clear" w:color="auto" w:fill="292065"/>
            <w:vAlign w:val="center"/>
          </w:tcPr>
          <w:p w14:paraId="458B52E3" w14:textId="77777777"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2021</w:t>
            </w:r>
            <w:r>
              <w:rPr>
                <w:rFonts w:cstheme="minorHAnsi"/>
                <w:b w:val="0"/>
              </w:rPr>
              <w:br/>
              <w:t>($)</w:t>
            </w:r>
          </w:p>
        </w:tc>
        <w:tc>
          <w:tcPr>
            <w:tcW w:w="779" w:type="dxa"/>
            <w:shd w:val="clear" w:color="auto" w:fill="292065"/>
            <w:vAlign w:val="center"/>
          </w:tcPr>
          <w:p w14:paraId="0CF7B126" w14:textId="77777777"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2022</w:t>
            </w:r>
            <w:r>
              <w:rPr>
                <w:rFonts w:cstheme="minorHAnsi"/>
                <w:b w:val="0"/>
              </w:rPr>
              <w:br/>
              <w:t>($)</w:t>
            </w:r>
          </w:p>
        </w:tc>
        <w:tc>
          <w:tcPr>
            <w:tcW w:w="906" w:type="dxa"/>
            <w:gridSpan w:val="3"/>
            <w:shd w:val="clear" w:color="auto" w:fill="292065"/>
          </w:tcPr>
          <w:p w14:paraId="1553BAC0" w14:textId="77777777" w:rsidR="00C24E4E" w:rsidRPr="001829FD"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bCs/>
              </w:rPr>
            </w:pPr>
            <w:r w:rsidRPr="001829FD">
              <w:rPr>
                <w:rFonts w:cstheme="minorHAnsi"/>
                <w:b w:val="0"/>
                <w:bCs/>
              </w:rPr>
              <w:t>2023</w:t>
            </w:r>
          </w:p>
          <w:p w14:paraId="48301737" w14:textId="77777777"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r w:rsidRPr="001829FD">
              <w:rPr>
                <w:rFonts w:cstheme="minorHAnsi"/>
                <w:b w:val="0"/>
                <w:bCs/>
              </w:rPr>
              <w:t>($)</w:t>
            </w:r>
          </w:p>
        </w:tc>
        <w:tc>
          <w:tcPr>
            <w:tcW w:w="876" w:type="dxa"/>
            <w:shd w:val="clear" w:color="auto" w:fill="292065"/>
          </w:tcPr>
          <w:p w14:paraId="03C4E026" w14:textId="77777777"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2024</w:t>
            </w:r>
          </w:p>
          <w:p w14:paraId="445845F0" w14:textId="4C15C7CB"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p>
        </w:tc>
        <w:tc>
          <w:tcPr>
            <w:tcW w:w="876" w:type="dxa"/>
            <w:shd w:val="clear" w:color="auto" w:fill="292065"/>
          </w:tcPr>
          <w:p w14:paraId="07A325C7" w14:textId="77777777"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2025</w:t>
            </w:r>
          </w:p>
          <w:p w14:paraId="796E39C1" w14:textId="20F1FFBC" w:rsidR="00C24E4E" w:rsidRDefault="00C24E4E" w:rsidP="00DA5B04">
            <w:pPr>
              <w:spacing w:after="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C24E4E" w:rsidRPr="00F8616C" w14:paraId="2CFD1C7F" w14:textId="6CD278B5" w:rsidTr="00C24E4E">
        <w:trPr>
          <w:trHeight w:val="469"/>
        </w:trPr>
        <w:tc>
          <w:tcPr>
            <w:cnfStyle w:val="001000000000" w:firstRow="0" w:lastRow="0" w:firstColumn="1" w:lastColumn="0" w:oddVBand="0" w:evenVBand="0" w:oddHBand="0" w:evenHBand="0" w:firstRowFirstColumn="0" w:firstRowLastColumn="0" w:lastRowFirstColumn="0" w:lastRowLastColumn="0"/>
            <w:tcW w:w="2399" w:type="dxa"/>
          </w:tcPr>
          <w:p w14:paraId="6A1F5DEB" w14:textId="78D07180" w:rsidR="00C24E4E" w:rsidRDefault="00C24E4E" w:rsidP="00DA5B04">
            <w:pPr>
              <w:spacing w:after="0"/>
              <w:rPr>
                <w:rFonts w:cstheme="minorHAnsi"/>
                <w:b/>
              </w:rPr>
            </w:pPr>
            <w:r w:rsidRPr="00274AEA">
              <w:rPr>
                <w:rFonts w:cstheme="minorHAnsi"/>
              </w:rPr>
              <w:t>Band</w:t>
            </w:r>
            <w:r>
              <w:rPr>
                <w:rFonts w:cstheme="minorHAnsi"/>
              </w:rPr>
              <w:t xml:space="preserve"> 1 (Part 1, Schedule 1) </w:t>
            </w:r>
          </w:p>
        </w:tc>
        <w:tc>
          <w:tcPr>
            <w:tcW w:w="882" w:type="dxa"/>
            <w:vAlign w:val="center"/>
          </w:tcPr>
          <w:p w14:paraId="5062E440"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5,075</w:t>
            </w:r>
          </w:p>
        </w:tc>
        <w:tc>
          <w:tcPr>
            <w:tcW w:w="882" w:type="dxa"/>
            <w:gridSpan w:val="2"/>
            <w:vAlign w:val="center"/>
          </w:tcPr>
          <w:p w14:paraId="7CDB49F5"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5,171</w:t>
            </w:r>
          </w:p>
        </w:tc>
        <w:tc>
          <w:tcPr>
            <w:tcW w:w="882" w:type="dxa"/>
            <w:gridSpan w:val="2"/>
            <w:vAlign w:val="center"/>
          </w:tcPr>
          <w:p w14:paraId="03B12CA0"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5,264</w:t>
            </w:r>
          </w:p>
        </w:tc>
        <w:tc>
          <w:tcPr>
            <w:tcW w:w="883" w:type="dxa"/>
            <w:gridSpan w:val="2"/>
            <w:vAlign w:val="center"/>
          </w:tcPr>
          <w:p w14:paraId="3F09A9E7"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5,358</w:t>
            </w:r>
          </w:p>
        </w:tc>
        <w:tc>
          <w:tcPr>
            <w:tcW w:w="885" w:type="dxa"/>
            <w:gridSpan w:val="3"/>
            <w:vAlign w:val="center"/>
          </w:tcPr>
          <w:p w14:paraId="70C7CA19"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5,406</w:t>
            </w:r>
          </w:p>
        </w:tc>
        <w:tc>
          <w:tcPr>
            <w:tcW w:w="882" w:type="dxa"/>
            <w:vAlign w:val="center"/>
          </w:tcPr>
          <w:p w14:paraId="3BA1105A"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5,595</w:t>
            </w:r>
          </w:p>
        </w:tc>
        <w:tc>
          <w:tcPr>
            <w:tcW w:w="884" w:type="dxa"/>
            <w:gridSpan w:val="2"/>
          </w:tcPr>
          <w:p w14:paraId="090C43DC" w14:textId="309EA3D9" w:rsidR="00C24E4E" w:rsidRDefault="00C24E4E" w:rsidP="00DE2B72">
            <w:pPr>
              <w:spacing w:before="8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6,031</w:t>
            </w:r>
          </w:p>
        </w:tc>
        <w:tc>
          <w:tcPr>
            <w:tcW w:w="876" w:type="dxa"/>
          </w:tcPr>
          <w:p w14:paraId="616D9BDB" w14:textId="79797928" w:rsidR="00C24E4E" w:rsidRDefault="004A31AF" w:rsidP="00DE2B72">
            <w:pPr>
              <w:spacing w:before="8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6,278</w:t>
            </w:r>
          </w:p>
        </w:tc>
      </w:tr>
      <w:tr w:rsidR="00C24E4E" w:rsidRPr="00F8616C" w14:paraId="1110AB61" w14:textId="3B2EBF59" w:rsidTr="00C24E4E">
        <w:trPr>
          <w:trHeight w:val="469"/>
        </w:trPr>
        <w:tc>
          <w:tcPr>
            <w:cnfStyle w:val="001000000000" w:firstRow="0" w:lastRow="0" w:firstColumn="1" w:lastColumn="0" w:oddVBand="0" w:evenVBand="0" w:oddHBand="0" w:evenHBand="0" w:firstRowFirstColumn="0" w:firstRowLastColumn="0" w:lastRowFirstColumn="0" w:lastRowLastColumn="0"/>
            <w:tcW w:w="2399" w:type="dxa"/>
          </w:tcPr>
          <w:p w14:paraId="053AF8C6" w14:textId="6F9F346F" w:rsidR="00C24E4E" w:rsidRDefault="00C24E4E" w:rsidP="00DA5B04">
            <w:pPr>
              <w:spacing w:after="0"/>
              <w:rPr>
                <w:rFonts w:cstheme="minorHAnsi"/>
                <w:b/>
              </w:rPr>
            </w:pPr>
            <w:r w:rsidRPr="00274AEA">
              <w:rPr>
                <w:rFonts w:cstheme="minorHAnsi"/>
              </w:rPr>
              <w:t xml:space="preserve">Band </w:t>
            </w:r>
            <w:r>
              <w:rPr>
                <w:rFonts w:cstheme="minorHAnsi"/>
              </w:rPr>
              <w:t xml:space="preserve">2 (Part 2, Schedule 1) </w:t>
            </w:r>
          </w:p>
        </w:tc>
        <w:tc>
          <w:tcPr>
            <w:tcW w:w="882" w:type="dxa"/>
            <w:vAlign w:val="center"/>
          </w:tcPr>
          <w:p w14:paraId="42668617"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10,150</w:t>
            </w:r>
          </w:p>
        </w:tc>
        <w:tc>
          <w:tcPr>
            <w:tcW w:w="882" w:type="dxa"/>
            <w:gridSpan w:val="2"/>
            <w:vAlign w:val="center"/>
          </w:tcPr>
          <w:p w14:paraId="7233091A"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10,342</w:t>
            </w:r>
          </w:p>
        </w:tc>
        <w:tc>
          <w:tcPr>
            <w:tcW w:w="882" w:type="dxa"/>
            <w:gridSpan w:val="2"/>
            <w:vAlign w:val="center"/>
          </w:tcPr>
          <w:p w14:paraId="2AF1281A"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10,528</w:t>
            </w:r>
          </w:p>
        </w:tc>
        <w:tc>
          <w:tcPr>
            <w:tcW w:w="883" w:type="dxa"/>
            <w:gridSpan w:val="2"/>
            <w:vAlign w:val="center"/>
          </w:tcPr>
          <w:p w14:paraId="009C3874"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10,717</w:t>
            </w:r>
          </w:p>
        </w:tc>
        <w:tc>
          <w:tcPr>
            <w:tcW w:w="885" w:type="dxa"/>
            <w:gridSpan w:val="3"/>
            <w:vAlign w:val="center"/>
          </w:tcPr>
          <w:p w14:paraId="042E66CD"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10,813</w:t>
            </w:r>
          </w:p>
        </w:tc>
        <w:tc>
          <w:tcPr>
            <w:tcW w:w="882" w:type="dxa"/>
            <w:vAlign w:val="center"/>
          </w:tcPr>
          <w:p w14:paraId="032A83D8"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11,191</w:t>
            </w:r>
          </w:p>
        </w:tc>
        <w:tc>
          <w:tcPr>
            <w:tcW w:w="884" w:type="dxa"/>
            <w:gridSpan w:val="2"/>
          </w:tcPr>
          <w:p w14:paraId="6532EB7C" w14:textId="22A8B5E9" w:rsidR="00C24E4E" w:rsidRDefault="00C24E4E" w:rsidP="00DE2B72">
            <w:pPr>
              <w:spacing w:before="8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12,063</w:t>
            </w:r>
          </w:p>
        </w:tc>
        <w:tc>
          <w:tcPr>
            <w:tcW w:w="876" w:type="dxa"/>
          </w:tcPr>
          <w:p w14:paraId="0B6F9559" w14:textId="13B2923D" w:rsidR="00C24E4E" w:rsidRDefault="004A31AF" w:rsidP="00DE2B72">
            <w:pPr>
              <w:spacing w:before="8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12,557</w:t>
            </w:r>
          </w:p>
        </w:tc>
      </w:tr>
      <w:tr w:rsidR="00C24E4E" w:rsidRPr="00F8616C" w14:paraId="7D60AECD" w14:textId="773E9156" w:rsidTr="00C24E4E">
        <w:trPr>
          <w:trHeight w:val="469"/>
        </w:trPr>
        <w:tc>
          <w:tcPr>
            <w:cnfStyle w:val="001000000000" w:firstRow="0" w:lastRow="0" w:firstColumn="1" w:lastColumn="0" w:oddVBand="0" w:evenVBand="0" w:oddHBand="0" w:evenHBand="0" w:firstRowFirstColumn="0" w:firstRowLastColumn="0" w:lastRowFirstColumn="0" w:lastRowLastColumn="0"/>
            <w:tcW w:w="2399" w:type="dxa"/>
          </w:tcPr>
          <w:p w14:paraId="478B5B65" w14:textId="49AB66C2" w:rsidR="00C24E4E" w:rsidRDefault="00C24E4E" w:rsidP="00DA5B04">
            <w:pPr>
              <w:spacing w:after="0"/>
              <w:rPr>
                <w:rFonts w:cstheme="minorHAnsi"/>
                <w:b/>
              </w:rPr>
            </w:pPr>
            <w:r w:rsidRPr="00274AEA">
              <w:rPr>
                <w:rFonts w:cstheme="minorHAnsi"/>
              </w:rPr>
              <w:t xml:space="preserve">Band </w:t>
            </w:r>
            <w:r>
              <w:rPr>
                <w:rFonts w:cstheme="minorHAnsi"/>
              </w:rPr>
              <w:t xml:space="preserve">3 (Part 3, Schedule 1) </w:t>
            </w:r>
          </w:p>
        </w:tc>
        <w:tc>
          <w:tcPr>
            <w:tcW w:w="882" w:type="dxa"/>
            <w:vAlign w:val="center"/>
          </w:tcPr>
          <w:p w14:paraId="483DFEB3"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15,225</w:t>
            </w:r>
          </w:p>
        </w:tc>
        <w:tc>
          <w:tcPr>
            <w:tcW w:w="882" w:type="dxa"/>
            <w:gridSpan w:val="2"/>
            <w:vAlign w:val="center"/>
          </w:tcPr>
          <w:p w14:paraId="0D60F03F"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15,514</w:t>
            </w:r>
          </w:p>
        </w:tc>
        <w:tc>
          <w:tcPr>
            <w:tcW w:w="882" w:type="dxa"/>
            <w:gridSpan w:val="2"/>
            <w:vAlign w:val="center"/>
          </w:tcPr>
          <w:p w14:paraId="5AED64D8"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15,793</w:t>
            </w:r>
          </w:p>
        </w:tc>
        <w:tc>
          <w:tcPr>
            <w:tcW w:w="883" w:type="dxa"/>
            <w:gridSpan w:val="2"/>
            <w:vAlign w:val="center"/>
          </w:tcPr>
          <w:p w14:paraId="6042A901"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16,077</w:t>
            </w:r>
          </w:p>
        </w:tc>
        <w:tc>
          <w:tcPr>
            <w:tcW w:w="885" w:type="dxa"/>
            <w:gridSpan w:val="3"/>
            <w:vAlign w:val="center"/>
          </w:tcPr>
          <w:p w14:paraId="785A72D6"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16,221</w:t>
            </w:r>
          </w:p>
        </w:tc>
        <w:tc>
          <w:tcPr>
            <w:tcW w:w="882" w:type="dxa"/>
            <w:vAlign w:val="center"/>
          </w:tcPr>
          <w:p w14:paraId="40F47607" w14:textId="77777777" w:rsidR="00C24E4E" w:rsidRPr="00F8616C" w:rsidRDefault="00C24E4E" w:rsidP="00DA5B04">
            <w:pPr>
              <w:spacing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16,788</w:t>
            </w:r>
          </w:p>
        </w:tc>
        <w:tc>
          <w:tcPr>
            <w:tcW w:w="884" w:type="dxa"/>
            <w:gridSpan w:val="2"/>
          </w:tcPr>
          <w:p w14:paraId="068BD3E9" w14:textId="69F24E96" w:rsidR="00C24E4E" w:rsidRDefault="00C24E4E" w:rsidP="00DE2B72">
            <w:pPr>
              <w:spacing w:before="8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18,097</w:t>
            </w:r>
          </w:p>
        </w:tc>
        <w:tc>
          <w:tcPr>
            <w:tcW w:w="876" w:type="dxa"/>
          </w:tcPr>
          <w:p w14:paraId="365A8F52" w14:textId="77100D41" w:rsidR="00C24E4E" w:rsidRDefault="004A31AF" w:rsidP="00DE2B72">
            <w:pPr>
              <w:spacing w:before="8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18,838</w:t>
            </w:r>
          </w:p>
        </w:tc>
      </w:tr>
      <w:tr w:rsidR="00C24E4E" w:rsidRPr="00F8616C" w14:paraId="619FDEC9" w14:textId="5B486AC9" w:rsidTr="00C24E4E">
        <w:trPr>
          <w:trHeight w:val="469"/>
        </w:trPr>
        <w:tc>
          <w:tcPr>
            <w:cnfStyle w:val="001000000000" w:firstRow="0" w:lastRow="0" w:firstColumn="1" w:lastColumn="0" w:oddVBand="0" w:evenVBand="0" w:oddHBand="0" w:evenHBand="0" w:firstRowFirstColumn="0" w:firstRowLastColumn="0" w:lastRowFirstColumn="0" w:lastRowLastColumn="0"/>
            <w:tcW w:w="2399" w:type="dxa"/>
          </w:tcPr>
          <w:p w14:paraId="011EDA86" w14:textId="4F91F1A0" w:rsidR="00C24E4E" w:rsidRDefault="00C24E4E" w:rsidP="004C5149">
            <w:pPr>
              <w:spacing w:after="0"/>
              <w:rPr>
                <w:rFonts w:cstheme="minorHAnsi"/>
                <w:b/>
              </w:rPr>
            </w:pPr>
            <w:r>
              <w:rPr>
                <w:rFonts w:cstheme="minorHAnsi"/>
              </w:rPr>
              <w:t xml:space="preserve">Specific (Schedule 2) </w:t>
            </w:r>
          </w:p>
        </w:tc>
        <w:tc>
          <w:tcPr>
            <w:tcW w:w="882" w:type="dxa"/>
            <w:vAlign w:val="center"/>
          </w:tcPr>
          <w:p w14:paraId="17B1F776" w14:textId="77777777" w:rsidR="00C24E4E" w:rsidRPr="00F8616C" w:rsidRDefault="00C24E4E" w:rsidP="001829FD">
            <w:pPr>
              <w:spacing w:before="12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76,125</w:t>
            </w:r>
          </w:p>
        </w:tc>
        <w:tc>
          <w:tcPr>
            <w:tcW w:w="882" w:type="dxa"/>
            <w:gridSpan w:val="2"/>
            <w:vAlign w:val="center"/>
          </w:tcPr>
          <w:p w14:paraId="216F26DD" w14:textId="77777777" w:rsidR="00C24E4E" w:rsidRPr="00F8616C" w:rsidRDefault="00C24E4E" w:rsidP="001829FD">
            <w:pPr>
              <w:spacing w:before="12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77,571</w:t>
            </w:r>
          </w:p>
        </w:tc>
        <w:tc>
          <w:tcPr>
            <w:tcW w:w="882" w:type="dxa"/>
            <w:gridSpan w:val="2"/>
            <w:vAlign w:val="center"/>
          </w:tcPr>
          <w:p w14:paraId="4032A5B8" w14:textId="77777777" w:rsidR="00C24E4E" w:rsidRPr="00F8616C" w:rsidRDefault="00C24E4E" w:rsidP="001829FD">
            <w:pPr>
              <w:spacing w:before="12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78,967</w:t>
            </w:r>
          </w:p>
        </w:tc>
        <w:tc>
          <w:tcPr>
            <w:tcW w:w="883" w:type="dxa"/>
            <w:gridSpan w:val="2"/>
            <w:vAlign w:val="center"/>
          </w:tcPr>
          <w:p w14:paraId="720C533A" w14:textId="77777777" w:rsidR="00C24E4E" w:rsidRPr="00F8616C" w:rsidRDefault="00C24E4E" w:rsidP="001829FD">
            <w:pPr>
              <w:spacing w:before="12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80,388</w:t>
            </w:r>
          </w:p>
        </w:tc>
        <w:tc>
          <w:tcPr>
            <w:tcW w:w="885" w:type="dxa"/>
            <w:gridSpan w:val="3"/>
            <w:vAlign w:val="center"/>
          </w:tcPr>
          <w:p w14:paraId="5DE1D640" w14:textId="77777777" w:rsidR="00C24E4E" w:rsidRPr="00F8616C" w:rsidRDefault="00C24E4E" w:rsidP="001829FD">
            <w:pPr>
              <w:spacing w:before="12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F8616C">
              <w:rPr>
                <w:rFonts w:cstheme="minorHAnsi"/>
                <w:bCs/>
              </w:rPr>
              <w:t>81,111</w:t>
            </w:r>
          </w:p>
        </w:tc>
        <w:tc>
          <w:tcPr>
            <w:tcW w:w="882" w:type="dxa"/>
            <w:vAlign w:val="center"/>
          </w:tcPr>
          <w:p w14:paraId="3BE52A98" w14:textId="77777777" w:rsidR="00C24E4E" w:rsidRPr="00F8616C" w:rsidRDefault="00C24E4E" w:rsidP="001829FD">
            <w:pPr>
              <w:spacing w:before="120" w:after="0"/>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83,949</w:t>
            </w:r>
          </w:p>
        </w:tc>
        <w:tc>
          <w:tcPr>
            <w:tcW w:w="884" w:type="dxa"/>
            <w:gridSpan w:val="2"/>
          </w:tcPr>
          <w:p w14:paraId="572B15E6" w14:textId="109E7F2E" w:rsidR="00C24E4E" w:rsidRDefault="00C24E4E" w:rsidP="00DE2B72">
            <w:pPr>
              <w:spacing w:before="120" w:after="0"/>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90,497</w:t>
            </w:r>
          </w:p>
        </w:tc>
        <w:tc>
          <w:tcPr>
            <w:tcW w:w="876" w:type="dxa"/>
          </w:tcPr>
          <w:p w14:paraId="04357B3D" w14:textId="471B2245" w:rsidR="00C24E4E" w:rsidRDefault="004A31AF" w:rsidP="00DE2B72">
            <w:pPr>
              <w:spacing w:before="120" w:after="0"/>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94,207</w:t>
            </w:r>
          </w:p>
        </w:tc>
      </w:tr>
    </w:tbl>
    <w:bookmarkEnd w:id="2"/>
    <w:p w14:paraId="68E2EBF0" w14:textId="74F9EA0A" w:rsidR="00F813B3" w:rsidRDefault="00B50C07" w:rsidP="00B50C07">
      <w:r>
        <w:rPr>
          <w:rFonts w:cstheme="minorHAnsi"/>
        </w:rPr>
        <w:t>The 202</w:t>
      </w:r>
      <w:r w:rsidR="00817D0F">
        <w:rPr>
          <w:rFonts w:cstheme="minorHAnsi"/>
        </w:rPr>
        <w:t>5</w:t>
      </w:r>
      <w:r>
        <w:rPr>
          <w:rFonts w:cstheme="minorHAnsi"/>
        </w:rPr>
        <w:t xml:space="preserve"> maximum loan amounts indexation has been applied in line with the consumer price index (All groups CPI, index numbers, weighted average) for the relevant December quarters, which is available at the</w:t>
      </w:r>
      <w:r w:rsidR="001829FD" w:rsidRPr="001829FD">
        <w:t xml:space="preserve"> </w:t>
      </w:r>
      <w:hyperlink r:id="rId8" w:anchor="capital-cities-comparison" w:history="1">
        <w:r w:rsidR="00F813B3" w:rsidRPr="00F813B3">
          <w:rPr>
            <w:rStyle w:val="Hyperlink"/>
          </w:rPr>
          <w:t>Consumer Price Index, Australia, March Quarter 2024 | Australian Bureau of Statistics (abs.gov.au)</w:t>
        </w:r>
      </w:hyperlink>
    </w:p>
    <w:p w14:paraId="26D50F7B" w14:textId="1EF9A727" w:rsidR="00015754" w:rsidRPr="003F1577" w:rsidRDefault="00322E88" w:rsidP="001829FD">
      <w:pPr>
        <w:spacing w:before="160"/>
      </w:pPr>
      <w:r>
        <w:t>1</w:t>
      </w:r>
      <w:r w:rsidR="00015754">
        <w:t xml:space="preserve"> August 202</w:t>
      </w:r>
      <w:r w:rsidR="00F813B3">
        <w:t>4</w:t>
      </w:r>
    </w:p>
    <w:sectPr w:rsidR="00015754" w:rsidRPr="003F1577" w:rsidSect="000D737E">
      <w:headerReference w:type="default" r:id="rId9"/>
      <w:footerReference w:type="even" r:id="rId10"/>
      <w:footerReference w:type="default" r:id="rId11"/>
      <w:headerReference w:type="first" r:id="rId12"/>
      <w:footerReference w:type="first" r:id="rId13"/>
      <w:pgSz w:w="11906" w:h="16838"/>
      <w:pgMar w:top="1440" w:right="991"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983CC" w14:textId="77777777" w:rsidR="006C0BE8" w:rsidRDefault="006C0BE8" w:rsidP="00717D10">
      <w:pPr>
        <w:spacing w:after="0" w:line="240" w:lineRule="auto"/>
      </w:pPr>
      <w:r>
        <w:separator/>
      </w:r>
    </w:p>
  </w:endnote>
  <w:endnote w:type="continuationSeparator" w:id="0">
    <w:p w14:paraId="1A677552" w14:textId="77777777" w:rsidR="006C0BE8" w:rsidRDefault="006C0BE8"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lang w:eastAsia="en-AU"/>
          </w:rPr>
          <w:drawing>
            <wp:inline distT="0" distB="0" distL="0" distR="0" wp14:anchorId="17C14882" wp14:editId="122537FD">
              <wp:extent cx="7624445" cy="636270"/>
              <wp:effectExtent l="0" t="0" r="0" b="0"/>
              <wp:docPr id="8" name="Picture 8"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inline>
          </w:drawing>
        </w:r>
        <w:r>
          <w:fldChar w:fldCharType="begin"/>
        </w:r>
        <w:r>
          <w:instrText xml:space="preserve"> PAGE   \* MERGEFORMAT </w:instrText>
        </w:r>
        <w:r>
          <w:fldChar w:fldCharType="separate"/>
        </w:r>
        <w:r w:rsidR="000D737E">
          <w:rPr>
            <w:noProof/>
          </w:rPr>
          <w:t>2</w:t>
        </w:r>
        <w:r>
          <w:rPr>
            <w:noProof/>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0099770"/>
      <w:docPartObj>
        <w:docPartGallery w:val="Page Numbers (Bottom of Page)"/>
        <w:docPartUnique/>
      </w:docPartObj>
    </w:sdtPr>
    <w:sdtEndPr>
      <w:rPr>
        <w:noProof/>
      </w:rPr>
    </w:sdtEndPr>
    <w:sdtContent>
      <w:p w14:paraId="643619BF" w14:textId="30E5BE4A" w:rsidR="00046838" w:rsidRDefault="00046838" w:rsidP="00890E34">
        <w:pPr>
          <w:pStyle w:val="Footer"/>
          <w:ind w:right="403"/>
          <w:jc w:val="right"/>
        </w:pPr>
        <w:r>
          <w:rPr>
            <w:noProof/>
            <w:lang w:eastAsia="en-AU"/>
          </w:rPr>
          <w:drawing>
            <wp:inline distT="0" distB="0" distL="0" distR="0" wp14:anchorId="2F3D67FD" wp14:editId="42B0F35A">
              <wp:extent cx="7624445" cy="636270"/>
              <wp:effectExtent l="0" t="0" r="0" b="0"/>
              <wp:docPr id="7" name="Picture 7"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inline>
          </w:drawing>
        </w:r>
        <w:r>
          <w:fldChar w:fldCharType="begin"/>
        </w:r>
        <w:r>
          <w:instrText xml:space="preserve"> PAGE   \* MERGEFORMAT </w:instrText>
        </w:r>
        <w:r>
          <w:fldChar w:fldCharType="separate"/>
        </w:r>
        <w:r w:rsidR="00EB7582">
          <w:rPr>
            <w:noProof/>
          </w:rPr>
          <w:t>3</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059337"/>
      <w:docPartObj>
        <w:docPartGallery w:val="Page Numbers (Bottom of Page)"/>
        <w:docPartUnique/>
      </w:docPartObj>
    </w:sdtPr>
    <w:sdtEndPr>
      <w:rPr>
        <w:noProof/>
      </w:rPr>
    </w:sdtEndPr>
    <w:sdtContent>
      <w:p w14:paraId="7D4BB826" w14:textId="1FC2589C" w:rsidR="00914337" w:rsidRDefault="00914337">
        <w:pPr>
          <w:pStyle w:val="Footer"/>
          <w:jc w:val="right"/>
        </w:pPr>
        <w:r>
          <w:rPr>
            <w:noProof/>
            <w:lang w:eastAsia="en-AU"/>
          </w:rPr>
          <w:drawing>
            <wp:anchor distT="0" distB="0" distL="114300" distR="114300" simplePos="0" relativeHeight="251663360" behindDoc="1" locked="0" layoutInCell="1" allowOverlap="1" wp14:anchorId="3CCE2843" wp14:editId="465B90C5">
              <wp:simplePos x="0" y="0"/>
              <wp:positionH relativeFrom="column">
                <wp:posOffset>-904875</wp:posOffset>
              </wp:positionH>
              <wp:positionV relativeFrom="paragraph">
                <wp:posOffset>170180</wp:posOffset>
              </wp:positionV>
              <wp:extent cx="7624445" cy="63627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B7582">
          <w:rPr>
            <w:noProof/>
          </w:rPr>
          <w:t>1</w:t>
        </w:r>
        <w:r>
          <w:rPr>
            <w:noProof/>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90B74" w14:textId="77777777" w:rsidR="006C0BE8" w:rsidRDefault="006C0BE8" w:rsidP="00717D10">
      <w:pPr>
        <w:spacing w:after="0" w:line="240" w:lineRule="auto"/>
      </w:pPr>
      <w:r>
        <w:separator/>
      </w:r>
    </w:p>
  </w:footnote>
  <w:footnote w:type="continuationSeparator" w:id="0">
    <w:p w14:paraId="083C27D4" w14:textId="77777777" w:rsidR="006C0BE8" w:rsidRDefault="006C0BE8"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35D57451">
          <wp:extent cx="7559675" cy="878205"/>
          <wp:effectExtent l="0" t="0" r="3175" b="0"/>
          <wp:docPr id="3" name="Picture 3" descr="Australian Government logo and VET Student Lo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D7093A"/>
    <w:multiLevelType w:val="hybridMultilevel"/>
    <w:tmpl w:val="4C2CB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A14A9"/>
    <w:multiLevelType w:val="multilevel"/>
    <w:tmpl w:val="BDD63C78"/>
    <w:lvl w:ilvl="0">
      <w:start w:val="1"/>
      <w:numFmt w:val="decimal"/>
      <w:lvlText w:val="%1."/>
      <w:lvlJc w:val="right"/>
      <w:pPr>
        <w:ind w:left="369" w:hanging="11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71558C3"/>
    <w:multiLevelType w:val="hybridMultilevel"/>
    <w:tmpl w:val="0234E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A96A34"/>
    <w:multiLevelType w:val="multilevel"/>
    <w:tmpl w:val="1DD82DA6"/>
    <w:name w:val="List number3"/>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B0732AD"/>
    <w:multiLevelType w:val="multilevel"/>
    <w:tmpl w:val="F6DA8B36"/>
    <w:styleLink w:val="NumberedList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7"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A20EE"/>
    <w:multiLevelType w:val="hybridMultilevel"/>
    <w:tmpl w:val="6E60E554"/>
    <w:lvl w:ilvl="0" w:tplc="7C1A91D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301B3C"/>
    <w:multiLevelType w:val="hybridMultilevel"/>
    <w:tmpl w:val="DEA615B0"/>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EC62ED5"/>
    <w:multiLevelType w:val="hybridMultilevel"/>
    <w:tmpl w:val="DEA615B0"/>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B96B26"/>
    <w:multiLevelType w:val="multilevel"/>
    <w:tmpl w:val="A998CA2C"/>
    <w:lvl w:ilvl="0">
      <w:start w:val="1"/>
      <w:numFmt w:val="bullet"/>
      <w:pStyle w:val="Style1"/>
      <w:lvlText w:val=""/>
      <w:lvlJc w:val="left"/>
      <w:pPr>
        <w:ind w:left="360" w:hanging="360"/>
      </w:pPr>
      <w:rPr>
        <w:rFonts w:ascii="Symbol" w:hAnsi="Symbol"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713A20C8"/>
    <w:multiLevelType w:val="multilevel"/>
    <w:tmpl w:val="8FBE0AEE"/>
    <w:styleLink w:val="BulletList"/>
    <w:lvl w:ilvl="0">
      <w:start w:val="1"/>
      <w:numFmt w:val="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7148236F"/>
    <w:multiLevelType w:val="hybridMultilevel"/>
    <w:tmpl w:val="C9CC1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D0E53D4"/>
    <w:multiLevelType w:val="multilevel"/>
    <w:tmpl w:val="9D9E4B96"/>
    <w:styleLink w:val="BulletList1"/>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896886280">
    <w:abstractNumId w:val="3"/>
  </w:num>
  <w:num w:numId="2" w16cid:durableId="571160936">
    <w:abstractNumId w:val="13"/>
  </w:num>
  <w:num w:numId="3" w16cid:durableId="460811549">
    <w:abstractNumId w:val="21"/>
  </w:num>
  <w:num w:numId="4" w16cid:durableId="607587490">
    <w:abstractNumId w:val="25"/>
  </w:num>
  <w:num w:numId="5" w16cid:durableId="319774100">
    <w:abstractNumId w:val="10"/>
  </w:num>
  <w:num w:numId="6" w16cid:durableId="53503659">
    <w:abstractNumId w:val="12"/>
  </w:num>
  <w:num w:numId="7" w16cid:durableId="189270054">
    <w:abstractNumId w:val="23"/>
  </w:num>
  <w:num w:numId="8" w16cid:durableId="200633284">
    <w:abstractNumId w:val="7"/>
  </w:num>
  <w:num w:numId="9" w16cid:durableId="1555313689">
    <w:abstractNumId w:val="23"/>
  </w:num>
  <w:num w:numId="10" w16cid:durableId="1476877965">
    <w:abstractNumId w:val="16"/>
  </w:num>
  <w:num w:numId="11" w16cid:durableId="846943170">
    <w:abstractNumId w:val="23"/>
  </w:num>
  <w:num w:numId="12" w16cid:durableId="1221942872">
    <w:abstractNumId w:val="23"/>
  </w:num>
  <w:num w:numId="13" w16cid:durableId="791677190">
    <w:abstractNumId w:val="26"/>
  </w:num>
  <w:num w:numId="14" w16cid:durableId="2027750154">
    <w:abstractNumId w:val="8"/>
  </w:num>
  <w:num w:numId="15" w16cid:durableId="393553573">
    <w:abstractNumId w:val="23"/>
  </w:num>
  <w:num w:numId="16" w16cid:durableId="1574198384">
    <w:abstractNumId w:val="17"/>
  </w:num>
  <w:num w:numId="17" w16cid:durableId="1032876527">
    <w:abstractNumId w:val="23"/>
  </w:num>
  <w:num w:numId="18" w16cid:durableId="633875239">
    <w:abstractNumId w:val="23"/>
  </w:num>
  <w:num w:numId="19" w16cid:durableId="1682122391">
    <w:abstractNumId w:val="23"/>
  </w:num>
  <w:num w:numId="20" w16cid:durableId="1885096109">
    <w:abstractNumId w:val="2"/>
  </w:num>
  <w:num w:numId="21" w16cid:durableId="341206098">
    <w:abstractNumId w:val="27"/>
  </w:num>
  <w:num w:numId="22" w16cid:durableId="1045445727">
    <w:abstractNumId w:val="0"/>
  </w:num>
  <w:num w:numId="23" w16cid:durableId="952637588">
    <w:abstractNumId w:val="15"/>
  </w:num>
  <w:num w:numId="24" w16cid:durableId="18747288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48980852">
    <w:abstractNumId w:val="28"/>
  </w:num>
  <w:num w:numId="26" w16cid:durableId="17698083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5482372">
    <w:abstractNumId w:val="1"/>
  </w:num>
  <w:num w:numId="28" w16cid:durableId="1857233376">
    <w:abstractNumId w:val="9"/>
  </w:num>
  <w:num w:numId="29" w16cid:durableId="1570964544">
    <w:abstractNumId w:val="11"/>
  </w:num>
  <w:num w:numId="30" w16cid:durableId="1035929044">
    <w:abstractNumId w:val="14"/>
  </w:num>
  <w:num w:numId="31" w16cid:durableId="1338072972">
    <w:abstractNumId w:val="6"/>
  </w:num>
  <w:num w:numId="32" w16cid:durableId="33892392">
    <w:abstractNumId w:val="23"/>
  </w:num>
  <w:num w:numId="33" w16cid:durableId="992837209">
    <w:abstractNumId w:val="23"/>
  </w:num>
  <w:num w:numId="34" w16cid:durableId="638191532">
    <w:abstractNumId w:val="23"/>
  </w:num>
  <w:num w:numId="35" w16cid:durableId="2040006155">
    <w:abstractNumId w:val="23"/>
  </w:num>
  <w:num w:numId="36" w16cid:durableId="1266764047">
    <w:abstractNumId w:val="23"/>
  </w:num>
  <w:num w:numId="37" w16cid:durableId="1830831738">
    <w:abstractNumId w:val="23"/>
  </w:num>
  <w:num w:numId="38" w16cid:durableId="519197128">
    <w:abstractNumId w:val="23"/>
  </w:num>
  <w:num w:numId="39" w16cid:durableId="1748187141">
    <w:abstractNumId w:val="24"/>
  </w:num>
  <w:num w:numId="40" w16cid:durableId="968703122">
    <w:abstractNumId w:val="23"/>
  </w:num>
  <w:num w:numId="41" w16cid:durableId="1733190444">
    <w:abstractNumId w:val="23"/>
  </w:num>
  <w:num w:numId="42" w16cid:durableId="555701719">
    <w:abstractNumId w:val="4"/>
  </w:num>
  <w:num w:numId="43" w16cid:durableId="1083839939">
    <w:abstractNumId w:val="18"/>
  </w:num>
  <w:num w:numId="44" w16cid:durableId="1882786583">
    <w:abstractNumId w:val="5"/>
  </w:num>
  <w:num w:numId="45" w16cid:durableId="792671494">
    <w:abstractNumId w:val="20"/>
  </w:num>
  <w:num w:numId="46" w16cid:durableId="1909918885">
    <w:abstractNumId w:val="19"/>
  </w:num>
  <w:num w:numId="47" w16cid:durableId="4079254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2D9"/>
    <w:rsid w:val="0000260F"/>
    <w:rsid w:val="000132FF"/>
    <w:rsid w:val="00015754"/>
    <w:rsid w:val="00017EB3"/>
    <w:rsid w:val="00020409"/>
    <w:rsid w:val="00030DC1"/>
    <w:rsid w:val="000433E3"/>
    <w:rsid w:val="00046838"/>
    <w:rsid w:val="00047268"/>
    <w:rsid w:val="0005346E"/>
    <w:rsid w:val="00054523"/>
    <w:rsid w:val="0006240C"/>
    <w:rsid w:val="000947EF"/>
    <w:rsid w:val="000D737E"/>
    <w:rsid w:val="000E521B"/>
    <w:rsid w:val="00111F22"/>
    <w:rsid w:val="00140C23"/>
    <w:rsid w:val="001548DE"/>
    <w:rsid w:val="001577A0"/>
    <w:rsid w:val="00162AFA"/>
    <w:rsid w:val="001670E5"/>
    <w:rsid w:val="0017080A"/>
    <w:rsid w:val="00175452"/>
    <w:rsid w:val="001829FD"/>
    <w:rsid w:val="001907B3"/>
    <w:rsid w:val="00193491"/>
    <w:rsid w:val="00195973"/>
    <w:rsid w:val="001A1304"/>
    <w:rsid w:val="001C6096"/>
    <w:rsid w:val="002031D4"/>
    <w:rsid w:val="00203EB3"/>
    <w:rsid w:val="00226744"/>
    <w:rsid w:val="002273CB"/>
    <w:rsid w:val="002405D1"/>
    <w:rsid w:val="0024416C"/>
    <w:rsid w:val="00262CA5"/>
    <w:rsid w:val="00282D66"/>
    <w:rsid w:val="00290E36"/>
    <w:rsid w:val="002A1074"/>
    <w:rsid w:val="002B61EC"/>
    <w:rsid w:val="002D7757"/>
    <w:rsid w:val="00304F5B"/>
    <w:rsid w:val="00322E88"/>
    <w:rsid w:val="00330F75"/>
    <w:rsid w:val="0033585A"/>
    <w:rsid w:val="00361CB5"/>
    <w:rsid w:val="00365347"/>
    <w:rsid w:val="00372C0B"/>
    <w:rsid w:val="0037677E"/>
    <w:rsid w:val="00385010"/>
    <w:rsid w:val="00392B02"/>
    <w:rsid w:val="003E612E"/>
    <w:rsid w:val="003E65A1"/>
    <w:rsid w:val="003F1487"/>
    <w:rsid w:val="003F1577"/>
    <w:rsid w:val="00402171"/>
    <w:rsid w:val="00410BF3"/>
    <w:rsid w:val="004119DD"/>
    <w:rsid w:val="00413ABE"/>
    <w:rsid w:val="00414E8E"/>
    <w:rsid w:val="004152BF"/>
    <w:rsid w:val="004376BC"/>
    <w:rsid w:val="00437A72"/>
    <w:rsid w:val="00445099"/>
    <w:rsid w:val="00446B1B"/>
    <w:rsid w:val="0045406A"/>
    <w:rsid w:val="004A31AF"/>
    <w:rsid w:val="004C14E3"/>
    <w:rsid w:val="004C2B6E"/>
    <w:rsid w:val="004C5149"/>
    <w:rsid w:val="004F078A"/>
    <w:rsid w:val="004F6B11"/>
    <w:rsid w:val="004F7003"/>
    <w:rsid w:val="005059B9"/>
    <w:rsid w:val="00521A35"/>
    <w:rsid w:val="005322A5"/>
    <w:rsid w:val="00542571"/>
    <w:rsid w:val="005460E4"/>
    <w:rsid w:val="00553320"/>
    <w:rsid w:val="0055379B"/>
    <w:rsid w:val="00553E2B"/>
    <w:rsid w:val="0055606F"/>
    <w:rsid w:val="00557FC4"/>
    <w:rsid w:val="005615CD"/>
    <w:rsid w:val="005627FB"/>
    <w:rsid w:val="00570092"/>
    <w:rsid w:val="00584A1F"/>
    <w:rsid w:val="005970B7"/>
    <w:rsid w:val="005B249F"/>
    <w:rsid w:val="005B377B"/>
    <w:rsid w:val="005C2230"/>
    <w:rsid w:val="005C26D5"/>
    <w:rsid w:val="005E2F2B"/>
    <w:rsid w:val="00621C9E"/>
    <w:rsid w:val="006268F4"/>
    <w:rsid w:val="006504B8"/>
    <w:rsid w:val="0065092C"/>
    <w:rsid w:val="00651D5D"/>
    <w:rsid w:val="006716C7"/>
    <w:rsid w:val="006853D2"/>
    <w:rsid w:val="0069369D"/>
    <w:rsid w:val="00693728"/>
    <w:rsid w:val="00695771"/>
    <w:rsid w:val="006C0BE8"/>
    <w:rsid w:val="006C5975"/>
    <w:rsid w:val="006C6F84"/>
    <w:rsid w:val="006D606B"/>
    <w:rsid w:val="006E203A"/>
    <w:rsid w:val="006F672D"/>
    <w:rsid w:val="006F6A03"/>
    <w:rsid w:val="007042B0"/>
    <w:rsid w:val="007118DD"/>
    <w:rsid w:val="007157A2"/>
    <w:rsid w:val="00717D10"/>
    <w:rsid w:val="00721990"/>
    <w:rsid w:val="00745195"/>
    <w:rsid w:val="00757B36"/>
    <w:rsid w:val="00761D35"/>
    <w:rsid w:val="00785AB7"/>
    <w:rsid w:val="007C2896"/>
    <w:rsid w:val="007D0CC4"/>
    <w:rsid w:val="007D0E90"/>
    <w:rsid w:val="008009EB"/>
    <w:rsid w:val="008020E0"/>
    <w:rsid w:val="00802C42"/>
    <w:rsid w:val="00802D93"/>
    <w:rsid w:val="00803E57"/>
    <w:rsid w:val="00817D0F"/>
    <w:rsid w:val="00835275"/>
    <w:rsid w:val="0083572F"/>
    <w:rsid w:val="008501FB"/>
    <w:rsid w:val="00857B77"/>
    <w:rsid w:val="0088046D"/>
    <w:rsid w:val="0088518B"/>
    <w:rsid w:val="00890E34"/>
    <w:rsid w:val="008A2256"/>
    <w:rsid w:val="008B09A1"/>
    <w:rsid w:val="008B49BB"/>
    <w:rsid w:val="008C517C"/>
    <w:rsid w:val="008C6EEF"/>
    <w:rsid w:val="008D7570"/>
    <w:rsid w:val="008E2742"/>
    <w:rsid w:val="008F2C78"/>
    <w:rsid w:val="00914337"/>
    <w:rsid w:val="00916D6B"/>
    <w:rsid w:val="00917B95"/>
    <w:rsid w:val="009217DE"/>
    <w:rsid w:val="00947BB5"/>
    <w:rsid w:val="0095275B"/>
    <w:rsid w:val="00953009"/>
    <w:rsid w:val="009546E4"/>
    <w:rsid w:val="0096078A"/>
    <w:rsid w:val="00967A71"/>
    <w:rsid w:val="009766AA"/>
    <w:rsid w:val="00995C84"/>
    <w:rsid w:val="009C2C1A"/>
    <w:rsid w:val="009C32E8"/>
    <w:rsid w:val="009D1143"/>
    <w:rsid w:val="009D4CB6"/>
    <w:rsid w:val="00A34110"/>
    <w:rsid w:val="00A56A98"/>
    <w:rsid w:val="00A67229"/>
    <w:rsid w:val="00A8428A"/>
    <w:rsid w:val="00AE0E21"/>
    <w:rsid w:val="00AE4E35"/>
    <w:rsid w:val="00AE5016"/>
    <w:rsid w:val="00AF0E0D"/>
    <w:rsid w:val="00AF1FE9"/>
    <w:rsid w:val="00AF5F7D"/>
    <w:rsid w:val="00B041B4"/>
    <w:rsid w:val="00B13FD1"/>
    <w:rsid w:val="00B20069"/>
    <w:rsid w:val="00B2525D"/>
    <w:rsid w:val="00B37D7F"/>
    <w:rsid w:val="00B436C7"/>
    <w:rsid w:val="00B45AA4"/>
    <w:rsid w:val="00B50C07"/>
    <w:rsid w:val="00B60F84"/>
    <w:rsid w:val="00B6139E"/>
    <w:rsid w:val="00B61BE5"/>
    <w:rsid w:val="00B676BC"/>
    <w:rsid w:val="00B927FA"/>
    <w:rsid w:val="00B96BDE"/>
    <w:rsid w:val="00BA4964"/>
    <w:rsid w:val="00BA5E54"/>
    <w:rsid w:val="00BC1E8B"/>
    <w:rsid w:val="00BD156E"/>
    <w:rsid w:val="00BD7BBF"/>
    <w:rsid w:val="00C07887"/>
    <w:rsid w:val="00C13816"/>
    <w:rsid w:val="00C1418C"/>
    <w:rsid w:val="00C14DFC"/>
    <w:rsid w:val="00C24E4E"/>
    <w:rsid w:val="00C2679F"/>
    <w:rsid w:val="00C276AA"/>
    <w:rsid w:val="00C60577"/>
    <w:rsid w:val="00C61BD2"/>
    <w:rsid w:val="00C70E57"/>
    <w:rsid w:val="00C76EAA"/>
    <w:rsid w:val="00C76F95"/>
    <w:rsid w:val="00C90F7B"/>
    <w:rsid w:val="00CA18E6"/>
    <w:rsid w:val="00CA50A9"/>
    <w:rsid w:val="00CA5802"/>
    <w:rsid w:val="00CA5EAE"/>
    <w:rsid w:val="00CC5CDA"/>
    <w:rsid w:val="00D10F2D"/>
    <w:rsid w:val="00D27D8C"/>
    <w:rsid w:val="00D35E56"/>
    <w:rsid w:val="00D4654E"/>
    <w:rsid w:val="00D5005E"/>
    <w:rsid w:val="00D56AB9"/>
    <w:rsid w:val="00D60CDA"/>
    <w:rsid w:val="00D74B04"/>
    <w:rsid w:val="00D82EEB"/>
    <w:rsid w:val="00D84357"/>
    <w:rsid w:val="00D84540"/>
    <w:rsid w:val="00D90E35"/>
    <w:rsid w:val="00D932A8"/>
    <w:rsid w:val="00DA07EE"/>
    <w:rsid w:val="00DA0C29"/>
    <w:rsid w:val="00DA5547"/>
    <w:rsid w:val="00DA5B04"/>
    <w:rsid w:val="00DA76B2"/>
    <w:rsid w:val="00DC72C8"/>
    <w:rsid w:val="00DD40C8"/>
    <w:rsid w:val="00DE2B72"/>
    <w:rsid w:val="00DF254A"/>
    <w:rsid w:val="00DF2CC9"/>
    <w:rsid w:val="00E03469"/>
    <w:rsid w:val="00E06497"/>
    <w:rsid w:val="00E06E6B"/>
    <w:rsid w:val="00E1671C"/>
    <w:rsid w:val="00E2221D"/>
    <w:rsid w:val="00E31F02"/>
    <w:rsid w:val="00E51F8E"/>
    <w:rsid w:val="00E86FFA"/>
    <w:rsid w:val="00E87421"/>
    <w:rsid w:val="00E924D9"/>
    <w:rsid w:val="00E96C43"/>
    <w:rsid w:val="00EB7582"/>
    <w:rsid w:val="00ED1175"/>
    <w:rsid w:val="00ED7FF5"/>
    <w:rsid w:val="00F06CDB"/>
    <w:rsid w:val="00F078BC"/>
    <w:rsid w:val="00F13E56"/>
    <w:rsid w:val="00F13E7E"/>
    <w:rsid w:val="00F20EA5"/>
    <w:rsid w:val="00F232BB"/>
    <w:rsid w:val="00F23E2C"/>
    <w:rsid w:val="00F44260"/>
    <w:rsid w:val="00F7456A"/>
    <w:rsid w:val="00F80AE2"/>
    <w:rsid w:val="00F813B3"/>
    <w:rsid w:val="00F948F8"/>
    <w:rsid w:val="00F97231"/>
    <w:rsid w:val="00FA3427"/>
    <w:rsid w:val="00FB619D"/>
    <w:rsid w:val="00FD236D"/>
    <w:rsid w:val="00FD565E"/>
    <w:rsid w:val="00FF031B"/>
    <w:rsid w:val="00FF18FD"/>
    <w:rsid w:val="00FF1DBC"/>
    <w:rsid w:val="00FF4353"/>
    <w:rsid w:val="00FF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A1"/>
    <w:pPr>
      <w:spacing w:after="200" w:line="276" w:lineRule="auto"/>
    </w:pPr>
  </w:style>
  <w:style w:type="paragraph" w:styleId="Heading1">
    <w:name w:val="heading 1"/>
    <w:basedOn w:val="Normal"/>
    <w:next w:val="Normal"/>
    <w:link w:val="Heading1Char"/>
    <w:uiPriority w:val="2"/>
    <w:qFormat/>
    <w:rsid w:val="008E27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5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2"/>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qFormat/>
    <w:rsid w:val="00C13816"/>
    <w:pPr>
      <w:spacing w:before="240" w:after="0"/>
      <w:outlineLvl w:val="3"/>
    </w:pPr>
    <w:rPr>
      <w:rFonts w:ascii="Calibri" w:eastAsiaTheme="majorEastAsia" w:hAnsi="Calibri" w:cstheme="majorBidi"/>
      <w:bCs/>
      <w:iCs/>
      <w:sz w:val="28"/>
      <w:szCs w:val="28"/>
      <w14:ligatures w14:val="standard"/>
    </w:rPr>
  </w:style>
  <w:style w:type="paragraph" w:styleId="Heading5">
    <w:name w:val="heading 5"/>
    <w:basedOn w:val="Normal"/>
    <w:next w:val="Normal"/>
    <w:link w:val="Heading5Char"/>
    <w:uiPriority w:val="2"/>
    <w:qFormat/>
    <w:rsid w:val="00C13816"/>
    <w:pPr>
      <w:spacing w:before="200" w:after="0"/>
      <w:outlineLvl w:val="4"/>
    </w:pPr>
    <w:rPr>
      <w:rFonts w:ascii="Calibri" w:eastAsiaTheme="majorEastAsia" w:hAnsi="Calibri" w:cstheme="majorBidi"/>
      <w:b/>
      <w:bCs/>
      <w:color w:val="565656"/>
      <w:sz w:val="28"/>
      <w:szCs w:val="28"/>
      <w14:ligatures w14:val="standard"/>
    </w:rPr>
  </w:style>
  <w:style w:type="paragraph" w:styleId="Heading6">
    <w:name w:val="heading 6"/>
    <w:basedOn w:val="Normal"/>
    <w:next w:val="Normal"/>
    <w:link w:val="Heading6Char"/>
    <w:uiPriority w:val="2"/>
    <w:qFormat/>
    <w:rsid w:val="00C13816"/>
    <w:pPr>
      <w:spacing w:before="200" w:after="0"/>
      <w:outlineLvl w:val="5"/>
    </w:pPr>
    <w:rPr>
      <w:rFonts w:ascii="Calibri" w:eastAsiaTheme="majorEastAsia" w:hAnsi="Calibri" w:cstheme="majorBidi"/>
      <w:bCs/>
      <w:iCs/>
      <w:color w:val="565656"/>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semiHidden/>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semiHidden/>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054523"/>
    <w:pPr>
      <w:spacing w:before="720" w:after="180" w:line="240" w:lineRule="auto"/>
      <w:contextualSpacing/>
    </w:pPr>
    <w:rPr>
      <w:rFonts w:ascii="Calibri" w:eastAsiaTheme="majorEastAsia" w:hAnsi="Calibri" w:cstheme="majorBidi"/>
      <w:noProof/>
      <w:color w:val="24206C"/>
      <w:spacing w:val="5"/>
      <w:kern w:val="28"/>
      <w:sz w:val="58"/>
      <w:szCs w:val="52"/>
    </w:rPr>
  </w:style>
  <w:style w:type="character" w:customStyle="1" w:styleId="TitleChar">
    <w:name w:val="Title Char"/>
    <w:basedOn w:val="DefaultParagraphFont"/>
    <w:link w:val="Title"/>
    <w:uiPriority w:val="7"/>
    <w:rsid w:val="00054523"/>
    <w:rPr>
      <w:rFonts w:ascii="Calibri" w:eastAsiaTheme="majorEastAsia" w:hAnsi="Calibri" w:cstheme="majorBidi"/>
      <w:noProof/>
      <w:color w:val="24206C"/>
      <w:spacing w:val="5"/>
      <w:kern w:val="28"/>
      <w:sz w:val="58"/>
      <w:szCs w:val="52"/>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11"/>
    <w:qFormat/>
    <w:rsid w:val="00C76EAA"/>
    <w:rPr>
      <w:b/>
      <w:bCs/>
    </w:rPr>
  </w:style>
  <w:style w:type="paragraph" w:styleId="ListNumber">
    <w:name w:val="List Number"/>
    <w:basedOn w:val="Normal"/>
    <w:link w:val="ListNumberChar"/>
    <w:uiPriority w:val="99"/>
    <w:unhideWhenUsed/>
    <w:qFormat/>
    <w:rsid w:val="00C76EAA"/>
    <w:pPr>
      <w:numPr>
        <w:numId w:val="6"/>
      </w:numPr>
      <w:spacing w:after="120"/>
      <w:contextualSpacing/>
    </w:pPr>
    <w:rPr>
      <w:rFonts w:eastAsiaTheme="minorEastAsia"/>
    </w:rPr>
  </w:style>
  <w:style w:type="paragraph" w:styleId="ListNumber2">
    <w:name w:val="List Number 2"/>
    <w:basedOn w:val="Normal"/>
    <w:uiPriority w:val="99"/>
    <w:unhideWhenUsed/>
    <w:qFormat/>
    <w:rsid w:val="00C76EAA"/>
    <w:pPr>
      <w:tabs>
        <w:tab w:val="left" w:pos="1134"/>
      </w:tabs>
      <w:spacing w:after="120"/>
      <w:contextualSpacing/>
    </w:pPr>
    <w:rPr>
      <w:rFonts w:eastAsiaTheme="minorEastAsia"/>
    </w:rPr>
  </w:style>
  <w:style w:type="paragraph" w:styleId="ListNumber3">
    <w:name w:val="List Number 3"/>
    <w:basedOn w:val="Normal"/>
    <w:uiPriority w:val="99"/>
    <w:qFormat/>
    <w:rsid w:val="00C76EAA"/>
    <w:pPr>
      <w:numPr>
        <w:ilvl w:val="2"/>
        <w:numId w:val="6"/>
      </w:numPr>
      <w:spacing w:after="120"/>
      <w:contextualSpacing/>
    </w:pPr>
    <w:rPr>
      <w:rFonts w:eastAsiaTheme="minorEastAsia"/>
    </w:rPr>
  </w:style>
  <w:style w:type="paragraph" w:styleId="ListNumber4">
    <w:name w:val="List Number 4"/>
    <w:basedOn w:val="Normal"/>
    <w:uiPriority w:val="99"/>
    <w:qFormat/>
    <w:rsid w:val="00C76EAA"/>
    <w:pPr>
      <w:numPr>
        <w:ilvl w:val="3"/>
        <w:numId w:val="6"/>
      </w:numPr>
      <w:spacing w:after="120"/>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contextualSpacing/>
    </w:pPr>
    <w:rPr>
      <w:rFonts w:eastAsiaTheme="minorEastAsia"/>
    </w:rPr>
  </w:style>
  <w:style w:type="paragraph" w:customStyle="1" w:styleId="Strongcolor">
    <w:name w:val="Strong color"/>
    <w:basedOn w:val="Normal"/>
    <w:link w:val="StrongcolorChar"/>
    <w:qFormat/>
    <w:rsid w:val="00C76EAA"/>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2"/>
    <w:rsid w:val="008E274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uiPriority w:val="99"/>
    <w:unhideWhenUsed/>
    <w:qFormat/>
    <w:rsid w:val="004F7003"/>
    <w:pPr>
      <w:spacing w:after="120"/>
      <w:contextualSpacing/>
    </w:pPr>
    <w:rPr>
      <w:rFonts w:eastAsiaTheme="minorEastAsia"/>
    </w:rPr>
  </w:style>
  <w:style w:type="paragraph" w:styleId="ListBullet2">
    <w:name w:val="List Bullet 2"/>
    <w:basedOn w:val="Normal"/>
    <w:uiPriority w:val="99"/>
    <w:unhideWhenUsed/>
    <w:qFormat/>
    <w:rsid w:val="004F7003"/>
    <w:pPr>
      <w:numPr>
        <w:ilvl w:val="1"/>
        <w:numId w:val="7"/>
      </w:numPr>
      <w:spacing w:after="120"/>
      <w:contextualSpacing/>
    </w:pPr>
    <w:rPr>
      <w:rFonts w:eastAsiaTheme="minorEastAsia"/>
    </w:rPr>
  </w:style>
  <w:style w:type="paragraph" w:styleId="ListBullet3">
    <w:name w:val="List Bullet 3"/>
    <w:basedOn w:val="Normal"/>
    <w:uiPriority w:val="99"/>
    <w:qFormat/>
    <w:rsid w:val="004F7003"/>
    <w:pPr>
      <w:numPr>
        <w:ilvl w:val="2"/>
        <w:numId w:val="7"/>
      </w:numPr>
      <w:spacing w:after="120"/>
      <w:contextualSpacing/>
    </w:pPr>
    <w:rPr>
      <w:rFonts w:eastAsiaTheme="minorEastAsia"/>
    </w:rPr>
  </w:style>
  <w:style w:type="paragraph" w:styleId="ListBullet4">
    <w:name w:val="List Bullet 4"/>
    <w:basedOn w:val="Normal"/>
    <w:uiPriority w:val="99"/>
    <w:qFormat/>
    <w:rsid w:val="004F7003"/>
    <w:pPr>
      <w:numPr>
        <w:ilvl w:val="3"/>
        <w:numId w:val="7"/>
      </w:numPr>
      <w:spacing w:after="120"/>
      <w:contextualSpacing/>
    </w:pPr>
    <w:rPr>
      <w:rFonts w:eastAsiaTheme="minorEastAsia"/>
    </w:rPr>
  </w:style>
  <w:style w:type="numbering" w:customStyle="1" w:styleId="BulletList">
    <w:name w:val="Bullet List"/>
    <w:uiPriority w:val="99"/>
    <w:rsid w:val="004F7003"/>
    <w:pPr>
      <w:numPr>
        <w:numId w:val="7"/>
      </w:numPr>
    </w:pPr>
  </w:style>
  <w:style w:type="paragraph" w:styleId="ListBullet5">
    <w:name w:val="List Bullet 5"/>
    <w:basedOn w:val="Normal"/>
    <w:uiPriority w:val="99"/>
    <w:rsid w:val="004F7003"/>
    <w:pPr>
      <w:numPr>
        <w:ilvl w:val="4"/>
        <w:numId w:val="7"/>
      </w:numPr>
      <w:contextualSpacing/>
    </w:pPr>
    <w:rPr>
      <w:rFonts w:eastAsiaTheme="minorEastAsia"/>
    </w:rPr>
  </w:style>
  <w:style w:type="character" w:customStyle="1" w:styleId="Heading3Char">
    <w:name w:val="Heading 3 Char"/>
    <w:basedOn w:val="DefaultParagraphFont"/>
    <w:link w:val="Heading3"/>
    <w:uiPriority w:val="2"/>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5059B9"/>
    <w:rPr>
      <w:rFonts w:asciiTheme="majorHAnsi" w:eastAsiaTheme="majorEastAsia" w:hAnsiTheme="majorHAnsi" w:cstheme="majorBidi"/>
      <w:color w:val="2E74B5" w:themeColor="accent1" w:themeShade="BF"/>
      <w:sz w:val="26"/>
      <w:szCs w:val="26"/>
    </w:rPr>
  </w:style>
  <w:style w:type="numbering" w:customStyle="1" w:styleId="NumberedList1">
    <w:name w:val="Numbered List1"/>
    <w:uiPriority w:val="99"/>
    <w:rsid w:val="00C13816"/>
    <w:pPr>
      <w:numPr>
        <w:numId w:val="23"/>
      </w:numPr>
    </w:pPr>
  </w:style>
  <w:style w:type="numbering" w:customStyle="1" w:styleId="BulletList1">
    <w:name w:val="Bullet List1"/>
    <w:uiPriority w:val="99"/>
    <w:rsid w:val="00C13816"/>
    <w:pPr>
      <w:numPr>
        <w:numId w:val="25"/>
      </w:numPr>
    </w:pPr>
  </w:style>
  <w:style w:type="table" w:customStyle="1" w:styleId="JobsTable">
    <w:name w:val="Jobs Table"/>
    <w:basedOn w:val="TableNormal"/>
    <w:uiPriority w:val="99"/>
    <w:rsid w:val="00C13816"/>
    <w:pPr>
      <w:spacing w:after="0" w:line="240" w:lineRule="auto"/>
    </w:pPr>
    <w:rPr>
      <w:rFonts w:eastAsia="Times New Roman"/>
    </w:rPr>
    <w:tblPr>
      <w:tblBorders>
        <w:bottom w:val="single" w:sz="4" w:space="0" w:color="1E3D6B"/>
      </w:tblBorders>
    </w:tblPr>
    <w:tblStylePr w:type="firstRow">
      <w:pPr>
        <w:jc w:val="left"/>
      </w:pPr>
      <w:rPr>
        <w:rFonts w:ascii="Calibri" w:hAnsi="Calibri"/>
        <w:b w:val="0"/>
        <w:color w:val="F2F2F2"/>
        <w:sz w:val="22"/>
      </w:rPr>
      <w:tblPr/>
      <w:tcPr>
        <w:shd w:val="clear" w:color="auto" w:fill="287BB3"/>
      </w:tcPr>
    </w:tblStylePr>
    <w:tblStylePr w:type="firstCol">
      <w:rPr>
        <w:b/>
      </w:rPr>
    </w:tblStylePr>
  </w:style>
  <w:style w:type="paragraph" w:styleId="Subtitle">
    <w:name w:val="Subtitle"/>
    <w:basedOn w:val="Normal"/>
    <w:next w:val="Normal"/>
    <w:link w:val="SubtitleChar"/>
    <w:uiPriority w:val="8"/>
    <w:qFormat/>
    <w:rsid w:val="00C13816"/>
    <w:rPr>
      <w:rFonts w:ascii="Calibri" w:eastAsiaTheme="majorEastAsia" w:hAnsi="Calibri" w:cstheme="majorBidi"/>
      <w:iCs/>
      <w:color w:val="000000" w:themeColor="text1"/>
      <w:spacing w:val="13"/>
      <w:sz w:val="36"/>
      <w:szCs w:val="40"/>
      <w14:ligatures w14:val="standard"/>
    </w:rPr>
  </w:style>
  <w:style w:type="character" w:customStyle="1" w:styleId="SubtitleChar">
    <w:name w:val="Subtitle Char"/>
    <w:basedOn w:val="DefaultParagraphFont"/>
    <w:link w:val="Subtitle"/>
    <w:uiPriority w:val="8"/>
    <w:rsid w:val="00C13816"/>
    <w:rPr>
      <w:rFonts w:ascii="Calibri" w:eastAsiaTheme="majorEastAsia" w:hAnsi="Calibri" w:cstheme="majorBidi"/>
      <w:iCs/>
      <w:color w:val="000000" w:themeColor="text1"/>
      <w:spacing w:val="13"/>
      <w:sz w:val="36"/>
      <w:szCs w:val="40"/>
      <w14:ligatures w14:val="standard"/>
    </w:rPr>
  </w:style>
  <w:style w:type="character" w:customStyle="1" w:styleId="Heading4Char">
    <w:name w:val="Heading 4 Char"/>
    <w:basedOn w:val="DefaultParagraphFont"/>
    <w:link w:val="Heading4"/>
    <w:uiPriority w:val="2"/>
    <w:rsid w:val="00C13816"/>
    <w:rPr>
      <w:rFonts w:ascii="Calibri" w:eastAsiaTheme="majorEastAsia" w:hAnsi="Calibri" w:cstheme="majorBidi"/>
      <w:bCs/>
      <w:iCs/>
      <w:sz w:val="28"/>
      <w:szCs w:val="28"/>
      <w14:ligatures w14:val="standard"/>
    </w:rPr>
  </w:style>
  <w:style w:type="character" w:customStyle="1" w:styleId="Heading5Char">
    <w:name w:val="Heading 5 Char"/>
    <w:basedOn w:val="DefaultParagraphFont"/>
    <w:link w:val="Heading5"/>
    <w:uiPriority w:val="2"/>
    <w:rsid w:val="00C13816"/>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C13816"/>
    <w:rPr>
      <w:rFonts w:ascii="Calibri" w:eastAsiaTheme="majorEastAsia" w:hAnsi="Calibri" w:cstheme="majorBidi"/>
      <w:bCs/>
      <w:iCs/>
      <w:color w:val="565656"/>
      <w:sz w:val="24"/>
      <w14:ligatures w14:val="standard"/>
    </w:rPr>
  </w:style>
  <w:style w:type="paragraph" w:styleId="Caption">
    <w:name w:val="caption"/>
    <w:basedOn w:val="Heading4"/>
    <w:next w:val="Normal"/>
    <w:uiPriority w:val="35"/>
    <w:qFormat/>
    <w:rsid w:val="00C13816"/>
    <w:rPr>
      <w:b/>
      <w:sz w:val="22"/>
    </w:rPr>
  </w:style>
  <w:style w:type="paragraph" w:styleId="List">
    <w:name w:val="List"/>
    <w:basedOn w:val="Normal"/>
    <w:uiPriority w:val="99"/>
    <w:unhideWhenUsed/>
    <w:qFormat/>
    <w:rsid w:val="003E65A1"/>
    <w:pPr>
      <w:ind w:left="283" w:hanging="283"/>
      <w:contextualSpacing/>
    </w:pPr>
  </w:style>
  <w:style w:type="paragraph" w:styleId="Quote">
    <w:name w:val="Quote"/>
    <w:basedOn w:val="Normal"/>
    <w:next w:val="Normal"/>
    <w:link w:val="QuoteChar"/>
    <w:uiPriority w:val="29"/>
    <w:qFormat/>
    <w:rsid w:val="003E65A1"/>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3E65A1"/>
    <w:rPr>
      <w:iCs/>
      <w:color w:val="595959" w:themeColor="text1" w:themeTint="A6"/>
    </w:rPr>
  </w:style>
  <w:style w:type="paragraph" w:customStyle="1" w:styleId="Source">
    <w:name w:val="Source"/>
    <w:basedOn w:val="Normal"/>
    <w:uiPriority w:val="17"/>
    <w:qFormat/>
    <w:rsid w:val="003E65A1"/>
    <w:rPr>
      <w:sz w:val="18"/>
    </w:rPr>
  </w:style>
  <w:style w:type="table" w:customStyle="1" w:styleId="DESE">
    <w:name w:val="DESE"/>
    <w:basedOn w:val="TableNormal"/>
    <w:uiPriority w:val="99"/>
    <w:rsid w:val="003E65A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31343D"/>
      </w:tcPr>
    </w:tblStylePr>
    <w:tblStylePr w:type="firstCol">
      <w:rPr>
        <w:b w:val="0"/>
      </w:rPr>
    </w:tblStylePr>
    <w:tblStylePr w:type="nwCell">
      <w:rPr>
        <w:b w:val="0"/>
      </w:rPr>
    </w:tblStylePr>
  </w:style>
  <w:style w:type="paragraph" w:customStyle="1" w:styleId="DESEnormal">
    <w:name w:val="DESE normal"/>
    <w:basedOn w:val="Normal"/>
    <w:link w:val="DESEnormalChar"/>
    <w:qFormat/>
    <w:rsid w:val="00FF18FD"/>
    <w:pPr>
      <w:spacing w:after="160" w:line="259" w:lineRule="auto"/>
    </w:pPr>
    <w:rPr>
      <w:rFonts w:ascii="Calibri" w:eastAsia="Calibri" w:hAnsi="Calibri" w:cs="Times New Roman"/>
    </w:rPr>
  </w:style>
  <w:style w:type="character" w:customStyle="1" w:styleId="DESEnormalChar">
    <w:name w:val="DESE normal Char"/>
    <w:basedOn w:val="DefaultParagraphFont"/>
    <w:link w:val="DESEnormal"/>
    <w:rsid w:val="00FF18FD"/>
    <w:rPr>
      <w:rFonts w:ascii="Calibri" w:eastAsia="Calibri" w:hAnsi="Calibri" w:cs="Times New Roman"/>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EB7582"/>
  </w:style>
  <w:style w:type="table" w:styleId="TableGrid">
    <w:name w:val="Table Grid"/>
    <w:aliases w:val="HELP_Table Style 2"/>
    <w:basedOn w:val="TableNormal"/>
    <w:uiPriority w:val="59"/>
    <w:rsid w:val="00C07887"/>
    <w:pPr>
      <w:spacing w:after="0" w:line="240" w:lineRule="auto"/>
    </w:pPr>
    <w:rPr>
      <w:rFonts w:eastAsiaTheme="minorEastAsia"/>
    </w:rPr>
    <w:tblPr>
      <w:tblBorders>
        <w:top w:val="single" w:sz="8" w:space="0" w:color="1E3D6B"/>
        <w:left w:val="single" w:sz="8" w:space="0" w:color="1E3D6B"/>
        <w:bottom w:val="single" w:sz="8" w:space="0" w:color="1E3D6B"/>
        <w:right w:val="single" w:sz="8" w:space="0" w:color="1E3D6B"/>
        <w:insideH w:val="single" w:sz="8" w:space="0" w:color="1E3D6B"/>
        <w:insideV w:val="single" w:sz="8" w:space="0" w:color="1E3D6B"/>
      </w:tblBorders>
      <w:tblCellMar>
        <w:top w:w="28" w:type="dxa"/>
        <w:bottom w:w="28" w:type="dxa"/>
      </w:tblCellMar>
    </w:tblPr>
    <w:tblStylePr w:type="firstRow">
      <w:pPr>
        <w:wordWrap/>
        <w:jc w:val="left"/>
      </w:pPr>
      <w:rPr>
        <w:b/>
        <w:color w:val="E7E6E6" w:themeColor="background2"/>
      </w:rPr>
      <w:tblPr/>
      <w:tcPr>
        <w:shd w:val="clear" w:color="auto" w:fill="24206C"/>
      </w:tcPr>
    </w:tblStylePr>
    <w:tblStylePr w:type="firstCol">
      <w:pPr>
        <w:jc w:val="left"/>
      </w:pPr>
      <w:tblPr/>
      <w:tcPr>
        <w:vAlign w:val="center"/>
      </w:tcPr>
    </w:tblStylePr>
  </w:style>
  <w:style w:type="character" w:styleId="UnresolvedMention">
    <w:name w:val="Unresolved Mention"/>
    <w:basedOn w:val="DefaultParagraphFont"/>
    <w:uiPriority w:val="99"/>
    <w:semiHidden/>
    <w:unhideWhenUsed/>
    <w:rsid w:val="006504B8"/>
    <w:rPr>
      <w:color w:val="605E5C"/>
      <w:shd w:val="clear" w:color="auto" w:fill="E1DFDD"/>
    </w:rPr>
  </w:style>
  <w:style w:type="paragraph" w:customStyle="1" w:styleId="Style1">
    <w:name w:val="Style1"/>
    <w:basedOn w:val="ListNumber"/>
    <w:link w:val="Style1Char"/>
    <w:qFormat/>
    <w:rsid w:val="003F1577"/>
    <w:pPr>
      <w:numPr>
        <w:numId w:val="47"/>
      </w:numPr>
    </w:pPr>
  </w:style>
  <w:style w:type="character" w:customStyle="1" w:styleId="ListNumberChar">
    <w:name w:val="List Number Char"/>
    <w:basedOn w:val="DefaultParagraphFont"/>
    <w:link w:val="ListNumber"/>
    <w:uiPriority w:val="99"/>
    <w:rsid w:val="003F1577"/>
    <w:rPr>
      <w:rFonts w:eastAsiaTheme="minorEastAsia"/>
    </w:rPr>
  </w:style>
  <w:style w:type="character" w:customStyle="1" w:styleId="Style1Char">
    <w:name w:val="Style1 Char"/>
    <w:basedOn w:val="ListNumberChar"/>
    <w:link w:val="Style1"/>
    <w:rsid w:val="003F157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bs.gov.au/statistics/economy/price-indexes-and-inflation/consumer-price-index-australia/latest-release"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C4F1-C95C-4BCD-BE1F-7091F1DE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Student Loans Course Caps Indexed Amounts (for providers)</dc:title>
  <dc:subject/>
  <dc:creator/>
  <cp:keywords/>
  <dc:description/>
  <cp:lastModifiedBy/>
  <cp:revision>1</cp:revision>
  <dcterms:created xsi:type="dcterms:W3CDTF">2024-08-15T03:05:00Z</dcterms:created>
  <dcterms:modified xsi:type="dcterms:W3CDTF">2024-08-15T03:06:00Z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2024-08-15T03:06:02Z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7819eec9-4660-4d39-92e5-95692343828e</vt:lpwstr>
  </property>
  <property fmtid="{D5CDD505-2E9C-101B-9397-08002B2CF9AE}" pid="8" name="MSIP_Label_79d889eb-932f-4752-8739-64d25806ef64_ContentBits">
    <vt:lpwstr>0</vt:lpwstr>
  </property>
</Properties>
</file>