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5645D" w14:textId="091799D2" w:rsidR="003E65A1" w:rsidRPr="00F20AF8" w:rsidRDefault="000540B0" w:rsidP="00F20AF8">
      <w:pPr>
        <w:pStyle w:val="Title"/>
        <w:rPr>
          <w:sz w:val="60"/>
          <w:szCs w:val="60"/>
        </w:rPr>
      </w:pPr>
      <w:bookmarkStart w:id="0" w:name="_Toc30065222"/>
      <w:r w:rsidRPr="00F20AF8">
        <w:rPr>
          <w:sz w:val="60"/>
          <w:szCs w:val="60"/>
        </w:rPr>
        <w:t xml:space="preserve">VSL </w:t>
      </w:r>
      <w:r w:rsidR="00C02BBE">
        <w:rPr>
          <w:sz w:val="60"/>
          <w:szCs w:val="60"/>
        </w:rPr>
        <w:t>c</w:t>
      </w:r>
      <w:r w:rsidRPr="00F20AF8">
        <w:rPr>
          <w:sz w:val="60"/>
          <w:szCs w:val="60"/>
        </w:rPr>
        <w:t xml:space="preserve">ourse </w:t>
      </w:r>
      <w:r w:rsidR="00C02BBE">
        <w:rPr>
          <w:sz w:val="60"/>
          <w:szCs w:val="60"/>
        </w:rPr>
        <w:t>c</w:t>
      </w:r>
      <w:r w:rsidRPr="00F20AF8">
        <w:rPr>
          <w:sz w:val="60"/>
          <w:szCs w:val="60"/>
        </w:rPr>
        <w:t xml:space="preserve">aps </w:t>
      </w:r>
      <w:r w:rsidR="00C02BBE">
        <w:rPr>
          <w:sz w:val="60"/>
          <w:szCs w:val="60"/>
        </w:rPr>
        <w:t>i</w:t>
      </w:r>
      <w:r w:rsidRPr="00F20AF8">
        <w:rPr>
          <w:sz w:val="60"/>
          <w:szCs w:val="60"/>
        </w:rPr>
        <w:t xml:space="preserve">ndexed </w:t>
      </w:r>
      <w:r w:rsidR="00C02BBE">
        <w:rPr>
          <w:sz w:val="60"/>
          <w:szCs w:val="60"/>
        </w:rPr>
        <w:t>a</w:t>
      </w:r>
      <w:r w:rsidRPr="00F20AF8">
        <w:rPr>
          <w:sz w:val="60"/>
          <w:szCs w:val="60"/>
        </w:rPr>
        <w:t>mounts</w:t>
      </w:r>
    </w:p>
    <w:p w14:paraId="3B5CF95F" w14:textId="77777777" w:rsidR="00C93285" w:rsidRDefault="00C93285" w:rsidP="00C93285">
      <w:pPr>
        <w:rPr>
          <w:rFonts w:cstheme="minorHAnsi"/>
        </w:rPr>
      </w:pPr>
      <w:bookmarkStart w:id="1" w:name="_Hlk109643532"/>
      <w:bookmarkEnd w:id="0"/>
      <w:r>
        <w:rPr>
          <w:rFonts w:cstheme="minorHAnsi"/>
        </w:rPr>
        <w:t xml:space="preserve">Maximum loan amounts for VSL courses are indexed annually on 1 January in line with the </w:t>
      </w:r>
      <w:r>
        <w:rPr>
          <w:rFonts w:cstheme="minorHAnsi"/>
        </w:rPr>
        <w:br/>
      </w:r>
      <w:r w:rsidRPr="00C93285">
        <w:rPr>
          <w:rFonts w:cstheme="minorHAnsi"/>
        </w:rPr>
        <w:t>VET Student Loans (Courses and Loan Caps) Determination 2016</w:t>
      </w:r>
      <w:r>
        <w:rPr>
          <w:rFonts w:cstheme="minorHAnsi"/>
        </w:rPr>
        <w:t xml:space="preserve">. </w:t>
      </w:r>
    </w:p>
    <w:p w14:paraId="78D77E76" w14:textId="693B011C" w:rsidR="00C93285" w:rsidRDefault="00C93285" w:rsidP="00C93285">
      <w:pPr>
        <w:rPr>
          <w:rFonts w:cstheme="minorHAnsi"/>
        </w:rPr>
      </w:pPr>
      <w:r>
        <w:rPr>
          <w:rFonts w:cstheme="minorHAnsi"/>
        </w:rPr>
        <w:t>The maximum loan amounts for 202</w:t>
      </w:r>
      <w:r w:rsidR="00355B5C">
        <w:rPr>
          <w:rFonts w:cstheme="minorHAnsi"/>
        </w:rPr>
        <w:t>5</w:t>
      </w:r>
      <w:r w:rsidR="009652F5">
        <w:rPr>
          <w:rFonts w:cstheme="minorHAnsi"/>
        </w:rPr>
        <w:t xml:space="preserve"> </w:t>
      </w:r>
      <w:r>
        <w:rPr>
          <w:rFonts w:cstheme="minorHAnsi"/>
        </w:rPr>
        <w:t>have recently been finalised. These will apply to all units of study (new and continuing VSL students) with a census day of 1 January 202</w:t>
      </w:r>
      <w:r w:rsidR="00355B5C">
        <w:rPr>
          <w:rFonts w:cstheme="minorHAnsi"/>
        </w:rPr>
        <w:t>5</w:t>
      </w:r>
      <w:r>
        <w:rPr>
          <w:rFonts w:cstheme="minorHAnsi"/>
        </w:rPr>
        <w:t xml:space="preserve"> or later.  </w:t>
      </w:r>
    </w:p>
    <w:p w14:paraId="7E1B639C" w14:textId="77777777" w:rsidR="00C93285" w:rsidRDefault="00C93285" w:rsidP="00C93285">
      <w:pPr>
        <w:rPr>
          <w:rFonts w:cstheme="minorHAnsi"/>
        </w:rPr>
      </w:pPr>
      <w:r>
        <w:rPr>
          <w:rFonts w:cstheme="minorHAnsi"/>
        </w:rPr>
        <w:t xml:space="preserve">For continuing VSL students this does not mean that the tuition fees for your course will automatically increase. Your provider cannot charge you more than the maximum tuition fees specified in your eCAF VSL application, nor the amounts specified in the Statement of Covered Fees your provider issued to you at the start of your course. </w:t>
      </w:r>
    </w:p>
    <w:p w14:paraId="7BC9437E" w14:textId="18580859" w:rsidR="00C93285" w:rsidRDefault="00C93285" w:rsidP="00C93285">
      <w:pPr>
        <w:rPr>
          <w:rFonts w:cstheme="minorHAnsi"/>
        </w:rPr>
      </w:pPr>
      <w:r>
        <w:rPr>
          <w:rFonts w:cstheme="minorHAnsi"/>
        </w:rPr>
        <w:t>If your provider wishes to increase your tuition fees, or if you wish to use the increased maximum loan amount to reduce the amount of gap payments you need to make, you must first discuss this with your provider. Your provider must then issue you a new Statement of Covered Fees. As always, your Fee Notice should reflect the correct amount of VSL loan you are to be charged for a unit of study, any other tuition fees you are paying (not using a VSL loan) and must be issued to you by your provider at least 14 days before your census day.</w:t>
      </w:r>
      <w:bookmarkEnd w:id="1"/>
      <w:r>
        <w:rPr>
          <w:rFonts w:cstheme="minorHAnsi"/>
        </w:rPr>
        <w:t xml:space="preserve"> The provider’s new tuition fee schedule must also be published on their website.  </w:t>
      </w:r>
    </w:p>
    <w:p w14:paraId="02D536B9" w14:textId="0AB046BD" w:rsidR="000C498A" w:rsidRDefault="000C498A" w:rsidP="000C498A">
      <w:pPr>
        <w:pStyle w:val="Caption"/>
        <w:keepNext/>
      </w:pPr>
      <w:r>
        <w:t xml:space="preserve">Table </w:t>
      </w:r>
      <w:r w:rsidR="00C30842">
        <w:fldChar w:fldCharType="begin"/>
      </w:r>
      <w:r w:rsidR="00C30842">
        <w:instrText xml:space="preserve"> SEQ Table \* ARABIC </w:instrText>
      </w:r>
      <w:r w:rsidR="00C30842">
        <w:fldChar w:fldCharType="separate"/>
      </w:r>
      <w:r w:rsidR="00757C9D">
        <w:rPr>
          <w:noProof/>
        </w:rPr>
        <w:t>1</w:t>
      </w:r>
      <w:r w:rsidR="00C30842">
        <w:rPr>
          <w:noProof/>
        </w:rPr>
        <w:fldChar w:fldCharType="end"/>
      </w:r>
      <w:r>
        <w:t>: VET Student Loans (Courses and Loan Caps) Determination 2016 - Loan Indexation amounts 202</w:t>
      </w:r>
      <w:r w:rsidR="00355B5C">
        <w:t xml:space="preserve">4 </w:t>
      </w:r>
      <w:r>
        <w:t>and 202</w:t>
      </w:r>
      <w:r w:rsidR="00355B5C">
        <w:t>5</w:t>
      </w:r>
    </w:p>
    <w:tbl>
      <w:tblPr>
        <w:tblStyle w:val="HELPTableStyle23"/>
        <w:tblpPr w:leftFromText="181" w:rightFromText="181" w:bottomFromText="142" w:vertAnchor="text" w:tblpXSpec="center" w:tblpY="1"/>
        <w:tblOverlap w:val="never"/>
        <w:tblW w:w="9225" w:type="dxa"/>
        <w:tblBorders>
          <w:top w:val="single" w:sz="8" w:space="0" w:color="292065"/>
          <w:left w:val="single" w:sz="8" w:space="0" w:color="292065"/>
          <w:bottom w:val="single" w:sz="8" w:space="0" w:color="292065"/>
          <w:right w:val="single" w:sz="8" w:space="0" w:color="292065"/>
          <w:insideH w:val="single" w:sz="8" w:space="0" w:color="292065"/>
          <w:insideV w:val="single" w:sz="8" w:space="0" w:color="292065"/>
        </w:tblBorders>
        <w:tblLook w:val="04A0" w:firstRow="1" w:lastRow="0" w:firstColumn="1" w:lastColumn="0" w:noHBand="0" w:noVBand="1"/>
        <w:tblDescription w:val="The table shows the loan cap indexation amounts for 2023 and 2024."/>
      </w:tblPr>
      <w:tblGrid>
        <w:gridCol w:w="6532"/>
        <w:gridCol w:w="1276"/>
        <w:gridCol w:w="1417"/>
      </w:tblGrid>
      <w:tr w:rsidR="00DB50DF" w:rsidRPr="00BA39EF" w14:paraId="4D60B2BD" w14:textId="77777777" w:rsidTr="00B00572">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532" w:type="dxa"/>
            <w:shd w:val="clear" w:color="auto" w:fill="292065"/>
          </w:tcPr>
          <w:p w14:paraId="6BCFEAB7" w14:textId="77777777" w:rsidR="00BA39EF" w:rsidRPr="00BA39EF" w:rsidRDefault="00BA39EF" w:rsidP="00450C5C">
            <w:pPr>
              <w:spacing w:after="0" w:line="240" w:lineRule="auto"/>
              <w:rPr>
                <w:rFonts w:ascii="Calibri" w:hAnsi="Calibri" w:cs="Calibri"/>
              </w:rPr>
            </w:pPr>
          </w:p>
        </w:tc>
        <w:tc>
          <w:tcPr>
            <w:tcW w:w="1276" w:type="dxa"/>
            <w:shd w:val="clear" w:color="auto" w:fill="292065"/>
            <w:vAlign w:val="center"/>
          </w:tcPr>
          <w:p w14:paraId="226C54D6" w14:textId="43B46E0D" w:rsidR="00BA39EF" w:rsidRPr="00BA39EF" w:rsidRDefault="00BA39EF" w:rsidP="00DB50D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A39EF">
              <w:rPr>
                <w:rFonts w:ascii="Calibri" w:hAnsi="Calibri" w:cs="Calibri"/>
              </w:rPr>
              <w:t>202</w:t>
            </w:r>
            <w:r w:rsidR="00355B5C">
              <w:rPr>
                <w:rFonts w:ascii="Calibri" w:hAnsi="Calibri" w:cs="Calibri"/>
              </w:rPr>
              <w:t>4</w:t>
            </w:r>
            <w:r w:rsidRPr="00BA39EF">
              <w:rPr>
                <w:rFonts w:ascii="Calibri" w:hAnsi="Calibri" w:cs="Calibri"/>
              </w:rPr>
              <w:br/>
              <w:t>($)</w:t>
            </w:r>
          </w:p>
        </w:tc>
        <w:tc>
          <w:tcPr>
            <w:tcW w:w="1417" w:type="dxa"/>
            <w:shd w:val="clear" w:color="auto" w:fill="292065"/>
            <w:vAlign w:val="center"/>
          </w:tcPr>
          <w:p w14:paraId="30FF4E04" w14:textId="0FCDB575" w:rsidR="00BA39EF" w:rsidRPr="00BA39EF" w:rsidRDefault="00BA39EF" w:rsidP="00DB50D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A39EF">
              <w:rPr>
                <w:rFonts w:ascii="Calibri" w:hAnsi="Calibri" w:cs="Calibri"/>
              </w:rPr>
              <w:t>202</w:t>
            </w:r>
            <w:r w:rsidR="00355B5C">
              <w:rPr>
                <w:rFonts w:ascii="Calibri" w:hAnsi="Calibri" w:cs="Calibri"/>
              </w:rPr>
              <w:t>5</w:t>
            </w:r>
            <w:r w:rsidRPr="00BA39EF">
              <w:rPr>
                <w:rFonts w:ascii="Calibri" w:hAnsi="Calibri" w:cs="Calibri"/>
              </w:rPr>
              <w:br/>
              <w:t>($)</w:t>
            </w:r>
          </w:p>
        </w:tc>
      </w:tr>
      <w:tr w:rsidR="00355B5C" w:rsidRPr="00BA39EF" w14:paraId="491897DC" w14:textId="77777777" w:rsidTr="00B00572">
        <w:trPr>
          <w:trHeight w:val="388"/>
        </w:trPr>
        <w:tc>
          <w:tcPr>
            <w:cnfStyle w:val="001000000000" w:firstRow="0" w:lastRow="0" w:firstColumn="1" w:lastColumn="0" w:oddVBand="0" w:evenVBand="0" w:oddHBand="0" w:evenHBand="0" w:firstRowFirstColumn="0" w:firstRowLastColumn="0" w:lastRowFirstColumn="0" w:lastRowLastColumn="0"/>
            <w:tcW w:w="6532" w:type="dxa"/>
          </w:tcPr>
          <w:p w14:paraId="11B5DAD9" w14:textId="434B2250" w:rsidR="00355B5C" w:rsidRPr="00BA39EF" w:rsidRDefault="00355B5C" w:rsidP="00355B5C">
            <w:pPr>
              <w:spacing w:after="0" w:line="240" w:lineRule="auto"/>
              <w:jc w:val="both"/>
              <w:rPr>
                <w:rFonts w:ascii="Calibri" w:hAnsi="Calibri" w:cs="Calibri"/>
                <w:b/>
              </w:rPr>
            </w:pPr>
            <w:r w:rsidRPr="00BA39EF">
              <w:rPr>
                <w:rFonts w:ascii="Calibri" w:hAnsi="Calibri" w:cs="Calibri"/>
              </w:rPr>
              <w:t xml:space="preserve">Band 1 (Part 1, Schedule 1) </w:t>
            </w:r>
          </w:p>
        </w:tc>
        <w:tc>
          <w:tcPr>
            <w:tcW w:w="1276" w:type="dxa"/>
            <w:vAlign w:val="center"/>
          </w:tcPr>
          <w:p w14:paraId="089976AD" w14:textId="6BC3E6D4" w:rsidR="00355B5C" w:rsidRPr="00BA39EF" w:rsidRDefault="00355B5C" w:rsidP="00355B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6,031</w:t>
            </w:r>
          </w:p>
        </w:tc>
        <w:tc>
          <w:tcPr>
            <w:tcW w:w="1417" w:type="dxa"/>
            <w:vAlign w:val="center"/>
          </w:tcPr>
          <w:p w14:paraId="026A7509" w14:textId="49946EAB" w:rsidR="00355B5C" w:rsidRPr="00BA39EF" w:rsidRDefault="00355B5C" w:rsidP="00355B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6,278</w:t>
            </w:r>
          </w:p>
        </w:tc>
      </w:tr>
      <w:tr w:rsidR="00355B5C" w:rsidRPr="00BA39EF" w14:paraId="6B0A7007" w14:textId="77777777" w:rsidTr="00B00572">
        <w:trPr>
          <w:trHeight w:val="388"/>
        </w:trPr>
        <w:tc>
          <w:tcPr>
            <w:cnfStyle w:val="001000000000" w:firstRow="0" w:lastRow="0" w:firstColumn="1" w:lastColumn="0" w:oddVBand="0" w:evenVBand="0" w:oddHBand="0" w:evenHBand="0" w:firstRowFirstColumn="0" w:firstRowLastColumn="0" w:lastRowFirstColumn="0" w:lastRowLastColumn="0"/>
            <w:tcW w:w="6532" w:type="dxa"/>
          </w:tcPr>
          <w:p w14:paraId="4F86B89A" w14:textId="34703F24" w:rsidR="00355B5C" w:rsidRPr="00BA39EF" w:rsidRDefault="00355B5C" w:rsidP="00355B5C">
            <w:pPr>
              <w:spacing w:after="0" w:line="240" w:lineRule="auto"/>
              <w:jc w:val="both"/>
              <w:rPr>
                <w:rFonts w:ascii="Calibri" w:hAnsi="Calibri" w:cs="Calibri"/>
                <w:b/>
              </w:rPr>
            </w:pPr>
            <w:r w:rsidRPr="00BA39EF">
              <w:rPr>
                <w:rFonts w:ascii="Calibri" w:hAnsi="Calibri" w:cs="Calibri"/>
              </w:rPr>
              <w:t xml:space="preserve">Band 2 (Part 2, Schedule 1) </w:t>
            </w:r>
          </w:p>
        </w:tc>
        <w:tc>
          <w:tcPr>
            <w:tcW w:w="1276" w:type="dxa"/>
            <w:vAlign w:val="center"/>
          </w:tcPr>
          <w:p w14:paraId="7E64C914" w14:textId="557B4954" w:rsidR="00355B5C" w:rsidRPr="00BA39EF" w:rsidRDefault="00355B5C" w:rsidP="00355B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12,063</w:t>
            </w:r>
          </w:p>
        </w:tc>
        <w:tc>
          <w:tcPr>
            <w:tcW w:w="1417" w:type="dxa"/>
            <w:vAlign w:val="center"/>
          </w:tcPr>
          <w:p w14:paraId="7B82FBFF" w14:textId="2E675239" w:rsidR="00355B5C" w:rsidRPr="00BA39EF" w:rsidRDefault="00355B5C" w:rsidP="00355B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12,557</w:t>
            </w:r>
          </w:p>
        </w:tc>
      </w:tr>
      <w:tr w:rsidR="00355B5C" w:rsidRPr="00BA39EF" w14:paraId="78301880" w14:textId="77777777" w:rsidTr="00B00572">
        <w:trPr>
          <w:trHeight w:val="388"/>
        </w:trPr>
        <w:tc>
          <w:tcPr>
            <w:cnfStyle w:val="001000000000" w:firstRow="0" w:lastRow="0" w:firstColumn="1" w:lastColumn="0" w:oddVBand="0" w:evenVBand="0" w:oddHBand="0" w:evenHBand="0" w:firstRowFirstColumn="0" w:firstRowLastColumn="0" w:lastRowFirstColumn="0" w:lastRowLastColumn="0"/>
            <w:tcW w:w="6532" w:type="dxa"/>
          </w:tcPr>
          <w:p w14:paraId="0A78A944" w14:textId="51330704" w:rsidR="00355B5C" w:rsidRPr="00BA39EF" w:rsidRDefault="00355B5C" w:rsidP="00355B5C">
            <w:pPr>
              <w:spacing w:after="0" w:line="240" w:lineRule="auto"/>
              <w:jc w:val="both"/>
              <w:rPr>
                <w:rFonts w:ascii="Calibri" w:hAnsi="Calibri" w:cs="Calibri"/>
                <w:b/>
              </w:rPr>
            </w:pPr>
            <w:r w:rsidRPr="00BA39EF">
              <w:rPr>
                <w:rFonts w:ascii="Calibri" w:hAnsi="Calibri" w:cs="Calibri"/>
              </w:rPr>
              <w:t xml:space="preserve">Band 3 (Part 3, Schedule 1) </w:t>
            </w:r>
          </w:p>
        </w:tc>
        <w:tc>
          <w:tcPr>
            <w:tcW w:w="1276" w:type="dxa"/>
            <w:vAlign w:val="center"/>
          </w:tcPr>
          <w:p w14:paraId="52025EC2" w14:textId="75B8EE29" w:rsidR="00355B5C" w:rsidRPr="00BA39EF" w:rsidRDefault="00355B5C" w:rsidP="00355B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18,097</w:t>
            </w:r>
          </w:p>
        </w:tc>
        <w:tc>
          <w:tcPr>
            <w:tcW w:w="1417" w:type="dxa"/>
            <w:vAlign w:val="center"/>
          </w:tcPr>
          <w:p w14:paraId="3FFA1623" w14:textId="01BC5CBC" w:rsidR="00355B5C" w:rsidRPr="00BA39EF" w:rsidRDefault="00355B5C" w:rsidP="00355B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18,838</w:t>
            </w:r>
          </w:p>
        </w:tc>
      </w:tr>
      <w:tr w:rsidR="00355B5C" w:rsidRPr="00BA39EF" w14:paraId="2DBFBA39" w14:textId="77777777" w:rsidTr="00B00572">
        <w:trPr>
          <w:trHeight w:val="388"/>
        </w:trPr>
        <w:tc>
          <w:tcPr>
            <w:cnfStyle w:val="001000000000" w:firstRow="0" w:lastRow="0" w:firstColumn="1" w:lastColumn="0" w:oddVBand="0" w:evenVBand="0" w:oddHBand="0" w:evenHBand="0" w:firstRowFirstColumn="0" w:firstRowLastColumn="0" w:lastRowFirstColumn="0" w:lastRowLastColumn="0"/>
            <w:tcW w:w="6532" w:type="dxa"/>
          </w:tcPr>
          <w:p w14:paraId="6828D3E5" w14:textId="2DA11479" w:rsidR="00355B5C" w:rsidRPr="00BA39EF" w:rsidRDefault="00355B5C" w:rsidP="00355B5C">
            <w:pPr>
              <w:spacing w:after="0" w:line="240" w:lineRule="auto"/>
              <w:jc w:val="both"/>
              <w:rPr>
                <w:rFonts w:ascii="Calibri" w:hAnsi="Calibri" w:cs="Calibri"/>
                <w:b/>
              </w:rPr>
            </w:pPr>
            <w:r w:rsidRPr="00BA39EF">
              <w:rPr>
                <w:rFonts w:ascii="Calibri" w:hAnsi="Calibri" w:cs="Calibri"/>
              </w:rPr>
              <w:t xml:space="preserve">Specific (Schedule 2) </w:t>
            </w:r>
          </w:p>
        </w:tc>
        <w:tc>
          <w:tcPr>
            <w:tcW w:w="1276" w:type="dxa"/>
            <w:vAlign w:val="center"/>
          </w:tcPr>
          <w:p w14:paraId="0155D987" w14:textId="52958225" w:rsidR="00355B5C" w:rsidRPr="00BA39EF" w:rsidRDefault="00355B5C" w:rsidP="00355B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90,497</w:t>
            </w:r>
          </w:p>
        </w:tc>
        <w:tc>
          <w:tcPr>
            <w:tcW w:w="1417" w:type="dxa"/>
            <w:vAlign w:val="center"/>
          </w:tcPr>
          <w:p w14:paraId="5586C1A5" w14:textId="710A8070" w:rsidR="00355B5C" w:rsidRPr="00BA39EF" w:rsidRDefault="00355B5C" w:rsidP="00355B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94,207</w:t>
            </w:r>
          </w:p>
        </w:tc>
      </w:tr>
    </w:tbl>
    <w:p w14:paraId="05000776" w14:textId="3A7BF4F5" w:rsidR="00747A80" w:rsidRPr="001C15D4" w:rsidRDefault="009652F5" w:rsidP="00747A80">
      <w:pPr>
        <w:ind w:right="-57"/>
        <w:rPr>
          <w:rFonts w:cstheme="minorHAnsi"/>
          <w:sz w:val="20"/>
        </w:rPr>
      </w:pPr>
      <w:r>
        <w:t>You</w:t>
      </w:r>
      <w:r w:rsidR="00747A80">
        <w:t xml:space="preserve"> can use </w:t>
      </w:r>
      <w:hyperlink r:id="rId8" w:history="1">
        <w:r w:rsidRPr="009652F5">
          <w:rPr>
            <w:rStyle w:val="Hyperlink"/>
          </w:rPr>
          <w:t>Explore Your Career | Your Career</w:t>
        </w:r>
      </w:hyperlink>
      <w:r>
        <w:t xml:space="preserve"> </w:t>
      </w:r>
      <w:r w:rsidR="00747A80">
        <w:t xml:space="preserve">to search for VET Student Loans </w:t>
      </w:r>
      <w:r w:rsidR="00747A80">
        <w:rPr>
          <w:b/>
          <w:bCs/>
        </w:rPr>
        <w:t xml:space="preserve">approved courses </w:t>
      </w:r>
      <w:r w:rsidR="00747A80">
        <w:t xml:space="preserve">and </w:t>
      </w:r>
      <w:r w:rsidR="00747A80">
        <w:rPr>
          <w:b/>
          <w:bCs/>
        </w:rPr>
        <w:t>approved course providers</w:t>
      </w:r>
      <w:r w:rsidR="00747A80">
        <w:t xml:space="preserve"> and view the maximum loan cap for VET Student Loans for </w:t>
      </w:r>
      <w:r>
        <w:t>your</w:t>
      </w:r>
      <w:r w:rsidR="00747A80">
        <w:t xml:space="preserve"> chosen course.</w:t>
      </w:r>
    </w:p>
    <w:p w14:paraId="4946A956" w14:textId="6149F1C4" w:rsidR="00C70E57" w:rsidRPr="00B00572" w:rsidRDefault="00CA684B" w:rsidP="00B00572">
      <w:pPr>
        <w:rPr>
          <w:rFonts w:cstheme="minorHAnsi"/>
        </w:rPr>
      </w:pPr>
      <w:r>
        <w:rPr>
          <w:rFonts w:cstheme="minorHAnsi"/>
        </w:rPr>
        <w:t>1 August 202</w:t>
      </w:r>
      <w:r w:rsidR="00355B5C">
        <w:rPr>
          <w:rFonts w:cstheme="minorHAnsi"/>
        </w:rPr>
        <w:t>4</w:t>
      </w:r>
    </w:p>
    <w:sectPr w:rsidR="00C70E57" w:rsidRPr="00B00572" w:rsidSect="000D737E">
      <w:headerReference w:type="default" r:id="rId9"/>
      <w:footerReference w:type="even" r:id="rId10"/>
      <w:footerReference w:type="default" r:id="rId11"/>
      <w:headerReference w:type="first" r:id="rId12"/>
      <w:footerReference w:type="first" r:id="rId13"/>
      <w:pgSz w:w="11906" w:h="16838"/>
      <w:pgMar w:top="1440" w:right="991"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97F2E" w14:textId="77777777" w:rsidR="002C3BAA" w:rsidRDefault="002C3BAA" w:rsidP="00717D10">
      <w:pPr>
        <w:spacing w:after="0" w:line="240" w:lineRule="auto"/>
      </w:pPr>
      <w:r>
        <w:separator/>
      </w:r>
    </w:p>
  </w:endnote>
  <w:endnote w:type="continuationSeparator" w:id="0">
    <w:p w14:paraId="71BE6C79" w14:textId="77777777" w:rsidR="002C3BAA" w:rsidRDefault="002C3BAA" w:rsidP="0071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4915493"/>
      <w:docPartObj>
        <w:docPartGallery w:val="Page Numbers (Bottom of Page)"/>
        <w:docPartUnique/>
      </w:docPartObj>
    </w:sdtPr>
    <w:sdtEndPr>
      <w:rPr>
        <w:noProof/>
      </w:rPr>
    </w:sdtEndPr>
    <w:sdtContent>
      <w:p w14:paraId="325E0100" w14:textId="45B630F5" w:rsidR="00890E34" w:rsidRDefault="00890E34" w:rsidP="00890E34">
        <w:pPr>
          <w:pStyle w:val="Footer"/>
          <w:ind w:right="403"/>
          <w:jc w:val="right"/>
        </w:pPr>
        <w:r>
          <w:rPr>
            <w:noProof/>
            <w:lang w:eastAsia="en-AU"/>
          </w:rPr>
          <w:drawing>
            <wp:inline distT="0" distB="0" distL="0" distR="0" wp14:anchorId="17C14882" wp14:editId="43470C62">
              <wp:extent cx="7624445" cy="636270"/>
              <wp:effectExtent l="0" t="0" r="0" b="0"/>
              <wp:docPr id="8" name="Picture 8"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inline>
          </w:drawing>
        </w:r>
        <w:r>
          <w:fldChar w:fldCharType="begin"/>
        </w:r>
        <w:r>
          <w:instrText xml:space="preserve"> PAGE   \* MERGEFORMAT </w:instrText>
        </w:r>
        <w:r>
          <w:fldChar w:fldCharType="separate"/>
        </w:r>
        <w:r w:rsidR="000D737E">
          <w:rPr>
            <w:noProof/>
          </w:rPr>
          <w:t>2</w:t>
        </w:r>
        <w:r>
          <w:rPr>
            <w:noProof/>
          </w:rPr>
          <w:fldChar w:fldCharType="end"/>
        </w:r>
      </w:p>
    </w:sdtContent>
  </w:sdt>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0099770"/>
      <w:docPartObj>
        <w:docPartGallery w:val="Page Numbers (Bottom of Page)"/>
        <w:docPartUnique/>
      </w:docPartObj>
    </w:sdtPr>
    <w:sdtEndPr>
      <w:rPr>
        <w:noProof/>
      </w:rPr>
    </w:sdtEndPr>
    <w:sdtContent>
      <w:p w14:paraId="643619BF" w14:textId="30E5BE4A" w:rsidR="00046838" w:rsidRDefault="00046838" w:rsidP="00890E34">
        <w:pPr>
          <w:pStyle w:val="Footer"/>
          <w:ind w:right="403"/>
          <w:jc w:val="right"/>
        </w:pPr>
        <w:r>
          <w:rPr>
            <w:noProof/>
            <w:lang w:eastAsia="en-AU"/>
          </w:rPr>
          <w:drawing>
            <wp:inline distT="0" distB="0" distL="0" distR="0" wp14:anchorId="2F3D67FD" wp14:editId="42D16BFA">
              <wp:extent cx="7624445" cy="636270"/>
              <wp:effectExtent l="0" t="0" r="0" b="0"/>
              <wp:docPr id="7" name="Picture 7"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inline>
          </w:drawing>
        </w:r>
        <w:r>
          <w:fldChar w:fldCharType="begin"/>
        </w:r>
        <w:r>
          <w:instrText xml:space="preserve"> PAGE   \* MERGEFORMAT </w:instrText>
        </w:r>
        <w:r>
          <w:fldChar w:fldCharType="separate"/>
        </w:r>
        <w:r w:rsidR="00EB7582">
          <w:rPr>
            <w:noProof/>
          </w:rPr>
          <w:t>3</w:t>
        </w:r>
        <w:r>
          <w:rPr>
            <w:noProof/>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059337"/>
      <w:docPartObj>
        <w:docPartGallery w:val="Page Numbers (Bottom of Page)"/>
        <w:docPartUnique/>
      </w:docPartObj>
    </w:sdtPr>
    <w:sdtEndPr>
      <w:rPr>
        <w:noProof/>
      </w:rPr>
    </w:sdtEndPr>
    <w:sdtContent>
      <w:p w14:paraId="7D4BB826" w14:textId="23D4D5D7" w:rsidR="00914337" w:rsidRDefault="00914337" w:rsidP="005E2C5D">
        <w:pPr>
          <w:pStyle w:val="Footer"/>
          <w:jc w:val="right"/>
        </w:pPr>
        <w:r w:rsidRPr="00C15C4F">
          <w:rPr>
            <w:noProof/>
            <w:color w:val="808080" w:themeColor="background1" w:themeShade="80"/>
            <w:lang w:eastAsia="en-AU"/>
          </w:rPr>
          <w:drawing>
            <wp:anchor distT="0" distB="0" distL="114300" distR="114300" simplePos="0" relativeHeight="251663360" behindDoc="1" locked="0" layoutInCell="1" allowOverlap="1" wp14:anchorId="3CCE2843" wp14:editId="772827CA">
              <wp:simplePos x="0" y="0"/>
              <wp:positionH relativeFrom="column">
                <wp:posOffset>-904875</wp:posOffset>
              </wp:positionH>
              <wp:positionV relativeFrom="paragraph">
                <wp:posOffset>170180</wp:posOffset>
              </wp:positionV>
              <wp:extent cx="7624445" cy="63627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C4F">
          <w:fldChar w:fldCharType="begin"/>
        </w:r>
        <w:r w:rsidRPr="00C15C4F">
          <w:instrText xml:space="preserve"> PAGE   \* MERGEFORMAT </w:instrText>
        </w:r>
        <w:r w:rsidRPr="00C15C4F">
          <w:fldChar w:fldCharType="separate"/>
        </w:r>
        <w:r w:rsidR="00EB7582" w:rsidRPr="00C15C4F">
          <w:rPr>
            <w:noProof/>
          </w:rPr>
          <w:t>1</w:t>
        </w:r>
        <w:r w:rsidRPr="00C15C4F">
          <w:rPr>
            <w:noProof/>
          </w:rPr>
          <w:fldChar w:fldCharType="end"/>
        </w:r>
      </w:p>
    </w:sdtContent>
  </w:sdt>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3F6D6" w14:textId="77777777" w:rsidR="002C3BAA" w:rsidRDefault="002C3BAA" w:rsidP="00717D10">
      <w:pPr>
        <w:spacing w:after="0" w:line="240" w:lineRule="auto"/>
      </w:pPr>
      <w:r>
        <w:separator/>
      </w:r>
    </w:p>
  </w:footnote>
  <w:footnote w:type="continuationSeparator" w:id="0">
    <w:p w14:paraId="4827F662" w14:textId="77777777" w:rsidR="002C3BAA" w:rsidRDefault="002C3BAA" w:rsidP="00717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DE0D5" w14:textId="4671F735"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5A08B" w14:textId="090E588E" w:rsidR="000D737E" w:rsidRPr="000D737E" w:rsidRDefault="000D737E" w:rsidP="000D737E">
    <w:pPr>
      <w:pStyle w:val="Header"/>
      <w:ind w:hanging="1418"/>
    </w:pPr>
    <w:r>
      <w:rPr>
        <w:noProof/>
        <w:lang w:eastAsia="en-AU"/>
      </w:rPr>
      <w:drawing>
        <wp:inline distT="0" distB="0" distL="0" distR="0" wp14:anchorId="5E9BE171" wp14:editId="35D57451">
          <wp:extent cx="7559675" cy="878205"/>
          <wp:effectExtent l="0" t="0" r="3175" b="0"/>
          <wp:docPr id="3" name="Picture 3" descr="Australian Government logo and VET Student Lo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D7093A"/>
    <w:multiLevelType w:val="hybridMultilevel"/>
    <w:tmpl w:val="4C2CB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1558C3"/>
    <w:multiLevelType w:val="hybridMultilevel"/>
    <w:tmpl w:val="0234E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A96A34"/>
    <w:multiLevelType w:val="multilevel"/>
    <w:tmpl w:val="1DD82DA6"/>
    <w:name w:val="List number3"/>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0732AD"/>
    <w:multiLevelType w:val="multilevel"/>
    <w:tmpl w:val="F6DA8B36"/>
    <w:styleLink w:val="NumberedList1"/>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6"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A20EE"/>
    <w:multiLevelType w:val="hybridMultilevel"/>
    <w:tmpl w:val="6E60E554"/>
    <w:lvl w:ilvl="0" w:tplc="7C1A91D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3A20C8"/>
    <w:multiLevelType w:val="multilevel"/>
    <w:tmpl w:val="8FBE0AEE"/>
    <w:styleLink w:val="BulletList"/>
    <w:lvl w:ilvl="0">
      <w:start w:val="1"/>
      <w:numFmt w:val="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148236F"/>
    <w:multiLevelType w:val="hybridMultilevel"/>
    <w:tmpl w:val="C9CC1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D0E53D4"/>
    <w:multiLevelType w:val="multilevel"/>
    <w:tmpl w:val="9D9E4B96"/>
    <w:styleLink w:val="BulletList1"/>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843590058">
    <w:abstractNumId w:val="3"/>
  </w:num>
  <w:num w:numId="2" w16cid:durableId="298533452">
    <w:abstractNumId w:val="12"/>
  </w:num>
  <w:num w:numId="3" w16cid:durableId="1753620498">
    <w:abstractNumId w:val="18"/>
  </w:num>
  <w:num w:numId="4" w16cid:durableId="491218848">
    <w:abstractNumId w:val="21"/>
  </w:num>
  <w:num w:numId="5" w16cid:durableId="1387801208">
    <w:abstractNumId w:val="9"/>
  </w:num>
  <w:num w:numId="6" w16cid:durableId="2056268428">
    <w:abstractNumId w:val="11"/>
  </w:num>
  <w:num w:numId="7" w16cid:durableId="2102482791">
    <w:abstractNumId w:val="19"/>
  </w:num>
  <w:num w:numId="8" w16cid:durableId="1180856885">
    <w:abstractNumId w:val="6"/>
  </w:num>
  <w:num w:numId="9" w16cid:durableId="1918587087">
    <w:abstractNumId w:val="19"/>
  </w:num>
  <w:num w:numId="10" w16cid:durableId="263074375">
    <w:abstractNumId w:val="15"/>
  </w:num>
  <w:num w:numId="11" w16cid:durableId="1533304157">
    <w:abstractNumId w:val="19"/>
  </w:num>
  <w:num w:numId="12" w16cid:durableId="445586651">
    <w:abstractNumId w:val="19"/>
  </w:num>
  <w:num w:numId="13" w16cid:durableId="920677192">
    <w:abstractNumId w:val="22"/>
  </w:num>
  <w:num w:numId="14" w16cid:durableId="1320964132">
    <w:abstractNumId w:val="7"/>
  </w:num>
  <w:num w:numId="15" w16cid:durableId="1679385527">
    <w:abstractNumId w:val="19"/>
  </w:num>
  <w:num w:numId="16" w16cid:durableId="428081607">
    <w:abstractNumId w:val="16"/>
  </w:num>
  <w:num w:numId="17" w16cid:durableId="1529953788">
    <w:abstractNumId w:val="19"/>
  </w:num>
  <w:num w:numId="18" w16cid:durableId="73280289">
    <w:abstractNumId w:val="19"/>
  </w:num>
  <w:num w:numId="19" w16cid:durableId="1567034063">
    <w:abstractNumId w:val="19"/>
  </w:num>
  <w:num w:numId="20" w16cid:durableId="580870035">
    <w:abstractNumId w:val="2"/>
  </w:num>
  <w:num w:numId="21" w16cid:durableId="2140956644">
    <w:abstractNumId w:val="23"/>
  </w:num>
  <w:num w:numId="22" w16cid:durableId="1137335821">
    <w:abstractNumId w:val="0"/>
  </w:num>
  <w:num w:numId="23" w16cid:durableId="1653677652">
    <w:abstractNumId w:val="14"/>
  </w:num>
  <w:num w:numId="24" w16cid:durableId="572205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0352241">
    <w:abstractNumId w:val="24"/>
  </w:num>
  <w:num w:numId="26" w16cid:durableId="6897983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8214440">
    <w:abstractNumId w:val="1"/>
  </w:num>
  <w:num w:numId="28" w16cid:durableId="1723362873">
    <w:abstractNumId w:val="8"/>
  </w:num>
  <w:num w:numId="29" w16cid:durableId="302152705">
    <w:abstractNumId w:val="10"/>
  </w:num>
  <w:num w:numId="30" w16cid:durableId="1469514905">
    <w:abstractNumId w:val="13"/>
  </w:num>
  <w:num w:numId="31" w16cid:durableId="1594171515">
    <w:abstractNumId w:val="5"/>
  </w:num>
  <w:num w:numId="32" w16cid:durableId="178852931">
    <w:abstractNumId w:val="19"/>
  </w:num>
  <w:num w:numId="33" w16cid:durableId="91752443">
    <w:abstractNumId w:val="19"/>
  </w:num>
  <w:num w:numId="34" w16cid:durableId="100498188">
    <w:abstractNumId w:val="19"/>
  </w:num>
  <w:num w:numId="35" w16cid:durableId="1975132141">
    <w:abstractNumId w:val="19"/>
  </w:num>
  <w:num w:numId="36" w16cid:durableId="1516576832">
    <w:abstractNumId w:val="19"/>
  </w:num>
  <w:num w:numId="37" w16cid:durableId="1614677849">
    <w:abstractNumId w:val="19"/>
  </w:num>
  <w:num w:numId="38" w16cid:durableId="1488398461">
    <w:abstractNumId w:val="19"/>
  </w:num>
  <w:num w:numId="39" w16cid:durableId="1365597985">
    <w:abstractNumId w:val="20"/>
  </w:num>
  <w:num w:numId="40" w16cid:durableId="1109661053">
    <w:abstractNumId w:val="19"/>
  </w:num>
  <w:num w:numId="41" w16cid:durableId="1929997168">
    <w:abstractNumId w:val="19"/>
  </w:num>
  <w:num w:numId="42" w16cid:durableId="2012874313">
    <w:abstractNumId w:val="4"/>
  </w:num>
  <w:num w:numId="43" w16cid:durableId="6771927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2D9"/>
    <w:rsid w:val="0000260F"/>
    <w:rsid w:val="000132FF"/>
    <w:rsid w:val="000161C3"/>
    <w:rsid w:val="00017EB3"/>
    <w:rsid w:val="00020409"/>
    <w:rsid w:val="000229F9"/>
    <w:rsid w:val="000433E3"/>
    <w:rsid w:val="00046838"/>
    <w:rsid w:val="00047268"/>
    <w:rsid w:val="0005346E"/>
    <w:rsid w:val="000540B0"/>
    <w:rsid w:val="00054523"/>
    <w:rsid w:val="0006240C"/>
    <w:rsid w:val="000947EF"/>
    <w:rsid w:val="000C498A"/>
    <w:rsid w:val="000D737E"/>
    <w:rsid w:val="000E521B"/>
    <w:rsid w:val="001227B3"/>
    <w:rsid w:val="00140C23"/>
    <w:rsid w:val="00142739"/>
    <w:rsid w:val="001548DE"/>
    <w:rsid w:val="00162AFA"/>
    <w:rsid w:val="001670E5"/>
    <w:rsid w:val="0017080A"/>
    <w:rsid w:val="00175452"/>
    <w:rsid w:val="001907B3"/>
    <w:rsid w:val="00193491"/>
    <w:rsid w:val="001A1304"/>
    <w:rsid w:val="001C49EC"/>
    <w:rsid w:val="002031D4"/>
    <w:rsid w:val="00203EB3"/>
    <w:rsid w:val="002273CB"/>
    <w:rsid w:val="002405D1"/>
    <w:rsid w:val="0024416C"/>
    <w:rsid w:val="00262CA5"/>
    <w:rsid w:val="00282D66"/>
    <w:rsid w:val="00290E36"/>
    <w:rsid w:val="002A1074"/>
    <w:rsid w:val="002C0FFF"/>
    <w:rsid w:val="002C3BAA"/>
    <w:rsid w:val="002D7757"/>
    <w:rsid w:val="00304F5B"/>
    <w:rsid w:val="00330F75"/>
    <w:rsid w:val="0033585A"/>
    <w:rsid w:val="00355B5C"/>
    <w:rsid w:val="00361CB5"/>
    <w:rsid w:val="00365347"/>
    <w:rsid w:val="00372C0B"/>
    <w:rsid w:val="0037677E"/>
    <w:rsid w:val="00385010"/>
    <w:rsid w:val="00392B02"/>
    <w:rsid w:val="003E612E"/>
    <w:rsid w:val="003E65A1"/>
    <w:rsid w:val="003F1487"/>
    <w:rsid w:val="003F4352"/>
    <w:rsid w:val="00410BF3"/>
    <w:rsid w:val="00413ABE"/>
    <w:rsid w:val="00414E8E"/>
    <w:rsid w:val="004152BF"/>
    <w:rsid w:val="004376BC"/>
    <w:rsid w:val="00437A72"/>
    <w:rsid w:val="00445099"/>
    <w:rsid w:val="00450C5C"/>
    <w:rsid w:val="0045406A"/>
    <w:rsid w:val="004647C5"/>
    <w:rsid w:val="00484794"/>
    <w:rsid w:val="0048797C"/>
    <w:rsid w:val="004C14E3"/>
    <w:rsid w:val="004F078A"/>
    <w:rsid w:val="004F6B11"/>
    <w:rsid w:val="004F7003"/>
    <w:rsid w:val="005059B9"/>
    <w:rsid w:val="005322A5"/>
    <w:rsid w:val="005421D3"/>
    <w:rsid w:val="00542571"/>
    <w:rsid w:val="005460E4"/>
    <w:rsid w:val="00553320"/>
    <w:rsid w:val="0055379B"/>
    <w:rsid w:val="0055606F"/>
    <w:rsid w:val="00557FC4"/>
    <w:rsid w:val="005615CD"/>
    <w:rsid w:val="00570092"/>
    <w:rsid w:val="00584A1F"/>
    <w:rsid w:val="005970B7"/>
    <w:rsid w:val="005B377B"/>
    <w:rsid w:val="005C2230"/>
    <w:rsid w:val="005C26D5"/>
    <w:rsid w:val="005E2C5D"/>
    <w:rsid w:val="005E2F2B"/>
    <w:rsid w:val="0061020D"/>
    <w:rsid w:val="006202FC"/>
    <w:rsid w:val="00621C9E"/>
    <w:rsid w:val="00623C6A"/>
    <w:rsid w:val="006259D0"/>
    <w:rsid w:val="006268F4"/>
    <w:rsid w:val="0065092C"/>
    <w:rsid w:val="00651D5D"/>
    <w:rsid w:val="006716C7"/>
    <w:rsid w:val="0069369D"/>
    <w:rsid w:val="00693728"/>
    <w:rsid w:val="00695771"/>
    <w:rsid w:val="006C5828"/>
    <w:rsid w:val="006C5975"/>
    <w:rsid w:val="006C6F84"/>
    <w:rsid w:val="006D05D9"/>
    <w:rsid w:val="006D606B"/>
    <w:rsid w:val="006E203A"/>
    <w:rsid w:val="006F672D"/>
    <w:rsid w:val="006F6A03"/>
    <w:rsid w:val="007042B0"/>
    <w:rsid w:val="007118DD"/>
    <w:rsid w:val="007157A2"/>
    <w:rsid w:val="00717D10"/>
    <w:rsid w:val="00721990"/>
    <w:rsid w:val="00745195"/>
    <w:rsid w:val="00747A80"/>
    <w:rsid w:val="00757B36"/>
    <w:rsid w:val="00757C9D"/>
    <w:rsid w:val="00761D35"/>
    <w:rsid w:val="00785AB7"/>
    <w:rsid w:val="007B25BC"/>
    <w:rsid w:val="007C2896"/>
    <w:rsid w:val="007C5C89"/>
    <w:rsid w:val="008009EB"/>
    <w:rsid w:val="008020E0"/>
    <w:rsid w:val="00803E57"/>
    <w:rsid w:val="00824D28"/>
    <w:rsid w:val="00835275"/>
    <w:rsid w:val="0083572F"/>
    <w:rsid w:val="008501FB"/>
    <w:rsid w:val="0088046D"/>
    <w:rsid w:val="0088518B"/>
    <w:rsid w:val="00890E34"/>
    <w:rsid w:val="008B09A1"/>
    <w:rsid w:val="008B49BB"/>
    <w:rsid w:val="008C2F64"/>
    <w:rsid w:val="008C517C"/>
    <w:rsid w:val="008C6EEF"/>
    <w:rsid w:val="008D7570"/>
    <w:rsid w:val="008E2742"/>
    <w:rsid w:val="008F2C78"/>
    <w:rsid w:val="00914337"/>
    <w:rsid w:val="00916D6B"/>
    <w:rsid w:val="00917B95"/>
    <w:rsid w:val="00947BB5"/>
    <w:rsid w:val="0095275B"/>
    <w:rsid w:val="009546E4"/>
    <w:rsid w:val="0096078A"/>
    <w:rsid w:val="009652F5"/>
    <w:rsid w:val="009766AA"/>
    <w:rsid w:val="00995C84"/>
    <w:rsid w:val="009C0636"/>
    <w:rsid w:val="009C2C1A"/>
    <w:rsid w:val="009C32E8"/>
    <w:rsid w:val="009D1143"/>
    <w:rsid w:val="009D4CB6"/>
    <w:rsid w:val="00A34110"/>
    <w:rsid w:val="00A62F00"/>
    <w:rsid w:val="00A67229"/>
    <w:rsid w:val="00A8428A"/>
    <w:rsid w:val="00AA7235"/>
    <w:rsid w:val="00AE0E21"/>
    <w:rsid w:val="00AE4E35"/>
    <w:rsid w:val="00AE5016"/>
    <w:rsid w:val="00AF0E0D"/>
    <w:rsid w:val="00AF1FE9"/>
    <w:rsid w:val="00AF5F7D"/>
    <w:rsid w:val="00B00572"/>
    <w:rsid w:val="00B041B4"/>
    <w:rsid w:val="00B13FD1"/>
    <w:rsid w:val="00B20069"/>
    <w:rsid w:val="00B37D7F"/>
    <w:rsid w:val="00B436C7"/>
    <w:rsid w:val="00B45AA4"/>
    <w:rsid w:val="00B60F84"/>
    <w:rsid w:val="00B6139E"/>
    <w:rsid w:val="00B61BE5"/>
    <w:rsid w:val="00B676BC"/>
    <w:rsid w:val="00B751B4"/>
    <w:rsid w:val="00B927FA"/>
    <w:rsid w:val="00B96BDE"/>
    <w:rsid w:val="00BA39EF"/>
    <w:rsid w:val="00BA5E54"/>
    <w:rsid w:val="00BA65BD"/>
    <w:rsid w:val="00BC1E8B"/>
    <w:rsid w:val="00BD156E"/>
    <w:rsid w:val="00BD7BBF"/>
    <w:rsid w:val="00C02BBE"/>
    <w:rsid w:val="00C13816"/>
    <w:rsid w:val="00C1418C"/>
    <w:rsid w:val="00C14DFC"/>
    <w:rsid w:val="00C15C4F"/>
    <w:rsid w:val="00C2679F"/>
    <w:rsid w:val="00C276AA"/>
    <w:rsid w:val="00C30842"/>
    <w:rsid w:val="00C61BD2"/>
    <w:rsid w:val="00C70E57"/>
    <w:rsid w:val="00C76EAA"/>
    <w:rsid w:val="00C90F7B"/>
    <w:rsid w:val="00C93285"/>
    <w:rsid w:val="00CA18E6"/>
    <w:rsid w:val="00CA50A9"/>
    <w:rsid w:val="00CA5802"/>
    <w:rsid w:val="00CA5EAE"/>
    <w:rsid w:val="00CA684B"/>
    <w:rsid w:val="00CD0C97"/>
    <w:rsid w:val="00D07F91"/>
    <w:rsid w:val="00D10F2D"/>
    <w:rsid w:val="00D35E56"/>
    <w:rsid w:val="00D5005E"/>
    <w:rsid w:val="00D56AB9"/>
    <w:rsid w:val="00D60010"/>
    <w:rsid w:val="00D60CDA"/>
    <w:rsid w:val="00D74B04"/>
    <w:rsid w:val="00D82EEB"/>
    <w:rsid w:val="00D84357"/>
    <w:rsid w:val="00D84540"/>
    <w:rsid w:val="00D90E35"/>
    <w:rsid w:val="00DA07EE"/>
    <w:rsid w:val="00DA0C29"/>
    <w:rsid w:val="00DA5547"/>
    <w:rsid w:val="00DA76B2"/>
    <w:rsid w:val="00DB50DF"/>
    <w:rsid w:val="00DC72C8"/>
    <w:rsid w:val="00DD40C8"/>
    <w:rsid w:val="00DF254A"/>
    <w:rsid w:val="00DF2CC9"/>
    <w:rsid w:val="00E03469"/>
    <w:rsid w:val="00E06497"/>
    <w:rsid w:val="00E06E6B"/>
    <w:rsid w:val="00E2221D"/>
    <w:rsid w:val="00E31F02"/>
    <w:rsid w:val="00E51F8E"/>
    <w:rsid w:val="00E86FFA"/>
    <w:rsid w:val="00E924D9"/>
    <w:rsid w:val="00EB7582"/>
    <w:rsid w:val="00ED1175"/>
    <w:rsid w:val="00F009E6"/>
    <w:rsid w:val="00F06CDB"/>
    <w:rsid w:val="00F078BC"/>
    <w:rsid w:val="00F20AF8"/>
    <w:rsid w:val="00F20EA5"/>
    <w:rsid w:val="00F232BB"/>
    <w:rsid w:val="00F23E2C"/>
    <w:rsid w:val="00F3247B"/>
    <w:rsid w:val="00F44260"/>
    <w:rsid w:val="00F7456A"/>
    <w:rsid w:val="00F80AE2"/>
    <w:rsid w:val="00F81EDD"/>
    <w:rsid w:val="00F948F8"/>
    <w:rsid w:val="00F97231"/>
    <w:rsid w:val="00FA3427"/>
    <w:rsid w:val="00FB619D"/>
    <w:rsid w:val="00FD236D"/>
    <w:rsid w:val="00FD565E"/>
    <w:rsid w:val="00FD5CFB"/>
    <w:rsid w:val="00FE3F60"/>
    <w:rsid w:val="00FF031B"/>
    <w:rsid w:val="00FF18FD"/>
    <w:rsid w:val="00FF1DBC"/>
    <w:rsid w:val="00FF4353"/>
    <w:rsid w:val="00FF6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A1"/>
    <w:pPr>
      <w:spacing w:after="200" w:line="276" w:lineRule="auto"/>
    </w:pPr>
  </w:style>
  <w:style w:type="paragraph" w:styleId="Heading1">
    <w:name w:val="heading 1"/>
    <w:basedOn w:val="Normal"/>
    <w:next w:val="Normal"/>
    <w:link w:val="Heading1Char"/>
    <w:uiPriority w:val="2"/>
    <w:qFormat/>
    <w:rsid w:val="008E27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5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2"/>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qFormat/>
    <w:rsid w:val="00C13816"/>
    <w:pPr>
      <w:spacing w:before="240" w:after="0"/>
      <w:outlineLvl w:val="3"/>
    </w:pPr>
    <w:rPr>
      <w:rFonts w:ascii="Calibri" w:eastAsiaTheme="majorEastAsia" w:hAnsi="Calibri" w:cstheme="majorBidi"/>
      <w:bCs/>
      <w:iCs/>
      <w:sz w:val="28"/>
      <w:szCs w:val="28"/>
      <w14:ligatures w14:val="standard"/>
    </w:rPr>
  </w:style>
  <w:style w:type="paragraph" w:styleId="Heading5">
    <w:name w:val="heading 5"/>
    <w:basedOn w:val="Normal"/>
    <w:next w:val="Normal"/>
    <w:link w:val="Heading5Char"/>
    <w:uiPriority w:val="2"/>
    <w:qFormat/>
    <w:rsid w:val="00C13816"/>
    <w:pPr>
      <w:spacing w:before="200" w:after="0"/>
      <w:outlineLvl w:val="4"/>
    </w:pPr>
    <w:rPr>
      <w:rFonts w:ascii="Calibri" w:eastAsiaTheme="majorEastAsia" w:hAnsi="Calibri" w:cstheme="majorBidi"/>
      <w:b/>
      <w:bCs/>
      <w:color w:val="565656"/>
      <w:sz w:val="28"/>
      <w:szCs w:val="28"/>
      <w14:ligatures w14:val="standard"/>
    </w:rPr>
  </w:style>
  <w:style w:type="paragraph" w:styleId="Heading6">
    <w:name w:val="heading 6"/>
    <w:basedOn w:val="Normal"/>
    <w:next w:val="Normal"/>
    <w:link w:val="Heading6Char"/>
    <w:uiPriority w:val="2"/>
    <w:qFormat/>
    <w:rsid w:val="00C13816"/>
    <w:pPr>
      <w:spacing w:before="200" w:after="0"/>
      <w:outlineLvl w:val="5"/>
    </w:pPr>
    <w:rPr>
      <w:rFonts w:ascii="Calibri" w:eastAsiaTheme="majorEastAsia" w:hAnsi="Calibri" w:cstheme="majorBidi"/>
      <w:bCs/>
      <w:iCs/>
      <w:color w:val="565656"/>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basedOn w:val="DefaultParagraphFont"/>
    <w:uiPriority w:val="99"/>
    <w:unhideWhenUsed/>
    <w:qFormat/>
    <w:rsid w:val="00D5005E"/>
    <w:rPr>
      <w:color w:val="0563C1" w:themeColor="hyperlink"/>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10"/>
    <w:qFormat/>
    <w:rsid w:val="00F20AF8"/>
    <w:pPr>
      <w:spacing w:before="720" w:after="180" w:line="240" w:lineRule="auto"/>
      <w:contextualSpacing/>
    </w:pPr>
    <w:rPr>
      <w:rFonts w:ascii="Calibri" w:eastAsiaTheme="majorEastAsia" w:hAnsi="Calibri" w:cstheme="majorBidi"/>
      <w:noProof/>
      <w:color w:val="292065"/>
      <w:spacing w:val="5"/>
      <w:kern w:val="28"/>
      <w:sz w:val="58"/>
      <w:szCs w:val="52"/>
    </w:rPr>
  </w:style>
  <w:style w:type="character" w:customStyle="1" w:styleId="TitleChar">
    <w:name w:val="Title Char"/>
    <w:basedOn w:val="DefaultParagraphFont"/>
    <w:link w:val="Title"/>
    <w:uiPriority w:val="10"/>
    <w:rsid w:val="00F20AF8"/>
    <w:rPr>
      <w:rFonts w:ascii="Calibri" w:eastAsiaTheme="majorEastAsia" w:hAnsi="Calibri" w:cstheme="majorBidi"/>
      <w:noProof/>
      <w:color w:val="292065"/>
      <w:spacing w:val="5"/>
      <w:kern w:val="28"/>
      <w:sz w:val="58"/>
      <w:szCs w:val="52"/>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11"/>
    <w:qFormat/>
    <w:rsid w:val="00C76EAA"/>
    <w:rPr>
      <w:b/>
      <w:bCs/>
    </w:rPr>
  </w:style>
  <w:style w:type="paragraph" w:styleId="ListNumber">
    <w:name w:val="List Number"/>
    <w:basedOn w:val="Normal"/>
    <w:uiPriority w:val="99"/>
    <w:unhideWhenUsed/>
    <w:qFormat/>
    <w:rsid w:val="00C76EAA"/>
    <w:pPr>
      <w:numPr>
        <w:numId w:val="6"/>
      </w:numPr>
      <w:spacing w:after="120"/>
      <w:contextualSpacing/>
    </w:pPr>
    <w:rPr>
      <w:rFonts w:eastAsiaTheme="minorEastAsia"/>
    </w:rPr>
  </w:style>
  <w:style w:type="paragraph" w:styleId="ListNumber2">
    <w:name w:val="List Number 2"/>
    <w:basedOn w:val="Normal"/>
    <w:uiPriority w:val="99"/>
    <w:unhideWhenUsed/>
    <w:qFormat/>
    <w:rsid w:val="00C76EAA"/>
    <w:pPr>
      <w:tabs>
        <w:tab w:val="left" w:pos="1134"/>
      </w:tabs>
      <w:spacing w:after="120"/>
      <w:contextualSpacing/>
    </w:pPr>
    <w:rPr>
      <w:rFonts w:eastAsiaTheme="minorEastAsia"/>
    </w:rPr>
  </w:style>
  <w:style w:type="paragraph" w:styleId="ListNumber3">
    <w:name w:val="List Number 3"/>
    <w:basedOn w:val="Normal"/>
    <w:uiPriority w:val="99"/>
    <w:qFormat/>
    <w:rsid w:val="00C76EAA"/>
    <w:pPr>
      <w:numPr>
        <w:ilvl w:val="2"/>
        <w:numId w:val="6"/>
      </w:numPr>
      <w:spacing w:after="120"/>
      <w:contextualSpacing/>
    </w:pPr>
    <w:rPr>
      <w:rFonts w:eastAsiaTheme="minorEastAsia"/>
    </w:rPr>
  </w:style>
  <w:style w:type="paragraph" w:styleId="ListNumber4">
    <w:name w:val="List Number 4"/>
    <w:basedOn w:val="Normal"/>
    <w:uiPriority w:val="99"/>
    <w:qFormat/>
    <w:rsid w:val="00C76EAA"/>
    <w:pPr>
      <w:numPr>
        <w:ilvl w:val="3"/>
        <w:numId w:val="6"/>
      </w:numPr>
      <w:spacing w:after="120"/>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contextualSpacing/>
    </w:pPr>
    <w:rPr>
      <w:rFonts w:eastAsiaTheme="minorEastAsia"/>
    </w:rPr>
  </w:style>
  <w:style w:type="paragraph" w:customStyle="1" w:styleId="Strongcolor">
    <w:name w:val="Strong color"/>
    <w:basedOn w:val="Normal"/>
    <w:link w:val="StrongcolorChar"/>
    <w:qFormat/>
    <w:rsid w:val="00C76EAA"/>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2"/>
    <w:rsid w:val="008E274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uiPriority w:val="99"/>
    <w:unhideWhenUsed/>
    <w:qFormat/>
    <w:rsid w:val="004F7003"/>
    <w:pPr>
      <w:spacing w:after="120"/>
      <w:contextualSpacing/>
    </w:pPr>
    <w:rPr>
      <w:rFonts w:eastAsiaTheme="minorEastAsia"/>
    </w:rPr>
  </w:style>
  <w:style w:type="paragraph" w:styleId="ListBullet2">
    <w:name w:val="List Bullet 2"/>
    <w:basedOn w:val="Normal"/>
    <w:uiPriority w:val="99"/>
    <w:unhideWhenUsed/>
    <w:qFormat/>
    <w:rsid w:val="004F7003"/>
    <w:pPr>
      <w:numPr>
        <w:ilvl w:val="1"/>
        <w:numId w:val="7"/>
      </w:numPr>
      <w:spacing w:after="120"/>
      <w:contextualSpacing/>
    </w:pPr>
    <w:rPr>
      <w:rFonts w:eastAsiaTheme="minorEastAsia"/>
    </w:rPr>
  </w:style>
  <w:style w:type="paragraph" w:styleId="ListBullet3">
    <w:name w:val="List Bullet 3"/>
    <w:basedOn w:val="Normal"/>
    <w:uiPriority w:val="99"/>
    <w:qFormat/>
    <w:rsid w:val="004F7003"/>
    <w:pPr>
      <w:numPr>
        <w:ilvl w:val="2"/>
        <w:numId w:val="7"/>
      </w:numPr>
      <w:spacing w:after="120"/>
      <w:contextualSpacing/>
    </w:pPr>
    <w:rPr>
      <w:rFonts w:eastAsiaTheme="minorEastAsia"/>
    </w:rPr>
  </w:style>
  <w:style w:type="paragraph" w:styleId="ListBullet4">
    <w:name w:val="List Bullet 4"/>
    <w:basedOn w:val="Normal"/>
    <w:uiPriority w:val="99"/>
    <w:qFormat/>
    <w:rsid w:val="004F7003"/>
    <w:pPr>
      <w:numPr>
        <w:ilvl w:val="3"/>
        <w:numId w:val="7"/>
      </w:numPr>
      <w:spacing w:after="120"/>
      <w:contextualSpacing/>
    </w:pPr>
    <w:rPr>
      <w:rFonts w:eastAsiaTheme="minorEastAsia"/>
    </w:rPr>
  </w:style>
  <w:style w:type="numbering" w:customStyle="1" w:styleId="BulletList">
    <w:name w:val="Bullet List"/>
    <w:uiPriority w:val="99"/>
    <w:rsid w:val="004F7003"/>
    <w:pPr>
      <w:numPr>
        <w:numId w:val="7"/>
      </w:numPr>
    </w:pPr>
  </w:style>
  <w:style w:type="paragraph" w:styleId="ListBullet5">
    <w:name w:val="List Bullet 5"/>
    <w:basedOn w:val="Normal"/>
    <w:uiPriority w:val="99"/>
    <w:rsid w:val="004F7003"/>
    <w:pPr>
      <w:numPr>
        <w:ilvl w:val="4"/>
        <w:numId w:val="7"/>
      </w:numPr>
      <w:contextualSpacing/>
    </w:pPr>
    <w:rPr>
      <w:rFonts w:eastAsiaTheme="minorEastAsia"/>
    </w:rPr>
  </w:style>
  <w:style w:type="character" w:customStyle="1" w:styleId="Heading3Char">
    <w:name w:val="Heading 3 Char"/>
    <w:basedOn w:val="DefaultParagraphFont"/>
    <w:link w:val="Heading3"/>
    <w:uiPriority w:val="2"/>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5059B9"/>
    <w:rPr>
      <w:rFonts w:asciiTheme="majorHAnsi" w:eastAsiaTheme="majorEastAsia" w:hAnsiTheme="majorHAnsi" w:cstheme="majorBidi"/>
      <w:color w:val="2E74B5" w:themeColor="accent1" w:themeShade="BF"/>
      <w:sz w:val="26"/>
      <w:szCs w:val="26"/>
    </w:rPr>
  </w:style>
  <w:style w:type="numbering" w:customStyle="1" w:styleId="NumberedList1">
    <w:name w:val="Numbered List1"/>
    <w:uiPriority w:val="99"/>
    <w:rsid w:val="00C13816"/>
    <w:pPr>
      <w:numPr>
        <w:numId w:val="23"/>
      </w:numPr>
    </w:pPr>
  </w:style>
  <w:style w:type="numbering" w:customStyle="1" w:styleId="BulletList1">
    <w:name w:val="Bullet List1"/>
    <w:uiPriority w:val="99"/>
    <w:rsid w:val="00C13816"/>
    <w:pPr>
      <w:numPr>
        <w:numId w:val="25"/>
      </w:numPr>
    </w:pPr>
  </w:style>
  <w:style w:type="table" w:customStyle="1" w:styleId="JobsTable">
    <w:name w:val="Jobs Table"/>
    <w:basedOn w:val="TableNormal"/>
    <w:uiPriority w:val="99"/>
    <w:rsid w:val="00C13816"/>
    <w:pPr>
      <w:spacing w:after="0" w:line="240" w:lineRule="auto"/>
    </w:pPr>
    <w:rPr>
      <w:rFonts w:eastAsia="Times New Roman"/>
    </w:rPr>
    <w:tblPr>
      <w:tblBorders>
        <w:bottom w:val="single" w:sz="4" w:space="0" w:color="1E3D6B"/>
      </w:tblBorders>
    </w:tblPr>
    <w:tblStylePr w:type="firstRow">
      <w:pPr>
        <w:jc w:val="left"/>
      </w:pPr>
      <w:rPr>
        <w:rFonts w:ascii="Calibri" w:hAnsi="Calibri"/>
        <w:b w:val="0"/>
        <w:color w:val="F2F2F2"/>
        <w:sz w:val="22"/>
      </w:rPr>
      <w:tblPr/>
      <w:tcPr>
        <w:shd w:val="clear" w:color="auto" w:fill="287BB3"/>
      </w:tcPr>
    </w:tblStylePr>
    <w:tblStylePr w:type="firstCol">
      <w:rPr>
        <w:b/>
      </w:rPr>
    </w:tblStylePr>
  </w:style>
  <w:style w:type="paragraph" w:styleId="Subtitle">
    <w:name w:val="Subtitle"/>
    <w:basedOn w:val="Normal"/>
    <w:next w:val="Normal"/>
    <w:link w:val="SubtitleChar"/>
    <w:uiPriority w:val="8"/>
    <w:qFormat/>
    <w:rsid w:val="00C13816"/>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8"/>
    <w:rsid w:val="00C13816"/>
    <w:rPr>
      <w:rFonts w:ascii="Calibri" w:eastAsiaTheme="majorEastAsia" w:hAnsi="Calibri" w:cstheme="majorBidi"/>
      <w:iCs/>
      <w:color w:val="000000" w:themeColor="text1"/>
      <w:spacing w:val="13"/>
      <w:sz w:val="36"/>
      <w:szCs w:val="40"/>
      <w14:ligatures w14:val="standard"/>
    </w:rPr>
  </w:style>
  <w:style w:type="character" w:customStyle="1" w:styleId="Heading4Char">
    <w:name w:val="Heading 4 Char"/>
    <w:basedOn w:val="DefaultParagraphFont"/>
    <w:link w:val="Heading4"/>
    <w:uiPriority w:val="2"/>
    <w:rsid w:val="00C13816"/>
    <w:rPr>
      <w:rFonts w:ascii="Calibri" w:eastAsiaTheme="majorEastAsia" w:hAnsi="Calibri" w:cstheme="majorBidi"/>
      <w:bCs/>
      <w:iCs/>
      <w:sz w:val="28"/>
      <w:szCs w:val="28"/>
      <w14:ligatures w14:val="standard"/>
    </w:rPr>
  </w:style>
  <w:style w:type="character" w:customStyle="1" w:styleId="Heading5Char">
    <w:name w:val="Heading 5 Char"/>
    <w:basedOn w:val="DefaultParagraphFont"/>
    <w:link w:val="Heading5"/>
    <w:uiPriority w:val="2"/>
    <w:rsid w:val="00C13816"/>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C13816"/>
    <w:rPr>
      <w:rFonts w:ascii="Calibri" w:eastAsiaTheme="majorEastAsia" w:hAnsi="Calibri" w:cstheme="majorBidi"/>
      <w:bCs/>
      <w:iCs/>
      <w:color w:val="565656"/>
      <w:sz w:val="24"/>
      <w14:ligatures w14:val="standard"/>
    </w:rPr>
  </w:style>
  <w:style w:type="paragraph" w:styleId="Caption">
    <w:name w:val="caption"/>
    <w:basedOn w:val="Heading4"/>
    <w:next w:val="Normal"/>
    <w:uiPriority w:val="16"/>
    <w:qFormat/>
    <w:rsid w:val="00C13816"/>
    <w:rPr>
      <w:b/>
      <w:sz w:val="22"/>
    </w:rPr>
  </w:style>
  <w:style w:type="paragraph" w:styleId="List">
    <w:name w:val="List"/>
    <w:basedOn w:val="Normal"/>
    <w:uiPriority w:val="99"/>
    <w:unhideWhenUsed/>
    <w:qFormat/>
    <w:rsid w:val="003E65A1"/>
    <w:pPr>
      <w:ind w:left="283" w:hanging="283"/>
      <w:contextualSpacing/>
    </w:pPr>
  </w:style>
  <w:style w:type="paragraph" w:styleId="Quote">
    <w:name w:val="Quote"/>
    <w:basedOn w:val="Normal"/>
    <w:next w:val="Normal"/>
    <w:link w:val="QuoteChar"/>
    <w:uiPriority w:val="29"/>
    <w:qFormat/>
    <w:rsid w:val="003E65A1"/>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3E65A1"/>
    <w:rPr>
      <w:iCs/>
      <w:color w:val="595959" w:themeColor="text1" w:themeTint="A6"/>
    </w:rPr>
  </w:style>
  <w:style w:type="paragraph" w:customStyle="1" w:styleId="Source">
    <w:name w:val="Source"/>
    <w:basedOn w:val="Normal"/>
    <w:uiPriority w:val="17"/>
    <w:qFormat/>
    <w:rsid w:val="003E65A1"/>
    <w:rPr>
      <w:sz w:val="18"/>
    </w:rPr>
  </w:style>
  <w:style w:type="table" w:customStyle="1" w:styleId="DESE">
    <w:name w:val="DESE"/>
    <w:basedOn w:val="TableNormal"/>
    <w:uiPriority w:val="99"/>
    <w:rsid w:val="003E65A1"/>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customStyle="1" w:styleId="DESEnormal">
    <w:name w:val="DESE normal"/>
    <w:basedOn w:val="Normal"/>
    <w:link w:val="DESEnormalChar"/>
    <w:qFormat/>
    <w:rsid w:val="00FF18FD"/>
    <w:pPr>
      <w:spacing w:after="160" w:line="259" w:lineRule="auto"/>
    </w:pPr>
    <w:rPr>
      <w:rFonts w:ascii="Calibri" w:eastAsia="Calibri" w:hAnsi="Calibri" w:cs="Times New Roman"/>
    </w:rPr>
  </w:style>
  <w:style w:type="character" w:customStyle="1" w:styleId="DESEnormalChar">
    <w:name w:val="DESE normal Char"/>
    <w:basedOn w:val="DefaultParagraphFont"/>
    <w:link w:val="DESEnormal"/>
    <w:rsid w:val="00FF18FD"/>
    <w:rPr>
      <w:rFonts w:ascii="Calibri" w:eastAsia="Calibri" w:hAnsi="Calibri" w:cs="Times New Roman"/>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EB7582"/>
  </w:style>
  <w:style w:type="table" w:styleId="TableGrid">
    <w:name w:val="Table Grid"/>
    <w:basedOn w:val="TableNormal"/>
    <w:uiPriority w:val="39"/>
    <w:rsid w:val="00054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PTableStyle21">
    <w:name w:val="HELP_Table Style 21"/>
    <w:basedOn w:val="TableNormal"/>
    <w:next w:val="TableGrid"/>
    <w:uiPriority w:val="59"/>
    <w:rsid w:val="000540B0"/>
    <w:pPr>
      <w:spacing w:after="0" w:line="240" w:lineRule="auto"/>
    </w:pPr>
    <w:rPr>
      <w:rFonts w:eastAsiaTheme="minorEastAsia"/>
    </w:rPr>
    <w:tblPr>
      <w:tblBorders>
        <w:top w:val="single" w:sz="8" w:space="0" w:color="1E3D6B"/>
        <w:left w:val="single" w:sz="8" w:space="0" w:color="1E3D6B"/>
        <w:bottom w:val="single" w:sz="8" w:space="0" w:color="1E3D6B"/>
        <w:right w:val="single" w:sz="8" w:space="0" w:color="1E3D6B"/>
        <w:insideH w:val="single" w:sz="8" w:space="0" w:color="1E3D6B"/>
        <w:insideV w:val="single" w:sz="8" w:space="0" w:color="1E3D6B"/>
      </w:tblBorders>
      <w:tblCellMar>
        <w:top w:w="28" w:type="dxa"/>
        <w:bottom w:w="28" w:type="dxa"/>
      </w:tblCellMar>
    </w:tblPr>
    <w:tblStylePr w:type="firstRow">
      <w:pPr>
        <w:wordWrap/>
        <w:jc w:val="left"/>
      </w:pPr>
      <w:rPr>
        <w:b/>
        <w:color w:val="E7E6E6" w:themeColor="background2"/>
      </w:rPr>
      <w:tblPr/>
      <w:tcPr>
        <w:shd w:val="clear" w:color="auto" w:fill="24206C"/>
      </w:tcPr>
    </w:tblStylePr>
    <w:tblStylePr w:type="firstCol">
      <w:pPr>
        <w:jc w:val="left"/>
      </w:pPr>
      <w:tblPr/>
      <w:tcPr>
        <w:vAlign w:val="center"/>
      </w:tcPr>
    </w:tblStylePr>
  </w:style>
  <w:style w:type="character" w:styleId="UnresolvedMention">
    <w:name w:val="Unresolved Mention"/>
    <w:basedOn w:val="DefaultParagraphFont"/>
    <w:uiPriority w:val="99"/>
    <w:semiHidden/>
    <w:unhideWhenUsed/>
    <w:rsid w:val="000540B0"/>
    <w:rPr>
      <w:color w:val="605E5C"/>
      <w:shd w:val="clear" w:color="auto" w:fill="E1DFDD"/>
    </w:rPr>
  </w:style>
  <w:style w:type="table" w:customStyle="1" w:styleId="HELPTableStyle22">
    <w:name w:val="HELP_Table Style 22"/>
    <w:basedOn w:val="TableNormal"/>
    <w:next w:val="TableGrid"/>
    <w:uiPriority w:val="59"/>
    <w:rsid w:val="00824D28"/>
    <w:pPr>
      <w:spacing w:after="0" w:line="240" w:lineRule="auto"/>
    </w:pPr>
    <w:rPr>
      <w:rFonts w:eastAsia="Times New Roman"/>
    </w:rPr>
    <w:tblPr>
      <w:tblBorders>
        <w:top w:val="single" w:sz="8" w:space="0" w:color="1E3D6B"/>
        <w:left w:val="single" w:sz="8" w:space="0" w:color="1E3D6B"/>
        <w:bottom w:val="single" w:sz="8" w:space="0" w:color="1E3D6B"/>
        <w:right w:val="single" w:sz="8" w:space="0" w:color="1E3D6B"/>
        <w:insideH w:val="single" w:sz="8" w:space="0" w:color="1E3D6B"/>
        <w:insideV w:val="single" w:sz="8" w:space="0" w:color="1E3D6B"/>
      </w:tblBorders>
      <w:tblCellMar>
        <w:top w:w="28" w:type="dxa"/>
        <w:bottom w:w="28" w:type="dxa"/>
      </w:tblCellMar>
    </w:tblPr>
    <w:tblStylePr w:type="firstRow">
      <w:pPr>
        <w:wordWrap/>
        <w:jc w:val="left"/>
      </w:pPr>
      <w:rPr>
        <w:b/>
        <w:color w:val="FFFFFF"/>
      </w:rPr>
      <w:tblPr/>
      <w:tcPr>
        <w:shd w:val="clear" w:color="auto" w:fill="24206C"/>
      </w:tcPr>
    </w:tblStylePr>
    <w:tblStylePr w:type="firstCol">
      <w:pPr>
        <w:jc w:val="left"/>
      </w:pPr>
      <w:tblPr/>
      <w:tcPr>
        <w:vAlign w:val="center"/>
      </w:tcPr>
    </w:tblStylePr>
  </w:style>
  <w:style w:type="table" w:customStyle="1" w:styleId="HELPTableStyle23">
    <w:name w:val="HELP_Table Style 23"/>
    <w:basedOn w:val="TableNormal"/>
    <w:next w:val="TableGrid"/>
    <w:uiPriority w:val="59"/>
    <w:rsid w:val="00BA39EF"/>
    <w:pPr>
      <w:spacing w:after="0" w:line="240" w:lineRule="auto"/>
    </w:pPr>
    <w:rPr>
      <w:rFonts w:eastAsia="Times New Roman"/>
    </w:rPr>
    <w:tblPr>
      <w:tblBorders>
        <w:top w:val="single" w:sz="8" w:space="0" w:color="1E3D6B"/>
        <w:left w:val="single" w:sz="8" w:space="0" w:color="1E3D6B"/>
        <w:bottom w:val="single" w:sz="8" w:space="0" w:color="1E3D6B"/>
        <w:right w:val="single" w:sz="8" w:space="0" w:color="1E3D6B"/>
        <w:insideH w:val="single" w:sz="8" w:space="0" w:color="1E3D6B"/>
        <w:insideV w:val="single" w:sz="8" w:space="0" w:color="1E3D6B"/>
      </w:tblBorders>
      <w:tblCellMar>
        <w:top w:w="28" w:type="dxa"/>
        <w:bottom w:w="28" w:type="dxa"/>
      </w:tblCellMar>
    </w:tblPr>
    <w:tblStylePr w:type="firstRow">
      <w:pPr>
        <w:wordWrap/>
        <w:jc w:val="left"/>
      </w:pPr>
      <w:rPr>
        <w:b/>
        <w:color w:val="FFFFFF"/>
      </w:rPr>
      <w:tblPr/>
      <w:tcPr>
        <w:shd w:val="clear" w:color="auto" w:fill="24206C"/>
      </w:tcPr>
    </w:tblStylePr>
    <w:tblStylePr w:type="firstCol">
      <w:pPr>
        <w:jc w:val="left"/>
      </w:p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rcareer.gov.au/"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3C370-B4C0-46EA-9534-103C58B02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Student Loans Course Caps Indexed Amounts (for students)</dc:title>
  <dc:subject/>
  <dc:creator/>
  <cp:keywords/>
  <dc:description/>
  <cp:lastModifiedBy/>
  <cp:revision>1</cp:revision>
  <dcterms:created xsi:type="dcterms:W3CDTF">2024-08-15T03:12:00Z</dcterms:created>
  <dcterms:modified xsi:type="dcterms:W3CDTF">2024-08-15T03:12:00Z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2024-08-15T03:12:39Z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36761791-40a8-40f9-8af4-aa34db4b9eeb</vt:lpwstr>
  </property>
  <property fmtid="{D5CDD505-2E9C-101B-9397-08002B2CF9AE}" pid="8" name="MSIP_Label_79d889eb-932f-4752-8739-64d25806ef64_ContentBits">
    <vt:lpwstr>0</vt:lpwstr>
  </property>
</Properties>
</file>