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D915" w14:textId="10E3C476" w:rsidR="005B7D08" w:rsidRPr="005B7D08" w:rsidRDefault="005B7D08" w:rsidP="005B7D08">
      <w:pPr>
        <w:pStyle w:val="Subtitle"/>
        <w:spacing w:before="600"/>
        <w:rPr>
          <w:bCs/>
          <w:noProof/>
          <w:color w:val="292065"/>
          <w:spacing w:val="5"/>
          <w:kern w:val="28"/>
          <w:sz w:val="60"/>
          <w:szCs w:val="60"/>
        </w:rPr>
      </w:pPr>
      <w:bookmarkStart w:id="0" w:name="_Toc30065222"/>
      <w:r w:rsidRPr="005B7D08">
        <w:rPr>
          <w:bCs/>
          <w:noProof/>
          <w:color w:val="292065"/>
          <w:spacing w:val="5"/>
          <w:kern w:val="28"/>
          <w:sz w:val="60"/>
          <w:szCs w:val="60"/>
        </w:rPr>
        <w:t xml:space="preserve">Ongoing </w:t>
      </w:r>
      <w:r w:rsidR="00D65E68">
        <w:rPr>
          <w:bCs/>
          <w:noProof/>
          <w:color w:val="292065"/>
          <w:spacing w:val="5"/>
          <w:kern w:val="28"/>
          <w:sz w:val="60"/>
          <w:szCs w:val="60"/>
        </w:rPr>
        <w:t>f</w:t>
      </w:r>
      <w:r w:rsidRPr="005B7D08">
        <w:rPr>
          <w:bCs/>
          <w:noProof/>
          <w:color w:val="292065"/>
          <w:spacing w:val="5"/>
          <w:kern w:val="28"/>
          <w:sz w:val="60"/>
          <w:szCs w:val="60"/>
        </w:rPr>
        <w:t xml:space="preserve">inancial </w:t>
      </w:r>
      <w:r w:rsidR="00D65E68">
        <w:rPr>
          <w:bCs/>
          <w:noProof/>
          <w:color w:val="292065"/>
          <w:spacing w:val="5"/>
          <w:kern w:val="28"/>
          <w:sz w:val="60"/>
          <w:szCs w:val="60"/>
        </w:rPr>
        <w:t>p</w:t>
      </w:r>
      <w:r w:rsidRPr="005B7D08">
        <w:rPr>
          <w:bCs/>
          <w:noProof/>
          <w:color w:val="292065"/>
          <w:spacing w:val="5"/>
          <w:kern w:val="28"/>
          <w:sz w:val="60"/>
          <w:szCs w:val="60"/>
        </w:rPr>
        <w:t xml:space="preserve">erformance requirements </w:t>
      </w:r>
    </w:p>
    <w:p w14:paraId="46398EB0" w14:textId="6DEE661D" w:rsidR="004812B9" w:rsidRDefault="004812B9" w:rsidP="005B7D08">
      <w:pPr>
        <w:rPr>
          <w:bCs/>
          <w:sz w:val="40"/>
        </w:rPr>
      </w:pPr>
      <w:r>
        <w:rPr>
          <w:bCs/>
          <w:sz w:val="40"/>
        </w:rPr>
        <w:t>This fact sheet outlines the ongoing financial performance requirements for VET Student Loans (VSL) providers.</w:t>
      </w:r>
      <w:bookmarkStart w:id="1" w:name="_Toc30065224"/>
      <w:bookmarkEnd w:id="0"/>
    </w:p>
    <w:p w14:paraId="7825E755" w14:textId="4C61B3C8" w:rsidR="005B7D08" w:rsidRPr="005B7D08" w:rsidRDefault="005B7D08" w:rsidP="005B7D08">
      <w:r w:rsidRPr="005B7D08">
        <w:t>A</w:t>
      </w:r>
      <w:r w:rsidR="001D15BE">
        <w:t>s a</w:t>
      </w:r>
      <w:r w:rsidRPr="005B7D08">
        <w:t xml:space="preserve">n approved course provider (other than a TAFE, </w:t>
      </w:r>
      <w:proofErr w:type="gramStart"/>
      <w:r w:rsidRPr="005B7D08">
        <w:t>university</w:t>
      </w:r>
      <w:proofErr w:type="gramEnd"/>
      <w:r w:rsidRPr="005B7D08">
        <w:t xml:space="preserve"> or government owned entity)</w:t>
      </w:r>
      <w:r w:rsidR="001D15BE">
        <w:t>, you</w:t>
      </w:r>
      <w:r w:rsidRPr="005B7D08">
        <w:t xml:space="preserve"> must give the Secretary</w:t>
      </w:r>
      <w:r w:rsidRPr="005B7D08">
        <w:rPr>
          <w:b/>
        </w:rPr>
        <w:t xml:space="preserve"> </w:t>
      </w:r>
      <w:r w:rsidR="00EA4F9D" w:rsidRPr="00EA4F9D">
        <w:rPr>
          <w:bCs/>
        </w:rPr>
        <w:t>of the Department of Employment and Workplace Relations</w:t>
      </w:r>
      <w:r w:rsidR="00EA4F9D">
        <w:rPr>
          <w:b/>
        </w:rPr>
        <w:t xml:space="preserve"> </w:t>
      </w:r>
      <w:r w:rsidRPr="005B7D08">
        <w:rPr>
          <w:b/>
        </w:rPr>
        <w:t>general purpose</w:t>
      </w:r>
      <w:r w:rsidRPr="005B7D08">
        <w:t xml:space="preserve"> financial statements for each financial year of </w:t>
      </w:r>
      <w:r w:rsidR="001D15BE">
        <w:t>your</w:t>
      </w:r>
      <w:r w:rsidR="001D15BE" w:rsidRPr="005B7D08">
        <w:t xml:space="preserve"> </w:t>
      </w:r>
      <w:r w:rsidRPr="005B7D08">
        <w:t>approval period</w:t>
      </w:r>
      <w:r w:rsidR="001D15BE">
        <w:t xml:space="preserve">. </w:t>
      </w:r>
      <w:bookmarkStart w:id="2" w:name="_Hlk149750055"/>
      <w:r w:rsidR="001D15BE">
        <w:t>These must be submitted</w:t>
      </w:r>
      <w:r w:rsidRPr="005B7D08">
        <w:t xml:space="preserve"> within </w:t>
      </w:r>
      <w:r w:rsidR="000B00BE">
        <w:t>4</w:t>
      </w:r>
      <w:r w:rsidR="000B00BE" w:rsidRPr="005B7D08">
        <w:t xml:space="preserve"> </w:t>
      </w:r>
      <w:r w:rsidRPr="005B7D08">
        <w:t>months</w:t>
      </w:r>
      <w:r w:rsidR="001D15BE">
        <w:t>,</w:t>
      </w:r>
      <w:r w:rsidRPr="005B7D08">
        <w:t xml:space="preserve"> after the end of the financial year</w:t>
      </w:r>
      <w:r w:rsidR="001D15BE">
        <w:t>. If the reporting period</w:t>
      </w:r>
      <w:r w:rsidR="001D15BE" w:rsidRPr="001D15BE">
        <w:t xml:space="preserve"> ends</w:t>
      </w:r>
      <w:r w:rsidR="004812B9">
        <w:t xml:space="preserve"> on</w:t>
      </w:r>
      <w:r w:rsidR="001D15BE" w:rsidRPr="001D15BE">
        <w:t xml:space="preserve"> 30 June, the due date is on or before </w:t>
      </w:r>
      <w:r w:rsidR="001D15BE" w:rsidRPr="000B00BE">
        <w:t xml:space="preserve">1 </w:t>
      </w:r>
      <w:r w:rsidR="004D2F89" w:rsidRPr="000B00BE">
        <w:t>November</w:t>
      </w:r>
      <w:r w:rsidR="001D15BE" w:rsidRPr="000B00BE">
        <w:t xml:space="preserve">. If it ends on 31 December, the due date is on or before 1 </w:t>
      </w:r>
      <w:r w:rsidR="004D2F89" w:rsidRPr="000B00BE">
        <w:t>May</w:t>
      </w:r>
      <w:r w:rsidR="001D15BE" w:rsidRPr="000B00BE">
        <w:t>.</w:t>
      </w:r>
      <w:r w:rsidR="001D15BE">
        <w:t xml:space="preserve"> </w:t>
      </w:r>
      <w:bookmarkEnd w:id="2"/>
    </w:p>
    <w:p w14:paraId="46300E81" w14:textId="6EAEF4A4" w:rsidR="005B7D08" w:rsidRPr="005B7D08" w:rsidRDefault="004812B9" w:rsidP="005B7D08">
      <w:r>
        <w:t xml:space="preserve">You may not submit </w:t>
      </w:r>
      <w:r w:rsidRPr="004812B9">
        <w:rPr>
          <w:b/>
          <w:bCs/>
        </w:rPr>
        <w:t>s</w:t>
      </w:r>
      <w:r w:rsidR="005B7D08" w:rsidRPr="004812B9">
        <w:rPr>
          <w:b/>
          <w:bCs/>
        </w:rPr>
        <w:t>pecial purpose</w:t>
      </w:r>
      <w:r w:rsidR="005B7D08" w:rsidRPr="005B7D08">
        <w:t xml:space="preserve"> financial statements</w:t>
      </w:r>
      <w:r>
        <w:t>.</w:t>
      </w:r>
    </w:p>
    <w:p w14:paraId="3CA93F9C" w14:textId="28335045" w:rsidR="005B7D08" w:rsidRPr="005B7D08" w:rsidRDefault="005B7D08" w:rsidP="005B7D08">
      <w:r w:rsidRPr="005B7D08">
        <w:t xml:space="preserve">Where </w:t>
      </w:r>
      <w:r w:rsidR="001D15BE">
        <w:t>your organisation is</w:t>
      </w:r>
      <w:r w:rsidRPr="005B7D08">
        <w:t xml:space="preserve"> a wholly owned subsidiary of another legal entity, or forms part of a larger tax group, it </w:t>
      </w:r>
      <w:r w:rsidRPr="004812B9">
        <w:rPr>
          <w:bCs/>
        </w:rPr>
        <w:t>must</w:t>
      </w:r>
      <w:r w:rsidRPr="005B7D08">
        <w:t xml:space="preserve"> </w:t>
      </w:r>
      <w:r w:rsidR="001D15BE" w:rsidRPr="004812B9">
        <w:rPr>
          <w:b/>
          <w:bCs/>
        </w:rPr>
        <w:t>also</w:t>
      </w:r>
      <w:r w:rsidR="001D15BE" w:rsidRPr="005B7D08">
        <w:t xml:space="preserve"> </w:t>
      </w:r>
      <w:r w:rsidRPr="005B7D08">
        <w:t xml:space="preserve">submit the financial statements of the consolidated group for the </w:t>
      </w:r>
      <w:r w:rsidRPr="004812B9">
        <w:rPr>
          <w:bCs/>
        </w:rPr>
        <w:t>most recently completed</w:t>
      </w:r>
      <w:r w:rsidRPr="005B7D08">
        <w:t xml:space="preserve"> annual financial reporting period. These are </w:t>
      </w:r>
      <w:r w:rsidRPr="004812B9">
        <w:rPr>
          <w:bCs/>
        </w:rPr>
        <w:t>not</w:t>
      </w:r>
      <w:r w:rsidRPr="005B7D08">
        <w:t xml:space="preserve"> required to be general purpose financial statements but must be prepared in accordance with applicable accounting standards. </w:t>
      </w:r>
    </w:p>
    <w:p w14:paraId="43FA07DB" w14:textId="016BF0D3" w:rsidR="005B7D08" w:rsidRPr="005B7D08" w:rsidRDefault="005B7D08" w:rsidP="005B7D08">
      <w:r w:rsidRPr="005B7D08">
        <w:t xml:space="preserve">Section 113 of the </w:t>
      </w:r>
      <w:hyperlink r:id="rId8" w:history="1">
        <w:r w:rsidRPr="005B7D08">
          <w:rPr>
            <w:rStyle w:val="Hyperlink"/>
          </w:rPr>
          <w:t>VET Student Loans Rules 2016</w:t>
        </w:r>
      </w:hyperlink>
      <w:r w:rsidRPr="005B7D08">
        <w:t xml:space="preserve"> (the Rules) makes the provision of financial information a legal requirement, which </w:t>
      </w:r>
      <w:r w:rsidR="001D15BE">
        <w:t>we are</w:t>
      </w:r>
      <w:r w:rsidRPr="005B7D08">
        <w:t xml:space="preserve"> required to enforce. Section 4.4.</w:t>
      </w:r>
      <w:r w:rsidR="005D1992">
        <w:t>3</w:t>
      </w:r>
      <w:r w:rsidRPr="005B7D08">
        <w:t xml:space="preserve"> of the </w:t>
      </w:r>
      <w:hyperlink r:id="rId9" w:history="1">
        <w:r w:rsidRPr="005B7D08">
          <w:rPr>
            <w:rStyle w:val="Hyperlink"/>
          </w:rPr>
          <w:t>Manual for Providers</w:t>
        </w:r>
      </w:hyperlink>
      <w:r w:rsidRPr="005B7D08">
        <w:rPr>
          <w:rStyle w:val="Hyperlink"/>
          <w:u w:val="none"/>
        </w:rPr>
        <w:t xml:space="preserve"> </w:t>
      </w:r>
      <w:r w:rsidRPr="005B7D08">
        <w:t xml:space="preserve">sets out the requirements in more detail. </w:t>
      </w:r>
    </w:p>
    <w:p w14:paraId="6A0C41A2" w14:textId="37AEF8EA" w:rsidR="005B7D08" w:rsidRPr="005B7D08" w:rsidRDefault="005B7D08" w:rsidP="005B7D08">
      <w:r w:rsidRPr="005B7D08">
        <w:t>The Rules do not allow for any provider to be exempted</w:t>
      </w:r>
      <w:r w:rsidR="001D15BE">
        <w:t>.</w:t>
      </w:r>
      <w:r w:rsidRPr="005B7D08">
        <w:t xml:space="preserve"> </w:t>
      </w:r>
      <w:r w:rsidR="005B0F31">
        <w:t>T</w:t>
      </w:r>
      <w:r w:rsidR="001D15BE">
        <w:t xml:space="preserve">hey also do </w:t>
      </w:r>
      <w:r w:rsidR="004812B9">
        <w:t xml:space="preserve">not </w:t>
      </w:r>
      <w:r w:rsidR="001D15BE">
        <w:t>allow</w:t>
      </w:r>
      <w:r w:rsidRPr="005B7D08">
        <w:t xml:space="preserve"> the grant</w:t>
      </w:r>
      <w:r w:rsidR="005B0F31">
        <w:t>ing</w:t>
      </w:r>
      <w:r w:rsidRPr="005B7D08">
        <w:t xml:space="preserve"> of extensions to the prescribed statutory deadline. </w:t>
      </w:r>
      <w:r w:rsidR="005B0F31">
        <w:t>If you are</w:t>
      </w:r>
      <w:r w:rsidRPr="005B7D08">
        <w:t xml:space="preserve"> unable to meet </w:t>
      </w:r>
      <w:r w:rsidR="005B0F31">
        <w:t>your</w:t>
      </w:r>
      <w:r w:rsidR="005B0F31" w:rsidRPr="005B7D08">
        <w:t xml:space="preserve"> </w:t>
      </w:r>
      <w:r w:rsidRPr="005B7D08">
        <w:t xml:space="preserve">statutory requirements within the required timeframe, </w:t>
      </w:r>
      <w:r w:rsidR="005B0F31">
        <w:t>you should</w:t>
      </w:r>
      <w:r w:rsidRPr="005B7D08">
        <w:t xml:space="preserve"> contact </w:t>
      </w:r>
      <w:r w:rsidR="005B0F31">
        <w:t>us as soon as possible</w:t>
      </w:r>
      <w:r w:rsidRPr="005B7D08">
        <w:t xml:space="preserve"> to agree arrangements.</w:t>
      </w:r>
    </w:p>
    <w:p w14:paraId="733EE553" w14:textId="3397C8D9" w:rsidR="005B7D08" w:rsidRPr="005B7D08" w:rsidRDefault="005B7D08" w:rsidP="005B7D08">
      <w:r w:rsidRPr="005B7D08">
        <w:t xml:space="preserve">Providers are </w:t>
      </w:r>
      <w:r w:rsidRPr="004812B9">
        <w:rPr>
          <w:bCs/>
        </w:rPr>
        <w:t xml:space="preserve">also </w:t>
      </w:r>
      <w:r w:rsidRPr="005B7D08">
        <w:t>required to complete the Financial Performance Detail section of HITS for each corresponding financial period (refer to</w:t>
      </w:r>
      <w:r w:rsidRPr="005B7D08">
        <w:rPr>
          <w:b/>
        </w:rPr>
        <w:t xml:space="preserve"> </w:t>
      </w:r>
      <w:hyperlink r:id="rId10" w:history="1">
        <w:r w:rsidRPr="005B7D08">
          <w:rPr>
            <w:rStyle w:val="Hyperlink"/>
          </w:rPr>
          <w:t>HITS User Guide</w:t>
        </w:r>
      </w:hyperlink>
      <w:r w:rsidRPr="005B7D08">
        <w:t xml:space="preserve"> section labelled Financial Performance – Create a Financial Performance). The financial information</w:t>
      </w:r>
      <w:r w:rsidR="005B0F31">
        <w:t xml:space="preserve"> you</w:t>
      </w:r>
      <w:r w:rsidRPr="005B7D08">
        <w:t xml:space="preserve"> input should be consistent with the corresponding audited general-purpose financial statements </w:t>
      </w:r>
      <w:r w:rsidR="005B0F31">
        <w:t xml:space="preserve">you </w:t>
      </w:r>
      <w:r w:rsidRPr="005B7D08">
        <w:t xml:space="preserve">submitted. </w:t>
      </w:r>
    </w:p>
    <w:p w14:paraId="4EF09C8F" w14:textId="77777777" w:rsidR="005B7D08" w:rsidRPr="005B7D08" w:rsidRDefault="005B7D08" w:rsidP="005B7D08">
      <w:r w:rsidRPr="005B7D08">
        <w:t xml:space="preserve">Providers are </w:t>
      </w:r>
      <w:r w:rsidRPr="004812B9">
        <w:rPr>
          <w:bCs/>
        </w:rPr>
        <w:t>also</w:t>
      </w:r>
      <w:r w:rsidRPr="005B7D08">
        <w:rPr>
          <w:b/>
        </w:rPr>
        <w:t xml:space="preserve"> </w:t>
      </w:r>
      <w:r w:rsidRPr="005B7D08">
        <w:t xml:space="preserve">required to provide an updated and </w:t>
      </w:r>
      <w:r w:rsidRPr="005B7D08">
        <w:rPr>
          <w:b/>
        </w:rPr>
        <w:t>current</w:t>
      </w:r>
      <w:r w:rsidRPr="005B7D08">
        <w:t xml:space="preserve"> workers compensation and public liability insurance policy. </w:t>
      </w:r>
    </w:p>
    <w:p w14:paraId="5055708D" w14:textId="0AC025D9" w:rsidR="005B7D08" w:rsidRDefault="005B0F31" w:rsidP="005B7D08">
      <w:pPr>
        <w:sectPr w:rsidR="005B7D08" w:rsidSect="000D737E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991" w:bottom="709" w:left="1440" w:header="142" w:footer="708" w:gutter="0"/>
          <w:cols w:space="708"/>
          <w:titlePg/>
          <w:docGrid w:linePitch="360"/>
        </w:sectPr>
      </w:pPr>
      <w:r>
        <w:t>Any d</w:t>
      </w:r>
      <w:r w:rsidR="005B7D08" w:rsidRPr="005B7D08">
        <w:t xml:space="preserve">elay in </w:t>
      </w:r>
      <w:r w:rsidR="004812B9" w:rsidRPr="005B7D08">
        <w:t>submi</w:t>
      </w:r>
      <w:r w:rsidR="004812B9">
        <w:t>tting your</w:t>
      </w:r>
      <w:r w:rsidR="005B7D08" w:rsidRPr="005B7D08">
        <w:t xml:space="preserve"> financial information can be expected to lead to </w:t>
      </w:r>
      <w:r>
        <w:t xml:space="preserve">a </w:t>
      </w:r>
      <w:r w:rsidR="005B7D08" w:rsidRPr="005B7D08">
        <w:t xml:space="preserve">delay in </w:t>
      </w:r>
      <w:r>
        <w:t xml:space="preserve">our </w:t>
      </w:r>
      <w:r w:rsidR="005B7D08" w:rsidRPr="005B7D08">
        <w:t xml:space="preserve">decision making </w:t>
      </w:r>
      <w:bookmarkEnd w:id="1"/>
      <w:r w:rsidR="005B7D08" w:rsidRPr="005B7D08">
        <w:t>about course approvals and fee limits.</w:t>
      </w:r>
    </w:p>
    <w:p w14:paraId="5BCC925C" w14:textId="77777777" w:rsidR="00CD7D54" w:rsidRPr="00CD7D54" w:rsidRDefault="00CD7D54" w:rsidP="00CD7D54">
      <w:pPr>
        <w:pStyle w:val="Heading1"/>
        <w:spacing w:after="240"/>
        <w:rPr>
          <w:color w:val="1E3D6B"/>
        </w:rPr>
      </w:pPr>
      <w:r w:rsidRPr="00CD7D54">
        <w:rPr>
          <w:color w:val="1E3D6B"/>
        </w:rPr>
        <w:lastRenderedPageBreak/>
        <w:t>Financial Performance - Ongoing Requirements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371"/>
        <w:gridCol w:w="1390"/>
      </w:tblGrid>
      <w:tr w:rsidR="00CD7D54" w:rsidRPr="00CD7D54" w14:paraId="1411F190" w14:textId="77777777" w:rsidTr="00E15F15">
        <w:trPr>
          <w:tblHeader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292065"/>
          </w:tcPr>
          <w:p w14:paraId="6A68FF6D" w14:textId="77777777" w:rsidR="00CD7D54" w:rsidRPr="00CD7D54" w:rsidRDefault="00CD7D54" w:rsidP="00CD7D54">
            <w:p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nil"/>
            </w:tcBorders>
            <w:shd w:val="clear" w:color="auto" w:fill="292065"/>
          </w:tcPr>
          <w:p w14:paraId="591BD62F" w14:textId="77777777" w:rsidR="00CD7D54" w:rsidRPr="00CD7D54" w:rsidRDefault="00CD7D54" w:rsidP="00CD7D54">
            <w:p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  <w:r w:rsidRPr="00CD7D54">
              <w:rPr>
                <w:color w:val="FFFFFF" w:themeColor="background1"/>
                <w:sz w:val="24"/>
                <w:szCs w:val="24"/>
              </w:rPr>
              <w:t>Information required to be submitted</w:t>
            </w:r>
          </w:p>
        </w:tc>
        <w:tc>
          <w:tcPr>
            <w:tcW w:w="1390" w:type="dxa"/>
            <w:tcBorders>
              <w:bottom w:val="nil"/>
            </w:tcBorders>
            <w:shd w:val="clear" w:color="auto" w:fill="292065"/>
          </w:tcPr>
          <w:p w14:paraId="1BF4A95C" w14:textId="77777777" w:rsidR="00CD7D54" w:rsidRPr="00CD7D54" w:rsidRDefault="00CD7D54" w:rsidP="00CD7D5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D7D54">
              <w:rPr>
                <w:sz w:val="24"/>
                <w:szCs w:val="24"/>
              </w:rPr>
              <w:t>Actioned</w:t>
            </w:r>
          </w:p>
        </w:tc>
      </w:tr>
      <w:tr w:rsidR="00CD7D54" w:rsidRPr="00CD7D54" w14:paraId="1F9F9E62" w14:textId="77777777" w:rsidTr="00E15F1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0F6CCB33" w14:textId="77777777" w:rsidR="00CD7D54" w:rsidRPr="00CD7D54" w:rsidRDefault="00CD7D54" w:rsidP="00CD7D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2B9B" w14:textId="21500AD9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  <w:r w:rsidRPr="00CD7D54">
              <w:rPr>
                <w:rFonts w:cstheme="minorHAnsi"/>
              </w:rPr>
              <w:t xml:space="preserve">Audited </w:t>
            </w:r>
            <w:r w:rsidRPr="00CD7D54">
              <w:rPr>
                <w:rFonts w:cstheme="minorHAnsi"/>
                <w:b/>
              </w:rPr>
              <w:t>general purpose</w:t>
            </w:r>
            <w:r w:rsidRPr="00CD7D54">
              <w:rPr>
                <w:rFonts w:cstheme="minorHAnsi"/>
              </w:rPr>
              <w:t xml:space="preserve"> financial statements for the most recently completed annual financial reporting period (</w:t>
            </w:r>
            <w:r w:rsidR="005B0F31">
              <w:rPr>
                <w:rFonts w:cstheme="minorHAnsi"/>
              </w:rPr>
              <w:t>That is,</w:t>
            </w:r>
            <w:r w:rsidRPr="00CD7D54">
              <w:rPr>
                <w:rFonts w:cstheme="minorHAnsi"/>
              </w:rPr>
              <w:t xml:space="preserve"> 31 December or 30 June).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CF78" w14:textId="77777777" w:rsidR="00CD7D54" w:rsidRPr="00CD7D54" w:rsidRDefault="00CD7D54" w:rsidP="00CD7D54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5DE11997" w14:textId="77777777" w:rsidR="00CD7D54" w:rsidRPr="00CD7D54" w:rsidRDefault="00E85672" w:rsidP="00CD7D54">
            <w:pPr>
              <w:spacing w:after="0" w:line="240" w:lineRule="auto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-238635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D54" w:rsidRPr="00CD7D54">
                  <w:rPr>
                    <w:rFonts w:ascii="Segoe UI Symbol" w:hAnsi="Segoe UI Symbol" w:cs="Segoe UI Symbol"/>
                    <w:bCs/>
                  </w:rPr>
                  <w:t>☐</w:t>
                </w:r>
              </w:sdtContent>
            </w:sdt>
          </w:p>
        </w:tc>
      </w:tr>
      <w:tr w:rsidR="00CD7D54" w:rsidRPr="00CD7D54" w14:paraId="1CE1EE75" w14:textId="77777777" w:rsidTr="00E15F15">
        <w:tc>
          <w:tcPr>
            <w:tcW w:w="70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498BD7FD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DC34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  <w:r w:rsidRPr="00CD7D54">
              <w:rPr>
                <w:rFonts w:cstheme="minorHAnsi"/>
              </w:rPr>
              <w:t xml:space="preserve">Financial statements must be prepared by a qualified accountant (within the meaning of the </w:t>
            </w:r>
            <w:r w:rsidRPr="00CD7D54">
              <w:rPr>
                <w:rFonts w:cstheme="minorHAnsi"/>
                <w:i/>
              </w:rPr>
              <w:t>Corporations Act 2001</w:t>
            </w:r>
            <w:r w:rsidRPr="00CD7D54">
              <w:rPr>
                <w:rFonts w:cstheme="minorHAnsi"/>
              </w:rPr>
              <w:t>) in accordance with applicable accounting standards.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81D1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</w:p>
          <w:p w14:paraId="36CE2158" w14:textId="77777777" w:rsidR="00CD7D54" w:rsidRPr="00CD7D54" w:rsidRDefault="00E85672" w:rsidP="00CD7D54">
            <w:pPr>
              <w:spacing w:after="0" w:line="240" w:lineRule="auto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107817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D54" w:rsidRPr="00CD7D54">
                  <w:rPr>
                    <w:rFonts w:ascii="Segoe UI Symbol" w:hAnsi="Segoe UI Symbol" w:cs="Segoe UI Symbol"/>
                    <w:bCs/>
                  </w:rPr>
                  <w:t>☐</w:t>
                </w:r>
              </w:sdtContent>
            </w:sdt>
          </w:p>
        </w:tc>
      </w:tr>
      <w:tr w:rsidR="00CD7D54" w:rsidRPr="00CD7D54" w14:paraId="0FF2CE84" w14:textId="77777777" w:rsidTr="00E15F15">
        <w:tc>
          <w:tcPr>
            <w:tcW w:w="70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5CEE7" w14:textId="77777777" w:rsidR="00CD7D54" w:rsidRPr="00CD7D54" w:rsidRDefault="00CD7D54" w:rsidP="00381CFA">
            <w:pPr>
              <w:spacing w:before="240" w:after="0" w:line="240" w:lineRule="auto"/>
              <w:jc w:val="center"/>
              <w:rPr>
                <w:rFonts w:cstheme="minorHAnsi"/>
                <w:b/>
              </w:rPr>
            </w:pPr>
            <w:r w:rsidRPr="00CD7D54">
              <w:rPr>
                <w:rFonts w:cstheme="minorHAnsi"/>
                <w:b/>
              </w:rPr>
              <w:t>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08A0" w14:textId="3A1FA5D9" w:rsidR="0001242B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  <w:r w:rsidRPr="00CD7D54">
              <w:rPr>
                <w:rFonts w:cstheme="minorHAnsi"/>
              </w:rPr>
              <w:t xml:space="preserve">Financial statements must be audited by a qualified auditor who is independent of the provider. </w:t>
            </w:r>
          </w:p>
          <w:p w14:paraId="1CA443BF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  <w:r w:rsidRPr="00CD7D54">
              <w:rPr>
                <w:rFonts w:cstheme="minorHAnsi"/>
              </w:rPr>
              <w:t xml:space="preserve">‘Independent qualified auditor’ is defined by the Rules as: </w:t>
            </w:r>
          </w:p>
          <w:p w14:paraId="64C7BBC5" w14:textId="4C497AF5" w:rsidR="00CD7D54" w:rsidRPr="00CD7D54" w:rsidRDefault="00CD7D54" w:rsidP="004812B9">
            <w:pPr>
              <w:pStyle w:val="Bullet1"/>
            </w:pPr>
            <w:r w:rsidRPr="00CD7D54">
              <w:t>the Auditor-General of a State or Territory or</w:t>
            </w:r>
          </w:p>
          <w:p w14:paraId="5D7B6D0D" w14:textId="39FEEBC3" w:rsidR="00CD7D54" w:rsidRPr="00CD7D54" w:rsidRDefault="00CD7D54" w:rsidP="004812B9">
            <w:pPr>
              <w:pStyle w:val="Bullet1"/>
            </w:pPr>
            <w:r w:rsidRPr="00CD7D54">
              <w:t xml:space="preserve">a registered company auditor (within the meaning of section 9 of the </w:t>
            </w:r>
            <w:r w:rsidRPr="00CD7D54">
              <w:rPr>
                <w:i/>
              </w:rPr>
              <w:t>Corporations Act 2001</w:t>
            </w:r>
            <w:r w:rsidRPr="00CD7D54">
              <w:t>) or</w:t>
            </w:r>
          </w:p>
          <w:p w14:paraId="6313688F" w14:textId="77777777" w:rsidR="00CD7D54" w:rsidRPr="00CD7D54" w:rsidRDefault="00CD7D54" w:rsidP="004812B9">
            <w:pPr>
              <w:pStyle w:val="Bullet1"/>
            </w:pPr>
            <w:r w:rsidRPr="00CD7D54">
              <w:t>a person approved by the Secretary in writing.</w:t>
            </w:r>
          </w:p>
          <w:p w14:paraId="7A9F11CF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  <w:r w:rsidRPr="00CD7D54">
              <w:rPr>
                <w:rFonts w:cstheme="minorHAnsi"/>
              </w:rPr>
              <w:t>In support, you should include details of the auditor's registration with ASIC.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2690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</w:p>
          <w:p w14:paraId="66833F99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</w:p>
          <w:p w14:paraId="542BAFE4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</w:p>
          <w:p w14:paraId="2B079978" w14:textId="13BD1F94" w:rsidR="00CD7D54" w:rsidRPr="00CD7D54" w:rsidRDefault="00E85672" w:rsidP="00CD7D54">
            <w:pPr>
              <w:spacing w:after="0" w:line="240" w:lineRule="auto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916517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0FFE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</w:p>
          <w:p w14:paraId="5D9749B0" w14:textId="77777777" w:rsidR="00CD7D54" w:rsidRPr="00CD7D54" w:rsidRDefault="00CD7D54" w:rsidP="00CD7D54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CD7D54" w:rsidRPr="00CD7D54" w14:paraId="2497AB86" w14:textId="77777777" w:rsidTr="00E15F15">
        <w:tc>
          <w:tcPr>
            <w:tcW w:w="704" w:type="dxa"/>
            <w:tcBorders>
              <w:top w:val="single" w:sz="4" w:space="0" w:color="auto"/>
            </w:tcBorders>
          </w:tcPr>
          <w:p w14:paraId="70E94ECE" w14:textId="77777777" w:rsidR="00CD7D54" w:rsidRPr="00CD7D54" w:rsidRDefault="00CD7D54" w:rsidP="00CD7D5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CD7D54">
              <w:rPr>
                <w:rFonts w:cstheme="minorHAnsi"/>
                <w:b/>
              </w:rPr>
              <w:t>2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41811F29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  <w:r w:rsidRPr="00CD7D54">
              <w:rPr>
                <w:rFonts w:cstheme="minorHAnsi"/>
              </w:rPr>
              <w:t>A copy of the Independent Auditor’s report.</w:t>
            </w:r>
          </w:p>
        </w:tc>
        <w:tc>
          <w:tcPr>
            <w:tcW w:w="1390" w:type="dxa"/>
          </w:tcPr>
          <w:p w14:paraId="11953825" w14:textId="77777777" w:rsidR="00CD7D54" w:rsidRPr="00CD7D54" w:rsidRDefault="00E85672" w:rsidP="00CD7D54">
            <w:pPr>
              <w:spacing w:before="40" w:after="0" w:line="240" w:lineRule="auto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892925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D54" w:rsidRPr="00CD7D54">
                  <w:rPr>
                    <w:rFonts w:ascii="Segoe UI Symbol" w:hAnsi="Segoe UI Symbol" w:cs="Segoe UI Symbol"/>
                    <w:bCs/>
                  </w:rPr>
                  <w:t>☐</w:t>
                </w:r>
              </w:sdtContent>
            </w:sdt>
          </w:p>
        </w:tc>
      </w:tr>
      <w:tr w:rsidR="00CD7D54" w:rsidRPr="00CD7D54" w14:paraId="77766C06" w14:textId="77777777" w:rsidTr="00E15F15">
        <w:tc>
          <w:tcPr>
            <w:tcW w:w="704" w:type="dxa"/>
          </w:tcPr>
          <w:p w14:paraId="699C037A" w14:textId="77777777" w:rsidR="00CD7D54" w:rsidRPr="00CD7D54" w:rsidRDefault="00CD7D54" w:rsidP="00381CFA">
            <w:pPr>
              <w:spacing w:before="120" w:after="0" w:line="240" w:lineRule="auto"/>
              <w:jc w:val="center"/>
              <w:rPr>
                <w:rFonts w:cstheme="minorHAnsi"/>
                <w:b/>
              </w:rPr>
            </w:pPr>
            <w:r w:rsidRPr="00CD7D54">
              <w:rPr>
                <w:rFonts w:cstheme="minorHAnsi"/>
                <w:b/>
              </w:rPr>
              <w:t>3</w:t>
            </w:r>
          </w:p>
        </w:tc>
        <w:tc>
          <w:tcPr>
            <w:tcW w:w="7371" w:type="dxa"/>
          </w:tcPr>
          <w:p w14:paraId="213E4A52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  <w:r w:rsidRPr="00CD7D54">
              <w:rPr>
                <w:rFonts w:cstheme="minorHAnsi"/>
              </w:rPr>
              <w:t xml:space="preserve">A copy of the auditor’s independence declaration required under section 307C of the </w:t>
            </w:r>
            <w:r w:rsidRPr="00CD7D54">
              <w:rPr>
                <w:rFonts w:cstheme="minorHAnsi"/>
                <w:i/>
              </w:rPr>
              <w:t>Corporations Act 2001</w:t>
            </w:r>
            <w:r w:rsidRPr="00CD7D54">
              <w:rPr>
                <w:rFonts w:cstheme="minorHAnsi"/>
              </w:rPr>
              <w:t>.</w:t>
            </w:r>
          </w:p>
        </w:tc>
        <w:tc>
          <w:tcPr>
            <w:tcW w:w="1390" w:type="dxa"/>
          </w:tcPr>
          <w:p w14:paraId="6DB5EDF3" w14:textId="77777777" w:rsidR="00CD7D54" w:rsidRPr="00CD7D54" w:rsidRDefault="00E85672" w:rsidP="00CD7D54">
            <w:pPr>
              <w:spacing w:before="60" w:after="0" w:line="240" w:lineRule="auto"/>
              <w:jc w:val="center"/>
              <w:rPr>
                <w:rFonts w:cstheme="minorHAnsi"/>
                <w:bCs/>
              </w:rPr>
            </w:pPr>
            <w:sdt>
              <w:sdtPr>
                <w:rPr>
                  <w:rFonts w:cstheme="minorHAnsi"/>
                  <w:bCs/>
                </w:rPr>
                <w:id w:val="-712808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D54" w:rsidRPr="00CD7D54">
                  <w:rPr>
                    <w:rFonts w:ascii="Segoe UI Symbol" w:hAnsi="Segoe UI Symbol" w:cs="Segoe UI Symbol"/>
                    <w:bCs/>
                  </w:rPr>
                  <w:t>☐</w:t>
                </w:r>
              </w:sdtContent>
            </w:sdt>
          </w:p>
        </w:tc>
      </w:tr>
      <w:tr w:rsidR="00CD7D54" w:rsidRPr="00CD7D54" w14:paraId="7C08174F" w14:textId="77777777" w:rsidTr="00E15F15">
        <w:tc>
          <w:tcPr>
            <w:tcW w:w="704" w:type="dxa"/>
          </w:tcPr>
          <w:p w14:paraId="151B1FFD" w14:textId="77777777" w:rsidR="00CD7D54" w:rsidRPr="00CD7D54" w:rsidRDefault="00CD7D54" w:rsidP="00CD7D54">
            <w:pPr>
              <w:spacing w:before="1560" w:after="0" w:line="240" w:lineRule="auto"/>
              <w:jc w:val="center"/>
              <w:rPr>
                <w:rFonts w:cstheme="minorHAnsi"/>
                <w:b/>
              </w:rPr>
            </w:pPr>
            <w:r w:rsidRPr="00CD7D54">
              <w:rPr>
                <w:rFonts w:cstheme="minorHAnsi"/>
                <w:b/>
              </w:rPr>
              <w:t>4</w:t>
            </w:r>
          </w:p>
        </w:tc>
        <w:tc>
          <w:tcPr>
            <w:tcW w:w="7371" w:type="dxa"/>
          </w:tcPr>
          <w:p w14:paraId="54541B83" w14:textId="2F1FA097" w:rsidR="00F129A0" w:rsidRPr="00F129A0" w:rsidRDefault="00F129A0" w:rsidP="00F129A0">
            <w:pPr>
              <w:spacing w:after="0" w:line="240" w:lineRule="auto"/>
              <w:rPr>
                <w:rFonts w:cstheme="minorHAnsi"/>
              </w:rPr>
            </w:pPr>
            <w:r w:rsidRPr="00F129A0">
              <w:rPr>
                <w:rFonts w:cstheme="minorHAnsi"/>
              </w:rPr>
              <w:t>A declaration by a qualified accountant or auditor that the provider has, as at the date of the declaration, complied with all statutory obligations relating to the payment of the following:</w:t>
            </w:r>
          </w:p>
          <w:p w14:paraId="22C2331A" w14:textId="31DF0874" w:rsidR="00CD7D54" w:rsidRPr="00CD7D54" w:rsidRDefault="00CD7D54" w:rsidP="004812B9">
            <w:pPr>
              <w:pStyle w:val="Bullet1"/>
            </w:pPr>
            <w:r w:rsidRPr="00CD7D54">
              <w:t>company tax</w:t>
            </w:r>
          </w:p>
          <w:p w14:paraId="0F2F3C19" w14:textId="12F21685" w:rsidR="00CD7D54" w:rsidRPr="00CD7D54" w:rsidRDefault="00CD7D54" w:rsidP="004812B9">
            <w:pPr>
              <w:pStyle w:val="Bullet1"/>
            </w:pPr>
            <w:r w:rsidRPr="00CD7D54">
              <w:t>goods and services tax</w:t>
            </w:r>
          </w:p>
          <w:p w14:paraId="222141C8" w14:textId="5564BC14" w:rsidR="00CD7D54" w:rsidRPr="00CD7D54" w:rsidRDefault="00CD7D54" w:rsidP="004812B9">
            <w:pPr>
              <w:pStyle w:val="Bullet1"/>
            </w:pPr>
            <w:r w:rsidRPr="00CD7D54">
              <w:t xml:space="preserve">pay-as-you-go withholding tax for </w:t>
            </w:r>
            <w:proofErr w:type="gramStart"/>
            <w:r w:rsidRPr="00CD7D54">
              <w:t>employees</w:t>
            </w:r>
            <w:proofErr w:type="gramEnd"/>
          </w:p>
          <w:p w14:paraId="70E5600F" w14:textId="14901D9D" w:rsidR="00CD7D54" w:rsidRPr="00CD7D54" w:rsidRDefault="00CD7D54" w:rsidP="004812B9">
            <w:pPr>
              <w:pStyle w:val="Bullet1"/>
            </w:pPr>
            <w:r w:rsidRPr="00CD7D54">
              <w:t xml:space="preserve">payroll tax </w:t>
            </w:r>
          </w:p>
          <w:p w14:paraId="2AA30774" w14:textId="77777777" w:rsidR="00CD7D54" w:rsidRPr="00CD7D54" w:rsidRDefault="00CD7D54" w:rsidP="004812B9">
            <w:pPr>
              <w:pStyle w:val="Bullet1"/>
            </w:pPr>
            <w:r w:rsidRPr="00CD7D54">
              <w:t>superannuation guarantee for employees and other withholding tax (if applicable)—if this is not applicable, the accountant or auditor is required to declare that this tax is not applicable.</w:t>
            </w:r>
          </w:p>
        </w:tc>
        <w:tc>
          <w:tcPr>
            <w:tcW w:w="1390" w:type="dxa"/>
          </w:tcPr>
          <w:p w14:paraId="4B61A51D" w14:textId="7FDB989E" w:rsidR="00CD7D54" w:rsidRPr="00CD7D54" w:rsidRDefault="00E85672" w:rsidP="00CD7D54">
            <w:pPr>
              <w:spacing w:before="1560" w:after="0" w:line="240" w:lineRule="auto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97611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242B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</w:p>
        </w:tc>
      </w:tr>
      <w:tr w:rsidR="00CD7D54" w:rsidRPr="00CD7D54" w14:paraId="0853C78F" w14:textId="77777777" w:rsidTr="00E15F15">
        <w:tc>
          <w:tcPr>
            <w:tcW w:w="704" w:type="dxa"/>
          </w:tcPr>
          <w:p w14:paraId="5D73205E" w14:textId="77777777" w:rsidR="00CD7D54" w:rsidRPr="00CD7D54" w:rsidRDefault="00CD7D54" w:rsidP="00381CFA">
            <w:pPr>
              <w:spacing w:before="120" w:after="0" w:line="240" w:lineRule="auto"/>
              <w:jc w:val="center"/>
              <w:rPr>
                <w:rFonts w:cstheme="minorHAnsi"/>
              </w:rPr>
            </w:pPr>
            <w:r w:rsidRPr="00CD7D54">
              <w:rPr>
                <w:rFonts w:cstheme="minorHAnsi"/>
                <w:b/>
              </w:rPr>
              <w:t>5</w:t>
            </w:r>
          </w:p>
        </w:tc>
        <w:tc>
          <w:tcPr>
            <w:tcW w:w="7371" w:type="dxa"/>
          </w:tcPr>
          <w:p w14:paraId="24AD9AEE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  <w:r w:rsidRPr="00CD7D54">
              <w:rPr>
                <w:rFonts w:cstheme="minorHAnsi"/>
              </w:rPr>
              <w:t xml:space="preserve">A copy of the </w:t>
            </w:r>
            <w:r w:rsidRPr="00CD7D54">
              <w:rPr>
                <w:rFonts w:cstheme="minorHAnsi"/>
                <w:b/>
              </w:rPr>
              <w:t>current</w:t>
            </w:r>
            <w:r w:rsidRPr="00CD7D54">
              <w:rPr>
                <w:rFonts w:cstheme="minorHAnsi"/>
              </w:rPr>
              <w:t xml:space="preserve"> workers compensation and public liability insurance certificates.</w:t>
            </w:r>
          </w:p>
        </w:tc>
        <w:tc>
          <w:tcPr>
            <w:tcW w:w="1390" w:type="dxa"/>
          </w:tcPr>
          <w:p w14:paraId="331D5BB4" w14:textId="54F45FA6" w:rsidR="00CD7D54" w:rsidRPr="00CD7D54" w:rsidRDefault="00E85672" w:rsidP="00CD7D54">
            <w:pPr>
              <w:spacing w:before="80" w:after="0" w:line="240" w:lineRule="auto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653954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0FFE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</w:p>
        </w:tc>
      </w:tr>
      <w:tr w:rsidR="003809F3" w:rsidRPr="00CD7D54" w14:paraId="0D903831" w14:textId="77777777" w:rsidTr="00E15F15">
        <w:tc>
          <w:tcPr>
            <w:tcW w:w="704" w:type="dxa"/>
          </w:tcPr>
          <w:p w14:paraId="04C55F15" w14:textId="1D1BF596" w:rsidR="003809F3" w:rsidRPr="0001242B" w:rsidRDefault="003809F3" w:rsidP="005D1992">
            <w:pPr>
              <w:spacing w:before="840" w:after="0" w:line="240" w:lineRule="auto"/>
              <w:jc w:val="center"/>
              <w:rPr>
                <w:rFonts w:cstheme="minorHAnsi"/>
                <w:b/>
              </w:rPr>
            </w:pPr>
            <w:r w:rsidRPr="0001242B">
              <w:rPr>
                <w:rFonts w:cstheme="minorHAnsi"/>
                <w:b/>
              </w:rPr>
              <w:t>6</w:t>
            </w:r>
          </w:p>
        </w:tc>
        <w:tc>
          <w:tcPr>
            <w:tcW w:w="7371" w:type="dxa"/>
          </w:tcPr>
          <w:p w14:paraId="2397C710" w14:textId="77777777" w:rsidR="003809F3" w:rsidRPr="0001242B" w:rsidRDefault="003809F3" w:rsidP="00CD7D54">
            <w:pPr>
              <w:spacing w:after="0" w:line="240" w:lineRule="auto"/>
              <w:rPr>
                <w:rFonts w:cstheme="minorHAnsi"/>
              </w:rPr>
            </w:pPr>
            <w:r w:rsidRPr="0001242B">
              <w:rPr>
                <w:rFonts w:cstheme="minorHAnsi"/>
              </w:rPr>
              <w:t>If the provider is part of a consolidated entity, the financial statements must be accompanied by:</w:t>
            </w:r>
          </w:p>
          <w:p w14:paraId="6DC84545" w14:textId="05F98CCA" w:rsidR="003809F3" w:rsidRPr="0001242B" w:rsidRDefault="003809F3" w:rsidP="0001242B">
            <w:pPr>
              <w:pStyle w:val="Bullet1"/>
            </w:pPr>
            <w:r w:rsidRPr="0001242B">
              <w:t>a copy of the most recent consolidated financial statements fo</w:t>
            </w:r>
            <w:r w:rsidR="00185952" w:rsidRPr="0001242B">
              <w:t>r</w:t>
            </w:r>
            <w:r w:rsidRPr="0001242B">
              <w:t xml:space="preserve"> the entity</w:t>
            </w:r>
            <w:r w:rsidR="0001242B">
              <w:t>,</w:t>
            </w:r>
            <w:r w:rsidRPr="0001242B">
              <w:t xml:space="preserve"> prepared in accordance with applicable accounting standards</w:t>
            </w:r>
            <w:r w:rsidR="0001242B">
              <w:t>,</w:t>
            </w:r>
            <w:r w:rsidRPr="0001242B">
              <w:t xml:space="preserve"> and</w:t>
            </w:r>
          </w:p>
          <w:p w14:paraId="22DD4986" w14:textId="6A313CB3" w:rsidR="003809F3" w:rsidRPr="0001242B" w:rsidRDefault="003809F3" w:rsidP="0001242B">
            <w:pPr>
              <w:pStyle w:val="Bullet1"/>
            </w:pPr>
            <w:r w:rsidRPr="0001242B">
              <w:t>such addi</w:t>
            </w:r>
            <w:r w:rsidR="00185952" w:rsidRPr="0001242B">
              <w:t>tio</w:t>
            </w:r>
            <w:r w:rsidRPr="0001242B">
              <w:t>nal information related to the consolidated entity as determined by the Secretary</w:t>
            </w:r>
          </w:p>
        </w:tc>
        <w:tc>
          <w:tcPr>
            <w:tcW w:w="1390" w:type="dxa"/>
          </w:tcPr>
          <w:p w14:paraId="1E5A698E" w14:textId="77777777" w:rsidR="003809F3" w:rsidRPr="00CD7D54" w:rsidRDefault="00E85672" w:rsidP="0001242B">
            <w:pPr>
              <w:spacing w:before="600" w:after="0" w:line="240" w:lineRule="auto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334892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242B">
                  <w:rPr>
                    <w:rFonts w:ascii="MS Gothic" w:eastAsia="MS Gothic" w:hAnsi="MS Gothic" w:cstheme="minorHAnsi" w:hint="eastAsia"/>
                    <w:bCs/>
                  </w:rPr>
                  <w:t>☐</w:t>
                </w:r>
              </w:sdtContent>
            </w:sdt>
          </w:p>
        </w:tc>
      </w:tr>
      <w:tr w:rsidR="00CD7D54" w:rsidRPr="00CD7D54" w14:paraId="3E0CAEEF" w14:textId="77777777" w:rsidTr="00E15F15">
        <w:tc>
          <w:tcPr>
            <w:tcW w:w="704" w:type="dxa"/>
          </w:tcPr>
          <w:p w14:paraId="111B7126" w14:textId="542ABA3B" w:rsidR="00CD7D54" w:rsidRPr="00CD7D54" w:rsidRDefault="003809F3" w:rsidP="00995207">
            <w:pPr>
              <w:spacing w:before="240"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  <w:tc>
          <w:tcPr>
            <w:tcW w:w="7371" w:type="dxa"/>
          </w:tcPr>
          <w:p w14:paraId="64D07B1F" w14:textId="7CE44A7E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  <w:r w:rsidRPr="00CD7D54">
              <w:rPr>
                <w:rFonts w:cstheme="minorHAnsi"/>
              </w:rPr>
              <w:t>Lodged in HITS within three months after the end your annual financial reporting period (</w:t>
            </w:r>
            <w:r w:rsidR="00D65E68">
              <w:rPr>
                <w:rFonts w:cstheme="minorHAnsi"/>
              </w:rPr>
              <w:t>for example,</w:t>
            </w:r>
            <w:r w:rsidRPr="00CD7D54">
              <w:rPr>
                <w:rFonts w:cstheme="minorHAnsi"/>
              </w:rPr>
              <w:t xml:space="preserve"> 30 June </w:t>
            </w:r>
            <w:r w:rsidR="005B0F31">
              <w:rPr>
                <w:rFonts w:cstheme="minorHAnsi"/>
              </w:rPr>
              <w:t>-</w:t>
            </w:r>
            <w:r w:rsidRPr="00CD7D54">
              <w:rPr>
                <w:rFonts w:cstheme="minorHAnsi"/>
              </w:rPr>
              <w:t xml:space="preserve"> lodged by 1 </w:t>
            </w:r>
            <w:r w:rsidR="009F3E49">
              <w:rPr>
                <w:rFonts w:cstheme="minorHAnsi"/>
              </w:rPr>
              <w:t>November</w:t>
            </w:r>
            <w:r w:rsidR="00D65E68">
              <w:rPr>
                <w:rFonts w:cstheme="minorHAnsi"/>
              </w:rPr>
              <w:t>,</w:t>
            </w:r>
            <w:r w:rsidRPr="00CD7D54">
              <w:rPr>
                <w:rFonts w:cstheme="minorHAnsi"/>
              </w:rPr>
              <w:t xml:space="preserve"> 31 December </w:t>
            </w:r>
            <w:r w:rsidR="005B0F31">
              <w:rPr>
                <w:rFonts w:cstheme="minorHAnsi"/>
              </w:rPr>
              <w:t>-</w:t>
            </w:r>
            <w:r w:rsidRPr="00CD7D54">
              <w:rPr>
                <w:rFonts w:cstheme="minorHAnsi"/>
              </w:rPr>
              <w:t xml:space="preserve"> lodged by 1</w:t>
            </w:r>
            <w:r w:rsidR="009F3E49">
              <w:rPr>
                <w:rFonts w:cstheme="minorHAnsi"/>
              </w:rPr>
              <w:t xml:space="preserve"> May</w:t>
            </w:r>
            <w:r w:rsidRPr="00CD7D54">
              <w:rPr>
                <w:rFonts w:cstheme="minorHAnsi"/>
              </w:rPr>
              <w:t>)</w:t>
            </w:r>
          </w:p>
        </w:tc>
        <w:tc>
          <w:tcPr>
            <w:tcW w:w="1390" w:type="dxa"/>
          </w:tcPr>
          <w:p w14:paraId="2D103692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</w:p>
          <w:p w14:paraId="620A3E80" w14:textId="77777777" w:rsidR="00CD7D54" w:rsidRPr="00CD7D54" w:rsidRDefault="00E85672" w:rsidP="00CD7D54">
            <w:pPr>
              <w:spacing w:after="0" w:line="240" w:lineRule="auto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844831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D54" w:rsidRPr="00CD7D54">
                  <w:rPr>
                    <w:rFonts w:ascii="Segoe UI Symbol" w:hAnsi="Segoe UI Symbol" w:cs="Segoe UI Symbol"/>
                    <w:bCs/>
                  </w:rPr>
                  <w:t>☐</w:t>
                </w:r>
              </w:sdtContent>
            </w:sdt>
          </w:p>
        </w:tc>
      </w:tr>
      <w:tr w:rsidR="00CD7D54" w:rsidRPr="00CD7D54" w14:paraId="5A2921EE" w14:textId="77777777" w:rsidTr="00E15F15">
        <w:tc>
          <w:tcPr>
            <w:tcW w:w="704" w:type="dxa"/>
          </w:tcPr>
          <w:p w14:paraId="079FD906" w14:textId="1036B073" w:rsidR="00CD7D54" w:rsidRPr="00CD7D54" w:rsidRDefault="003809F3" w:rsidP="005D1992">
            <w:pPr>
              <w:spacing w:before="240"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</w:p>
        </w:tc>
        <w:tc>
          <w:tcPr>
            <w:tcW w:w="7371" w:type="dxa"/>
          </w:tcPr>
          <w:p w14:paraId="1A5578A0" w14:textId="78B68308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  <w:r w:rsidRPr="00CD7D54">
              <w:rPr>
                <w:rFonts w:cstheme="minorHAnsi"/>
              </w:rPr>
              <w:t xml:space="preserve">Complete the Financial Performance Detail section of HITS for the financial period. The information input should </w:t>
            </w:r>
            <w:r w:rsidR="005B0F31">
              <w:rPr>
                <w:rFonts w:cstheme="minorHAnsi"/>
              </w:rPr>
              <w:t>correspond to</w:t>
            </w:r>
            <w:r w:rsidRPr="00CD7D54">
              <w:rPr>
                <w:rFonts w:cstheme="minorHAnsi"/>
              </w:rPr>
              <w:t xml:space="preserve"> the audited statements </w:t>
            </w:r>
            <w:r w:rsidR="005B0F31">
              <w:rPr>
                <w:rFonts w:cstheme="minorHAnsi"/>
              </w:rPr>
              <w:t xml:space="preserve">you </w:t>
            </w:r>
            <w:r w:rsidRPr="00CD7D54">
              <w:rPr>
                <w:rFonts w:cstheme="minorHAnsi"/>
              </w:rPr>
              <w:t xml:space="preserve">submitted (refer to </w:t>
            </w:r>
            <w:hyperlink r:id="rId16" w:history="1">
              <w:r w:rsidR="00D65E68" w:rsidRPr="005B7D08">
                <w:rPr>
                  <w:rStyle w:val="Hyperlink"/>
                </w:rPr>
                <w:t>HITS User Guide</w:t>
              </w:r>
            </w:hyperlink>
            <w:r w:rsidR="00D65E68" w:rsidRPr="00D65E68">
              <w:rPr>
                <w:rStyle w:val="Hyperlink"/>
                <w:u w:val="none"/>
              </w:rPr>
              <w:t xml:space="preserve"> </w:t>
            </w:r>
            <w:r w:rsidRPr="00CD7D54">
              <w:rPr>
                <w:rFonts w:cstheme="minorHAnsi"/>
              </w:rPr>
              <w:t>section Financial Performance – Create a Financial Performance).</w:t>
            </w:r>
          </w:p>
        </w:tc>
        <w:tc>
          <w:tcPr>
            <w:tcW w:w="1390" w:type="dxa"/>
          </w:tcPr>
          <w:p w14:paraId="5C014380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</w:p>
          <w:p w14:paraId="37877A3D" w14:textId="77777777" w:rsidR="00CD7D54" w:rsidRPr="00CD7D54" w:rsidRDefault="00CD7D54" w:rsidP="00CD7D54">
            <w:pPr>
              <w:spacing w:after="0" w:line="240" w:lineRule="auto"/>
              <w:rPr>
                <w:rFonts w:cstheme="minorHAnsi"/>
              </w:rPr>
            </w:pPr>
          </w:p>
          <w:p w14:paraId="63694FD9" w14:textId="77777777" w:rsidR="00CD7D54" w:rsidRPr="00CD7D54" w:rsidRDefault="00E85672" w:rsidP="00CD7D54">
            <w:pPr>
              <w:spacing w:after="0" w:line="240" w:lineRule="auto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944426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D54" w:rsidRPr="00CD7D54">
                  <w:rPr>
                    <w:rFonts w:ascii="Segoe UI Symbol" w:hAnsi="Segoe UI Symbol" w:cs="Segoe UI Symbol"/>
                    <w:bCs/>
                  </w:rPr>
                  <w:t>☐</w:t>
                </w:r>
              </w:sdtContent>
            </w:sdt>
          </w:p>
        </w:tc>
      </w:tr>
    </w:tbl>
    <w:p w14:paraId="201CC2CB" w14:textId="1E03B658" w:rsidR="00304F5B" w:rsidRPr="005B1944" w:rsidRDefault="00304F5B" w:rsidP="00BC1E8B">
      <w:pPr>
        <w:spacing w:after="120" w:line="240" w:lineRule="auto"/>
        <w:rPr>
          <w:rFonts w:ascii="Calibri" w:eastAsia="Times New Roman" w:hAnsi="Calibri" w:cs="Calibri"/>
          <w:b/>
          <w:noProof/>
          <w:lang w:val="en"/>
        </w:rPr>
      </w:pPr>
    </w:p>
    <w:sectPr w:rsidR="00304F5B" w:rsidRPr="005B1944" w:rsidSect="005B7D08">
      <w:pgSz w:w="11906" w:h="16838"/>
      <w:pgMar w:top="1440" w:right="991" w:bottom="709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001A" w14:textId="77777777" w:rsidR="00D47176" w:rsidRDefault="00D47176" w:rsidP="00717D10">
      <w:pPr>
        <w:spacing w:after="0" w:line="240" w:lineRule="auto"/>
      </w:pPr>
      <w:r>
        <w:separator/>
      </w:r>
    </w:p>
  </w:endnote>
  <w:endnote w:type="continuationSeparator" w:id="0">
    <w:p w14:paraId="3F619B5D" w14:textId="77777777" w:rsidR="00D47176" w:rsidRDefault="00D47176" w:rsidP="0071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915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E0100" w14:textId="45B630F5" w:rsidR="00890E34" w:rsidRDefault="00890E34" w:rsidP="00890E34">
        <w:pPr>
          <w:pStyle w:val="Footer"/>
          <w:ind w:right="403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61312" behindDoc="1" locked="0" layoutInCell="1" allowOverlap="1" wp14:anchorId="17C14882" wp14:editId="30B3F730">
              <wp:simplePos x="0" y="0"/>
              <wp:positionH relativeFrom="column">
                <wp:posOffset>-895350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8" name="Picture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3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2E6D2" w14:textId="46D37002" w:rsidR="00553320" w:rsidRDefault="00553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099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619BF" w14:textId="30E5BE4A" w:rsidR="00046838" w:rsidRDefault="00046838" w:rsidP="00890E34">
        <w:pPr>
          <w:pStyle w:val="Footer"/>
          <w:ind w:right="403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59264" behindDoc="1" locked="0" layoutInCell="1" allowOverlap="1" wp14:anchorId="2F3D67FD" wp14:editId="031EA922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7" name="Pictur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5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6A5DDFE" w14:textId="551D0EAD" w:rsidR="00046838" w:rsidRDefault="000468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059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BB826" w14:textId="1FC2589C" w:rsidR="00914337" w:rsidRDefault="00914337">
        <w:pPr>
          <w:pStyle w:val="Footer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63360" behindDoc="1" locked="0" layoutInCell="1" allowOverlap="1" wp14:anchorId="3CCE2843" wp14:editId="4A4B35C6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6" name="Pictur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5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5144A8" w14:textId="37BC3581" w:rsidR="00914337" w:rsidRDefault="00914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59C5" w14:textId="77777777" w:rsidR="00D47176" w:rsidRDefault="00D47176" w:rsidP="00717D10">
      <w:pPr>
        <w:spacing w:after="0" w:line="240" w:lineRule="auto"/>
      </w:pPr>
      <w:r>
        <w:separator/>
      </w:r>
    </w:p>
  </w:footnote>
  <w:footnote w:type="continuationSeparator" w:id="0">
    <w:p w14:paraId="68E69BA2" w14:textId="77777777" w:rsidR="00D47176" w:rsidRDefault="00D47176" w:rsidP="00717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E0D5" w14:textId="4671F735" w:rsidR="00054523" w:rsidRDefault="00054523" w:rsidP="00553320">
    <w:pPr>
      <w:pStyle w:val="Header"/>
      <w:ind w:hanging="14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A08B" w14:textId="090E588E" w:rsidR="000D737E" w:rsidRPr="000D737E" w:rsidRDefault="000D737E" w:rsidP="000D737E">
    <w:pPr>
      <w:pStyle w:val="Header"/>
      <w:ind w:hanging="1418"/>
    </w:pPr>
    <w:r>
      <w:rPr>
        <w:noProof/>
        <w:lang w:eastAsia="en-AU"/>
      </w:rPr>
      <w:drawing>
        <wp:inline distT="0" distB="0" distL="0" distR="0" wp14:anchorId="5E9BE171" wp14:editId="35D57451">
          <wp:extent cx="7559675" cy="878205"/>
          <wp:effectExtent l="0" t="0" r="3175" b="0"/>
          <wp:docPr id="3" name="Picture 3" descr="Australian Government logo and VET Student Loa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878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942CF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B46B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356552"/>
    <w:multiLevelType w:val="hybridMultilevel"/>
    <w:tmpl w:val="80C8F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7093A"/>
    <w:multiLevelType w:val="hybridMultilevel"/>
    <w:tmpl w:val="4C2CB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558C3"/>
    <w:multiLevelType w:val="hybridMultilevel"/>
    <w:tmpl w:val="0234E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14729"/>
    <w:multiLevelType w:val="hybridMultilevel"/>
    <w:tmpl w:val="7F02D76C"/>
    <w:lvl w:ilvl="0" w:tplc="33C8D1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82C9AA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81926"/>
    <w:multiLevelType w:val="hybridMultilevel"/>
    <w:tmpl w:val="DB12E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57457"/>
    <w:multiLevelType w:val="multilevel"/>
    <w:tmpl w:val="3AECE86E"/>
    <w:name w:val="List number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8F36997"/>
    <w:multiLevelType w:val="hybridMultilevel"/>
    <w:tmpl w:val="2D1CF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C222A"/>
    <w:multiLevelType w:val="hybridMultilevel"/>
    <w:tmpl w:val="C838A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53E4C"/>
    <w:multiLevelType w:val="multilevel"/>
    <w:tmpl w:val="F1481754"/>
    <w:name w:val="List number2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EBC1A27"/>
    <w:multiLevelType w:val="hybridMultilevel"/>
    <w:tmpl w:val="F8C0706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E0AE4"/>
    <w:multiLevelType w:val="multilevel"/>
    <w:tmpl w:val="01D6F1A6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pStyle w:val="ListNumber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26D4FF6"/>
    <w:multiLevelType w:val="hybridMultilevel"/>
    <w:tmpl w:val="8A1A7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96A34"/>
    <w:multiLevelType w:val="multilevel"/>
    <w:tmpl w:val="1DD82DA6"/>
    <w:name w:val="List number3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0732AD"/>
    <w:multiLevelType w:val="multilevel"/>
    <w:tmpl w:val="F6DA8B36"/>
    <w:styleLink w:val="Numbere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457710E"/>
    <w:multiLevelType w:val="hybridMultilevel"/>
    <w:tmpl w:val="C9181356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0FF0698"/>
    <w:multiLevelType w:val="multilevel"/>
    <w:tmpl w:val="560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A20EE"/>
    <w:multiLevelType w:val="hybridMultilevel"/>
    <w:tmpl w:val="6E60E554"/>
    <w:lvl w:ilvl="0" w:tplc="7C1A9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11B0B"/>
    <w:multiLevelType w:val="hybridMultilevel"/>
    <w:tmpl w:val="4E80FFF8"/>
    <w:lvl w:ilvl="0" w:tplc="8B14065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E239A"/>
    <w:multiLevelType w:val="hybridMultilevel"/>
    <w:tmpl w:val="EABCF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63A1B"/>
    <w:multiLevelType w:val="hybridMultilevel"/>
    <w:tmpl w:val="CF102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6645D"/>
    <w:multiLevelType w:val="hybridMultilevel"/>
    <w:tmpl w:val="0D3289C0"/>
    <w:lvl w:ilvl="0" w:tplc="F0E41B44">
      <w:start w:val="1"/>
      <w:numFmt w:val="lowerLetter"/>
      <w:pStyle w:val="Style4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3A20C8"/>
    <w:multiLevelType w:val="multilevel"/>
    <w:tmpl w:val="3A08BB1C"/>
    <w:styleLink w:val="BulletList"/>
    <w:lvl w:ilvl="0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pStyle w:val="ListBullet5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48236F"/>
    <w:multiLevelType w:val="hybridMultilevel"/>
    <w:tmpl w:val="C9CC1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71DBA"/>
    <w:multiLevelType w:val="hybridMultilevel"/>
    <w:tmpl w:val="5ACE0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B4BE5"/>
    <w:multiLevelType w:val="hybridMultilevel"/>
    <w:tmpl w:val="8826B1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51E73"/>
    <w:multiLevelType w:val="hybridMultilevel"/>
    <w:tmpl w:val="CF28C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E53D4"/>
    <w:multiLevelType w:val="multilevel"/>
    <w:tmpl w:val="9D9E4B96"/>
    <w:styleLink w:val="Bulle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8564119">
    <w:abstractNumId w:val="3"/>
  </w:num>
  <w:num w:numId="2" w16cid:durableId="830294690">
    <w:abstractNumId w:val="14"/>
  </w:num>
  <w:num w:numId="3" w16cid:durableId="1730228666">
    <w:abstractNumId w:val="22"/>
  </w:num>
  <w:num w:numId="4" w16cid:durableId="568923561">
    <w:abstractNumId w:val="26"/>
  </w:num>
  <w:num w:numId="5" w16cid:durableId="1956867957">
    <w:abstractNumId w:val="9"/>
  </w:num>
  <w:num w:numId="6" w16cid:durableId="1216433490">
    <w:abstractNumId w:val="13"/>
  </w:num>
  <w:num w:numId="7" w16cid:durableId="1831560028">
    <w:abstractNumId w:val="24"/>
    <w:lvlOverride w:ilvl="0">
      <w:lvl w:ilvl="0">
        <w:start w:val="1"/>
        <w:numFmt w:val="bullet"/>
        <w:pStyle w:val="Style1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ListBullet2"/>
        <w:lvlText w:val=""/>
        <w:lvlJc w:val="left"/>
        <w:pPr>
          <w:ind w:left="737" w:hanging="34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pStyle w:val="ListBullet3"/>
        <w:lvlText w:val=""/>
        <w:lvlJc w:val="left"/>
        <w:pPr>
          <w:ind w:left="1134" w:hanging="340"/>
        </w:pPr>
        <w:rPr>
          <w:rFonts w:ascii="Wingdings" w:hAnsi="Wingdings" w:hint="default"/>
          <w:color w:val="auto"/>
        </w:rPr>
      </w:lvl>
    </w:lvlOverride>
    <w:lvlOverride w:ilvl="3">
      <w:lvl w:ilvl="3">
        <w:start w:val="1"/>
        <w:numFmt w:val="bullet"/>
        <w:pStyle w:val="ListBullet4"/>
        <w:lvlText w:val="o"/>
        <w:lvlJc w:val="left"/>
        <w:pPr>
          <w:ind w:left="1531" w:hanging="39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bullet"/>
        <w:pStyle w:val="ListBullet5"/>
        <w:lvlText w:val="o"/>
        <w:lvlJc w:val="left"/>
        <w:pPr>
          <w:ind w:left="324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8" w16cid:durableId="276717288">
    <w:abstractNumId w:val="6"/>
  </w:num>
  <w:num w:numId="9" w16cid:durableId="2037078132">
    <w:abstractNumId w:val="24"/>
  </w:num>
  <w:num w:numId="10" w16cid:durableId="1298755752">
    <w:abstractNumId w:val="17"/>
  </w:num>
  <w:num w:numId="11" w16cid:durableId="600643387">
    <w:abstractNumId w:val="24"/>
  </w:num>
  <w:num w:numId="12" w16cid:durableId="578096707">
    <w:abstractNumId w:val="24"/>
  </w:num>
  <w:num w:numId="13" w16cid:durableId="260260618">
    <w:abstractNumId w:val="27"/>
  </w:num>
  <w:num w:numId="14" w16cid:durableId="125200242">
    <w:abstractNumId w:val="7"/>
  </w:num>
  <w:num w:numId="15" w16cid:durableId="2011985986">
    <w:abstractNumId w:val="24"/>
  </w:num>
  <w:num w:numId="16" w16cid:durableId="467672941">
    <w:abstractNumId w:val="18"/>
  </w:num>
  <w:num w:numId="17" w16cid:durableId="20670031">
    <w:abstractNumId w:val="24"/>
  </w:num>
  <w:num w:numId="18" w16cid:durableId="1302535818">
    <w:abstractNumId w:val="24"/>
  </w:num>
  <w:num w:numId="19" w16cid:durableId="1125778412">
    <w:abstractNumId w:val="24"/>
  </w:num>
  <w:num w:numId="20" w16cid:durableId="1336305781">
    <w:abstractNumId w:val="2"/>
  </w:num>
  <w:num w:numId="21" w16cid:durableId="177240060">
    <w:abstractNumId w:val="28"/>
  </w:num>
  <w:num w:numId="22" w16cid:durableId="1173454617">
    <w:abstractNumId w:val="0"/>
  </w:num>
  <w:num w:numId="23" w16cid:durableId="102846136">
    <w:abstractNumId w:val="16"/>
  </w:num>
  <w:num w:numId="24" w16cid:durableId="13742333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22151387">
    <w:abstractNumId w:val="29"/>
  </w:num>
  <w:num w:numId="26" w16cid:durableId="11185218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64767430">
    <w:abstractNumId w:val="1"/>
  </w:num>
  <w:num w:numId="28" w16cid:durableId="1347058896">
    <w:abstractNumId w:val="8"/>
  </w:num>
  <w:num w:numId="29" w16cid:durableId="1118765808">
    <w:abstractNumId w:val="11"/>
  </w:num>
  <w:num w:numId="30" w16cid:durableId="1589920147">
    <w:abstractNumId w:val="15"/>
  </w:num>
  <w:num w:numId="31" w16cid:durableId="902065804">
    <w:abstractNumId w:val="5"/>
  </w:num>
  <w:num w:numId="32" w16cid:durableId="1162309988">
    <w:abstractNumId w:val="24"/>
  </w:num>
  <w:num w:numId="33" w16cid:durableId="1787432932">
    <w:abstractNumId w:val="24"/>
  </w:num>
  <w:num w:numId="34" w16cid:durableId="1412239951">
    <w:abstractNumId w:val="24"/>
  </w:num>
  <w:num w:numId="35" w16cid:durableId="2015375557">
    <w:abstractNumId w:val="24"/>
  </w:num>
  <w:num w:numId="36" w16cid:durableId="759907791">
    <w:abstractNumId w:val="24"/>
  </w:num>
  <w:num w:numId="37" w16cid:durableId="1861621050">
    <w:abstractNumId w:val="24"/>
  </w:num>
  <w:num w:numId="38" w16cid:durableId="1099251328">
    <w:abstractNumId w:val="24"/>
  </w:num>
  <w:num w:numId="39" w16cid:durableId="312951902">
    <w:abstractNumId w:val="25"/>
  </w:num>
  <w:num w:numId="40" w16cid:durableId="1289124207">
    <w:abstractNumId w:val="24"/>
  </w:num>
  <w:num w:numId="41" w16cid:durableId="336007771">
    <w:abstractNumId w:val="24"/>
  </w:num>
  <w:num w:numId="42" w16cid:durableId="660624301">
    <w:abstractNumId w:val="4"/>
  </w:num>
  <w:num w:numId="43" w16cid:durableId="1435049898">
    <w:abstractNumId w:val="19"/>
  </w:num>
  <w:num w:numId="44" w16cid:durableId="1326124443">
    <w:abstractNumId w:val="10"/>
  </w:num>
  <w:num w:numId="45" w16cid:durableId="654837915">
    <w:abstractNumId w:val="20"/>
  </w:num>
  <w:num w:numId="46" w16cid:durableId="1703240108">
    <w:abstractNumId w:val="12"/>
  </w:num>
  <w:num w:numId="47" w16cid:durableId="1975794160">
    <w:abstractNumId w:val="23"/>
  </w:num>
  <w:num w:numId="48" w16cid:durableId="17855350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10"/>
    <w:rsid w:val="000002D9"/>
    <w:rsid w:val="0000260F"/>
    <w:rsid w:val="0001242B"/>
    <w:rsid w:val="000132FF"/>
    <w:rsid w:val="00017EB3"/>
    <w:rsid w:val="00020409"/>
    <w:rsid w:val="000433E3"/>
    <w:rsid w:val="00046838"/>
    <w:rsid w:val="00047268"/>
    <w:rsid w:val="0005346E"/>
    <w:rsid w:val="00054523"/>
    <w:rsid w:val="0006240C"/>
    <w:rsid w:val="000947EF"/>
    <w:rsid w:val="000B00BE"/>
    <w:rsid w:val="000C7374"/>
    <w:rsid w:val="000D737E"/>
    <w:rsid w:val="000E521B"/>
    <w:rsid w:val="00120DF2"/>
    <w:rsid w:val="00140C23"/>
    <w:rsid w:val="0015294F"/>
    <w:rsid w:val="001548DE"/>
    <w:rsid w:val="00162AFA"/>
    <w:rsid w:val="001670E5"/>
    <w:rsid w:val="0017080A"/>
    <w:rsid w:val="00175452"/>
    <w:rsid w:val="00185952"/>
    <w:rsid w:val="001907B3"/>
    <w:rsid w:val="00193491"/>
    <w:rsid w:val="001A1304"/>
    <w:rsid w:val="001A28F5"/>
    <w:rsid w:val="001D15BE"/>
    <w:rsid w:val="002031D4"/>
    <w:rsid w:val="002273CB"/>
    <w:rsid w:val="002405D1"/>
    <w:rsid w:val="00243E03"/>
    <w:rsid w:val="0024416C"/>
    <w:rsid w:val="00262CA5"/>
    <w:rsid w:val="00282D66"/>
    <w:rsid w:val="00290E36"/>
    <w:rsid w:val="002A1074"/>
    <w:rsid w:val="002D7757"/>
    <w:rsid w:val="002E045F"/>
    <w:rsid w:val="00304F5B"/>
    <w:rsid w:val="00330F75"/>
    <w:rsid w:val="0033585A"/>
    <w:rsid w:val="00361CB5"/>
    <w:rsid w:val="00365347"/>
    <w:rsid w:val="00372C0B"/>
    <w:rsid w:val="0037677E"/>
    <w:rsid w:val="003809F3"/>
    <w:rsid w:val="00381CFA"/>
    <w:rsid w:val="00385010"/>
    <w:rsid w:val="00392B02"/>
    <w:rsid w:val="003E612E"/>
    <w:rsid w:val="003E65A1"/>
    <w:rsid w:val="003E6E05"/>
    <w:rsid w:val="003F1487"/>
    <w:rsid w:val="00410BF3"/>
    <w:rsid w:val="00413ABE"/>
    <w:rsid w:val="00414E8E"/>
    <w:rsid w:val="004152BF"/>
    <w:rsid w:val="004376BC"/>
    <w:rsid w:val="00437A72"/>
    <w:rsid w:val="00445099"/>
    <w:rsid w:val="0045406A"/>
    <w:rsid w:val="004812B9"/>
    <w:rsid w:val="004C14E3"/>
    <w:rsid w:val="004D2F89"/>
    <w:rsid w:val="004E41C1"/>
    <w:rsid w:val="004F078A"/>
    <w:rsid w:val="004F6B11"/>
    <w:rsid w:val="004F7003"/>
    <w:rsid w:val="005059B9"/>
    <w:rsid w:val="0051740E"/>
    <w:rsid w:val="005322A5"/>
    <w:rsid w:val="00542571"/>
    <w:rsid w:val="005460E4"/>
    <w:rsid w:val="00553320"/>
    <w:rsid w:val="0055606F"/>
    <w:rsid w:val="00557FC4"/>
    <w:rsid w:val="005615CD"/>
    <w:rsid w:val="00570092"/>
    <w:rsid w:val="005761C2"/>
    <w:rsid w:val="00584A1F"/>
    <w:rsid w:val="005970B7"/>
    <w:rsid w:val="005B0F31"/>
    <w:rsid w:val="005B1944"/>
    <w:rsid w:val="005B7D08"/>
    <w:rsid w:val="005C2230"/>
    <w:rsid w:val="005C26D5"/>
    <w:rsid w:val="005D1992"/>
    <w:rsid w:val="005E2F2B"/>
    <w:rsid w:val="005F7F0E"/>
    <w:rsid w:val="00621C9E"/>
    <w:rsid w:val="006268F4"/>
    <w:rsid w:val="00640B91"/>
    <w:rsid w:val="0065092C"/>
    <w:rsid w:val="00651D5D"/>
    <w:rsid w:val="006716C7"/>
    <w:rsid w:val="00675B67"/>
    <w:rsid w:val="0069369D"/>
    <w:rsid w:val="00693728"/>
    <w:rsid w:val="00695771"/>
    <w:rsid w:val="006C5975"/>
    <w:rsid w:val="006C6F84"/>
    <w:rsid w:val="006D18FD"/>
    <w:rsid w:val="006D606B"/>
    <w:rsid w:val="006E203A"/>
    <w:rsid w:val="006F672D"/>
    <w:rsid w:val="006F6A03"/>
    <w:rsid w:val="007042B0"/>
    <w:rsid w:val="007118DD"/>
    <w:rsid w:val="007157A2"/>
    <w:rsid w:val="00717D10"/>
    <w:rsid w:val="00721990"/>
    <w:rsid w:val="00734740"/>
    <w:rsid w:val="00742AC9"/>
    <w:rsid w:val="00745195"/>
    <w:rsid w:val="00751AB3"/>
    <w:rsid w:val="00757B36"/>
    <w:rsid w:val="00761D35"/>
    <w:rsid w:val="00785AB7"/>
    <w:rsid w:val="007C2896"/>
    <w:rsid w:val="007D0AC4"/>
    <w:rsid w:val="008009EB"/>
    <w:rsid w:val="008020E0"/>
    <w:rsid w:val="00803E57"/>
    <w:rsid w:val="00835275"/>
    <w:rsid w:val="0083572F"/>
    <w:rsid w:val="008501FB"/>
    <w:rsid w:val="0085217C"/>
    <w:rsid w:val="0088046D"/>
    <w:rsid w:val="0088518B"/>
    <w:rsid w:val="00890E34"/>
    <w:rsid w:val="008A3E49"/>
    <w:rsid w:val="008B09A1"/>
    <w:rsid w:val="008B49BB"/>
    <w:rsid w:val="008C517C"/>
    <w:rsid w:val="008C6EEF"/>
    <w:rsid w:val="008D7570"/>
    <w:rsid w:val="008E2742"/>
    <w:rsid w:val="008F2C78"/>
    <w:rsid w:val="00914337"/>
    <w:rsid w:val="00916D6B"/>
    <w:rsid w:val="00917B95"/>
    <w:rsid w:val="00947BB5"/>
    <w:rsid w:val="0095275B"/>
    <w:rsid w:val="009546E4"/>
    <w:rsid w:val="0096078A"/>
    <w:rsid w:val="009766AA"/>
    <w:rsid w:val="00995207"/>
    <w:rsid w:val="00995C84"/>
    <w:rsid w:val="009C2C1A"/>
    <w:rsid w:val="009C32E8"/>
    <w:rsid w:val="009D0FFE"/>
    <w:rsid w:val="009D1143"/>
    <w:rsid w:val="009D4CB6"/>
    <w:rsid w:val="009F3E49"/>
    <w:rsid w:val="00A121EE"/>
    <w:rsid w:val="00A34110"/>
    <w:rsid w:val="00A37577"/>
    <w:rsid w:val="00A66BF8"/>
    <w:rsid w:val="00A67229"/>
    <w:rsid w:val="00A8428A"/>
    <w:rsid w:val="00AE0E21"/>
    <w:rsid w:val="00AE4E35"/>
    <w:rsid w:val="00AE5016"/>
    <w:rsid w:val="00AF0E0D"/>
    <w:rsid w:val="00AF1FE9"/>
    <w:rsid w:val="00AF5F7D"/>
    <w:rsid w:val="00B041B4"/>
    <w:rsid w:val="00B13FD1"/>
    <w:rsid w:val="00B20069"/>
    <w:rsid w:val="00B37D7F"/>
    <w:rsid w:val="00B436C7"/>
    <w:rsid w:val="00B45AA4"/>
    <w:rsid w:val="00B54E34"/>
    <w:rsid w:val="00B60F84"/>
    <w:rsid w:val="00B6139E"/>
    <w:rsid w:val="00B61BE5"/>
    <w:rsid w:val="00B676BC"/>
    <w:rsid w:val="00B8463C"/>
    <w:rsid w:val="00B927FA"/>
    <w:rsid w:val="00B96BDE"/>
    <w:rsid w:val="00BA5E54"/>
    <w:rsid w:val="00BB65F8"/>
    <w:rsid w:val="00BC1E8B"/>
    <w:rsid w:val="00BD0B3A"/>
    <w:rsid w:val="00BD156E"/>
    <w:rsid w:val="00BD7BBF"/>
    <w:rsid w:val="00C13816"/>
    <w:rsid w:val="00C1418C"/>
    <w:rsid w:val="00C14DFC"/>
    <w:rsid w:val="00C201BC"/>
    <w:rsid w:val="00C23C0C"/>
    <w:rsid w:val="00C2679F"/>
    <w:rsid w:val="00C276AA"/>
    <w:rsid w:val="00C47FCC"/>
    <w:rsid w:val="00C61BD2"/>
    <w:rsid w:val="00C76EAA"/>
    <w:rsid w:val="00C82ECF"/>
    <w:rsid w:val="00C90F7B"/>
    <w:rsid w:val="00CA18E6"/>
    <w:rsid w:val="00CA50A9"/>
    <w:rsid w:val="00CA5802"/>
    <w:rsid w:val="00CA5EAE"/>
    <w:rsid w:val="00CB1811"/>
    <w:rsid w:val="00CB7180"/>
    <w:rsid w:val="00CD7D54"/>
    <w:rsid w:val="00D10F2D"/>
    <w:rsid w:val="00D30AE5"/>
    <w:rsid w:val="00D35E56"/>
    <w:rsid w:val="00D47176"/>
    <w:rsid w:val="00D5005E"/>
    <w:rsid w:val="00D56AB9"/>
    <w:rsid w:val="00D60CDA"/>
    <w:rsid w:val="00D65E68"/>
    <w:rsid w:val="00D71889"/>
    <w:rsid w:val="00D74B04"/>
    <w:rsid w:val="00D76F31"/>
    <w:rsid w:val="00D82EEB"/>
    <w:rsid w:val="00D84357"/>
    <w:rsid w:val="00D84540"/>
    <w:rsid w:val="00D90E35"/>
    <w:rsid w:val="00DA07EE"/>
    <w:rsid w:val="00DA0C29"/>
    <w:rsid w:val="00DA5547"/>
    <w:rsid w:val="00DA5BBB"/>
    <w:rsid w:val="00DA76B2"/>
    <w:rsid w:val="00DC72C8"/>
    <w:rsid w:val="00DD40C8"/>
    <w:rsid w:val="00DF254A"/>
    <w:rsid w:val="00DF2CC9"/>
    <w:rsid w:val="00DF3A3C"/>
    <w:rsid w:val="00E03469"/>
    <w:rsid w:val="00E06497"/>
    <w:rsid w:val="00E15F15"/>
    <w:rsid w:val="00E2221D"/>
    <w:rsid w:val="00E31F02"/>
    <w:rsid w:val="00E55A89"/>
    <w:rsid w:val="00E85672"/>
    <w:rsid w:val="00E86FFA"/>
    <w:rsid w:val="00E924D9"/>
    <w:rsid w:val="00EA4F9D"/>
    <w:rsid w:val="00EB7582"/>
    <w:rsid w:val="00ED1175"/>
    <w:rsid w:val="00F06CDB"/>
    <w:rsid w:val="00F078BC"/>
    <w:rsid w:val="00F129A0"/>
    <w:rsid w:val="00F20EA5"/>
    <w:rsid w:val="00F23E2C"/>
    <w:rsid w:val="00F44260"/>
    <w:rsid w:val="00F7456A"/>
    <w:rsid w:val="00F80AE2"/>
    <w:rsid w:val="00F948F8"/>
    <w:rsid w:val="00F94EF0"/>
    <w:rsid w:val="00F97231"/>
    <w:rsid w:val="00FA3427"/>
    <w:rsid w:val="00FB619D"/>
    <w:rsid w:val="00FD236D"/>
    <w:rsid w:val="00FD565E"/>
    <w:rsid w:val="00FF031B"/>
    <w:rsid w:val="00FF18FD"/>
    <w:rsid w:val="00FF1DBC"/>
    <w:rsid w:val="00FF4353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E2C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A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2"/>
    <w:qFormat/>
    <w:rsid w:val="008E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761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C13816"/>
    <w:pPr>
      <w:spacing w:before="240" w:after="0"/>
      <w:outlineLvl w:val="3"/>
    </w:pPr>
    <w:rPr>
      <w:rFonts w:ascii="Calibri" w:eastAsiaTheme="majorEastAsia" w:hAnsi="Calibri" w:cstheme="majorBidi"/>
      <w:bCs/>
      <w:iCs/>
      <w:sz w:val="28"/>
      <w:szCs w:val="28"/>
      <w14:ligatures w14:val="standard"/>
    </w:rPr>
  </w:style>
  <w:style w:type="paragraph" w:styleId="Heading5">
    <w:name w:val="heading 5"/>
    <w:basedOn w:val="Normal"/>
    <w:next w:val="Normal"/>
    <w:link w:val="Heading5Char"/>
    <w:uiPriority w:val="2"/>
    <w:qFormat/>
    <w:rsid w:val="00C13816"/>
    <w:pPr>
      <w:spacing w:before="200" w:after="0"/>
      <w:outlineLvl w:val="4"/>
    </w:pPr>
    <w:rPr>
      <w:rFonts w:ascii="Calibri" w:eastAsiaTheme="majorEastAsia" w:hAnsi="Calibri" w:cstheme="majorBidi"/>
      <w:b/>
      <w:bCs/>
      <w:color w:val="565656"/>
      <w:sz w:val="28"/>
      <w:szCs w:val="28"/>
      <w14:ligatures w14:val="standard"/>
    </w:rPr>
  </w:style>
  <w:style w:type="paragraph" w:styleId="Heading6">
    <w:name w:val="heading 6"/>
    <w:basedOn w:val="Normal"/>
    <w:next w:val="Normal"/>
    <w:link w:val="Heading6Char"/>
    <w:uiPriority w:val="2"/>
    <w:qFormat/>
    <w:rsid w:val="00C13816"/>
    <w:pPr>
      <w:spacing w:before="200" w:after="0"/>
      <w:outlineLvl w:val="5"/>
    </w:pPr>
    <w:rPr>
      <w:rFonts w:ascii="Calibri" w:eastAsiaTheme="majorEastAsia" w:hAnsi="Calibri" w:cstheme="majorBidi"/>
      <w:bCs/>
      <w:iCs/>
      <w:color w:val="565656"/>
      <w:sz w:val="24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D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7D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7D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7D10"/>
    <w:rPr>
      <w:vertAlign w:val="superscript"/>
    </w:rPr>
  </w:style>
  <w:style w:type="paragraph" w:styleId="ListParagraph">
    <w:name w:val="List Paragraph"/>
    <w:aliases w:val="0Bullet,Bullet Point,Bullet point,Bullet points,Content descriptions,DDM Gen Text,Dot point 1.5 line spacing,Indented bullet,L,List Paragraph - bullets,List Paragraph1,List Paragraph11,List Paragraph2,Recommendation,bullet point list"/>
    <w:basedOn w:val="Normal"/>
    <w:link w:val="ListParagraphChar"/>
    <w:uiPriority w:val="34"/>
    <w:qFormat/>
    <w:rsid w:val="00F23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D5005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6D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6D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6D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D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6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7"/>
    <w:qFormat/>
    <w:rsid w:val="00054523"/>
    <w:pPr>
      <w:spacing w:before="720" w:after="180" w:line="240" w:lineRule="auto"/>
      <w:contextualSpacing/>
    </w:pPr>
    <w:rPr>
      <w:rFonts w:ascii="Calibri" w:eastAsiaTheme="majorEastAsia" w:hAnsi="Calibri" w:cstheme="majorBidi"/>
      <w:noProof/>
      <w:color w:val="24206C"/>
      <w:spacing w:val="5"/>
      <w:kern w:val="28"/>
      <w:sz w:val="58"/>
      <w:szCs w:val="52"/>
    </w:rPr>
  </w:style>
  <w:style w:type="character" w:customStyle="1" w:styleId="TitleChar">
    <w:name w:val="Title Char"/>
    <w:basedOn w:val="DefaultParagraphFont"/>
    <w:link w:val="Title"/>
    <w:uiPriority w:val="7"/>
    <w:rsid w:val="00054523"/>
    <w:rPr>
      <w:rFonts w:ascii="Calibri" w:eastAsiaTheme="majorEastAsia" w:hAnsi="Calibri" w:cstheme="majorBidi"/>
      <w:noProof/>
      <w:color w:val="24206C"/>
      <w:spacing w:val="5"/>
      <w:kern w:val="28"/>
      <w:sz w:val="58"/>
      <w:szCs w:val="52"/>
    </w:rPr>
  </w:style>
  <w:style w:type="paragraph" w:styleId="Header">
    <w:name w:val="header"/>
    <w:basedOn w:val="Normal"/>
    <w:link w:val="Head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23"/>
  </w:style>
  <w:style w:type="paragraph" w:styleId="Footer">
    <w:name w:val="footer"/>
    <w:basedOn w:val="Normal"/>
    <w:link w:val="Foot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23"/>
  </w:style>
  <w:style w:type="character" w:styleId="Strong">
    <w:name w:val="Strong"/>
    <w:uiPriority w:val="11"/>
    <w:qFormat/>
    <w:rsid w:val="00C76EAA"/>
    <w:rPr>
      <w:b/>
      <w:bCs/>
    </w:rPr>
  </w:style>
  <w:style w:type="paragraph" w:styleId="ListNumber">
    <w:name w:val="List Number"/>
    <w:basedOn w:val="Normal"/>
    <w:uiPriority w:val="99"/>
    <w:unhideWhenUsed/>
    <w:qFormat/>
    <w:rsid w:val="00640B91"/>
    <w:pPr>
      <w:numPr>
        <w:numId w:val="6"/>
      </w:numPr>
      <w:spacing w:after="120"/>
      <w:contextualSpacing/>
    </w:pPr>
    <w:rPr>
      <w:rFonts w:ascii="Calibri" w:eastAsiaTheme="minorEastAsia" w:hAnsi="Calibri"/>
    </w:rPr>
  </w:style>
  <w:style w:type="paragraph" w:styleId="ListNumber2">
    <w:name w:val="List Number 2"/>
    <w:basedOn w:val="Normal"/>
    <w:uiPriority w:val="99"/>
    <w:unhideWhenUsed/>
    <w:qFormat/>
    <w:rsid w:val="00C76EAA"/>
    <w:pPr>
      <w:tabs>
        <w:tab w:val="left" w:pos="1134"/>
      </w:tabs>
      <w:spacing w:after="120"/>
      <w:contextualSpacing/>
    </w:pPr>
    <w:rPr>
      <w:rFonts w:eastAsiaTheme="minorEastAsia"/>
    </w:rPr>
  </w:style>
  <w:style w:type="paragraph" w:styleId="ListNumber3">
    <w:name w:val="List Number 3"/>
    <w:basedOn w:val="Normal"/>
    <w:uiPriority w:val="99"/>
    <w:qFormat/>
    <w:rsid w:val="00C76EAA"/>
    <w:pPr>
      <w:numPr>
        <w:ilvl w:val="2"/>
        <w:numId w:val="6"/>
      </w:numPr>
      <w:spacing w:after="120"/>
      <w:contextualSpacing/>
    </w:pPr>
    <w:rPr>
      <w:rFonts w:eastAsiaTheme="minorEastAsia"/>
    </w:rPr>
  </w:style>
  <w:style w:type="paragraph" w:styleId="ListNumber4">
    <w:name w:val="List Number 4"/>
    <w:basedOn w:val="Normal"/>
    <w:uiPriority w:val="99"/>
    <w:qFormat/>
    <w:rsid w:val="00C76EAA"/>
    <w:pPr>
      <w:numPr>
        <w:ilvl w:val="3"/>
        <w:numId w:val="6"/>
      </w:numPr>
      <w:spacing w:after="120"/>
      <w:contextualSpacing/>
    </w:pPr>
    <w:rPr>
      <w:rFonts w:eastAsiaTheme="minorEastAsia"/>
    </w:rPr>
  </w:style>
  <w:style w:type="numbering" w:customStyle="1" w:styleId="NumberedList">
    <w:name w:val="Numbered List"/>
    <w:uiPriority w:val="99"/>
    <w:rsid w:val="00C76EAA"/>
    <w:pPr>
      <w:numPr>
        <w:numId w:val="6"/>
      </w:numPr>
    </w:pPr>
  </w:style>
  <w:style w:type="paragraph" w:styleId="ListNumber5">
    <w:name w:val="List Number 5"/>
    <w:basedOn w:val="Normal"/>
    <w:uiPriority w:val="99"/>
    <w:semiHidden/>
    <w:rsid w:val="00C76EAA"/>
    <w:pPr>
      <w:numPr>
        <w:ilvl w:val="4"/>
        <w:numId w:val="6"/>
      </w:numPr>
      <w:contextualSpacing/>
    </w:pPr>
    <w:rPr>
      <w:rFonts w:eastAsiaTheme="minorEastAsia"/>
    </w:rPr>
  </w:style>
  <w:style w:type="paragraph" w:customStyle="1" w:styleId="Strongcolor">
    <w:name w:val="Strong color"/>
    <w:basedOn w:val="Normal"/>
    <w:link w:val="StrongcolorChar"/>
    <w:qFormat/>
    <w:rsid w:val="00C76EAA"/>
    <w:rPr>
      <w:b/>
      <w:color w:val="24206B"/>
      <w:spacing w:val="1"/>
    </w:rPr>
  </w:style>
  <w:style w:type="character" w:customStyle="1" w:styleId="StrongcolorChar">
    <w:name w:val="Strong color Char"/>
    <w:basedOn w:val="DefaultParagraphFont"/>
    <w:link w:val="Strongcolor"/>
    <w:rsid w:val="00C76EAA"/>
    <w:rPr>
      <w:b/>
      <w:color w:val="24206B"/>
      <w:spacing w:val="1"/>
    </w:rPr>
  </w:style>
  <w:style w:type="character" w:customStyle="1" w:styleId="Heading1Char">
    <w:name w:val="Heading 1 Char"/>
    <w:basedOn w:val="DefaultParagraphFont"/>
    <w:link w:val="Heading1"/>
    <w:uiPriority w:val="2"/>
    <w:rsid w:val="008E2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7003"/>
    <w:rPr>
      <w:color w:val="954F72" w:themeColor="followedHyperlink"/>
      <w:u w:val="single"/>
    </w:rPr>
  </w:style>
  <w:style w:type="paragraph" w:styleId="ListBullet">
    <w:name w:val="List Bullet"/>
    <w:basedOn w:val="Normal"/>
    <w:link w:val="ListBulletChar"/>
    <w:uiPriority w:val="99"/>
    <w:unhideWhenUsed/>
    <w:qFormat/>
    <w:rsid w:val="00A66BF8"/>
    <w:pPr>
      <w:spacing w:after="120"/>
      <w:contextualSpacing/>
    </w:pPr>
    <w:rPr>
      <w:rFonts w:ascii="Calibri" w:eastAsiaTheme="minorEastAsia" w:hAnsi="Calibri"/>
    </w:rPr>
  </w:style>
  <w:style w:type="paragraph" w:styleId="ListBullet2">
    <w:name w:val="List Bullet 2"/>
    <w:basedOn w:val="Normal"/>
    <w:link w:val="ListBullet2Char"/>
    <w:uiPriority w:val="99"/>
    <w:unhideWhenUsed/>
    <w:qFormat/>
    <w:rsid w:val="004F7003"/>
    <w:pPr>
      <w:numPr>
        <w:ilvl w:val="1"/>
        <w:numId w:val="7"/>
      </w:numPr>
      <w:spacing w:after="120"/>
      <w:contextualSpacing/>
    </w:pPr>
    <w:rPr>
      <w:rFonts w:eastAsiaTheme="minorEastAsia"/>
    </w:rPr>
  </w:style>
  <w:style w:type="paragraph" w:styleId="ListBullet3">
    <w:name w:val="List Bullet 3"/>
    <w:basedOn w:val="Normal"/>
    <w:link w:val="ListBullet3Char"/>
    <w:uiPriority w:val="99"/>
    <w:qFormat/>
    <w:rsid w:val="007D0AC4"/>
    <w:pPr>
      <w:numPr>
        <w:ilvl w:val="2"/>
        <w:numId w:val="7"/>
      </w:numPr>
      <w:spacing w:after="120"/>
      <w:ind w:left="1077"/>
      <w:contextualSpacing/>
    </w:pPr>
    <w:rPr>
      <w:rFonts w:eastAsiaTheme="minorEastAsia"/>
    </w:rPr>
  </w:style>
  <w:style w:type="paragraph" w:styleId="ListBullet4">
    <w:name w:val="List Bullet 4"/>
    <w:basedOn w:val="Normal"/>
    <w:link w:val="ListBullet4Char"/>
    <w:uiPriority w:val="99"/>
    <w:qFormat/>
    <w:rsid w:val="00F94EF0"/>
    <w:pPr>
      <w:numPr>
        <w:ilvl w:val="3"/>
        <w:numId w:val="7"/>
      </w:numPr>
      <w:spacing w:after="120"/>
      <w:ind w:left="1117"/>
      <w:contextualSpacing/>
    </w:pPr>
    <w:rPr>
      <w:rFonts w:eastAsiaTheme="minorEastAsia"/>
    </w:rPr>
  </w:style>
  <w:style w:type="numbering" w:customStyle="1" w:styleId="BulletList">
    <w:name w:val="Bullet List"/>
    <w:uiPriority w:val="99"/>
    <w:rsid w:val="004F7003"/>
    <w:pPr>
      <w:numPr>
        <w:numId w:val="9"/>
      </w:numPr>
    </w:pPr>
  </w:style>
  <w:style w:type="paragraph" w:styleId="ListBullet5">
    <w:name w:val="List Bullet 5"/>
    <w:basedOn w:val="Normal"/>
    <w:uiPriority w:val="99"/>
    <w:rsid w:val="004F7003"/>
    <w:pPr>
      <w:numPr>
        <w:ilvl w:val="4"/>
        <w:numId w:val="7"/>
      </w:numPr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2"/>
    <w:rsid w:val="00761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uiPriority w:val="20"/>
    <w:qFormat/>
    <w:rsid w:val="00761D35"/>
    <w:rPr>
      <w:b w:val="0"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761D35"/>
  </w:style>
  <w:style w:type="paragraph" w:styleId="NormalWeb">
    <w:name w:val="Normal (Web)"/>
    <w:basedOn w:val="Normal"/>
    <w:uiPriority w:val="99"/>
    <w:semiHidden/>
    <w:unhideWhenUsed/>
    <w:rsid w:val="006E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5460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59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NumberedList1">
    <w:name w:val="Numbered List1"/>
    <w:uiPriority w:val="99"/>
    <w:rsid w:val="00C13816"/>
    <w:pPr>
      <w:numPr>
        <w:numId w:val="23"/>
      </w:numPr>
    </w:pPr>
  </w:style>
  <w:style w:type="numbering" w:customStyle="1" w:styleId="BulletList1">
    <w:name w:val="Bullet List1"/>
    <w:uiPriority w:val="99"/>
    <w:rsid w:val="00C13816"/>
    <w:pPr>
      <w:numPr>
        <w:numId w:val="25"/>
      </w:numPr>
    </w:pPr>
  </w:style>
  <w:style w:type="table" w:customStyle="1" w:styleId="JobsTable">
    <w:name w:val="Jobs Table"/>
    <w:basedOn w:val="TableNormal"/>
    <w:uiPriority w:val="99"/>
    <w:rsid w:val="00C13816"/>
    <w:pPr>
      <w:spacing w:after="0" w:line="240" w:lineRule="auto"/>
    </w:pPr>
    <w:rPr>
      <w:rFonts w:eastAsia="Times New Roman"/>
    </w:rPr>
    <w:tblPr>
      <w:tblBorders>
        <w:bottom w:val="single" w:sz="4" w:space="0" w:color="1E3D6B"/>
      </w:tblBorders>
    </w:tblPr>
    <w:tblStylePr w:type="firstRow">
      <w:pPr>
        <w:jc w:val="left"/>
      </w:pPr>
      <w:rPr>
        <w:rFonts w:ascii="Calibri" w:hAnsi="Calibri"/>
        <w:b w:val="0"/>
        <w:color w:val="F2F2F2"/>
        <w:sz w:val="22"/>
      </w:rPr>
      <w:tblPr/>
      <w:tcPr>
        <w:shd w:val="clear" w:color="auto" w:fill="287BB3"/>
      </w:tcPr>
    </w:tblStylePr>
    <w:tblStylePr w:type="firstCol">
      <w:rPr>
        <w:b/>
      </w:rPr>
    </w:tblStylePr>
  </w:style>
  <w:style w:type="paragraph" w:styleId="Subtitle">
    <w:name w:val="Subtitle"/>
    <w:basedOn w:val="Normal"/>
    <w:next w:val="Normal"/>
    <w:link w:val="SubtitleChar"/>
    <w:uiPriority w:val="8"/>
    <w:qFormat/>
    <w:rsid w:val="00C13816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8"/>
    <w:rsid w:val="00C13816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2"/>
    <w:rsid w:val="00C13816"/>
    <w:rPr>
      <w:rFonts w:ascii="Calibri" w:eastAsiaTheme="majorEastAsia" w:hAnsi="Calibri" w:cstheme="majorBidi"/>
      <w:bCs/>
      <w:iCs/>
      <w:sz w:val="28"/>
      <w:szCs w:val="2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2"/>
    <w:rsid w:val="00C13816"/>
    <w:rPr>
      <w:rFonts w:ascii="Calibri" w:eastAsiaTheme="majorEastAsia" w:hAnsi="Calibri" w:cstheme="majorBidi"/>
      <w:b/>
      <w:bCs/>
      <w:color w:val="565656"/>
      <w:sz w:val="28"/>
      <w:szCs w:val="28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2"/>
    <w:rsid w:val="00C13816"/>
    <w:rPr>
      <w:rFonts w:ascii="Calibri" w:eastAsiaTheme="majorEastAsia" w:hAnsi="Calibri" w:cstheme="majorBidi"/>
      <w:bCs/>
      <w:iCs/>
      <w:color w:val="565656"/>
      <w:sz w:val="24"/>
      <w14:ligatures w14:val="standard"/>
    </w:rPr>
  </w:style>
  <w:style w:type="paragraph" w:styleId="Caption">
    <w:name w:val="caption"/>
    <w:basedOn w:val="Heading4"/>
    <w:next w:val="Normal"/>
    <w:uiPriority w:val="16"/>
    <w:qFormat/>
    <w:rsid w:val="00C13816"/>
    <w:rPr>
      <w:b/>
      <w:sz w:val="22"/>
    </w:rPr>
  </w:style>
  <w:style w:type="paragraph" w:styleId="List">
    <w:name w:val="List"/>
    <w:basedOn w:val="Normal"/>
    <w:uiPriority w:val="99"/>
    <w:unhideWhenUsed/>
    <w:qFormat/>
    <w:rsid w:val="003E65A1"/>
    <w:pPr>
      <w:ind w:left="283" w:hanging="283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65A1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3E65A1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3E65A1"/>
    <w:rPr>
      <w:sz w:val="18"/>
    </w:rPr>
  </w:style>
  <w:style w:type="table" w:customStyle="1" w:styleId="DESE">
    <w:name w:val="DESE"/>
    <w:basedOn w:val="TableNormal"/>
    <w:uiPriority w:val="99"/>
    <w:rsid w:val="003E65A1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Calibri" w:hAnsi="Calibri"/>
        <w:color w:val="FFFFFF" w:themeColor="background1"/>
      </w:rPr>
      <w:tblPr/>
      <w:tcPr>
        <w:shd w:val="clear" w:color="auto" w:fill="31343D"/>
      </w:tc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customStyle="1" w:styleId="DESEnormal">
    <w:name w:val="DESE normal"/>
    <w:basedOn w:val="Normal"/>
    <w:link w:val="DESEnormalChar"/>
    <w:qFormat/>
    <w:rsid w:val="00FF18FD"/>
    <w:pPr>
      <w:spacing w:after="160" w:line="259" w:lineRule="auto"/>
    </w:pPr>
    <w:rPr>
      <w:rFonts w:ascii="Calibri" w:eastAsia="Calibri" w:hAnsi="Calibri" w:cs="Times New Roman"/>
    </w:rPr>
  </w:style>
  <w:style w:type="character" w:customStyle="1" w:styleId="DESEnormalChar">
    <w:name w:val="DESE normal Char"/>
    <w:basedOn w:val="DefaultParagraphFont"/>
    <w:link w:val="DESEnormal"/>
    <w:rsid w:val="00FF18FD"/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0Bullet Char,Bullet Point Char,Bullet point Char,Bullet points Char,Content descriptions Char,DDM Gen Text Char,Dot point 1.5 line spacing Char,Indented bullet Char,L Char,List Paragraph - bullets Char,List Paragraph1 Char"/>
    <w:link w:val="ListParagraph"/>
    <w:uiPriority w:val="34"/>
    <w:rsid w:val="00EB7582"/>
  </w:style>
  <w:style w:type="character" w:styleId="BookTitle">
    <w:name w:val="Book Title"/>
    <w:basedOn w:val="DefaultParagraphFont"/>
    <w:uiPriority w:val="33"/>
    <w:qFormat/>
    <w:rsid w:val="00640B91"/>
    <w:rPr>
      <w:rFonts w:ascii="Calibri" w:hAnsi="Calibri"/>
      <w:bCs/>
      <w:i/>
      <w:iCs/>
      <w:spacing w:val="5"/>
      <w:sz w:val="22"/>
    </w:rPr>
  </w:style>
  <w:style w:type="paragraph" w:customStyle="1" w:styleId="Style1">
    <w:name w:val="Style1"/>
    <w:basedOn w:val="ListBullet"/>
    <w:link w:val="Style1Char"/>
    <w:qFormat/>
    <w:rsid w:val="00A66BF8"/>
    <w:pPr>
      <w:numPr>
        <w:numId w:val="7"/>
      </w:numPr>
    </w:pPr>
    <w:rPr>
      <w:rFonts w:eastAsia="Calibri"/>
    </w:rPr>
  </w:style>
  <w:style w:type="paragraph" w:customStyle="1" w:styleId="Style2">
    <w:name w:val="Style2"/>
    <w:basedOn w:val="ListBullet4"/>
    <w:link w:val="Style2Char"/>
    <w:qFormat/>
    <w:rsid w:val="007D0AC4"/>
    <w:pPr>
      <w:ind w:left="714" w:hanging="357"/>
    </w:pPr>
    <w:rPr>
      <w:rFonts w:eastAsia="Calibri"/>
    </w:rPr>
  </w:style>
  <w:style w:type="character" w:customStyle="1" w:styleId="ListBulletChar">
    <w:name w:val="List Bullet Char"/>
    <w:basedOn w:val="DefaultParagraphFont"/>
    <w:link w:val="ListBullet"/>
    <w:uiPriority w:val="99"/>
    <w:rsid w:val="00A66BF8"/>
    <w:rPr>
      <w:rFonts w:ascii="Calibri" w:eastAsiaTheme="minorEastAsia" w:hAnsi="Calibri"/>
    </w:rPr>
  </w:style>
  <w:style w:type="character" w:customStyle="1" w:styleId="Style1Char">
    <w:name w:val="Style1 Char"/>
    <w:basedOn w:val="ListBulletChar"/>
    <w:link w:val="Style1"/>
    <w:rsid w:val="00A66BF8"/>
    <w:rPr>
      <w:rFonts w:ascii="Calibri" w:eastAsia="Calibri" w:hAnsi="Calibri"/>
    </w:rPr>
  </w:style>
  <w:style w:type="paragraph" w:customStyle="1" w:styleId="Style3">
    <w:name w:val="Style3"/>
    <w:basedOn w:val="Bullet4"/>
    <w:link w:val="Style3Char"/>
    <w:qFormat/>
    <w:rsid w:val="007D0AC4"/>
    <w:pPr>
      <w:ind w:left="1434" w:hanging="357"/>
    </w:pPr>
  </w:style>
  <w:style w:type="character" w:customStyle="1" w:styleId="ListBullet4Char">
    <w:name w:val="List Bullet 4 Char"/>
    <w:basedOn w:val="DefaultParagraphFont"/>
    <w:link w:val="ListBullet4"/>
    <w:uiPriority w:val="99"/>
    <w:rsid w:val="00A66BF8"/>
    <w:rPr>
      <w:rFonts w:eastAsiaTheme="minorEastAsia"/>
    </w:rPr>
  </w:style>
  <w:style w:type="character" w:customStyle="1" w:styleId="Style2Char">
    <w:name w:val="Style2 Char"/>
    <w:basedOn w:val="ListBullet4Char"/>
    <w:link w:val="Style2"/>
    <w:rsid w:val="007D0AC4"/>
    <w:rPr>
      <w:rFonts w:eastAsia="Calibri"/>
    </w:rPr>
  </w:style>
  <w:style w:type="paragraph" w:customStyle="1" w:styleId="Bullet3">
    <w:name w:val="Bullet 3"/>
    <w:basedOn w:val="ListBullet3"/>
    <w:link w:val="Bullet3Char"/>
    <w:qFormat/>
    <w:rsid w:val="00A66BF8"/>
  </w:style>
  <w:style w:type="character" w:customStyle="1" w:styleId="ListBullet2Char">
    <w:name w:val="List Bullet 2 Char"/>
    <w:basedOn w:val="DefaultParagraphFont"/>
    <w:link w:val="ListBullet2"/>
    <w:uiPriority w:val="99"/>
    <w:rsid w:val="00A66BF8"/>
    <w:rPr>
      <w:rFonts w:eastAsiaTheme="minorEastAsia"/>
    </w:rPr>
  </w:style>
  <w:style w:type="character" w:customStyle="1" w:styleId="Style3Char">
    <w:name w:val="Style3 Char"/>
    <w:basedOn w:val="ListBullet2Char"/>
    <w:link w:val="Style3"/>
    <w:rsid w:val="007D0AC4"/>
    <w:rPr>
      <w:rFonts w:eastAsiaTheme="minorEastAsia"/>
    </w:rPr>
  </w:style>
  <w:style w:type="paragraph" w:customStyle="1" w:styleId="Bullet4">
    <w:name w:val="Bullet 4"/>
    <w:basedOn w:val="ListBullet2"/>
    <w:link w:val="Bullet4Char"/>
    <w:qFormat/>
    <w:rsid w:val="00A66BF8"/>
    <w:pPr>
      <w:ind w:left="1474"/>
    </w:pPr>
  </w:style>
  <w:style w:type="character" w:customStyle="1" w:styleId="ListBullet3Char">
    <w:name w:val="List Bullet 3 Char"/>
    <w:basedOn w:val="DefaultParagraphFont"/>
    <w:link w:val="ListBullet3"/>
    <w:uiPriority w:val="99"/>
    <w:rsid w:val="007D0AC4"/>
    <w:rPr>
      <w:rFonts w:eastAsiaTheme="minorEastAsia"/>
    </w:rPr>
  </w:style>
  <w:style w:type="character" w:customStyle="1" w:styleId="Bullet3Char">
    <w:name w:val="Bullet 3 Char"/>
    <w:basedOn w:val="ListBullet3Char"/>
    <w:link w:val="Bullet3"/>
    <w:rsid w:val="00A66BF8"/>
    <w:rPr>
      <w:rFonts w:eastAsiaTheme="minorEastAsia"/>
    </w:rPr>
  </w:style>
  <w:style w:type="paragraph" w:customStyle="1" w:styleId="Bullet1">
    <w:name w:val="Bullet 1"/>
    <w:basedOn w:val="Style1"/>
    <w:link w:val="Bullet1Char"/>
    <w:qFormat/>
    <w:rsid w:val="00A66BF8"/>
  </w:style>
  <w:style w:type="character" w:customStyle="1" w:styleId="Bullet4Char">
    <w:name w:val="Bullet 4 Char"/>
    <w:basedOn w:val="ListBullet2Char"/>
    <w:link w:val="Bullet4"/>
    <w:rsid w:val="00A66BF8"/>
    <w:rPr>
      <w:rFonts w:eastAsiaTheme="minorEastAsia"/>
    </w:rPr>
  </w:style>
  <w:style w:type="character" w:customStyle="1" w:styleId="Bullet1Char">
    <w:name w:val="Bullet 1 Char"/>
    <w:basedOn w:val="Style1Char"/>
    <w:link w:val="Bullet1"/>
    <w:rsid w:val="00A66BF8"/>
    <w:rPr>
      <w:rFonts w:ascii="Calibri" w:eastAsia="Calibri" w:hAnsi="Calibri"/>
    </w:rPr>
  </w:style>
  <w:style w:type="table" w:styleId="TableGrid">
    <w:name w:val="Table Grid"/>
    <w:basedOn w:val="TableNormal"/>
    <w:uiPriority w:val="39"/>
    <w:rsid w:val="00CD7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Normal"/>
    <w:link w:val="Style4Char"/>
    <w:qFormat/>
    <w:rsid w:val="00D65E68"/>
    <w:pPr>
      <w:numPr>
        <w:numId w:val="47"/>
      </w:numPr>
      <w:spacing w:after="0" w:line="240" w:lineRule="auto"/>
      <w:contextualSpacing/>
    </w:pPr>
    <w:rPr>
      <w:rFonts w:cstheme="minorHAnsi"/>
    </w:rPr>
  </w:style>
  <w:style w:type="character" w:customStyle="1" w:styleId="Style4Char">
    <w:name w:val="Style4 Char"/>
    <w:basedOn w:val="DefaultParagraphFont"/>
    <w:link w:val="Style4"/>
    <w:rsid w:val="00D65E68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8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3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5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9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0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8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slation.gov.au/Series/F2016L02030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ewr.gov.au/vet-student-loans/resources/hits-user-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dewr.gov.au/vet-student-loans/resources/hits-user-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wr.gov.au/vet-student-loans/resources/vet-student-loans-manual-providers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6FD00-8771-43B6-9F9D-AA469BCD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2023-11-30T06:17:00Z</dcterms:created>
  <dcterms:modified xsi:type="dcterms:W3CDTF">2023-11-30T06:17:00Z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2023-11-30T06:18:01Z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36ef01d5-67e1-4ff6-9e16-b4062a213e07</vt:lpwstr>
  </property>
  <property fmtid="{D5CDD505-2E9C-101B-9397-08002B2CF9AE}" pid="8" name="MSIP_Label_79d889eb-932f-4752-8739-64d25806ef64_ContentBits">
    <vt:lpwstr>0</vt:lpwstr>
  </property>
</Properties>
</file>