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4661" w14:textId="74DAB2AD" w:rsidR="00E6532F" w:rsidRPr="00D625B6" w:rsidRDefault="00E6532F" w:rsidP="00D625B6">
      <w:pPr>
        <w:pStyle w:val="Title"/>
      </w:pPr>
      <w:bookmarkStart w:id="0" w:name="_Toc30065222"/>
      <w:r w:rsidRPr="00D625B6">
        <w:t xml:space="preserve">Application fee and annual charge </w:t>
      </w:r>
    </w:p>
    <w:p w14:paraId="7235793A" w14:textId="75540D6E" w:rsidR="00E6532F" w:rsidRPr="00E6532F" w:rsidRDefault="00E6532F" w:rsidP="00E6532F">
      <w:r w:rsidRPr="00E6532F">
        <w:t>Registered training organisations (</w:t>
      </w:r>
      <w:r w:rsidRPr="00E6532F">
        <w:rPr>
          <w:bCs/>
        </w:rPr>
        <w:t>RTOs</w:t>
      </w:r>
      <w:r w:rsidRPr="00E6532F">
        <w:t xml:space="preserve">) </w:t>
      </w:r>
      <w:r w:rsidR="006A600E">
        <w:t xml:space="preserve">applying </w:t>
      </w:r>
      <w:r w:rsidRPr="00E6532F">
        <w:t>to become approved course providers under the VET Student Loans (VSL) program must pay an application fee to the Department of Employment</w:t>
      </w:r>
      <w:r w:rsidR="00A478BA">
        <w:t xml:space="preserve"> and Workplace Relations (the department)</w:t>
      </w:r>
      <w:r w:rsidRPr="00E6532F">
        <w:t xml:space="preserve">. </w:t>
      </w:r>
      <w:r w:rsidR="006A600E">
        <w:t xml:space="preserve">Once </w:t>
      </w:r>
      <w:r w:rsidRPr="00E6532F">
        <w:t>approved</w:t>
      </w:r>
      <w:r w:rsidR="009068AB">
        <w:t xml:space="preserve"> </w:t>
      </w:r>
      <w:r w:rsidRPr="00E6532F">
        <w:t>an annual charge</w:t>
      </w:r>
      <w:r w:rsidR="008F0B13">
        <w:t xml:space="preserve"> is liable</w:t>
      </w:r>
      <w:r w:rsidRPr="00E6532F">
        <w:t xml:space="preserve">. Charging for the VSL program ensures </w:t>
      </w:r>
      <w:r w:rsidR="008F0B13">
        <w:t xml:space="preserve">approved VSL </w:t>
      </w:r>
      <w:r w:rsidRPr="00E6532F">
        <w:t>providers contribute to the cost of program administration and regulation by the department</w:t>
      </w:r>
      <w:r w:rsidR="00AB3CBA">
        <w:t xml:space="preserve"> and </w:t>
      </w:r>
      <w:r w:rsidRPr="00E6532F">
        <w:t>maintain</w:t>
      </w:r>
      <w:r w:rsidR="00AB3CBA">
        <w:t>s</w:t>
      </w:r>
      <w:r w:rsidRPr="00E6532F">
        <w:t xml:space="preserve"> the integrity and fiscal sustainability of the program. </w:t>
      </w:r>
    </w:p>
    <w:p w14:paraId="70D5645D" w14:textId="4490C274" w:rsidR="003E65A1" w:rsidRPr="00E6532F" w:rsidRDefault="00E6532F" w:rsidP="00E6532F">
      <w:pPr>
        <w:spacing w:before="240" w:after="120" w:line="240" w:lineRule="auto"/>
        <w:outlineLvl w:val="0"/>
        <w:rPr>
          <w:rFonts w:ascii="Calibri" w:eastAsia="Times New Roman" w:hAnsi="Calibri" w:cs="Times New Roman"/>
          <w:bCs/>
          <w:color w:val="1E3D6B"/>
          <w:sz w:val="32"/>
          <w:szCs w:val="32"/>
        </w:rPr>
      </w:pPr>
      <w:r w:rsidRPr="00E6532F">
        <w:rPr>
          <w:rFonts w:ascii="Calibri" w:eastAsia="Times New Roman" w:hAnsi="Calibri" w:cs="Times New Roman"/>
          <w:bCs/>
          <w:color w:val="1E3D6B"/>
          <w:sz w:val="32"/>
          <w:szCs w:val="32"/>
        </w:rPr>
        <w:t>Provider application fee</w:t>
      </w:r>
    </w:p>
    <w:p w14:paraId="0080BDB4" w14:textId="626CD662" w:rsidR="00E6532F" w:rsidRPr="004D2843" w:rsidRDefault="00BC6A56" w:rsidP="00E6532F">
      <w:pPr>
        <w:pStyle w:val="Heading2"/>
        <w:spacing w:before="120" w:line="240" w:lineRule="auto"/>
        <w:rPr>
          <w:rFonts w:eastAsia="Times New Roman" w:cs="Calibri"/>
          <w:bCs/>
          <w:color w:val="3367B3"/>
        </w:rPr>
      </w:pPr>
      <w:r>
        <w:rPr>
          <w:rFonts w:eastAsia="Times New Roman" w:cs="Calibri"/>
          <w:bCs/>
          <w:color w:val="3367B3"/>
        </w:rPr>
        <w:t>T</w:t>
      </w:r>
      <w:r w:rsidR="00E6532F" w:rsidRPr="004D2843">
        <w:rPr>
          <w:rFonts w:eastAsia="Times New Roman" w:cs="Calibri"/>
          <w:bCs/>
          <w:color w:val="3367B3"/>
        </w:rPr>
        <w:t>he provider application fee</w:t>
      </w:r>
    </w:p>
    <w:p w14:paraId="34D0B4B2" w14:textId="0CC263B8" w:rsidR="00E6532F" w:rsidRPr="00E6532F" w:rsidRDefault="00E6532F" w:rsidP="00E6532F">
      <w:r w:rsidRPr="00E6532F">
        <w:t xml:space="preserve">Under the </w:t>
      </w:r>
      <w:r w:rsidRPr="003364C8">
        <w:rPr>
          <w:i/>
          <w:iCs/>
        </w:rPr>
        <w:t>VET Student Loans Act 2016</w:t>
      </w:r>
      <w:r w:rsidRPr="00E6532F">
        <w:t xml:space="preserve">, an application fee applies to all RTOs seeking approval as an approved </w:t>
      </w:r>
      <w:r w:rsidR="00FA1BA3" w:rsidRPr="00E6532F">
        <w:t xml:space="preserve">VSL </w:t>
      </w:r>
      <w:r w:rsidRPr="00E6532F">
        <w:t xml:space="preserve">course provider. </w:t>
      </w:r>
      <w:r w:rsidR="00E71A83" w:rsidRPr="00E71A83">
        <w:t>The collection of an application fee assists with the recovery of the costs associated with processing and assessing applications by the department.</w:t>
      </w:r>
      <w:r w:rsidR="00E71A83">
        <w:t xml:space="preserve"> </w:t>
      </w:r>
      <w:r w:rsidRPr="00E6532F">
        <w:t xml:space="preserve">It is payable to the department on each occasion the RTO applies for approval. </w:t>
      </w:r>
      <w:r w:rsidR="00E71A83" w:rsidRPr="00E71A83">
        <w:t xml:space="preserve">The fee is not refundable if your organisation is unsuccessful in the application process. Applicants who were unsuccessful in previous rounds </w:t>
      </w:r>
      <w:r w:rsidR="00D06B69">
        <w:t xml:space="preserve">are </w:t>
      </w:r>
      <w:r w:rsidR="00E71A83" w:rsidRPr="00E71A83">
        <w:t>required to pay the application fee to reapply</w:t>
      </w:r>
      <w:r w:rsidR="00E71A83">
        <w:t xml:space="preserve">. </w:t>
      </w:r>
    </w:p>
    <w:p w14:paraId="4FCC9BB2" w14:textId="3F6B7B08" w:rsidR="00E6532F" w:rsidRPr="00E6532F" w:rsidRDefault="00750A90" w:rsidP="00E6532F">
      <w:pPr>
        <w:pStyle w:val="Heading2"/>
        <w:spacing w:before="120" w:line="240" w:lineRule="auto"/>
        <w:rPr>
          <w:rFonts w:eastAsia="Times New Roman" w:cs="Calibri"/>
          <w:bCs/>
          <w:color w:val="3367B3"/>
        </w:rPr>
      </w:pPr>
      <w:r>
        <w:rPr>
          <w:rFonts w:eastAsia="Times New Roman" w:cs="Calibri"/>
          <w:bCs/>
          <w:color w:val="3367B3"/>
        </w:rPr>
        <w:t>A</w:t>
      </w:r>
      <w:r w:rsidR="00E6532F" w:rsidRPr="00E6532F">
        <w:rPr>
          <w:rFonts w:eastAsia="Times New Roman" w:cs="Calibri"/>
          <w:bCs/>
          <w:color w:val="3367B3"/>
        </w:rPr>
        <w:t>pplication fee</w:t>
      </w:r>
      <w:r>
        <w:rPr>
          <w:rFonts w:eastAsia="Times New Roman" w:cs="Calibri"/>
          <w:bCs/>
          <w:color w:val="3367B3"/>
        </w:rPr>
        <w:t xml:space="preserve"> price</w:t>
      </w:r>
    </w:p>
    <w:p w14:paraId="4D3D55FC" w14:textId="0ABFBBA6" w:rsidR="00E6532F" w:rsidRDefault="00E6532F" w:rsidP="00E6532F">
      <w:pPr>
        <w:rPr>
          <w:bCs/>
        </w:rPr>
      </w:pPr>
      <w:r w:rsidRPr="00E6532F">
        <w:t>The current application fee is $5,110</w:t>
      </w:r>
      <w:r w:rsidR="002569E3" w:rsidRPr="002569E3">
        <w:t>.</w:t>
      </w:r>
      <w:r w:rsidR="002569E3">
        <w:rPr>
          <w:rStyle w:val="FootnoteReference"/>
          <w:bCs/>
        </w:rPr>
        <w:footnoteReference w:id="1"/>
      </w:r>
    </w:p>
    <w:p w14:paraId="64AB7DF8" w14:textId="7BF46A2A" w:rsidR="00E6532F" w:rsidRPr="00E6532F" w:rsidRDefault="004619DE" w:rsidP="00E6532F">
      <w:pPr>
        <w:pStyle w:val="Heading2"/>
        <w:spacing w:before="120" w:line="240" w:lineRule="auto"/>
        <w:rPr>
          <w:rFonts w:eastAsia="Times New Roman" w:cs="Calibri"/>
          <w:bCs/>
          <w:color w:val="3367B3"/>
        </w:rPr>
      </w:pPr>
      <w:r>
        <w:rPr>
          <w:rFonts w:eastAsia="Times New Roman" w:cs="Calibri"/>
          <w:bCs/>
          <w:color w:val="3367B3"/>
        </w:rPr>
        <w:t>P</w:t>
      </w:r>
      <w:r w:rsidR="00E6532F" w:rsidRPr="00E6532F">
        <w:rPr>
          <w:rFonts w:eastAsia="Times New Roman" w:cs="Calibri"/>
          <w:bCs/>
          <w:color w:val="3367B3"/>
        </w:rPr>
        <w:t>ay</w:t>
      </w:r>
      <w:r>
        <w:rPr>
          <w:rFonts w:eastAsia="Times New Roman" w:cs="Calibri"/>
          <w:bCs/>
          <w:color w:val="3367B3"/>
        </w:rPr>
        <w:t>ing</w:t>
      </w:r>
      <w:r w:rsidR="00E6532F" w:rsidRPr="00E6532F">
        <w:rPr>
          <w:rFonts w:eastAsia="Times New Roman" w:cs="Calibri"/>
          <w:bCs/>
          <w:color w:val="3367B3"/>
        </w:rPr>
        <w:t xml:space="preserve"> the application fee</w:t>
      </w:r>
    </w:p>
    <w:p w14:paraId="0BADF02F" w14:textId="256E64AF" w:rsidR="00E6532F" w:rsidRPr="00E6532F" w:rsidRDefault="00140B83" w:rsidP="00E6532F">
      <w:r>
        <w:t>Your organisation</w:t>
      </w:r>
      <w:r w:rsidR="00E6532F" w:rsidRPr="00E6532F">
        <w:t xml:space="preserve"> should expect to receive an invoice for the application fee from </w:t>
      </w:r>
      <w:r w:rsidR="00DB0B87">
        <w:t xml:space="preserve">us </w:t>
      </w:r>
      <w:r w:rsidR="00E6532F" w:rsidRPr="00E6532F">
        <w:t xml:space="preserve">shortly after </w:t>
      </w:r>
      <w:r w:rsidR="00DB0B87">
        <w:t xml:space="preserve">you have </w:t>
      </w:r>
      <w:r w:rsidR="00E6532F" w:rsidRPr="00E6532F">
        <w:t xml:space="preserve">applied for VSL approval. </w:t>
      </w:r>
      <w:r w:rsidR="006A6E56">
        <w:t>The i</w:t>
      </w:r>
      <w:r w:rsidR="00E6532F" w:rsidRPr="00E6532F">
        <w:t xml:space="preserve">nvoice will be issued after </w:t>
      </w:r>
      <w:r>
        <w:t>your</w:t>
      </w:r>
      <w:r w:rsidRPr="00E6532F">
        <w:t xml:space="preserve"> </w:t>
      </w:r>
      <w:r w:rsidR="00E6532F" w:rsidRPr="00E6532F">
        <w:t xml:space="preserve">application has met the general requirements and proceeded to the assessment stage. </w:t>
      </w:r>
      <w:r w:rsidR="009B5CE1">
        <w:t>A</w:t>
      </w:r>
      <w:r w:rsidR="00E6532F" w:rsidRPr="00E6532F">
        <w:t xml:space="preserve">pplication fees are due for payment </w:t>
      </w:r>
      <w:r w:rsidR="00E6532F" w:rsidRPr="003364C8">
        <w:t>14 days</w:t>
      </w:r>
      <w:r w:rsidR="00E6532F" w:rsidRPr="00E6532F">
        <w:t xml:space="preserve"> from the date of issue</w:t>
      </w:r>
      <w:r w:rsidR="009B5CE1">
        <w:t xml:space="preserve"> of the invoice</w:t>
      </w:r>
      <w:r w:rsidR="00E6532F" w:rsidRPr="00E6532F">
        <w:t>.</w:t>
      </w:r>
    </w:p>
    <w:p w14:paraId="2AE3E26A" w14:textId="584D2921" w:rsidR="00E6532F" w:rsidRDefault="00DB0B87" w:rsidP="00E6532F">
      <w:r>
        <w:t xml:space="preserve">You </w:t>
      </w:r>
      <w:r w:rsidR="004B0ADF" w:rsidRPr="004B0ADF">
        <w:t>must apply through a formal application process using the form approved by the Secretary of the Department of Employment</w:t>
      </w:r>
      <w:r w:rsidR="00A478BA">
        <w:t xml:space="preserve"> and Workplace Relations</w:t>
      </w:r>
      <w:r w:rsidR="004B0ADF">
        <w:t>. We are</w:t>
      </w:r>
      <w:r w:rsidR="00E6532F" w:rsidRPr="00E6532F">
        <w:t xml:space="preserve"> not required to accept an application from an RTO if it is not in an approved form.</w:t>
      </w:r>
      <w:r w:rsidR="00103A85">
        <w:t xml:space="preserve"> T</w:t>
      </w:r>
      <w:r w:rsidR="004D0C3F">
        <w:t xml:space="preserve">he application fee </w:t>
      </w:r>
      <w:r w:rsidR="00E6532F" w:rsidRPr="00E6532F">
        <w:t xml:space="preserve">will </w:t>
      </w:r>
      <w:r w:rsidR="004D0C3F">
        <w:t xml:space="preserve">be </w:t>
      </w:r>
      <w:r w:rsidR="00E6532F" w:rsidRPr="00E6532F">
        <w:t>refund</w:t>
      </w:r>
      <w:r w:rsidR="004D0C3F">
        <w:t>ed</w:t>
      </w:r>
      <w:r w:rsidR="006B4453">
        <w:t xml:space="preserve"> to the RTO</w:t>
      </w:r>
      <w:r w:rsidR="00103A85" w:rsidRPr="00103A85">
        <w:t xml:space="preserve"> </w:t>
      </w:r>
      <w:r w:rsidR="00103A85">
        <w:t>i</w:t>
      </w:r>
      <w:r w:rsidR="00103A85" w:rsidRPr="00E6532F">
        <w:t xml:space="preserve">f </w:t>
      </w:r>
      <w:r w:rsidR="00103A85">
        <w:t>we do</w:t>
      </w:r>
      <w:r w:rsidR="00103A85" w:rsidRPr="00E6532F">
        <w:t xml:space="preserve"> not accept an application for processing</w:t>
      </w:r>
      <w:r w:rsidR="00E6532F" w:rsidRPr="00E6532F">
        <w:t xml:space="preserve">. </w:t>
      </w:r>
    </w:p>
    <w:p w14:paraId="152EAA75" w14:textId="6DC5AE22" w:rsidR="00D32C08" w:rsidRPr="00D32C08" w:rsidRDefault="007451E9" w:rsidP="00D32C08">
      <w:pPr>
        <w:pStyle w:val="Heading2"/>
        <w:spacing w:before="120" w:line="240" w:lineRule="auto"/>
        <w:rPr>
          <w:rFonts w:eastAsia="Times New Roman" w:cs="Calibri"/>
          <w:bCs/>
          <w:color w:val="3367B3"/>
        </w:rPr>
      </w:pPr>
      <w:r>
        <w:rPr>
          <w:rFonts w:eastAsia="Times New Roman" w:cs="Calibri"/>
          <w:bCs/>
          <w:color w:val="3367B3"/>
        </w:rPr>
        <w:t xml:space="preserve">Not </w:t>
      </w:r>
      <w:r w:rsidR="00D32C08" w:rsidRPr="00D32C08">
        <w:rPr>
          <w:rFonts w:eastAsia="Times New Roman" w:cs="Calibri"/>
          <w:bCs/>
          <w:color w:val="3367B3"/>
        </w:rPr>
        <w:t>pay</w:t>
      </w:r>
      <w:r>
        <w:rPr>
          <w:rFonts w:eastAsia="Times New Roman" w:cs="Calibri"/>
          <w:bCs/>
          <w:color w:val="3367B3"/>
        </w:rPr>
        <w:t>ing</w:t>
      </w:r>
      <w:r w:rsidR="00D32C08" w:rsidRPr="00D32C08">
        <w:rPr>
          <w:rFonts w:eastAsia="Times New Roman" w:cs="Calibri"/>
          <w:bCs/>
          <w:color w:val="3367B3"/>
        </w:rPr>
        <w:t xml:space="preserve"> the application fee</w:t>
      </w:r>
    </w:p>
    <w:p w14:paraId="62305192" w14:textId="7FA5045F" w:rsidR="00ED0A29" w:rsidRPr="003364C8" w:rsidRDefault="003236BF" w:rsidP="003364C8">
      <w:r>
        <w:t>A</w:t>
      </w:r>
      <w:r w:rsidR="00D32C08" w:rsidRPr="00D32C08">
        <w:t xml:space="preserve">n application for approval from an RTO </w:t>
      </w:r>
      <w:r>
        <w:t xml:space="preserve">will not be assessed </w:t>
      </w:r>
      <w:r w:rsidR="00D32C08" w:rsidRPr="00D32C08">
        <w:t>until the application fee</w:t>
      </w:r>
      <w:r w:rsidR="00140B83">
        <w:t xml:space="preserve"> is paid</w:t>
      </w:r>
      <w:r w:rsidR="00D32C08" w:rsidRPr="00D32C08">
        <w:t>.</w:t>
      </w:r>
    </w:p>
    <w:p w14:paraId="142CF618" w14:textId="77777777" w:rsidR="003364C8" w:rsidRDefault="00D32C08" w:rsidP="003364C8">
      <w:pPr>
        <w:spacing w:before="240" w:after="120" w:line="240" w:lineRule="auto"/>
        <w:outlineLvl w:val="0"/>
        <w:rPr>
          <w:rFonts w:ascii="Calibri" w:eastAsia="Times New Roman" w:hAnsi="Calibri" w:cs="Times New Roman"/>
          <w:bCs/>
          <w:color w:val="1E3D6B"/>
          <w:sz w:val="32"/>
          <w:szCs w:val="32"/>
        </w:rPr>
      </w:pPr>
      <w:r w:rsidRPr="00D32C08">
        <w:rPr>
          <w:rFonts w:ascii="Calibri" w:eastAsia="Times New Roman" w:hAnsi="Calibri" w:cs="Times New Roman"/>
          <w:bCs/>
          <w:color w:val="1E3D6B"/>
          <w:sz w:val="32"/>
          <w:szCs w:val="32"/>
        </w:rPr>
        <w:t>Annual approved course provider charge (annual charge)</w:t>
      </w:r>
    </w:p>
    <w:p w14:paraId="03DC9F89" w14:textId="05908437" w:rsidR="00D32C08" w:rsidRPr="003364C8" w:rsidRDefault="00BD6386" w:rsidP="003364C8">
      <w:pPr>
        <w:pStyle w:val="Heading2"/>
        <w:spacing w:before="120" w:line="240" w:lineRule="auto"/>
        <w:rPr>
          <w:rFonts w:eastAsia="Times New Roman" w:cs="Calibri"/>
          <w:bCs/>
          <w:color w:val="3367B3"/>
        </w:rPr>
      </w:pPr>
      <w:r>
        <w:rPr>
          <w:rFonts w:eastAsia="Times New Roman" w:cs="Calibri"/>
          <w:bCs/>
          <w:color w:val="3367B3"/>
        </w:rPr>
        <w:t>T</w:t>
      </w:r>
      <w:r w:rsidR="00D32C08" w:rsidRPr="00D32C08">
        <w:rPr>
          <w:rFonts w:eastAsia="Times New Roman" w:cs="Calibri"/>
          <w:bCs/>
          <w:color w:val="3367B3"/>
        </w:rPr>
        <w:t>he approved course provider charge</w:t>
      </w:r>
    </w:p>
    <w:p w14:paraId="7B9EC257" w14:textId="22909775" w:rsidR="00D32C08" w:rsidRPr="00D32C08" w:rsidRDefault="00D32C08" w:rsidP="00D32C08">
      <w:r w:rsidRPr="00D32C08">
        <w:t xml:space="preserve">Under the </w:t>
      </w:r>
      <w:r w:rsidRPr="00D32C08">
        <w:rPr>
          <w:i/>
          <w:iCs/>
        </w:rPr>
        <w:t>VET Student Loans (Charges) Act 2016</w:t>
      </w:r>
      <w:r w:rsidRPr="00D32C08">
        <w:t>, a charge is imposed on all VSL</w:t>
      </w:r>
      <w:r w:rsidR="00B30BAB">
        <w:t xml:space="preserve"> </w:t>
      </w:r>
      <w:r w:rsidRPr="00D32C08">
        <w:t xml:space="preserve">approved course providers. This is an annual charge and is payable each financial year </w:t>
      </w:r>
      <w:r w:rsidR="003364C8">
        <w:t>you are</w:t>
      </w:r>
      <w:r w:rsidRPr="00D32C08">
        <w:t xml:space="preserve"> approved</w:t>
      </w:r>
      <w:r w:rsidR="003364C8">
        <w:t xml:space="preserve"> for</w:t>
      </w:r>
      <w:r w:rsidRPr="00D32C08">
        <w:t xml:space="preserve">, even if </w:t>
      </w:r>
      <w:r w:rsidR="003364C8">
        <w:t>you are</w:t>
      </w:r>
      <w:r w:rsidRPr="00D32C08">
        <w:t xml:space="preserve"> only approved for part of the year.</w:t>
      </w:r>
    </w:p>
    <w:p w14:paraId="14927C05" w14:textId="403FA091" w:rsidR="00D32C08" w:rsidRPr="00D32C08" w:rsidRDefault="00D32C08" w:rsidP="00D32C08">
      <w:r w:rsidRPr="00D32C08">
        <w:lastRenderedPageBreak/>
        <w:t>Collection of an annual charge assists with recovering the costs in administering the VSL program, such as compliance, payments, processing and actioning complaints and provider management.</w:t>
      </w:r>
    </w:p>
    <w:p w14:paraId="34F60D99" w14:textId="77A36D78" w:rsidR="00D32C08" w:rsidRPr="00D32C08" w:rsidRDefault="00155AF8" w:rsidP="00D32C08">
      <w:pPr>
        <w:pStyle w:val="Heading2"/>
        <w:spacing w:before="120" w:line="240" w:lineRule="auto"/>
        <w:rPr>
          <w:rFonts w:eastAsia="Times New Roman" w:cs="Calibri"/>
          <w:bCs/>
          <w:color w:val="3367B3"/>
        </w:rPr>
      </w:pPr>
      <w:r>
        <w:rPr>
          <w:rFonts w:eastAsia="Times New Roman" w:cs="Calibri"/>
          <w:bCs/>
          <w:color w:val="3367B3"/>
        </w:rPr>
        <w:t>C</w:t>
      </w:r>
      <w:r w:rsidR="00D32C08" w:rsidRPr="00D32C08">
        <w:rPr>
          <w:rFonts w:eastAsia="Times New Roman" w:cs="Calibri"/>
          <w:bCs/>
          <w:color w:val="3367B3"/>
        </w:rPr>
        <w:t>harge</w:t>
      </w:r>
      <w:r>
        <w:rPr>
          <w:rFonts w:eastAsia="Times New Roman" w:cs="Calibri"/>
          <w:bCs/>
          <w:color w:val="3367B3"/>
        </w:rPr>
        <w:t xml:space="preserve"> cost</w:t>
      </w:r>
    </w:p>
    <w:p w14:paraId="12E24372" w14:textId="791360DF" w:rsidR="00D32C08" w:rsidRDefault="00D32C08" w:rsidP="00E372C1">
      <w:r w:rsidRPr="00D32C08">
        <w:t>The amount of the annual charge for a financial year depend</w:t>
      </w:r>
      <w:r w:rsidR="00B30BAB">
        <w:t>s</w:t>
      </w:r>
      <w:r w:rsidRPr="00D32C08">
        <w:t xml:space="preserve"> on the size of the provider. A provider’s size is determined by the total number of all </w:t>
      </w:r>
      <w:r w:rsidR="004B0ADF">
        <w:t xml:space="preserve">reported </w:t>
      </w:r>
      <w:r w:rsidRPr="00D32C08">
        <w:t>student enrolments for which payment has been made, in relation to one or more census days in a financial year (</w:t>
      </w:r>
      <w:r w:rsidRPr="003364C8">
        <w:t>VSL enrolments</w:t>
      </w:r>
      <w:r w:rsidRPr="00D32C08">
        <w:t>). As such, a single student who is approved for multiple loans for multiple courses at the same provider counts as multiple VSL enrolments.</w:t>
      </w:r>
    </w:p>
    <w:p w14:paraId="5E717C00" w14:textId="740BD41B" w:rsidR="00D32C08" w:rsidRPr="00D32C08" w:rsidRDefault="00D32C08" w:rsidP="00D32C08">
      <w:pPr>
        <w:spacing w:after="240" w:line="240" w:lineRule="auto"/>
        <w:rPr>
          <w:rFonts w:ascii="Calibri" w:eastAsiaTheme="minorEastAsia" w:hAnsi="Calibri" w:cs="Calibri"/>
          <w:noProof/>
        </w:rPr>
      </w:pPr>
      <w:r w:rsidRPr="00D32C08">
        <w:rPr>
          <w:rFonts w:ascii="Calibri" w:eastAsiaTheme="minorEastAsia" w:hAnsi="Calibri" w:cs="Calibri"/>
          <w:noProof/>
        </w:rPr>
        <w:t>The annual charges are as follows</w:t>
      </w:r>
      <w:r w:rsidR="002569E3">
        <w:rPr>
          <w:rFonts w:ascii="Calibri" w:eastAsiaTheme="minorEastAsia" w:hAnsi="Calibri" w:cs="Calibri"/>
          <w:noProof/>
        </w:rPr>
        <w:t>:</w:t>
      </w:r>
      <w:r w:rsidR="002569E3">
        <w:rPr>
          <w:rStyle w:val="FootnoteReference"/>
          <w:rFonts w:ascii="Calibri" w:eastAsiaTheme="minorEastAsia" w:hAnsi="Calibri" w:cs="Calibri"/>
          <w:noProof/>
        </w:rPr>
        <w:footnoteReference w:id="2"/>
      </w:r>
    </w:p>
    <w:tbl>
      <w:tblPr>
        <w:tblStyle w:val="TableGrid"/>
        <w:tblpPr w:leftFromText="181" w:rightFromText="181" w:bottomFromText="142" w:vertAnchor="text" w:tblpXSpec="center" w:tblpY="1"/>
        <w:tblOverlap w:val="never"/>
        <w:tblW w:w="0" w:type="auto"/>
        <w:tblBorders>
          <w:top w:val="single" w:sz="4" w:space="0" w:color="292065"/>
          <w:left w:val="single" w:sz="4" w:space="0" w:color="292065"/>
          <w:bottom w:val="single" w:sz="4" w:space="0" w:color="292065"/>
          <w:right w:val="single" w:sz="4" w:space="0" w:color="292065"/>
          <w:insideH w:val="single" w:sz="4" w:space="0" w:color="292065"/>
          <w:insideV w:val="single" w:sz="4" w:space="0" w:color="292065"/>
        </w:tblBorders>
        <w:tblLook w:val="04A0" w:firstRow="1" w:lastRow="0" w:firstColumn="1" w:lastColumn="0" w:noHBand="0" w:noVBand="1"/>
        <w:tblDescription w:val="Annual charges by provider size and number of VSL enrolments"/>
      </w:tblPr>
      <w:tblGrid>
        <w:gridCol w:w="3272"/>
        <w:gridCol w:w="3402"/>
        <w:gridCol w:w="2252"/>
      </w:tblGrid>
      <w:tr w:rsidR="00D32C08" w:rsidRPr="00D32C08" w14:paraId="32638A52" w14:textId="77777777" w:rsidTr="00A478BA">
        <w:trPr>
          <w:tblHeader/>
        </w:trPr>
        <w:tc>
          <w:tcPr>
            <w:tcW w:w="3272" w:type="dxa"/>
            <w:shd w:val="clear" w:color="auto" w:fill="292065"/>
          </w:tcPr>
          <w:p w14:paraId="16A2F9FD" w14:textId="77777777" w:rsidR="00D32C08" w:rsidRPr="003364C8" w:rsidRDefault="00D32C08" w:rsidP="00A478BA">
            <w:pPr>
              <w:rPr>
                <w:b/>
                <w:color w:val="D9D9D9" w:themeColor="background1" w:themeShade="D9"/>
              </w:rPr>
            </w:pPr>
            <w:r w:rsidRPr="003364C8">
              <w:rPr>
                <w:b/>
                <w:color w:val="D9D9D9" w:themeColor="background1" w:themeShade="D9"/>
              </w:rPr>
              <w:t>Provider size</w:t>
            </w:r>
          </w:p>
        </w:tc>
        <w:tc>
          <w:tcPr>
            <w:tcW w:w="3402" w:type="dxa"/>
            <w:shd w:val="clear" w:color="auto" w:fill="292065"/>
          </w:tcPr>
          <w:p w14:paraId="055D0B0C" w14:textId="77777777" w:rsidR="00D32C08" w:rsidRPr="003364C8" w:rsidRDefault="00D32C08" w:rsidP="00A478BA">
            <w:pPr>
              <w:rPr>
                <w:b/>
                <w:color w:val="D9D9D9" w:themeColor="background1" w:themeShade="D9"/>
              </w:rPr>
            </w:pPr>
            <w:r w:rsidRPr="003364C8">
              <w:rPr>
                <w:b/>
                <w:color w:val="D9D9D9" w:themeColor="background1" w:themeShade="D9"/>
              </w:rPr>
              <w:t>Number of VSL enrolments</w:t>
            </w:r>
          </w:p>
        </w:tc>
        <w:tc>
          <w:tcPr>
            <w:tcW w:w="2252" w:type="dxa"/>
            <w:shd w:val="clear" w:color="auto" w:fill="292065"/>
          </w:tcPr>
          <w:p w14:paraId="5D7D7E4F" w14:textId="77777777" w:rsidR="00D32C08" w:rsidRPr="003364C8" w:rsidRDefault="00D32C08" w:rsidP="00A478BA">
            <w:pPr>
              <w:rPr>
                <w:b/>
                <w:color w:val="D9D9D9" w:themeColor="background1" w:themeShade="D9"/>
              </w:rPr>
            </w:pPr>
            <w:r w:rsidRPr="003364C8">
              <w:rPr>
                <w:b/>
                <w:color w:val="D9D9D9" w:themeColor="background1" w:themeShade="D9"/>
              </w:rPr>
              <w:t>Annual charge</w:t>
            </w:r>
          </w:p>
        </w:tc>
      </w:tr>
      <w:tr w:rsidR="00D32C08" w:rsidRPr="00D32C08" w14:paraId="2457B4C7" w14:textId="77777777" w:rsidTr="00A478BA">
        <w:trPr>
          <w:trHeight w:val="509"/>
        </w:trPr>
        <w:tc>
          <w:tcPr>
            <w:tcW w:w="3272" w:type="dxa"/>
          </w:tcPr>
          <w:p w14:paraId="2FBE3BAA" w14:textId="77777777" w:rsidR="00D32C08" w:rsidRPr="00D32C08" w:rsidRDefault="00D32C08" w:rsidP="00A478BA">
            <w:r w:rsidRPr="00D32C08">
              <w:t>Small provider</w:t>
            </w:r>
          </w:p>
        </w:tc>
        <w:tc>
          <w:tcPr>
            <w:tcW w:w="3402" w:type="dxa"/>
          </w:tcPr>
          <w:p w14:paraId="3003B45D" w14:textId="77777777" w:rsidR="00D32C08" w:rsidRPr="00D32C08" w:rsidRDefault="00D32C08" w:rsidP="00A478BA">
            <w:r w:rsidRPr="00D32C08">
              <w:t>Fewer than 200</w:t>
            </w:r>
          </w:p>
        </w:tc>
        <w:tc>
          <w:tcPr>
            <w:tcW w:w="2252" w:type="dxa"/>
          </w:tcPr>
          <w:p w14:paraId="192B11D4" w14:textId="77777777" w:rsidR="00D32C08" w:rsidRPr="00A478BA" w:rsidRDefault="00D32C08" w:rsidP="00A478BA">
            <w:r w:rsidRPr="00A478BA">
              <w:t>$1,280</w:t>
            </w:r>
          </w:p>
        </w:tc>
      </w:tr>
      <w:tr w:rsidR="00D32C08" w:rsidRPr="00D32C08" w14:paraId="1663BBD8" w14:textId="77777777" w:rsidTr="00A478BA">
        <w:trPr>
          <w:trHeight w:val="509"/>
        </w:trPr>
        <w:tc>
          <w:tcPr>
            <w:tcW w:w="3272" w:type="dxa"/>
          </w:tcPr>
          <w:p w14:paraId="53BF0A10" w14:textId="77777777" w:rsidR="00D32C08" w:rsidRPr="00D32C08" w:rsidRDefault="00D32C08" w:rsidP="00A478BA">
            <w:r w:rsidRPr="00D32C08">
              <w:t>Medium provider</w:t>
            </w:r>
          </w:p>
        </w:tc>
        <w:tc>
          <w:tcPr>
            <w:tcW w:w="3402" w:type="dxa"/>
          </w:tcPr>
          <w:p w14:paraId="62F1E47F" w14:textId="77777777" w:rsidR="00D32C08" w:rsidRPr="00D32C08" w:rsidRDefault="00D32C08" w:rsidP="00A478BA">
            <w:r w:rsidRPr="00D32C08">
              <w:t>Between 200 and 1000, inclusive</w:t>
            </w:r>
          </w:p>
        </w:tc>
        <w:tc>
          <w:tcPr>
            <w:tcW w:w="2252" w:type="dxa"/>
          </w:tcPr>
          <w:p w14:paraId="74D7D06C" w14:textId="77777777" w:rsidR="00D32C08" w:rsidRPr="00A478BA" w:rsidRDefault="00D32C08" w:rsidP="00A478BA">
            <w:r w:rsidRPr="00A478BA">
              <w:t>$12,480</w:t>
            </w:r>
          </w:p>
        </w:tc>
      </w:tr>
      <w:tr w:rsidR="00D32C08" w:rsidRPr="00D32C08" w14:paraId="74ED97A0" w14:textId="77777777" w:rsidTr="00A478BA">
        <w:trPr>
          <w:trHeight w:val="509"/>
        </w:trPr>
        <w:tc>
          <w:tcPr>
            <w:tcW w:w="3272" w:type="dxa"/>
          </w:tcPr>
          <w:p w14:paraId="0B2A03A5" w14:textId="77777777" w:rsidR="00D32C08" w:rsidRPr="00D32C08" w:rsidRDefault="00D32C08" w:rsidP="00A478BA">
            <w:r w:rsidRPr="00D32C08">
              <w:t>Large provider</w:t>
            </w:r>
          </w:p>
        </w:tc>
        <w:tc>
          <w:tcPr>
            <w:tcW w:w="3402" w:type="dxa"/>
          </w:tcPr>
          <w:p w14:paraId="65DA90EE" w14:textId="77777777" w:rsidR="00D32C08" w:rsidRPr="00D32C08" w:rsidRDefault="00D32C08" w:rsidP="00A478BA">
            <w:r w:rsidRPr="00D32C08">
              <w:t>More than 1000</w:t>
            </w:r>
          </w:p>
        </w:tc>
        <w:tc>
          <w:tcPr>
            <w:tcW w:w="2252" w:type="dxa"/>
          </w:tcPr>
          <w:p w14:paraId="0CF6D8F3" w14:textId="77777777" w:rsidR="00D32C08" w:rsidRPr="00A478BA" w:rsidRDefault="00D32C08" w:rsidP="00A478BA">
            <w:r w:rsidRPr="00A478BA">
              <w:t>$62,870</w:t>
            </w:r>
          </w:p>
        </w:tc>
      </w:tr>
    </w:tbl>
    <w:p w14:paraId="34169208" w14:textId="5949D86C" w:rsidR="00D32C08" w:rsidRPr="00D32C08" w:rsidRDefault="00D32C08" w:rsidP="00D32C08">
      <w:pPr>
        <w:pStyle w:val="Heading2"/>
        <w:spacing w:before="120" w:line="240" w:lineRule="auto"/>
        <w:rPr>
          <w:rFonts w:eastAsia="Times New Roman" w:cs="Calibri"/>
          <w:bCs/>
          <w:color w:val="3367B3"/>
        </w:rPr>
      </w:pPr>
      <w:r w:rsidRPr="00D32C08">
        <w:rPr>
          <w:rFonts w:eastAsia="Times New Roman" w:cs="Calibri"/>
          <w:bCs/>
          <w:color w:val="3367B3"/>
        </w:rPr>
        <w:t>When to pay the charge</w:t>
      </w:r>
    </w:p>
    <w:p w14:paraId="790A66CE" w14:textId="244D718D" w:rsidR="00D32C08" w:rsidRPr="00D32C08" w:rsidRDefault="00D32C08" w:rsidP="00D32C08">
      <w:r w:rsidRPr="00D32C08">
        <w:t xml:space="preserve">Invoices for the annual charge are issued </w:t>
      </w:r>
      <w:r w:rsidR="009973AF">
        <w:t xml:space="preserve">between </w:t>
      </w:r>
      <w:r w:rsidRPr="00D32C08">
        <w:t>August</w:t>
      </w:r>
      <w:r w:rsidR="00676EF7">
        <w:t xml:space="preserve"> and </w:t>
      </w:r>
      <w:r w:rsidRPr="00D32C08">
        <w:t>September for the previous financial year.</w:t>
      </w:r>
      <w:r w:rsidR="00FF1560">
        <w:t xml:space="preserve"> </w:t>
      </w:r>
      <w:r w:rsidRPr="00D32C08">
        <w:t xml:space="preserve">Annual charges are due for payment </w:t>
      </w:r>
      <w:r w:rsidRPr="003364C8">
        <w:t>30</w:t>
      </w:r>
      <w:r w:rsidRPr="00D32C08">
        <w:t xml:space="preserve"> days from the date of issue of the invoice.</w:t>
      </w:r>
    </w:p>
    <w:p w14:paraId="313EDA64" w14:textId="18A860F0" w:rsidR="00E372C1" w:rsidRPr="00E372C1" w:rsidRDefault="00E47001" w:rsidP="00E372C1">
      <w:pPr>
        <w:pStyle w:val="Heading2"/>
        <w:spacing w:before="120" w:line="240" w:lineRule="auto"/>
        <w:rPr>
          <w:rFonts w:eastAsia="Times New Roman" w:cs="Calibri"/>
          <w:bCs/>
          <w:color w:val="3367B3"/>
        </w:rPr>
      </w:pPr>
      <w:r>
        <w:rPr>
          <w:rFonts w:eastAsia="Times New Roman" w:cs="Calibri"/>
          <w:bCs/>
          <w:color w:val="3367B3"/>
        </w:rPr>
        <w:t xml:space="preserve">Consequences of not </w:t>
      </w:r>
      <w:r w:rsidR="00E372C1" w:rsidRPr="00E372C1">
        <w:rPr>
          <w:rFonts w:eastAsia="Times New Roman" w:cs="Calibri"/>
          <w:bCs/>
          <w:color w:val="3367B3"/>
        </w:rPr>
        <w:t>pay</w:t>
      </w:r>
      <w:r w:rsidR="009B0736">
        <w:rPr>
          <w:rFonts w:eastAsia="Times New Roman" w:cs="Calibri"/>
          <w:bCs/>
          <w:color w:val="3367B3"/>
        </w:rPr>
        <w:t>ing</w:t>
      </w:r>
      <w:r w:rsidR="00E372C1" w:rsidRPr="00E372C1">
        <w:rPr>
          <w:rFonts w:eastAsia="Times New Roman" w:cs="Calibri"/>
          <w:bCs/>
          <w:color w:val="3367B3"/>
        </w:rPr>
        <w:t xml:space="preserve"> the charge</w:t>
      </w:r>
    </w:p>
    <w:p w14:paraId="2CB121FF" w14:textId="7DB9016C" w:rsidR="00E372C1" w:rsidRPr="00E372C1" w:rsidRDefault="00E372C1" w:rsidP="00E372C1">
      <w:r w:rsidRPr="00E372C1">
        <w:t xml:space="preserve">If </w:t>
      </w:r>
      <w:r w:rsidR="004A40A5">
        <w:t>you</w:t>
      </w:r>
      <w:r w:rsidRPr="00E372C1">
        <w:t xml:space="preserve"> do not pay the annual charge when it is </w:t>
      </w:r>
      <w:r w:rsidR="003364C8" w:rsidRPr="00E372C1">
        <w:t>due,</w:t>
      </w:r>
      <w:r w:rsidRPr="00E372C1">
        <w:t xml:space="preserve"> </w:t>
      </w:r>
      <w:r w:rsidR="004A40A5">
        <w:t>you</w:t>
      </w:r>
      <w:r w:rsidRPr="00E372C1">
        <w:t xml:space="preserve"> will incur a late payment penalty</w:t>
      </w:r>
      <w:r w:rsidR="002569E3">
        <w:rPr>
          <w:rStyle w:val="FootnoteReference"/>
        </w:rPr>
        <w:footnoteReference w:id="3"/>
      </w:r>
      <w:r w:rsidRPr="00E372C1">
        <w:t xml:space="preserve"> and will also be in breach of a condition of</w:t>
      </w:r>
      <w:r w:rsidR="004A40A5">
        <w:t xml:space="preserve"> your</w:t>
      </w:r>
      <w:r w:rsidRPr="00E372C1">
        <w:t xml:space="preserve"> approval.</w:t>
      </w:r>
      <w:r w:rsidR="00FF1560">
        <w:t xml:space="preserve"> </w:t>
      </w:r>
      <w:r w:rsidR="004B0ADF">
        <w:t xml:space="preserve">Your </w:t>
      </w:r>
      <w:r w:rsidR="00E47001">
        <w:t>a</w:t>
      </w:r>
      <w:r w:rsidRPr="00E372C1">
        <w:t xml:space="preserve">ccess to the VSL </w:t>
      </w:r>
      <w:proofErr w:type="spellStart"/>
      <w:r w:rsidRPr="00E372C1">
        <w:t>eCAF</w:t>
      </w:r>
      <w:proofErr w:type="spellEnd"/>
      <w:r w:rsidRPr="00E372C1">
        <w:t xml:space="preserve"> system </w:t>
      </w:r>
      <w:r w:rsidR="004B0ADF">
        <w:t>will be restricted if you</w:t>
      </w:r>
      <w:r w:rsidRPr="00E372C1">
        <w:t xml:space="preserve"> do not pay the annual charge by the due date stated on the invoice.</w:t>
      </w:r>
      <w:r w:rsidR="003364C8">
        <w:t xml:space="preserve"> </w:t>
      </w:r>
      <w:r w:rsidR="004B0ADF">
        <w:t>I</w:t>
      </w:r>
      <w:r w:rsidR="004A40A5">
        <w:t>f you persistently fail</w:t>
      </w:r>
      <w:r w:rsidRPr="00E372C1">
        <w:t xml:space="preserve"> to pay </w:t>
      </w:r>
      <w:r w:rsidR="004A40A5">
        <w:t xml:space="preserve">your </w:t>
      </w:r>
      <w:r w:rsidRPr="00E372C1">
        <w:t xml:space="preserve">annual charge </w:t>
      </w:r>
      <w:r w:rsidR="004A40A5">
        <w:t>you</w:t>
      </w:r>
      <w:r w:rsidR="009B0736">
        <w:t>r approval</w:t>
      </w:r>
      <w:r w:rsidR="004A40A5">
        <w:t xml:space="preserve"> </w:t>
      </w:r>
      <w:r w:rsidR="004B0ADF">
        <w:t>may</w:t>
      </w:r>
      <w:r w:rsidR="003364C8">
        <w:t xml:space="preserve"> </w:t>
      </w:r>
      <w:r w:rsidR="009B0736">
        <w:t xml:space="preserve">be </w:t>
      </w:r>
      <w:r w:rsidR="004B0ADF" w:rsidRPr="00E372C1">
        <w:t>suspend</w:t>
      </w:r>
      <w:r w:rsidR="009B0736">
        <w:t xml:space="preserve">ed </w:t>
      </w:r>
      <w:r w:rsidRPr="00E372C1">
        <w:t xml:space="preserve">or </w:t>
      </w:r>
      <w:r w:rsidR="009B0736" w:rsidRPr="00E372C1">
        <w:t>cancel</w:t>
      </w:r>
      <w:r w:rsidR="009B0736">
        <w:t>led</w:t>
      </w:r>
      <w:r w:rsidR="004B0ADF">
        <w:t>.</w:t>
      </w:r>
    </w:p>
    <w:p w14:paraId="095F26FC" w14:textId="77777777" w:rsidR="00E372C1" w:rsidRPr="00E372C1" w:rsidRDefault="00E372C1" w:rsidP="00E372C1">
      <w:pPr>
        <w:spacing w:before="240" w:after="120" w:line="240" w:lineRule="auto"/>
        <w:outlineLvl w:val="0"/>
        <w:rPr>
          <w:rFonts w:ascii="Calibri" w:eastAsia="Times New Roman" w:hAnsi="Calibri" w:cs="Times New Roman"/>
          <w:bCs/>
          <w:color w:val="1E3D6B"/>
          <w:sz w:val="32"/>
          <w:szCs w:val="32"/>
        </w:rPr>
      </w:pPr>
      <w:r w:rsidRPr="00E372C1">
        <w:rPr>
          <w:rFonts w:ascii="Calibri" w:eastAsia="Times New Roman" w:hAnsi="Calibri" w:cs="Times New Roman"/>
          <w:bCs/>
          <w:color w:val="1E3D6B"/>
          <w:sz w:val="32"/>
          <w:szCs w:val="32"/>
        </w:rPr>
        <w:t>Relevant laws</w:t>
      </w:r>
    </w:p>
    <w:p w14:paraId="6408AB71" w14:textId="77777777" w:rsidR="00E372C1" w:rsidRPr="00E372C1" w:rsidRDefault="00E372C1" w:rsidP="00E372C1">
      <w:r w:rsidRPr="00E372C1">
        <w:t>The statutory authority for the VSL program provider application fee comprises:</w:t>
      </w:r>
    </w:p>
    <w:p w14:paraId="3BA60018" w14:textId="37EABB45" w:rsidR="00E372C1" w:rsidRPr="00E372C1" w:rsidRDefault="00E372C1" w:rsidP="00E372C1">
      <w:pPr>
        <w:pStyle w:val="ListParagraph"/>
        <w:numPr>
          <w:ilvl w:val="0"/>
          <w:numId w:val="42"/>
        </w:numPr>
        <w:spacing w:before="120" w:after="120" w:line="240" w:lineRule="auto"/>
        <w:ind w:left="426" w:hanging="426"/>
        <w:rPr>
          <w:rFonts w:eastAsia="Calibri"/>
        </w:rPr>
      </w:pPr>
      <w:r w:rsidRPr="00E372C1">
        <w:rPr>
          <w:rFonts w:eastAsia="Calibri"/>
        </w:rPr>
        <w:t xml:space="preserve">Part 4, Division 1 of the </w:t>
      </w:r>
      <w:hyperlink r:id="rId11" w:history="1">
        <w:r w:rsidRPr="00D625B6">
          <w:rPr>
            <w:rStyle w:val="Hyperlink"/>
            <w:i/>
            <w:iCs/>
          </w:rPr>
          <w:t>VET Student Loans Act 201</w:t>
        </w:r>
        <w:r w:rsidRPr="00D625B6">
          <w:rPr>
            <w:rStyle w:val="Hyperlink"/>
          </w:rPr>
          <w:t>6</w:t>
        </w:r>
      </w:hyperlink>
    </w:p>
    <w:p w14:paraId="6A5E5DBA" w14:textId="431F04A2" w:rsidR="00E372C1" w:rsidRPr="00E372C1" w:rsidRDefault="00E372C1" w:rsidP="00E372C1">
      <w:pPr>
        <w:pStyle w:val="ListParagraph"/>
        <w:numPr>
          <w:ilvl w:val="0"/>
          <w:numId w:val="42"/>
        </w:numPr>
        <w:spacing w:before="120" w:after="120" w:line="240" w:lineRule="auto"/>
        <w:ind w:left="426" w:hanging="426"/>
        <w:rPr>
          <w:rFonts w:eastAsia="Calibri"/>
        </w:rPr>
      </w:pPr>
      <w:r w:rsidRPr="00E372C1">
        <w:rPr>
          <w:rFonts w:eastAsia="Calibri"/>
        </w:rPr>
        <w:t xml:space="preserve">The </w:t>
      </w:r>
      <w:hyperlink r:id="rId12" w:history="1">
        <w:r w:rsidRPr="00D625B6">
          <w:rPr>
            <w:rStyle w:val="Hyperlink"/>
          </w:rPr>
          <w:t>VET Student Loans (Approved Course Provider Application Fee) Determination 2017</w:t>
        </w:r>
      </w:hyperlink>
    </w:p>
    <w:p w14:paraId="413E8D93" w14:textId="77777777" w:rsidR="00E372C1" w:rsidRPr="00E372C1" w:rsidRDefault="00E372C1" w:rsidP="00E372C1">
      <w:r w:rsidRPr="00E372C1">
        <w:t>The statutory authority for the annual approved course provider charge comprises:</w:t>
      </w:r>
    </w:p>
    <w:p w14:paraId="17CA148D" w14:textId="18018808" w:rsidR="00E372C1" w:rsidRPr="00E372C1" w:rsidRDefault="00E372C1" w:rsidP="00E372C1">
      <w:pPr>
        <w:pStyle w:val="ListParagraph"/>
        <w:numPr>
          <w:ilvl w:val="0"/>
          <w:numId w:val="42"/>
        </w:numPr>
        <w:spacing w:before="120" w:after="120" w:line="240" w:lineRule="auto"/>
        <w:ind w:left="426" w:hanging="426"/>
        <w:rPr>
          <w:rFonts w:eastAsia="Calibri"/>
        </w:rPr>
      </w:pPr>
      <w:r w:rsidRPr="00E372C1">
        <w:rPr>
          <w:rFonts w:eastAsia="Calibri"/>
        </w:rPr>
        <w:t xml:space="preserve">The </w:t>
      </w:r>
      <w:hyperlink r:id="rId13" w:history="1">
        <w:r w:rsidRPr="00D625B6">
          <w:rPr>
            <w:rStyle w:val="Hyperlink"/>
            <w:rFonts w:eastAsiaTheme="minorEastAsia"/>
            <w:i/>
            <w:iCs/>
            <w:color w:val="287BB3"/>
          </w:rPr>
          <w:t>V</w:t>
        </w:r>
        <w:r w:rsidRPr="00D625B6">
          <w:rPr>
            <w:rStyle w:val="Hyperlink"/>
            <w:i/>
            <w:iCs/>
          </w:rPr>
          <w:t>ET Student Loans (Charges) Act 2016</w:t>
        </w:r>
      </w:hyperlink>
    </w:p>
    <w:p w14:paraId="3E831806" w14:textId="0DCC51D5" w:rsidR="00E372C1" w:rsidRPr="00E372C1" w:rsidRDefault="00E372C1" w:rsidP="00E372C1">
      <w:pPr>
        <w:pStyle w:val="ListParagraph"/>
        <w:numPr>
          <w:ilvl w:val="0"/>
          <w:numId w:val="42"/>
        </w:numPr>
        <w:spacing w:before="120" w:after="120" w:line="240" w:lineRule="auto"/>
        <w:ind w:left="426" w:hanging="426"/>
        <w:rPr>
          <w:rFonts w:eastAsia="Calibri"/>
        </w:rPr>
      </w:pPr>
      <w:r w:rsidRPr="00E372C1">
        <w:rPr>
          <w:rFonts w:eastAsia="Calibri"/>
        </w:rPr>
        <w:t xml:space="preserve">The </w:t>
      </w:r>
      <w:hyperlink r:id="rId14" w:history="1">
        <w:r w:rsidRPr="00D625B6">
          <w:rPr>
            <w:rStyle w:val="Hyperlink"/>
          </w:rPr>
          <w:t>VET Student Loans (Charges) Regulations 2017</w:t>
        </w:r>
      </w:hyperlink>
    </w:p>
    <w:p w14:paraId="463D7DDD" w14:textId="726C1152" w:rsidR="00E372C1" w:rsidRPr="00E372C1" w:rsidRDefault="00E372C1" w:rsidP="00E372C1">
      <w:pPr>
        <w:pStyle w:val="ListParagraph"/>
        <w:numPr>
          <w:ilvl w:val="0"/>
          <w:numId w:val="42"/>
        </w:numPr>
        <w:spacing w:before="120" w:after="120" w:line="240" w:lineRule="auto"/>
        <w:ind w:left="426" w:hanging="426"/>
        <w:rPr>
          <w:rFonts w:eastAsia="Calibri"/>
        </w:rPr>
      </w:pPr>
      <w:r w:rsidRPr="00E372C1">
        <w:rPr>
          <w:rFonts w:eastAsia="Calibri"/>
        </w:rPr>
        <w:t xml:space="preserve">Part 9, Division 3 of the </w:t>
      </w:r>
      <w:hyperlink r:id="rId15" w:history="1">
        <w:r w:rsidRPr="00D625B6">
          <w:rPr>
            <w:rStyle w:val="Hyperlink"/>
          </w:rPr>
          <w:t>VET Student Loans Rules 2016</w:t>
        </w:r>
      </w:hyperlink>
    </w:p>
    <w:p w14:paraId="3502991C" w14:textId="77777777" w:rsidR="00E372C1" w:rsidRPr="002569E3" w:rsidRDefault="00E372C1" w:rsidP="002569E3">
      <w:pPr>
        <w:spacing w:before="240" w:after="120" w:line="240" w:lineRule="auto"/>
        <w:outlineLvl w:val="0"/>
        <w:rPr>
          <w:rFonts w:ascii="Calibri" w:eastAsia="Times New Roman" w:hAnsi="Calibri" w:cs="Times New Roman"/>
          <w:bCs/>
          <w:color w:val="1E3D6B"/>
          <w:sz w:val="32"/>
          <w:szCs w:val="32"/>
        </w:rPr>
      </w:pPr>
      <w:r w:rsidRPr="002569E3">
        <w:rPr>
          <w:rFonts w:ascii="Calibri" w:eastAsia="Times New Roman" w:hAnsi="Calibri" w:cs="Times New Roman"/>
          <w:bCs/>
          <w:color w:val="1E3D6B"/>
          <w:sz w:val="32"/>
          <w:szCs w:val="32"/>
        </w:rPr>
        <w:t>Further Information</w:t>
      </w:r>
    </w:p>
    <w:p w14:paraId="221FA523" w14:textId="41D1E543" w:rsidR="00D32C08" w:rsidRPr="00D32C08" w:rsidRDefault="002569E3" w:rsidP="00D32C08">
      <w:bookmarkStart w:id="1" w:name="_Hlk50117552"/>
      <w:r w:rsidRPr="002569E3">
        <w:t xml:space="preserve">If you would like further information, please email </w:t>
      </w:r>
      <w:hyperlink r:id="rId16" w:history="1">
        <w:r w:rsidR="00A328B6" w:rsidRPr="001C6127">
          <w:rPr>
            <w:rStyle w:val="Hyperlink"/>
          </w:rPr>
          <w:t>VFHVSLPayments@dewr.gov.au</w:t>
        </w:r>
      </w:hyperlink>
      <w:bookmarkEnd w:id="1"/>
      <w:r w:rsidR="00FF1560">
        <w:t>.</w:t>
      </w:r>
      <w:bookmarkEnd w:id="0"/>
    </w:p>
    <w:sectPr w:rsidR="00D32C08" w:rsidRPr="00D32C08" w:rsidSect="000D737E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991" w:bottom="709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33BD0" w14:textId="77777777" w:rsidR="007066A0" w:rsidRDefault="007066A0" w:rsidP="00717D10">
      <w:pPr>
        <w:spacing w:after="0" w:line="240" w:lineRule="auto"/>
      </w:pPr>
      <w:r>
        <w:separator/>
      </w:r>
    </w:p>
  </w:endnote>
  <w:endnote w:type="continuationSeparator" w:id="0">
    <w:p w14:paraId="6AC2F857" w14:textId="77777777" w:rsidR="007066A0" w:rsidRDefault="007066A0" w:rsidP="0071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4915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E0100" w14:textId="45B630F5" w:rsidR="00890E34" w:rsidRDefault="00890E34" w:rsidP="00890E34">
        <w:pPr>
          <w:pStyle w:val="Footer"/>
          <w:ind w:right="403"/>
          <w:jc w:val="right"/>
        </w:pPr>
        <w:r>
          <w:rPr>
            <w:noProof/>
            <w:lang w:eastAsia="en-AU"/>
          </w:rPr>
          <w:drawing>
            <wp:anchor distT="0" distB="0" distL="114300" distR="114300" simplePos="0" relativeHeight="251661312" behindDoc="1" locked="0" layoutInCell="1" allowOverlap="1" wp14:anchorId="17C14882" wp14:editId="0CA5AF60">
              <wp:simplePos x="0" y="0"/>
              <wp:positionH relativeFrom="column">
                <wp:posOffset>-895350</wp:posOffset>
              </wp:positionH>
              <wp:positionV relativeFrom="paragraph">
                <wp:posOffset>170180</wp:posOffset>
              </wp:positionV>
              <wp:extent cx="7624445" cy="636270"/>
              <wp:effectExtent l="0" t="0" r="0" b="0"/>
              <wp:wrapNone/>
              <wp:docPr id="8" name="Picture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Work in Progress\_Education\ED16-0222 - 815068 - VET Student Loan Factsheets\links\ED16-0222 - 815068 - VET Student Loan Factsheets_Footer_01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4445" cy="63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3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B2E6D2" w14:textId="46D37002" w:rsidR="00553320" w:rsidRDefault="005533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0099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619BF" w14:textId="30E5BE4A" w:rsidR="00046838" w:rsidRDefault="00046838" w:rsidP="00890E34">
        <w:pPr>
          <w:pStyle w:val="Footer"/>
          <w:ind w:right="403"/>
          <w:jc w:val="right"/>
        </w:pPr>
        <w:r>
          <w:rPr>
            <w:noProof/>
            <w:lang w:eastAsia="en-AU"/>
          </w:rPr>
          <w:drawing>
            <wp:anchor distT="0" distB="0" distL="114300" distR="114300" simplePos="0" relativeHeight="251659264" behindDoc="1" locked="0" layoutInCell="1" allowOverlap="1" wp14:anchorId="2F3D67FD" wp14:editId="4B45B4F7">
              <wp:simplePos x="0" y="0"/>
              <wp:positionH relativeFrom="column">
                <wp:posOffset>-904875</wp:posOffset>
              </wp:positionH>
              <wp:positionV relativeFrom="paragraph">
                <wp:posOffset>170180</wp:posOffset>
              </wp:positionV>
              <wp:extent cx="7624445" cy="636270"/>
              <wp:effectExtent l="0" t="0" r="0" b="0"/>
              <wp:wrapNone/>
              <wp:docPr id="7" name="Pictur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Work in Progress\_Education\ED16-0222 - 815068 - VET Student Loan Factsheets\links\ED16-0222 - 815068 - VET Student Loan Factsheets_Footer_01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4445" cy="63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58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6A5DDFE" w14:textId="551D0EAD" w:rsidR="00046838" w:rsidRDefault="000468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2059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BB826" w14:textId="1FC2589C" w:rsidR="00914337" w:rsidRDefault="00914337">
        <w:pPr>
          <w:pStyle w:val="Footer"/>
          <w:jc w:val="right"/>
        </w:pPr>
        <w:r>
          <w:rPr>
            <w:noProof/>
            <w:lang w:eastAsia="en-AU"/>
          </w:rPr>
          <w:drawing>
            <wp:anchor distT="0" distB="0" distL="114300" distR="114300" simplePos="0" relativeHeight="251663360" behindDoc="1" locked="0" layoutInCell="1" allowOverlap="1" wp14:anchorId="3CCE2843" wp14:editId="4C3C3F52">
              <wp:simplePos x="0" y="0"/>
              <wp:positionH relativeFrom="column">
                <wp:posOffset>-904875</wp:posOffset>
              </wp:positionH>
              <wp:positionV relativeFrom="paragraph">
                <wp:posOffset>170180</wp:posOffset>
              </wp:positionV>
              <wp:extent cx="7624445" cy="636270"/>
              <wp:effectExtent l="0" t="0" r="0" b="0"/>
              <wp:wrapNone/>
              <wp:docPr id="6" name="Pictur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Work in Progress\_Education\ED16-0222 - 815068 - VET Student Loan Factsheets\links\ED16-0222 - 815068 - VET Student Loan Factsheets_Footer_01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4445" cy="63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5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5144A8" w14:textId="37BC3581" w:rsidR="00914337" w:rsidRDefault="00914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1F2CB" w14:textId="77777777" w:rsidR="007066A0" w:rsidRDefault="007066A0" w:rsidP="00717D10">
      <w:pPr>
        <w:spacing w:after="0" w:line="240" w:lineRule="auto"/>
      </w:pPr>
      <w:r>
        <w:separator/>
      </w:r>
    </w:p>
  </w:footnote>
  <w:footnote w:type="continuationSeparator" w:id="0">
    <w:p w14:paraId="4F79C7D4" w14:textId="77777777" w:rsidR="007066A0" w:rsidRDefault="007066A0" w:rsidP="00717D10">
      <w:pPr>
        <w:spacing w:after="0" w:line="240" w:lineRule="auto"/>
      </w:pPr>
      <w:r>
        <w:continuationSeparator/>
      </w:r>
    </w:p>
  </w:footnote>
  <w:footnote w:id="1">
    <w:p w14:paraId="788E96B5" w14:textId="1F455F72" w:rsidR="002569E3" w:rsidRDefault="002569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569E3">
        <w:t>The amount of the application fee is set in the VET Student Loans (Approved Course Provider Application Fee) Determination 2017.</w:t>
      </w:r>
    </w:p>
  </w:footnote>
  <w:footnote w:id="2">
    <w:p w14:paraId="2A88C7DD" w14:textId="04D513E9" w:rsidR="002569E3" w:rsidRDefault="002569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569E3">
        <w:t xml:space="preserve">The amount of the annual charge is set out in the </w:t>
      </w:r>
      <w:r w:rsidRPr="002569E3">
        <w:rPr>
          <w:iCs/>
        </w:rPr>
        <w:t>VET Student Loans (Charges) Regulations 2017</w:t>
      </w:r>
      <w:r w:rsidRPr="002569E3">
        <w:t>.</w:t>
      </w:r>
    </w:p>
  </w:footnote>
  <w:footnote w:id="3">
    <w:p w14:paraId="0B5B3E12" w14:textId="740BC713" w:rsidR="002569E3" w:rsidRDefault="002569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569E3">
        <w:t xml:space="preserve">The amount of the late payment penalty is calculated under section 159 of the </w:t>
      </w:r>
      <w:r w:rsidRPr="002569E3">
        <w:rPr>
          <w:iCs/>
        </w:rPr>
        <w:t>VET Student Loans Rules 2016</w:t>
      </w:r>
      <w:r w:rsidRPr="002569E3">
        <w:t>. It is approximately 0.055% of the annual charge for each day that the annual charge remains unpaid.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E0D5" w14:textId="4671F735" w:rsidR="00054523" w:rsidRDefault="00054523" w:rsidP="00553320">
    <w:pPr>
      <w:pStyle w:val="Header"/>
      <w:ind w:hanging="141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A08B" w14:textId="090E588E" w:rsidR="000D737E" w:rsidRPr="000D737E" w:rsidRDefault="000D737E" w:rsidP="000D737E">
    <w:pPr>
      <w:pStyle w:val="Header"/>
      <w:ind w:hanging="1418"/>
    </w:pPr>
    <w:r>
      <w:rPr>
        <w:noProof/>
        <w:lang w:eastAsia="en-AU"/>
      </w:rPr>
      <w:drawing>
        <wp:inline distT="0" distB="0" distL="0" distR="0" wp14:anchorId="5E9BE171" wp14:editId="35D57451">
          <wp:extent cx="7559675" cy="878205"/>
          <wp:effectExtent l="0" t="0" r="3175" b="0"/>
          <wp:docPr id="3" name="Picture 3" descr="Australian Government logo and VET Student Loan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878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4942CF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B46B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356552"/>
    <w:multiLevelType w:val="hybridMultilevel"/>
    <w:tmpl w:val="80C8F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7093A"/>
    <w:multiLevelType w:val="hybridMultilevel"/>
    <w:tmpl w:val="4C2CBE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558C3"/>
    <w:multiLevelType w:val="hybridMultilevel"/>
    <w:tmpl w:val="0234E0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14729"/>
    <w:multiLevelType w:val="hybridMultilevel"/>
    <w:tmpl w:val="7F02D76C"/>
    <w:lvl w:ilvl="0" w:tplc="33C8D1D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82C9AA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C81926"/>
    <w:multiLevelType w:val="hybridMultilevel"/>
    <w:tmpl w:val="DB12E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57457"/>
    <w:multiLevelType w:val="multilevel"/>
    <w:tmpl w:val="3AECE86E"/>
    <w:name w:val="List number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8F36997"/>
    <w:multiLevelType w:val="hybridMultilevel"/>
    <w:tmpl w:val="2D1CF6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53E4C"/>
    <w:multiLevelType w:val="multilevel"/>
    <w:tmpl w:val="F1481754"/>
    <w:name w:val="List number2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EE0AE4"/>
    <w:multiLevelType w:val="multilevel"/>
    <w:tmpl w:val="01D6F1A6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pStyle w:val="ListNumber4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pStyle w:val="ListNumber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26D4FF6"/>
    <w:multiLevelType w:val="hybridMultilevel"/>
    <w:tmpl w:val="8A1A7C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96A34"/>
    <w:multiLevelType w:val="multilevel"/>
    <w:tmpl w:val="1DD82DA6"/>
    <w:name w:val="List number3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B0732AD"/>
    <w:multiLevelType w:val="multilevel"/>
    <w:tmpl w:val="F6DA8B36"/>
    <w:styleLink w:val="Numbere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457710E"/>
    <w:multiLevelType w:val="hybridMultilevel"/>
    <w:tmpl w:val="C9181356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0FF0698"/>
    <w:multiLevelType w:val="multilevel"/>
    <w:tmpl w:val="5604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0A20EE"/>
    <w:multiLevelType w:val="hybridMultilevel"/>
    <w:tmpl w:val="6E60E554"/>
    <w:lvl w:ilvl="0" w:tplc="7C1A9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821E37"/>
    <w:multiLevelType w:val="hybridMultilevel"/>
    <w:tmpl w:val="4E86DA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63A1B"/>
    <w:multiLevelType w:val="hybridMultilevel"/>
    <w:tmpl w:val="CF102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A20C8"/>
    <w:multiLevelType w:val="multilevel"/>
    <w:tmpl w:val="8FBE0AEE"/>
    <w:styleLink w:val="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737" w:hanging="34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o"/>
      <w:lvlJc w:val="left"/>
      <w:pPr>
        <w:ind w:left="1531" w:hanging="397"/>
      </w:pPr>
      <w:rPr>
        <w:rFonts w:ascii="Courier New" w:hAnsi="Courier New" w:hint="default"/>
      </w:rPr>
    </w:lvl>
    <w:lvl w:ilvl="4">
      <w:start w:val="1"/>
      <w:numFmt w:val="bullet"/>
      <w:pStyle w:val="ListBullet5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48236F"/>
    <w:multiLevelType w:val="hybridMultilevel"/>
    <w:tmpl w:val="C9CC1E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71DBA"/>
    <w:multiLevelType w:val="hybridMultilevel"/>
    <w:tmpl w:val="5ACE0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B4BE5"/>
    <w:multiLevelType w:val="hybridMultilevel"/>
    <w:tmpl w:val="8826B1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51E73"/>
    <w:multiLevelType w:val="hybridMultilevel"/>
    <w:tmpl w:val="CF28C5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E53D4"/>
    <w:multiLevelType w:val="multilevel"/>
    <w:tmpl w:val="9D9E4B96"/>
    <w:styleLink w:val="Bulle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37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531" w:hanging="397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22"/>
  </w:num>
  <w:num w:numId="5">
    <w:abstractNumId w:val="9"/>
  </w:num>
  <w:num w:numId="6">
    <w:abstractNumId w:val="11"/>
  </w:num>
  <w:num w:numId="7">
    <w:abstractNumId w:val="20"/>
  </w:num>
  <w:num w:numId="8">
    <w:abstractNumId w:val="6"/>
  </w:num>
  <w:num w:numId="9">
    <w:abstractNumId w:val="20"/>
  </w:num>
  <w:num w:numId="10">
    <w:abstractNumId w:val="15"/>
  </w:num>
  <w:num w:numId="11">
    <w:abstractNumId w:val="20"/>
  </w:num>
  <w:num w:numId="12">
    <w:abstractNumId w:val="20"/>
  </w:num>
  <w:num w:numId="13">
    <w:abstractNumId w:val="23"/>
  </w:num>
  <w:num w:numId="14">
    <w:abstractNumId w:val="7"/>
  </w:num>
  <w:num w:numId="15">
    <w:abstractNumId w:val="20"/>
  </w:num>
  <w:num w:numId="16">
    <w:abstractNumId w:val="16"/>
  </w:num>
  <w:num w:numId="17">
    <w:abstractNumId w:val="20"/>
  </w:num>
  <w:num w:numId="18">
    <w:abstractNumId w:val="20"/>
  </w:num>
  <w:num w:numId="19">
    <w:abstractNumId w:val="20"/>
  </w:num>
  <w:num w:numId="20">
    <w:abstractNumId w:val="2"/>
  </w:num>
  <w:num w:numId="21">
    <w:abstractNumId w:val="24"/>
  </w:num>
  <w:num w:numId="22">
    <w:abstractNumId w:val="0"/>
  </w:num>
  <w:num w:numId="23">
    <w:abstractNumId w:val="14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8"/>
  </w:num>
  <w:num w:numId="29">
    <w:abstractNumId w:val="10"/>
  </w:num>
  <w:num w:numId="30">
    <w:abstractNumId w:val="13"/>
  </w:num>
  <w:num w:numId="31">
    <w:abstractNumId w:val="5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21"/>
  </w:num>
  <w:num w:numId="40">
    <w:abstractNumId w:val="20"/>
  </w:num>
  <w:num w:numId="41">
    <w:abstractNumId w:val="20"/>
  </w:num>
  <w:num w:numId="42">
    <w:abstractNumId w:val="4"/>
  </w:num>
  <w:num w:numId="43">
    <w:abstractNumId w:val="17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10"/>
    <w:rsid w:val="000002D9"/>
    <w:rsid w:val="0000260F"/>
    <w:rsid w:val="000132FF"/>
    <w:rsid w:val="00017EB3"/>
    <w:rsid w:val="00020409"/>
    <w:rsid w:val="000433E3"/>
    <w:rsid w:val="00046838"/>
    <w:rsid w:val="00047268"/>
    <w:rsid w:val="0005346E"/>
    <w:rsid w:val="00054523"/>
    <w:rsid w:val="0006240C"/>
    <w:rsid w:val="000947EF"/>
    <w:rsid w:val="000D737E"/>
    <w:rsid w:val="000E521B"/>
    <w:rsid w:val="000F56C0"/>
    <w:rsid w:val="00103A85"/>
    <w:rsid w:val="00140B83"/>
    <w:rsid w:val="00140C23"/>
    <w:rsid w:val="001548DE"/>
    <w:rsid w:val="00155AF8"/>
    <w:rsid w:val="00162AFA"/>
    <w:rsid w:val="001670E5"/>
    <w:rsid w:val="0017080A"/>
    <w:rsid w:val="00175452"/>
    <w:rsid w:val="001907B3"/>
    <w:rsid w:val="00193491"/>
    <w:rsid w:val="001A1304"/>
    <w:rsid w:val="002031D4"/>
    <w:rsid w:val="002273CB"/>
    <w:rsid w:val="002405D1"/>
    <w:rsid w:val="0024416C"/>
    <w:rsid w:val="002569E3"/>
    <w:rsid w:val="00262CA5"/>
    <w:rsid w:val="00282D66"/>
    <w:rsid w:val="00290E36"/>
    <w:rsid w:val="002A1074"/>
    <w:rsid w:val="002D7757"/>
    <w:rsid w:val="00304F5B"/>
    <w:rsid w:val="00320EE5"/>
    <w:rsid w:val="003236BF"/>
    <w:rsid w:val="00330F75"/>
    <w:rsid w:val="0033585A"/>
    <w:rsid w:val="003364C8"/>
    <w:rsid w:val="00361CB5"/>
    <w:rsid w:val="00365347"/>
    <w:rsid w:val="00372C0B"/>
    <w:rsid w:val="0037677E"/>
    <w:rsid w:val="00385010"/>
    <w:rsid w:val="00392B02"/>
    <w:rsid w:val="003E612E"/>
    <w:rsid w:val="003E65A1"/>
    <w:rsid w:val="003F1487"/>
    <w:rsid w:val="00410BF3"/>
    <w:rsid w:val="00413ABE"/>
    <w:rsid w:val="00414E8E"/>
    <w:rsid w:val="004152BF"/>
    <w:rsid w:val="004376BC"/>
    <w:rsid w:val="00437A72"/>
    <w:rsid w:val="00445099"/>
    <w:rsid w:val="0045406A"/>
    <w:rsid w:val="004619DE"/>
    <w:rsid w:val="004702C7"/>
    <w:rsid w:val="00483ADB"/>
    <w:rsid w:val="004A40A5"/>
    <w:rsid w:val="004B0ADF"/>
    <w:rsid w:val="004C14E3"/>
    <w:rsid w:val="004D0C3F"/>
    <w:rsid w:val="004D2843"/>
    <w:rsid w:val="004F078A"/>
    <w:rsid w:val="004F6B11"/>
    <w:rsid w:val="004F7003"/>
    <w:rsid w:val="005059B9"/>
    <w:rsid w:val="005322A5"/>
    <w:rsid w:val="00542571"/>
    <w:rsid w:val="00542B25"/>
    <w:rsid w:val="005460E4"/>
    <w:rsid w:val="00553320"/>
    <w:rsid w:val="0055606F"/>
    <w:rsid w:val="00557FC4"/>
    <w:rsid w:val="005615CD"/>
    <w:rsid w:val="00570092"/>
    <w:rsid w:val="00584A1F"/>
    <w:rsid w:val="005970B7"/>
    <w:rsid w:val="005C2230"/>
    <w:rsid w:val="005C26D5"/>
    <w:rsid w:val="005E2F2B"/>
    <w:rsid w:val="00621C9E"/>
    <w:rsid w:val="006268F4"/>
    <w:rsid w:val="0065092C"/>
    <w:rsid w:val="00651D5D"/>
    <w:rsid w:val="006716C7"/>
    <w:rsid w:val="00676EF7"/>
    <w:rsid w:val="0069369D"/>
    <w:rsid w:val="00693728"/>
    <w:rsid w:val="00695771"/>
    <w:rsid w:val="006A600E"/>
    <w:rsid w:val="006A6E56"/>
    <w:rsid w:val="006B4453"/>
    <w:rsid w:val="006C5975"/>
    <w:rsid w:val="006C6F84"/>
    <w:rsid w:val="006D606B"/>
    <w:rsid w:val="006E203A"/>
    <w:rsid w:val="006F672D"/>
    <w:rsid w:val="006F6A03"/>
    <w:rsid w:val="007042B0"/>
    <w:rsid w:val="007066A0"/>
    <w:rsid w:val="007118DD"/>
    <w:rsid w:val="007157A2"/>
    <w:rsid w:val="00717D10"/>
    <w:rsid w:val="00721990"/>
    <w:rsid w:val="00745195"/>
    <w:rsid w:val="007451E9"/>
    <w:rsid w:val="00750A90"/>
    <w:rsid w:val="00757B36"/>
    <w:rsid w:val="00761D35"/>
    <w:rsid w:val="00785AB7"/>
    <w:rsid w:val="007C2896"/>
    <w:rsid w:val="008009EB"/>
    <w:rsid w:val="008020E0"/>
    <w:rsid w:val="00803E57"/>
    <w:rsid w:val="00835275"/>
    <w:rsid w:val="0083572F"/>
    <w:rsid w:val="008501FB"/>
    <w:rsid w:val="0088046D"/>
    <w:rsid w:val="0088518B"/>
    <w:rsid w:val="00890E34"/>
    <w:rsid w:val="008B09A1"/>
    <w:rsid w:val="008B49BB"/>
    <w:rsid w:val="008C31CD"/>
    <w:rsid w:val="008C517C"/>
    <w:rsid w:val="008C6EEF"/>
    <w:rsid w:val="008D7570"/>
    <w:rsid w:val="008E2742"/>
    <w:rsid w:val="008F0B13"/>
    <w:rsid w:val="008F1018"/>
    <w:rsid w:val="008F2C78"/>
    <w:rsid w:val="009068AB"/>
    <w:rsid w:val="00914337"/>
    <w:rsid w:val="00916D6B"/>
    <w:rsid w:val="00917B95"/>
    <w:rsid w:val="00932D07"/>
    <w:rsid w:val="00947BB5"/>
    <w:rsid w:val="0095275B"/>
    <w:rsid w:val="009546E4"/>
    <w:rsid w:val="0096078A"/>
    <w:rsid w:val="009766AA"/>
    <w:rsid w:val="00995C84"/>
    <w:rsid w:val="009973AF"/>
    <w:rsid w:val="009B0736"/>
    <w:rsid w:val="009B5CE1"/>
    <w:rsid w:val="009C0792"/>
    <w:rsid w:val="009C2C1A"/>
    <w:rsid w:val="009C32E8"/>
    <w:rsid w:val="009D1143"/>
    <w:rsid w:val="009D4CB6"/>
    <w:rsid w:val="00A328B6"/>
    <w:rsid w:val="00A34110"/>
    <w:rsid w:val="00A478BA"/>
    <w:rsid w:val="00A61564"/>
    <w:rsid w:val="00A67229"/>
    <w:rsid w:val="00A8428A"/>
    <w:rsid w:val="00AA5670"/>
    <w:rsid w:val="00AB3CBA"/>
    <w:rsid w:val="00AE0E21"/>
    <w:rsid w:val="00AE4E35"/>
    <w:rsid w:val="00AE5016"/>
    <w:rsid w:val="00AF0E0D"/>
    <w:rsid w:val="00AF1FE9"/>
    <w:rsid w:val="00AF5F7D"/>
    <w:rsid w:val="00B041B4"/>
    <w:rsid w:val="00B13FD1"/>
    <w:rsid w:val="00B20069"/>
    <w:rsid w:val="00B30BAB"/>
    <w:rsid w:val="00B37D7F"/>
    <w:rsid w:val="00B436C7"/>
    <w:rsid w:val="00B45106"/>
    <w:rsid w:val="00B45AA4"/>
    <w:rsid w:val="00B60F84"/>
    <w:rsid w:val="00B6139E"/>
    <w:rsid w:val="00B61BE5"/>
    <w:rsid w:val="00B676BC"/>
    <w:rsid w:val="00B927FA"/>
    <w:rsid w:val="00B96BDE"/>
    <w:rsid w:val="00BA5E54"/>
    <w:rsid w:val="00BB4F85"/>
    <w:rsid w:val="00BC1E8B"/>
    <w:rsid w:val="00BC6A56"/>
    <w:rsid w:val="00BD156E"/>
    <w:rsid w:val="00BD6386"/>
    <w:rsid w:val="00BD7BBF"/>
    <w:rsid w:val="00BF6090"/>
    <w:rsid w:val="00C0788F"/>
    <w:rsid w:val="00C13816"/>
    <w:rsid w:val="00C1418C"/>
    <w:rsid w:val="00C14DFC"/>
    <w:rsid w:val="00C2679F"/>
    <w:rsid w:val="00C276AA"/>
    <w:rsid w:val="00C61BD2"/>
    <w:rsid w:val="00C76EAA"/>
    <w:rsid w:val="00C90F7B"/>
    <w:rsid w:val="00CA18E6"/>
    <w:rsid w:val="00CA50A9"/>
    <w:rsid w:val="00CA5802"/>
    <w:rsid w:val="00CA5EAE"/>
    <w:rsid w:val="00CD0522"/>
    <w:rsid w:val="00D06B69"/>
    <w:rsid w:val="00D10F2D"/>
    <w:rsid w:val="00D32C08"/>
    <w:rsid w:val="00D35296"/>
    <w:rsid w:val="00D35E56"/>
    <w:rsid w:val="00D5005E"/>
    <w:rsid w:val="00D56AB9"/>
    <w:rsid w:val="00D60CDA"/>
    <w:rsid w:val="00D625B6"/>
    <w:rsid w:val="00D74B04"/>
    <w:rsid w:val="00D76EED"/>
    <w:rsid w:val="00D82EEB"/>
    <w:rsid w:val="00D84357"/>
    <w:rsid w:val="00D84540"/>
    <w:rsid w:val="00D90E35"/>
    <w:rsid w:val="00DA07EE"/>
    <w:rsid w:val="00DA0C29"/>
    <w:rsid w:val="00DA5547"/>
    <w:rsid w:val="00DA76B2"/>
    <w:rsid w:val="00DB0B87"/>
    <w:rsid w:val="00DC72C8"/>
    <w:rsid w:val="00DD40C8"/>
    <w:rsid w:val="00DF254A"/>
    <w:rsid w:val="00DF2CC9"/>
    <w:rsid w:val="00DF50A1"/>
    <w:rsid w:val="00E03469"/>
    <w:rsid w:val="00E06497"/>
    <w:rsid w:val="00E2221D"/>
    <w:rsid w:val="00E31F02"/>
    <w:rsid w:val="00E372C1"/>
    <w:rsid w:val="00E47001"/>
    <w:rsid w:val="00E6532F"/>
    <w:rsid w:val="00E71A83"/>
    <w:rsid w:val="00E86FFA"/>
    <w:rsid w:val="00E924D9"/>
    <w:rsid w:val="00EB7582"/>
    <w:rsid w:val="00ED0A29"/>
    <w:rsid w:val="00ED1175"/>
    <w:rsid w:val="00F06CDB"/>
    <w:rsid w:val="00F078BC"/>
    <w:rsid w:val="00F20EA5"/>
    <w:rsid w:val="00F23E2C"/>
    <w:rsid w:val="00F44260"/>
    <w:rsid w:val="00F7456A"/>
    <w:rsid w:val="00F8004E"/>
    <w:rsid w:val="00F80AE2"/>
    <w:rsid w:val="00F948F8"/>
    <w:rsid w:val="00F97231"/>
    <w:rsid w:val="00FA1BA3"/>
    <w:rsid w:val="00FA3427"/>
    <w:rsid w:val="00FB619D"/>
    <w:rsid w:val="00FD0A90"/>
    <w:rsid w:val="00FD236D"/>
    <w:rsid w:val="00FD565E"/>
    <w:rsid w:val="00FF031B"/>
    <w:rsid w:val="00FF1560"/>
    <w:rsid w:val="00FF18FD"/>
    <w:rsid w:val="00FF1DBC"/>
    <w:rsid w:val="00FF4353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FE2C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5A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2"/>
    <w:qFormat/>
    <w:rsid w:val="00E65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32F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761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C13816"/>
    <w:pPr>
      <w:spacing w:before="240" w:after="0"/>
      <w:outlineLvl w:val="3"/>
    </w:pPr>
    <w:rPr>
      <w:rFonts w:ascii="Calibri" w:eastAsiaTheme="majorEastAsia" w:hAnsi="Calibri" w:cstheme="majorBidi"/>
      <w:bCs/>
      <w:iCs/>
      <w:sz w:val="28"/>
      <w:szCs w:val="28"/>
      <w14:ligatures w14:val="standard"/>
    </w:rPr>
  </w:style>
  <w:style w:type="paragraph" w:styleId="Heading5">
    <w:name w:val="heading 5"/>
    <w:basedOn w:val="Normal"/>
    <w:next w:val="Normal"/>
    <w:link w:val="Heading5Char"/>
    <w:uiPriority w:val="2"/>
    <w:qFormat/>
    <w:rsid w:val="00C13816"/>
    <w:pPr>
      <w:spacing w:before="200" w:after="0"/>
      <w:outlineLvl w:val="4"/>
    </w:pPr>
    <w:rPr>
      <w:rFonts w:ascii="Calibri" w:eastAsiaTheme="majorEastAsia" w:hAnsi="Calibri" w:cstheme="majorBidi"/>
      <w:b/>
      <w:bCs/>
      <w:color w:val="565656"/>
      <w:sz w:val="28"/>
      <w:szCs w:val="28"/>
      <w14:ligatures w14:val="standard"/>
    </w:rPr>
  </w:style>
  <w:style w:type="paragraph" w:styleId="Heading6">
    <w:name w:val="heading 6"/>
    <w:basedOn w:val="Normal"/>
    <w:next w:val="Normal"/>
    <w:link w:val="Heading6Char"/>
    <w:uiPriority w:val="2"/>
    <w:qFormat/>
    <w:rsid w:val="00C13816"/>
    <w:pPr>
      <w:spacing w:before="200" w:after="0"/>
      <w:outlineLvl w:val="5"/>
    </w:pPr>
    <w:rPr>
      <w:rFonts w:ascii="Calibri" w:eastAsiaTheme="majorEastAsia" w:hAnsi="Calibri" w:cstheme="majorBidi"/>
      <w:bCs/>
      <w:iCs/>
      <w:color w:val="565656"/>
      <w:sz w:val="24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7D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7D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7D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717D10"/>
    <w:rPr>
      <w:vertAlign w:val="superscript"/>
    </w:rPr>
  </w:style>
  <w:style w:type="paragraph" w:styleId="ListParagraph">
    <w:name w:val="List Paragraph"/>
    <w:aliases w:val="0Bullet,Bullet Point,Bullet point,Bullet points,Content descriptions,DDM Gen Text,Dot point 1.5 line spacing,Indented bullet,L,List Paragraph - bullets,List Paragraph1,List Paragraph11,List Paragraph2,Recommendation,bullet point list"/>
    <w:basedOn w:val="Normal"/>
    <w:link w:val="ListParagraphChar"/>
    <w:uiPriority w:val="34"/>
    <w:qFormat/>
    <w:rsid w:val="00F23E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D5005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6D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D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D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D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D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6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7"/>
    <w:qFormat/>
    <w:rsid w:val="00D625B6"/>
    <w:pPr>
      <w:spacing w:before="720" w:after="180" w:line="240" w:lineRule="auto"/>
      <w:contextualSpacing/>
    </w:pPr>
    <w:rPr>
      <w:rFonts w:ascii="Calibri" w:eastAsiaTheme="majorEastAsia" w:hAnsi="Calibri" w:cstheme="majorBidi"/>
      <w:noProof/>
      <w:color w:val="24206C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7"/>
    <w:rsid w:val="00D625B6"/>
    <w:rPr>
      <w:rFonts w:ascii="Calibri" w:eastAsiaTheme="majorEastAsia" w:hAnsi="Calibri" w:cstheme="majorBidi"/>
      <w:noProof/>
      <w:color w:val="24206C"/>
      <w:spacing w:val="5"/>
      <w:kern w:val="28"/>
      <w:sz w:val="60"/>
      <w:szCs w:val="60"/>
    </w:rPr>
  </w:style>
  <w:style w:type="paragraph" w:styleId="Header">
    <w:name w:val="header"/>
    <w:basedOn w:val="Normal"/>
    <w:link w:val="HeaderChar"/>
    <w:uiPriority w:val="99"/>
    <w:unhideWhenUsed/>
    <w:rsid w:val="00054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523"/>
  </w:style>
  <w:style w:type="paragraph" w:styleId="Footer">
    <w:name w:val="footer"/>
    <w:basedOn w:val="Normal"/>
    <w:link w:val="FooterChar"/>
    <w:uiPriority w:val="99"/>
    <w:unhideWhenUsed/>
    <w:rsid w:val="00054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523"/>
  </w:style>
  <w:style w:type="character" w:styleId="Strong">
    <w:name w:val="Strong"/>
    <w:uiPriority w:val="11"/>
    <w:qFormat/>
    <w:rsid w:val="00C76EAA"/>
    <w:rPr>
      <w:b/>
      <w:bCs/>
    </w:rPr>
  </w:style>
  <w:style w:type="paragraph" w:styleId="ListNumber">
    <w:name w:val="List Number"/>
    <w:basedOn w:val="Normal"/>
    <w:uiPriority w:val="99"/>
    <w:unhideWhenUsed/>
    <w:qFormat/>
    <w:rsid w:val="00C76EAA"/>
    <w:pPr>
      <w:numPr>
        <w:numId w:val="6"/>
      </w:numPr>
      <w:spacing w:after="120"/>
      <w:contextualSpacing/>
    </w:pPr>
    <w:rPr>
      <w:rFonts w:eastAsiaTheme="minorEastAsia"/>
    </w:rPr>
  </w:style>
  <w:style w:type="paragraph" w:styleId="ListNumber2">
    <w:name w:val="List Number 2"/>
    <w:basedOn w:val="Normal"/>
    <w:uiPriority w:val="99"/>
    <w:unhideWhenUsed/>
    <w:qFormat/>
    <w:rsid w:val="00C76EAA"/>
    <w:pPr>
      <w:tabs>
        <w:tab w:val="left" w:pos="1134"/>
      </w:tabs>
      <w:spacing w:after="120"/>
      <w:contextualSpacing/>
    </w:pPr>
    <w:rPr>
      <w:rFonts w:eastAsiaTheme="minorEastAsia"/>
    </w:rPr>
  </w:style>
  <w:style w:type="paragraph" w:styleId="ListNumber3">
    <w:name w:val="List Number 3"/>
    <w:basedOn w:val="Normal"/>
    <w:uiPriority w:val="99"/>
    <w:qFormat/>
    <w:rsid w:val="00C76EAA"/>
    <w:pPr>
      <w:numPr>
        <w:ilvl w:val="2"/>
        <w:numId w:val="6"/>
      </w:numPr>
      <w:spacing w:after="120"/>
      <w:contextualSpacing/>
    </w:pPr>
    <w:rPr>
      <w:rFonts w:eastAsiaTheme="minorEastAsia"/>
    </w:rPr>
  </w:style>
  <w:style w:type="paragraph" w:styleId="ListNumber4">
    <w:name w:val="List Number 4"/>
    <w:basedOn w:val="Normal"/>
    <w:uiPriority w:val="99"/>
    <w:qFormat/>
    <w:rsid w:val="00C76EAA"/>
    <w:pPr>
      <w:numPr>
        <w:ilvl w:val="3"/>
        <w:numId w:val="6"/>
      </w:numPr>
      <w:spacing w:after="120"/>
      <w:contextualSpacing/>
    </w:pPr>
    <w:rPr>
      <w:rFonts w:eastAsiaTheme="minorEastAsia"/>
    </w:rPr>
  </w:style>
  <w:style w:type="numbering" w:customStyle="1" w:styleId="NumberedList">
    <w:name w:val="Numbered List"/>
    <w:uiPriority w:val="99"/>
    <w:rsid w:val="00C76EAA"/>
    <w:pPr>
      <w:numPr>
        <w:numId w:val="6"/>
      </w:numPr>
    </w:pPr>
  </w:style>
  <w:style w:type="paragraph" w:styleId="ListNumber5">
    <w:name w:val="List Number 5"/>
    <w:basedOn w:val="Normal"/>
    <w:uiPriority w:val="99"/>
    <w:semiHidden/>
    <w:rsid w:val="00C76EAA"/>
    <w:pPr>
      <w:numPr>
        <w:ilvl w:val="4"/>
        <w:numId w:val="6"/>
      </w:numPr>
      <w:contextualSpacing/>
    </w:pPr>
    <w:rPr>
      <w:rFonts w:eastAsiaTheme="minorEastAsia"/>
    </w:rPr>
  </w:style>
  <w:style w:type="paragraph" w:customStyle="1" w:styleId="Strongcolor">
    <w:name w:val="Strong color"/>
    <w:basedOn w:val="Normal"/>
    <w:link w:val="StrongcolorChar"/>
    <w:qFormat/>
    <w:rsid w:val="00C76EAA"/>
    <w:rPr>
      <w:b/>
      <w:color w:val="24206B"/>
      <w:spacing w:val="1"/>
    </w:rPr>
  </w:style>
  <w:style w:type="character" w:customStyle="1" w:styleId="StrongcolorChar">
    <w:name w:val="Strong color Char"/>
    <w:basedOn w:val="DefaultParagraphFont"/>
    <w:link w:val="Strongcolor"/>
    <w:rsid w:val="00C76EAA"/>
    <w:rPr>
      <w:b/>
      <w:color w:val="24206B"/>
      <w:spacing w:val="1"/>
    </w:rPr>
  </w:style>
  <w:style w:type="character" w:customStyle="1" w:styleId="Heading1Char">
    <w:name w:val="Heading 1 Char"/>
    <w:basedOn w:val="DefaultParagraphFont"/>
    <w:link w:val="Heading1"/>
    <w:uiPriority w:val="2"/>
    <w:rsid w:val="00E65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7003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qFormat/>
    <w:rsid w:val="004F7003"/>
    <w:pPr>
      <w:spacing w:after="120"/>
      <w:contextualSpacing/>
    </w:pPr>
    <w:rPr>
      <w:rFonts w:eastAsiaTheme="minorEastAsia"/>
    </w:rPr>
  </w:style>
  <w:style w:type="paragraph" w:styleId="ListBullet2">
    <w:name w:val="List Bullet 2"/>
    <w:basedOn w:val="Normal"/>
    <w:uiPriority w:val="99"/>
    <w:unhideWhenUsed/>
    <w:qFormat/>
    <w:rsid w:val="004F7003"/>
    <w:pPr>
      <w:numPr>
        <w:ilvl w:val="1"/>
        <w:numId w:val="7"/>
      </w:numPr>
      <w:spacing w:after="120"/>
      <w:contextualSpacing/>
    </w:pPr>
    <w:rPr>
      <w:rFonts w:eastAsiaTheme="minorEastAsia"/>
    </w:rPr>
  </w:style>
  <w:style w:type="paragraph" w:styleId="ListBullet3">
    <w:name w:val="List Bullet 3"/>
    <w:basedOn w:val="Normal"/>
    <w:uiPriority w:val="99"/>
    <w:qFormat/>
    <w:rsid w:val="004F7003"/>
    <w:pPr>
      <w:numPr>
        <w:ilvl w:val="2"/>
        <w:numId w:val="7"/>
      </w:numPr>
      <w:spacing w:after="120"/>
      <w:contextualSpacing/>
    </w:pPr>
    <w:rPr>
      <w:rFonts w:eastAsiaTheme="minorEastAsia"/>
    </w:rPr>
  </w:style>
  <w:style w:type="paragraph" w:styleId="ListBullet4">
    <w:name w:val="List Bullet 4"/>
    <w:basedOn w:val="Normal"/>
    <w:uiPriority w:val="99"/>
    <w:qFormat/>
    <w:rsid w:val="004F7003"/>
    <w:pPr>
      <w:numPr>
        <w:ilvl w:val="3"/>
        <w:numId w:val="7"/>
      </w:numPr>
      <w:spacing w:after="120"/>
      <w:contextualSpacing/>
    </w:pPr>
    <w:rPr>
      <w:rFonts w:eastAsiaTheme="minorEastAsia"/>
    </w:rPr>
  </w:style>
  <w:style w:type="numbering" w:customStyle="1" w:styleId="BulletList">
    <w:name w:val="Bullet List"/>
    <w:uiPriority w:val="99"/>
    <w:rsid w:val="004F7003"/>
    <w:pPr>
      <w:numPr>
        <w:numId w:val="7"/>
      </w:numPr>
    </w:pPr>
  </w:style>
  <w:style w:type="paragraph" w:styleId="ListBullet5">
    <w:name w:val="List Bullet 5"/>
    <w:basedOn w:val="Normal"/>
    <w:uiPriority w:val="99"/>
    <w:rsid w:val="004F7003"/>
    <w:pPr>
      <w:numPr>
        <w:ilvl w:val="4"/>
        <w:numId w:val="7"/>
      </w:numPr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2"/>
    <w:rsid w:val="00761D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uiPriority w:val="20"/>
    <w:qFormat/>
    <w:rsid w:val="00761D35"/>
    <w:rPr>
      <w:b w:val="0"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apple-converted-space">
    <w:name w:val="apple-converted-space"/>
    <w:basedOn w:val="DefaultParagraphFont"/>
    <w:rsid w:val="00761D35"/>
  </w:style>
  <w:style w:type="paragraph" w:styleId="NormalWeb">
    <w:name w:val="Normal (Web)"/>
    <w:basedOn w:val="Normal"/>
    <w:uiPriority w:val="99"/>
    <w:semiHidden/>
    <w:unhideWhenUsed/>
    <w:rsid w:val="006E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Revision">
    <w:name w:val="Revision"/>
    <w:hidden/>
    <w:uiPriority w:val="99"/>
    <w:semiHidden/>
    <w:rsid w:val="005460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532F"/>
    <w:rPr>
      <w:rFonts w:ascii="Calibri" w:eastAsiaTheme="majorEastAsia" w:hAnsi="Calibri" w:cstheme="majorBidi"/>
      <w:color w:val="2E74B5" w:themeColor="accent1" w:themeShade="BF"/>
      <w:sz w:val="28"/>
      <w:szCs w:val="26"/>
    </w:rPr>
  </w:style>
  <w:style w:type="numbering" w:customStyle="1" w:styleId="NumberedList1">
    <w:name w:val="Numbered List1"/>
    <w:uiPriority w:val="99"/>
    <w:rsid w:val="00C13816"/>
    <w:pPr>
      <w:numPr>
        <w:numId w:val="23"/>
      </w:numPr>
    </w:pPr>
  </w:style>
  <w:style w:type="numbering" w:customStyle="1" w:styleId="BulletList1">
    <w:name w:val="Bullet List1"/>
    <w:uiPriority w:val="99"/>
    <w:rsid w:val="00C13816"/>
    <w:pPr>
      <w:numPr>
        <w:numId w:val="25"/>
      </w:numPr>
    </w:pPr>
  </w:style>
  <w:style w:type="table" w:customStyle="1" w:styleId="JobsTable">
    <w:name w:val="Jobs Table"/>
    <w:basedOn w:val="TableNormal"/>
    <w:uiPriority w:val="99"/>
    <w:rsid w:val="00C13816"/>
    <w:pPr>
      <w:spacing w:after="0" w:line="240" w:lineRule="auto"/>
    </w:pPr>
    <w:rPr>
      <w:rFonts w:eastAsia="Times New Roman"/>
    </w:rPr>
    <w:tblPr>
      <w:tblBorders>
        <w:bottom w:val="single" w:sz="4" w:space="0" w:color="1E3D6B"/>
      </w:tblBorders>
    </w:tblPr>
    <w:tblStylePr w:type="firstRow">
      <w:pPr>
        <w:jc w:val="left"/>
      </w:pPr>
      <w:rPr>
        <w:rFonts w:ascii="Calibri" w:hAnsi="Calibri"/>
        <w:b w:val="0"/>
        <w:color w:val="F2F2F2"/>
        <w:sz w:val="22"/>
      </w:rPr>
      <w:tblPr/>
      <w:tcPr>
        <w:shd w:val="clear" w:color="auto" w:fill="287BB3"/>
      </w:tcPr>
    </w:tblStylePr>
    <w:tblStylePr w:type="firstCol">
      <w:rPr>
        <w:b/>
      </w:rPr>
    </w:tblStylePr>
  </w:style>
  <w:style w:type="paragraph" w:styleId="Subtitle">
    <w:name w:val="Subtitle"/>
    <w:basedOn w:val="Normal"/>
    <w:next w:val="Normal"/>
    <w:link w:val="SubtitleChar"/>
    <w:uiPriority w:val="8"/>
    <w:qFormat/>
    <w:rsid w:val="00C13816"/>
    <w:rPr>
      <w:rFonts w:ascii="Calibri" w:eastAsiaTheme="majorEastAsia" w:hAnsi="Calibri" w:cstheme="majorBidi"/>
      <w:iCs/>
      <w:color w:val="000000" w:themeColor="text1"/>
      <w:spacing w:val="13"/>
      <w:sz w:val="36"/>
      <w:szCs w:val="40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8"/>
    <w:rsid w:val="00C13816"/>
    <w:rPr>
      <w:rFonts w:ascii="Calibri" w:eastAsiaTheme="majorEastAsia" w:hAnsi="Calibri" w:cstheme="majorBidi"/>
      <w:iCs/>
      <w:color w:val="000000" w:themeColor="text1"/>
      <w:spacing w:val="13"/>
      <w:sz w:val="36"/>
      <w:szCs w:val="40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2"/>
    <w:rsid w:val="00C13816"/>
    <w:rPr>
      <w:rFonts w:ascii="Calibri" w:eastAsiaTheme="majorEastAsia" w:hAnsi="Calibri" w:cstheme="majorBidi"/>
      <w:bCs/>
      <w:iCs/>
      <w:sz w:val="28"/>
      <w:szCs w:val="2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2"/>
    <w:rsid w:val="00C13816"/>
    <w:rPr>
      <w:rFonts w:ascii="Calibri" w:eastAsiaTheme="majorEastAsia" w:hAnsi="Calibri" w:cstheme="majorBidi"/>
      <w:b/>
      <w:bCs/>
      <w:color w:val="565656"/>
      <w:sz w:val="28"/>
      <w:szCs w:val="28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2"/>
    <w:rsid w:val="00C13816"/>
    <w:rPr>
      <w:rFonts w:ascii="Calibri" w:eastAsiaTheme="majorEastAsia" w:hAnsi="Calibri" w:cstheme="majorBidi"/>
      <w:bCs/>
      <w:iCs/>
      <w:color w:val="565656"/>
      <w:sz w:val="24"/>
      <w14:ligatures w14:val="standard"/>
    </w:rPr>
  </w:style>
  <w:style w:type="paragraph" w:styleId="Caption">
    <w:name w:val="caption"/>
    <w:basedOn w:val="Heading4"/>
    <w:next w:val="Normal"/>
    <w:uiPriority w:val="16"/>
    <w:qFormat/>
    <w:rsid w:val="00C13816"/>
    <w:rPr>
      <w:b/>
      <w:sz w:val="22"/>
    </w:rPr>
  </w:style>
  <w:style w:type="paragraph" w:styleId="List">
    <w:name w:val="List"/>
    <w:basedOn w:val="Normal"/>
    <w:uiPriority w:val="99"/>
    <w:unhideWhenUsed/>
    <w:qFormat/>
    <w:rsid w:val="003E65A1"/>
    <w:pPr>
      <w:ind w:left="283" w:hanging="283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65A1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3E65A1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3E65A1"/>
    <w:rPr>
      <w:sz w:val="18"/>
    </w:rPr>
  </w:style>
  <w:style w:type="table" w:customStyle="1" w:styleId="DESE">
    <w:name w:val="DESE"/>
    <w:basedOn w:val="TableNormal"/>
    <w:uiPriority w:val="99"/>
    <w:rsid w:val="003E65A1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Calibri" w:hAnsi="Calibri"/>
        <w:color w:val="FFFFFF" w:themeColor="background1"/>
      </w:rPr>
      <w:tblPr/>
      <w:tcPr>
        <w:shd w:val="clear" w:color="auto" w:fill="31343D"/>
      </w:tc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customStyle="1" w:styleId="DESEnormal">
    <w:name w:val="DESE normal"/>
    <w:basedOn w:val="Normal"/>
    <w:link w:val="DESEnormalChar"/>
    <w:qFormat/>
    <w:rsid w:val="00FF18FD"/>
    <w:pPr>
      <w:spacing w:after="160" w:line="259" w:lineRule="auto"/>
    </w:pPr>
    <w:rPr>
      <w:rFonts w:ascii="Calibri" w:eastAsia="Calibri" w:hAnsi="Calibri" w:cs="Times New Roman"/>
    </w:rPr>
  </w:style>
  <w:style w:type="character" w:customStyle="1" w:styleId="DESEnormalChar">
    <w:name w:val="DESE normal Char"/>
    <w:basedOn w:val="DefaultParagraphFont"/>
    <w:link w:val="DESEnormal"/>
    <w:rsid w:val="00FF18FD"/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0Bullet Char,Bullet Point Char,Bullet point Char,Bullet points Char,Content descriptions Char,DDM Gen Text Char,Dot point 1.5 line spacing Char,Indented bullet Char,L Char,List Paragraph - bullets Char,List Paragraph1 Char"/>
    <w:link w:val="ListParagraph"/>
    <w:uiPriority w:val="34"/>
    <w:rsid w:val="00EB7582"/>
  </w:style>
  <w:style w:type="table" w:styleId="TableGrid">
    <w:name w:val="Table Grid"/>
    <w:basedOn w:val="TableNormal"/>
    <w:uiPriority w:val="39"/>
    <w:rsid w:val="00D3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37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9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5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8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43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9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5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5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1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9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0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8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egislation.gov.au/Series/C2016A00099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www.legislation.gov.au/Series/F2017L0106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VFHVSLPayments@dewr.gov.au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egislation.gov.au/Series/C2016A00098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gislation.gov.au/Series/F2016L02030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egislation.gov.au/Series/F2017L00821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FBC52F13C904AAA1CF5EC39138230" ma:contentTypeVersion="18" ma:contentTypeDescription="Create a new document." ma:contentTypeScope="" ma:versionID="03556411244c83d66f5875600dc0f244">
  <xsd:schema xmlns:xsd="http://www.w3.org/2001/XMLSchema" xmlns:xs="http://www.w3.org/2001/XMLSchema" xmlns:p="http://schemas.microsoft.com/office/2006/metadata/properties" xmlns:ns2="da686254-28fc-4a80-a15e-fc33c1b94c7e" xmlns:ns3="04a9a847-fe22-44bb-bb48-4bc4e99aed03" targetNamespace="http://schemas.microsoft.com/office/2006/metadata/properties" ma:root="true" ma:fieldsID="1bfc866ff62746da1fa24139ec597706" ns2:_="" ns3:_="">
    <xsd:import namespace="da686254-28fc-4a80-a15e-fc33c1b94c7e"/>
    <xsd:import namespace="04a9a847-fe22-44bb-bb48-4bc4e99aed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Date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86254-28fc-4a80-a15e-fc33c1b94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Date" ma:index="22" nillable="true" ma:displayName="Date" ma:description="test" ma:format="DateOnly" ma:internalName="Date">
      <xsd:simpleType>
        <xsd:restriction base="dms:DateTime"/>
      </xsd:simpleType>
    </xsd:element>
    <xsd:element name="Comments" ma:index="23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9a847-fe22-44bb-bb48-4bc4e99aed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7fe9c6c-d96a-467c-b41a-bb0452157a0a}" ma:internalName="TaxCatchAll" ma:showField="CatchAllData" ma:web="04a9a847-fe22-44bb-bb48-4bc4e99aed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686254-28fc-4a80-a15e-fc33c1b94c7e">
      <Terms xmlns="http://schemas.microsoft.com/office/infopath/2007/PartnerControls"/>
    </lcf76f155ced4ddcb4097134ff3c332f>
    <TaxCatchAll xmlns="04a9a847-fe22-44bb-bb48-4bc4e99aed03" xsi:nil="true"/>
    <Date xmlns="da686254-28fc-4a80-a15e-fc33c1b94c7e" xsi:nil="true"/>
    <Comments xmlns="da686254-28fc-4a80-a15e-fc33c1b94c7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9E4C49-10D6-4411-BC33-D7B334E39C9F}"/>
</file>

<file path=customXml/itemProps2.xml><?xml version="1.0" encoding="utf-8"?>
<ds:datastoreItem xmlns:ds="http://schemas.openxmlformats.org/officeDocument/2006/customXml" ds:itemID="{73D3FC11-A030-405F-B00C-6136AF172C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F00BF9-6605-4E2A-AD3A-B0A2CEF93C06}">
  <ds:schemaRefs>
    <ds:schemaRef ds:uri="http://schemas.microsoft.com/office/2006/metadata/properties"/>
    <ds:schemaRef ds:uri="http://schemas.microsoft.com/office/infopath/2007/PartnerControls"/>
    <ds:schemaRef ds:uri="da686254-28fc-4a80-a15e-fc33c1b94c7e"/>
    <ds:schemaRef ds:uri="04a9a847-fe22-44bb-bb48-4bc4e99aed03"/>
  </ds:schemaRefs>
</ds:datastoreItem>
</file>

<file path=customXml/itemProps4.xml><?xml version="1.0" encoding="utf-8"?>
<ds:datastoreItem xmlns:ds="http://schemas.openxmlformats.org/officeDocument/2006/customXml" ds:itemID="{DEE8C41D-2596-404C-BBE8-EB1705D83C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2022-09-12T03:45:00Z</dcterms:created>
  <dcterms:modified xsi:type="dcterms:W3CDTF">2022-09-12T03:46:00Z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2022-07-18T21:57:43Z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671273ab-500c-4ffc-8d6e-a2fa100ab64a</vt:lpwstr>
  </property>
  <property fmtid="{D5CDD505-2E9C-101B-9397-08002B2CF9AE}" pid="8" name="MSIP_Label_79d889eb-932f-4752-8739-64d25806ef64_ContentBits">
    <vt:lpwstr>0</vt:lpwstr>
  </property>
  <property fmtid="{D5CDD505-2E9C-101B-9397-08002B2CF9AE}" pid="9" name="ContentTypeId">
    <vt:lpwstr>0x010100A37FBC52F13C904AAA1CF5EC39138230</vt:lpwstr>
  </property>
</Properties>
</file>