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E427" w14:textId="2362846C" w:rsidR="003E65A1" w:rsidRPr="006D18FD" w:rsidRDefault="008A7F32" w:rsidP="00C2679F">
      <w:pPr>
        <w:pStyle w:val="Title"/>
        <w:rPr>
          <w:color w:val="292065"/>
          <w:sz w:val="60"/>
          <w:szCs w:val="60"/>
        </w:rPr>
      </w:pPr>
      <w:r>
        <w:rPr>
          <w:color w:val="292065"/>
          <w:sz w:val="60"/>
          <w:szCs w:val="60"/>
        </w:rPr>
        <w:t>VET Student Loans Courses and Loan Caps</w:t>
      </w:r>
    </w:p>
    <w:p w14:paraId="039AD619" w14:textId="77777777" w:rsidR="008A7F32" w:rsidRDefault="008A7F32" w:rsidP="008A7F32">
      <w:bookmarkStart w:id="0" w:name="_Toc30065224"/>
      <w:r>
        <w:t>VET Student Loans are income contingent loans provided by the Australian Government to support eligible students undertake high quality training for skills that are aligned to workplace needs.</w:t>
      </w:r>
    </w:p>
    <w:p w14:paraId="66143786" w14:textId="12E43504" w:rsidR="008A7F32" w:rsidRDefault="008A7F32" w:rsidP="008A7F32">
      <w:r>
        <w:t xml:space="preserve">Eligible students can access VET Student Loans for approved courses only. The </w:t>
      </w:r>
      <w:hyperlink r:id="rId8" w:history="1">
        <w:r w:rsidRPr="008A7F32">
          <w:rPr>
            <w:rStyle w:val="Hyperlink"/>
          </w:rPr>
          <w:t>VET Student Loans (Courses and Loan Caps) Determination 2016</w:t>
        </w:r>
      </w:hyperlink>
      <w:r>
        <w:rPr>
          <w:rStyle w:val="FootnoteReference"/>
          <w:i/>
        </w:rPr>
        <w:footnoteReference w:id="2"/>
      </w:r>
      <w:r>
        <w:rPr>
          <w:i/>
        </w:rPr>
        <w:t xml:space="preserve"> </w:t>
      </w:r>
      <w:r>
        <w:t>(the Determination)</w:t>
      </w:r>
      <w:r>
        <w:rPr>
          <w:i/>
        </w:rPr>
        <w:t xml:space="preserve"> </w:t>
      </w:r>
      <w:r>
        <w:t>sets out the approved courses and loan caps which may apply to all approved providers, as well as a smaller number of courses only approved for specified listed and not-for-profit providers.</w:t>
      </w:r>
    </w:p>
    <w:p w14:paraId="63A61883" w14:textId="77777777" w:rsidR="008A7F32" w:rsidRPr="008A7F32" w:rsidRDefault="008A7F32" w:rsidP="008A7F32">
      <w:pPr>
        <w:pStyle w:val="Heading1"/>
      </w:pPr>
      <w:r w:rsidRPr="008A7F32">
        <w:t>Course list</w:t>
      </w:r>
    </w:p>
    <w:p w14:paraId="76073ED1" w14:textId="77777777" w:rsidR="008A7F32" w:rsidRPr="00E53AC7" w:rsidRDefault="008A7F32" w:rsidP="00E53AC7">
      <w:pPr>
        <w:pStyle w:val="Heading2"/>
        <w:spacing w:before="0"/>
      </w:pPr>
      <w:r w:rsidRPr="00E53AC7">
        <w:t xml:space="preserve">What is the methodology for approving courses? </w:t>
      </w:r>
    </w:p>
    <w:p w14:paraId="263FD5F4" w14:textId="022B7BC0" w:rsidR="00252D8F" w:rsidRDefault="008A7F32" w:rsidP="008A7F32">
      <w:pPr>
        <w:rPr>
          <w:lang w:bidi="en-AU"/>
        </w:rPr>
      </w:pPr>
      <w:r w:rsidRPr="5EA68A8A">
        <w:rPr>
          <w:lang w:bidi="en-AU"/>
        </w:rPr>
        <w:t>Courses are added to the Determination if they</w:t>
      </w:r>
      <w:r w:rsidR="301DE8D7" w:rsidRPr="5EA68A8A">
        <w:rPr>
          <w:lang w:bidi="en-AU"/>
        </w:rPr>
        <w:t xml:space="preserve"> are at diploma and above level and</w:t>
      </w:r>
      <w:r w:rsidR="00252D8F" w:rsidRPr="5EA68A8A">
        <w:rPr>
          <w:lang w:bidi="en-AU"/>
        </w:rPr>
        <w:t>:</w:t>
      </w:r>
    </w:p>
    <w:p w14:paraId="62C3FB29" w14:textId="5F4C6532" w:rsidR="00252D8F" w:rsidRDefault="008A7F32" w:rsidP="00FD47FD">
      <w:pPr>
        <w:pStyle w:val="Bullet1"/>
        <w:rPr>
          <w:lang w:bidi="en-AU"/>
        </w:rPr>
      </w:pPr>
      <w:r w:rsidRPr="1E0C055B">
        <w:rPr>
          <w:lang w:bidi="en-AU"/>
        </w:rPr>
        <w:t xml:space="preserve"> </w:t>
      </w:r>
      <w:r w:rsidR="74FABA00" w:rsidRPr="1E0C055B">
        <w:rPr>
          <w:lang w:bidi="en-AU"/>
        </w:rPr>
        <w:t xml:space="preserve">are </w:t>
      </w:r>
      <w:r w:rsidRPr="1E0C055B">
        <w:rPr>
          <w:lang w:bidi="en-AU"/>
        </w:rPr>
        <w:t>on at least two state or territory skills needs lists</w:t>
      </w:r>
      <w:r w:rsidR="00252D8F" w:rsidRPr="1E0C055B">
        <w:rPr>
          <w:lang w:bidi="en-AU"/>
        </w:rPr>
        <w:t xml:space="preserve"> or</w:t>
      </w:r>
    </w:p>
    <w:p w14:paraId="4470D147" w14:textId="0609931D" w:rsidR="00252D8F" w:rsidRDefault="008A7F32" w:rsidP="00FD47FD">
      <w:pPr>
        <w:pStyle w:val="Bullet1"/>
        <w:rPr>
          <w:lang w:bidi="en-AU"/>
        </w:rPr>
      </w:pPr>
      <w:r w:rsidRPr="1E0C055B">
        <w:rPr>
          <w:lang w:bidi="en-AU"/>
        </w:rPr>
        <w:t xml:space="preserve"> science, technology, </w:t>
      </w:r>
      <w:proofErr w:type="gramStart"/>
      <w:r w:rsidRPr="1E0C055B">
        <w:rPr>
          <w:lang w:bidi="en-AU"/>
        </w:rPr>
        <w:t>engineering</w:t>
      </w:r>
      <w:proofErr w:type="gramEnd"/>
      <w:r w:rsidRPr="1E0C055B">
        <w:rPr>
          <w:lang w:bidi="en-AU"/>
        </w:rPr>
        <w:t xml:space="preserve"> or mathematics related</w:t>
      </w:r>
      <w:r w:rsidR="00252D8F" w:rsidRPr="1E0C055B">
        <w:rPr>
          <w:lang w:bidi="en-AU"/>
        </w:rPr>
        <w:t xml:space="preserve"> or</w:t>
      </w:r>
    </w:p>
    <w:p w14:paraId="0F01C0FB" w14:textId="3255E5C5" w:rsidR="008A7F32" w:rsidRPr="008A7F32" w:rsidRDefault="008A7F32" w:rsidP="00FD47FD">
      <w:pPr>
        <w:pStyle w:val="Bullet1"/>
        <w:rPr>
          <w:b/>
          <w:bCs/>
          <w:i/>
          <w:lang w:bidi="en-AU"/>
        </w:rPr>
      </w:pPr>
      <w:r w:rsidRPr="008A7F32">
        <w:rPr>
          <w:lang w:bidi="en-AU"/>
        </w:rPr>
        <w:t xml:space="preserve"> tied to licensing requirements for a particular occupation.</w:t>
      </w:r>
    </w:p>
    <w:p w14:paraId="515503C5" w14:textId="3EAF453F" w:rsidR="008A7F32" w:rsidRPr="008A7F32" w:rsidRDefault="008A7F32" w:rsidP="008A7F32">
      <w:pPr>
        <w:rPr>
          <w:b/>
          <w:bCs/>
          <w:i/>
          <w:lang w:bidi="en-AU"/>
        </w:rPr>
      </w:pPr>
      <w:r w:rsidRPr="008A7F32">
        <w:rPr>
          <w:lang w:bidi="en-AU"/>
        </w:rPr>
        <w:t>Exceptions to the methodology are currently available for listed and not-for-profit providers who can provide evidence of strong employment outcomes, strong employer support, and a strong track record of student progression and completion through a particular course.</w:t>
      </w:r>
    </w:p>
    <w:p w14:paraId="457E8B4F" w14:textId="77777777" w:rsidR="008A7F32" w:rsidRPr="008A7F32" w:rsidRDefault="008A7F32" w:rsidP="008A7F32">
      <w:pPr>
        <w:pStyle w:val="Heading2"/>
      </w:pPr>
      <w:r w:rsidRPr="008A7F32">
        <w:t>How often will the course list be refreshed?</w:t>
      </w:r>
    </w:p>
    <w:p w14:paraId="22B34160" w14:textId="77777777" w:rsidR="008A7F32" w:rsidRPr="008A7F32" w:rsidRDefault="008A7F32" w:rsidP="008A7F32">
      <w:pPr>
        <w:rPr>
          <w:bCs/>
          <w:lang w:bidi="en-AU"/>
        </w:rPr>
      </w:pPr>
      <w:r w:rsidRPr="008A7F32">
        <w:rPr>
          <w:bCs/>
          <w:lang w:bidi="en-AU"/>
        </w:rPr>
        <w:t xml:space="preserve">The Determination is updated annually, to take effect January each year. </w:t>
      </w:r>
      <w:r w:rsidRPr="008A7F32">
        <w:rPr>
          <w:lang w:bidi="en-AU"/>
        </w:rPr>
        <w:t>C</w:t>
      </w:r>
      <w:r w:rsidRPr="008A7F32">
        <w:rPr>
          <w:bCs/>
          <w:lang w:bidi="en-AU"/>
        </w:rPr>
        <w:t>ourses</w:t>
      </w:r>
      <w:r w:rsidRPr="008A7F32">
        <w:rPr>
          <w:lang w:bidi="en-AU"/>
        </w:rPr>
        <w:t xml:space="preserve"> are assessed </w:t>
      </w:r>
      <w:r w:rsidRPr="008A7F32">
        <w:rPr>
          <w:bCs/>
          <w:lang w:bidi="en-AU"/>
        </w:rPr>
        <w:t xml:space="preserve">for addition to the Determination ahead of its implementation </w:t>
      </w:r>
      <w:r w:rsidRPr="008A7F32">
        <w:rPr>
          <w:lang w:bidi="en-AU"/>
        </w:rPr>
        <w:t xml:space="preserve">to provide VET Student Loans approved providers with sufficient notice prior to changes taking effect. </w:t>
      </w:r>
    </w:p>
    <w:p w14:paraId="51DFB406" w14:textId="77777777" w:rsidR="008A7F32" w:rsidRPr="008A7F32" w:rsidRDefault="008A7F32" w:rsidP="008A7F32">
      <w:pPr>
        <w:rPr>
          <w:lang w:bidi="en-AU"/>
        </w:rPr>
      </w:pPr>
      <w:r w:rsidRPr="008A7F32">
        <w:rPr>
          <w:lang w:bidi="en-AU"/>
        </w:rPr>
        <w:t>Students who commenced studies and had loans approved prior to the update will continue to access the loan to complete their course of study.</w:t>
      </w:r>
    </w:p>
    <w:p w14:paraId="0E0A3435" w14:textId="77777777" w:rsidR="008A7F32" w:rsidRPr="008A7F32" w:rsidRDefault="008A7F32" w:rsidP="008A7F32">
      <w:pPr>
        <w:pStyle w:val="Heading2"/>
      </w:pPr>
      <w:r w:rsidRPr="008A7F32">
        <w:t>Treatment of superseded and non-current courses</w:t>
      </w:r>
    </w:p>
    <w:p w14:paraId="2CDDF437" w14:textId="2FD1AC31" w:rsidR="008A7F32" w:rsidRDefault="008A7F32" w:rsidP="008A7F32">
      <w:pPr>
        <w:rPr>
          <w:lang w:bidi="en-AU"/>
        </w:rPr>
      </w:pPr>
      <w:r w:rsidRPr="36DE32E4">
        <w:rPr>
          <w:lang w:bidi="en-AU"/>
        </w:rPr>
        <w:t xml:space="preserve">Superseded courses will remain on the Determination for until </w:t>
      </w:r>
      <w:r w:rsidR="009950AF" w:rsidRPr="36DE32E4">
        <w:rPr>
          <w:lang w:bidi="en-AU"/>
        </w:rPr>
        <w:t>the update</w:t>
      </w:r>
      <w:r w:rsidR="004322A4" w:rsidRPr="36DE32E4">
        <w:rPr>
          <w:lang w:bidi="en-AU"/>
        </w:rPr>
        <w:t xml:space="preserve"> following the expiration of their teach-out period</w:t>
      </w:r>
      <w:r w:rsidRPr="36DE32E4">
        <w:rPr>
          <w:lang w:bidi="en-AU"/>
        </w:rPr>
        <w:t xml:space="preserve">. Similar to the transition policy under the </w:t>
      </w:r>
      <w:hyperlink r:id="rId9">
        <w:r w:rsidRPr="36DE32E4">
          <w:rPr>
            <w:rStyle w:val="Hyperlink"/>
            <w:lang w:bidi="en-AU"/>
          </w:rPr>
          <w:t>Standards for Registered Training Organisations</w:t>
        </w:r>
      </w:hyperlink>
      <w:r w:rsidRPr="36DE32E4">
        <w:rPr>
          <w:lang w:bidi="en-AU"/>
        </w:rPr>
        <w:t xml:space="preserve"> (RTOs) approved VET Student Loans providers can</w:t>
      </w:r>
      <w:r w:rsidR="004A2B93">
        <w:rPr>
          <w:lang w:bidi="en-AU"/>
        </w:rPr>
        <w:t>not</w:t>
      </w:r>
      <w:r w:rsidRPr="36DE32E4">
        <w:rPr>
          <w:lang w:bidi="en-AU"/>
        </w:rPr>
        <w:t xml:space="preserve"> offer loans to new students of the superseded course. </w:t>
      </w:r>
    </w:p>
    <w:p w14:paraId="24F03D4F" w14:textId="77777777" w:rsidR="008A7F32" w:rsidRPr="008A7F32" w:rsidRDefault="008A7F32" w:rsidP="008A7F32">
      <w:pPr>
        <w:pStyle w:val="Heading2"/>
      </w:pPr>
      <w:r w:rsidRPr="008A7F32">
        <w:lastRenderedPageBreak/>
        <w:t>What if there is a new version that isn’t on the Determination yet?</w:t>
      </w:r>
    </w:p>
    <w:p w14:paraId="2F6CB8DF" w14:textId="5B920DAA" w:rsidR="008A7F32" w:rsidRPr="008A7F32" w:rsidRDefault="008A7F32" w:rsidP="008A7F32">
      <w:pPr>
        <w:rPr>
          <w:lang w:bidi="en-AU"/>
        </w:rPr>
      </w:pPr>
      <w:r w:rsidRPr="008A7F32">
        <w:rPr>
          <w:lang w:bidi="en-AU"/>
        </w:rPr>
        <w:t xml:space="preserve">Replacement versions of courses on the Determination are automatically eligible for VSL by reference to the </w:t>
      </w:r>
      <w:hyperlink r:id="rId10" w:history="1">
        <w:r w:rsidRPr="008A7F32">
          <w:rPr>
            <w:rStyle w:val="Hyperlink"/>
            <w:lang w:bidi="en-AU"/>
          </w:rPr>
          <w:t>National Register of VET</w:t>
        </w:r>
      </w:hyperlink>
      <w:r w:rsidRPr="008A7F32">
        <w:rPr>
          <w:lang w:bidi="en-AU"/>
        </w:rPr>
        <w:t xml:space="preserve">. VET Student Loans providers that were approved to offer VET student loans for the superseded or non-current courses are automatically approved to offer the new course under the terms of the </w:t>
      </w:r>
      <w:r w:rsidR="00252D8F">
        <w:rPr>
          <w:lang w:bidi="en-AU"/>
        </w:rPr>
        <w:t>‘</w:t>
      </w:r>
      <w:r w:rsidRPr="008A7F32">
        <w:rPr>
          <w:lang w:bidi="en-AU"/>
        </w:rPr>
        <w:t>Superseding courses</w:t>
      </w:r>
      <w:r w:rsidR="00252D8F">
        <w:rPr>
          <w:lang w:bidi="en-AU"/>
        </w:rPr>
        <w:t>’</w:t>
      </w:r>
      <w:r w:rsidRPr="008A7F32">
        <w:rPr>
          <w:lang w:bidi="en-AU"/>
        </w:rPr>
        <w:t xml:space="preserve"> condition of approval, subject to the new course being on the provider’s scope of registration.</w:t>
      </w:r>
    </w:p>
    <w:p w14:paraId="78FD0D30" w14:textId="38A4BFF4" w:rsidR="008A7F32" w:rsidRPr="008A7F32" w:rsidRDefault="008A7F32" w:rsidP="008A7F32">
      <w:pPr>
        <w:rPr>
          <w:lang w:bidi="en-AU"/>
        </w:rPr>
      </w:pPr>
      <w:r w:rsidRPr="008A7F32">
        <w:rPr>
          <w:lang w:bidi="en-AU"/>
        </w:rPr>
        <w:t xml:space="preserve">For more information on how </w:t>
      </w:r>
      <w:r w:rsidR="00252D8F">
        <w:rPr>
          <w:lang w:bidi="en-AU"/>
        </w:rPr>
        <w:t xml:space="preserve">to </w:t>
      </w:r>
      <w:r w:rsidRPr="008A7F32">
        <w:rPr>
          <w:lang w:bidi="en-AU"/>
        </w:rPr>
        <w:t xml:space="preserve">seek approval to add courses, please refer to </w:t>
      </w:r>
      <w:hyperlink r:id="rId11" w:history="1">
        <w:r w:rsidR="00D23247" w:rsidRPr="00A01C44">
          <w:rPr>
            <w:rStyle w:val="Hyperlink"/>
            <w:lang w:bidi="en-AU"/>
          </w:rPr>
          <w:t>Varying the conditions of approval.</w:t>
        </w:r>
      </w:hyperlink>
    </w:p>
    <w:p w14:paraId="1EEFE3E6" w14:textId="77777777" w:rsidR="008A7F32" w:rsidRPr="008A7F32" w:rsidRDefault="008A7F32" w:rsidP="008A7F32">
      <w:pPr>
        <w:pStyle w:val="Heading2"/>
      </w:pPr>
      <w:r w:rsidRPr="008A7F32">
        <w:t>What if my course has been taken off the Determination?</w:t>
      </w:r>
    </w:p>
    <w:p w14:paraId="7406B2F6" w14:textId="77777777" w:rsidR="008A7F32" w:rsidRPr="008A7F32" w:rsidRDefault="008A7F32" w:rsidP="008A7F32">
      <w:pPr>
        <w:rPr>
          <w:lang w:bidi="en-AU"/>
        </w:rPr>
      </w:pPr>
      <w:r w:rsidRPr="008A7F32">
        <w:rPr>
          <w:lang w:bidi="en-AU"/>
        </w:rPr>
        <w:t xml:space="preserve">Students studying in a course that has been removed from the Determination will be ‘grandfathered’ for the remainder of their course, provided the student submitted an eCAF for the course prior to its removal from the Determination. </w:t>
      </w:r>
    </w:p>
    <w:p w14:paraId="400C815A" w14:textId="77777777" w:rsidR="008A7F32" w:rsidRPr="008A7F32" w:rsidRDefault="008A7F32" w:rsidP="008A7F32">
      <w:pPr>
        <w:rPr>
          <w:lang w:bidi="en-AU"/>
        </w:rPr>
      </w:pPr>
      <w:r w:rsidRPr="008A7F32">
        <w:rPr>
          <w:lang w:bidi="en-AU"/>
        </w:rPr>
        <w:t>That is, those students with access to VET Student Loans will continue to receive VET Student Loans until they complete the course. From the date a course is removed from the Determination, no new student can access a VET Student Loan in that course.</w:t>
      </w:r>
    </w:p>
    <w:p w14:paraId="3ACB2872" w14:textId="479FC351" w:rsidR="008A7F32" w:rsidRPr="008A7F32" w:rsidRDefault="008A7F32" w:rsidP="008A7F32">
      <w:pPr>
        <w:rPr>
          <w:lang w:bidi="en-AU"/>
        </w:rPr>
      </w:pPr>
      <w:r w:rsidRPr="008A7F32">
        <w:rPr>
          <w:lang w:bidi="en-AU"/>
        </w:rPr>
        <w:t xml:space="preserve">The HELP IT System (HITS) will be updated to reflect the changes to the Determination. </w:t>
      </w:r>
      <w:r w:rsidR="00252D8F">
        <w:rPr>
          <w:lang w:bidi="en-AU"/>
        </w:rPr>
        <w:t xml:space="preserve">You </w:t>
      </w:r>
      <w:r w:rsidRPr="008A7F32">
        <w:rPr>
          <w:lang w:bidi="en-AU"/>
        </w:rPr>
        <w:t xml:space="preserve">should note this will prevent any student from submitting </w:t>
      </w:r>
      <w:proofErr w:type="spellStart"/>
      <w:r w:rsidRPr="008A7F32">
        <w:rPr>
          <w:lang w:bidi="en-AU"/>
        </w:rPr>
        <w:t>eCAFs</w:t>
      </w:r>
      <w:proofErr w:type="spellEnd"/>
      <w:r w:rsidRPr="008A7F32">
        <w:rPr>
          <w:lang w:bidi="en-AU"/>
        </w:rPr>
        <w:t xml:space="preserve"> for courses no longer on the Determination. </w:t>
      </w:r>
      <w:r w:rsidR="00252D8F">
        <w:rPr>
          <w:lang w:bidi="en-AU"/>
        </w:rPr>
        <w:t>You</w:t>
      </w:r>
      <w:r w:rsidR="00252D8F" w:rsidRPr="008A7F32">
        <w:rPr>
          <w:lang w:bidi="en-AU"/>
        </w:rPr>
        <w:t xml:space="preserve"> </w:t>
      </w:r>
      <w:r w:rsidRPr="008A7F32">
        <w:rPr>
          <w:lang w:bidi="en-AU"/>
        </w:rPr>
        <w:t>should therefore manage any student who may have commenced an eCAF to ensure they submit the eCAF and have loan access approved before the new Determination takes effect.</w:t>
      </w:r>
    </w:p>
    <w:p w14:paraId="4C0B27BB" w14:textId="77777777" w:rsidR="008A7F32" w:rsidRPr="008A7F32" w:rsidRDefault="008A7F32" w:rsidP="008A7F32">
      <w:pPr>
        <w:pStyle w:val="Heading1"/>
      </w:pPr>
      <w:r w:rsidRPr="008A7F32">
        <w:t>Loan caps</w:t>
      </w:r>
    </w:p>
    <w:p w14:paraId="630018DB" w14:textId="77777777" w:rsidR="008A7F32" w:rsidRPr="008A7F32" w:rsidRDefault="008A7F32" w:rsidP="008A7F32">
      <w:pPr>
        <w:rPr>
          <w:lang w:bidi="en-AU"/>
        </w:rPr>
      </w:pPr>
      <w:r w:rsidRPr="008A7F32">
        <w:rPr>
          <w:lang w:bidi="en-AU"/>
        </w:rPr>
        <w:t xml:space="preserve">Courses that are approved for loans, and the amount students can borrow per course, are </w:t>
      </w:r>
      <w:proofErr w:type="gramStart"/>
      <w:r w:rsidRPr="008A7F32">
        <w:rPr>
          <w:lang w:bidi="en-AU"/>
        </w:rPr>
        <w:t>determined</w:t>
      </w:r>
      <w:proofErr w:type="gramEnd"/>
      <w:r w:rsidRPr="008A7F32">
        <w:rPr>
          <w:lang w:bidi="en-AU"/>
        </w:rPr>
        <w:t xml:space="preserve"> and set by the Government.</w:t>
      </w:r>
    </w:p>
    <w:p w14:paraId="15C6874B" w14:textId="182C30DF" w:rsidR="008A7F32" w:rsidRPr="008A7F32" w:rsidRDefault="008A7F32" w:rsidP="008A7F32">
      <w:pPr>
        <w:rPr>
          <w:lang w:bidi="en-AU"/>
        </w:rPr>
      </w:pPr>
      <w:r w:rsidRPr="008A7F32">
        <w:rPr>
          <w:lang w:bidi="en-AU"/>
        </w:rPr>
        <w:t xml:space="preserve">In setting limits on which courses are available for a VET </w:t>
      </w:r>
      <w:r>
        <w:rPr>
          <w:lang w:bidi="en-AU"/>
        </w:rPr>
        <w:t>S</w:t>
      </w:r>
      <w:r w:rsidRPr="008A7F32">
        <w:rPr>
          <w:lang w:bidi="en-AU"/>
        </w:rPr>
        <w:t xml:space="preserve">tudent </w:t>
      </w:r>
      <w:r>
        <w:rPr>
          <w:lang w:bidi="en-AU"/>
        </w:rPr>
        <w:t>L</w:t>
      </w:r>
      <w:r w:rsidRPr="008A7F32">
        <w:rPr>
          <w:lang w:bidi="en-AU"/>
        </w:rPr>
        <w:t>oan and the amount that can be borrowed, the Government is seeking to ensure that students are not incurring an inflated level of debt and that loans are only being provided for courses that are closely aligned to the skills Australian employers require, thereby enhancing the opportunities for graduates to work and repay the money lent to them by taxpayers.</w:t>
      </w:r>
    </w:p>
    <w:p w14:paraId="7C40F3C7" w14:textId="77777777" w:rsidR="008A7F32" w:rsidRPr="008A7F32" w:rsidRDefault="008A7F32" w:rsidP="008A7F32">
      <w:pPr>
        <w:pStyle w:val="Heading2"/>
        <w:rPr>
          <w:lang w:bidi="en-AU"/>
        </w:rPr>
      </w:pPr>
      <w:r w:rsidRPr="008A7F32">
        <w:rPr>
          <w:lang w:bidi="en-AU"/>
        </w:rPr>
        <w:t>Where course price exceeds the applicable loan cap</w:t>
      </w:r>
    </w:p>
    <w:p w14:paraId="62D50796" w14:textId="77777777" w:rsidR="008A7F32" w:rsidRPr="008A7F32" w:rsidRDefault="008A7F32" w:rsidP="008A7F32">
      <w:pPr>
        <w:rPr>
          <w:lang w:bidi="en-AU"/>
        </w:rPr>
      </w:pPr>
      <w:r w:rsidRPr="008A7F32">
        <w:rPr>
          <w:lang w:bidi="en-AU"/>
        </w:rPr>
        <w:t>Establishing loan caps does not prevent approved VET Student Loans providers from setting tuition fees above the cap. Rather, it sets a ceiling on the maximum loan amount the Government is willing to lend to students for a specific course.</w:t>
      </w:r>
    </w:p>
    <w:p w14:paraId="2190EDB8" w14:textId="77777777" w:rsidR="008A7F32" w:rsidRPr="008A7F32" w:rsidRDefault="008A7F32" w:rsidP="008A7F32">
      <w:pPr>
        <w:rPr>
          <w:lang w:bidi="en-AU"/>
        </w:rPr>
      </w:pPr>
      <w:r w:rsidRPr="008A7F32">
        <w:rPr>
          <w:lang w:bidi="en-AU"/>
        </w:rPr>
        <w:t>If a student wishes to undertake an approved course with an approved VET Student Loans provider that is charging above the allocated loan cap, the student will need to cover the difference.</w:t>
      </w:r>
    </w:p>
    <w:p w14:paraId="4FFC78B8" w14:textId="77777777" w:rsidR="008A7F32" w:rsidRPr="008A7F32" w:rsidRDefault="008A7F32" w:rsidP="008A7F32">
      <w:pPr>
        <w:pStyle w:val="Heading2"/>
        <w:rPr>
          <w:lang w:bidi="en-AU"/>
        </w:rPr>
      </w:pPr>
      <w:r w:rsidRPr="008A7F32">
        <w:rPr>
          <w:lang w:bidi="en-AU"/>
        </w:rPr>
        <w:t>Loan cap updates</w:t>
      </w:r>
    </w:p>
    <w:p w14:paraId="0A7AA1D0" w14:textId="3551D68C" w:rsidR="008A7F32" w:rsidRPr="008A7F32" w:rsidRDefault="00611FA2" w:rsidP="008A7F32">
      <w:pPr>
        <w:rPr>
          <w:lang w:bidi="en-AU"/>
        </w:rPr>
      </w:pPr>
      <w:r>
        <w:rPr>
          <w:lang w:bidi="en-AU"/>
        </w:rPr>
        <w:t>L</w:t>
      </w:r>
      <w:r w:rsidR="008A7F32" w:rsidRPr="008A7F32">
        <w:rPr>
          <w:lang w:bidi="en-AU"/>
        </w:rPr>
        <w:t xml:space="preserve">oan cap amounts </w:t>
      </w:r>
      <w:r>
        <w:rPr>
          <w:lang w:bidi="en-AU"/>
        </w:rPr>
        <w:t>are</w:t>
      </w:r>
      <w:r w:rsidRPr="008A7F32">
        <w:rPr>
          <w:lang w:bidi="en-AU"/>
        </w:rPr>
        <w:t xml:space="preserve"> </w:t>
      </w:r>
      <w:r w:rsidR="008A7F32" w:rsidRPr="008A7F32">
        <w:rPr>
          <w:lang w:bidi="en-AU"/>
        </w:rPr>
        <w:t xml:space="preserve">indexed </w:t>
      </w:r>
      <w:r>
        <w:rPr>
          <w:lang w:bidi="en-AU"/>
        </w:rPr>
        <w:t xml:space="preserve">annually </w:t>
      </w:r>
      <w:r w:rsidR="008A7F32" w:rsidRPr="008A7F32">
        <w:rPr>
          <w:lang w:bidi="en-AU"/>
        </w:rPr>
        <w:t xml:space="preserve">as provided by the </w:t>
      </w:r>
      <w:r w:rsidR="008A7F32" w:rsidRPr="008A7F32">
        <w:rPr>
          <w:i/>
          <w:lang w:bidi="en-AU"/>
        </w:rPr>
        <w:t xml:space="preserve">VET Student Loans Act 2016 </w:t>
      </w:r>
      <w:r w:rsidR="008A7F32" w:rsidRPr="008A7F32">
        <w:rPr>
          <w:lang w:bidi="en-AU"/>
        </w:rPr>
        <w:t xml:space="preserve">and according to the provisions set out in the Determination. </w:t>
      </w:r>
    </w:p>
    <w:p w14:paraId="5ACD1083" w14:textId="3D9342FC" w:rsidR="008A7F32" w:rsidRDefault="008A7F32" w:rsidP="008A7F32">
      <w:pPr>
        <w:pStyle w:val="Caption"/>
        <w:keepNext/>
      </w:pPr>
      <w:r>
        <w:lastRenderedPageBreak/>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381131">
        <w:rPr>
          <w:noProof/>
        </w:rPr>
        <w:t>1</w:t>
      </w:r>
      <w:r>
        <w:rPr>
          <w:color w:val="2B579A"/>
          <w:shd w:val="clear" w:color="auto" w:fill="E6E6E6"/>
        </w:rPr>
        <w:fldChar w:fldCharType="end"/>
      </w:r>
      <w:r>
        <w:t xml:space="preserve">: </w:t>
      </w:r>
      <w:r w:rsidRPr="008A7F32">
        <w:rPr>
          <w:lang w:bidi="en-AU"/>
        </w:rPr>
        <w:t>Table - VET Student Loans (Courses and Loan Caps) Determination amounts</w:t>
      </w:r>
    </w:p>
    <w:tbl>
      <w:tblPr>
        <w:tblStyle w:val="TableGrid"/>
        <w:tblpPr w:leftFromText="181" w:rightFromText="181" w:bottomFromText="142" w:vertAnchor="text" w:tblpY="1"/>
        <w:tblOverlap w:val="never"/>
        <w:tblW w:w="9844" w:type="dxa"/>
        <w:tblInd w:w="0" w:type="dxa"/>
        <w:tblBorders>
          <w:top w:val="single" w:sz="8" w:space="0" w:color="292065"/>
          <w:left w:val="single" w:sz="8" w:space="0" w:color="292065"/>
          <w:bottom w:val="single" w:sz="8" w:space="0" w:color="292065"/>
          <w:right w:val="single" w:sz="8" w:space="0" w:color="292065"/>
          <w:insideH w:val="single" w:sz="8" w:space="0" w:color="292065"/>
          <w:insideV w:val="single" w:sz="8" w:space="0" w:color="292065"/>
        </w:tblBorders>
        <w:tblLayout w:type="fixed"/>
        <w:tblLook w:val="04A0" w:firstRow="1" w:lastRow="0" w:firstColumn="1" w:lastColumn="0" w:noHBand="0" w:noVBand="1"/>
      </w:tblPr>
      <w:tblGrid>
        <w:gridCol w:w="1936"/>
        <w:gridCol w:w="1037"/>
        <w:gridCol w:w="1037"/>
        <w:gridCol w:w="1166"/>
        <w:gridCol w:w="1167"/>
        <w:gridCol w:w="1167"/>
        <w:gridCol w:w="1167"/>
        <w:gridCol w:w="1167"/>
      </w:tblGrid>
      <w:tr w:rsidR="00835BB3" w14:paraId="7979186B" w14:textId="0F55AF42" w:rsidTr="00835BB3">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936" w:type="dxa"/>
            <w:tcBorders>
              <w:top w:val="single" w:sz="8" w:space="0" w:color="292065"/>
              <w:left w:val="single" w:sz="8" w:space="0" w:color="292065"/>
              <w:bottom w:val="single" w:sz="8" w:space="0" w:color="292065"/>
              <w:right w:val="single" w:sz="8" w:space="0" w:color="292065"/>
            </w:tcBorders>
            <w:shd w:val="clear" w:color="auto" w:fill="292065"/>
          </w:tcPr>
          <w:p w14:paraId="46EDF4D0" w14:textId="77777777" w:rsidR="00835BB3" w:rsidRDefault="00835BB3">
            <w:pPr>
              <w:spacing w:after="0"/>
              <w:jc w:val="center"/>
              <w:rPr>
                <w:rFonts w:cstheme="minorHAnsi"/>
                <w:b w:val="0"/>
              </w:rPr>
            </w:pPr>
          </w:p>
        </w:tc>
        <w:tc>
          <w:tcPr>
            <w:tcW w:w="1037" w:type="dxa"/>
            <w:tcBorders>
              <w:top w:val="single" w:sz="8" w:space="0" w:color="292065"/>
              <w:left w:val="single" w:sz="8" w:space="0" w:color="292065"/>
              <w:bottom w:val="single" w:sz="8" w:space="0" w:color="292065"/>
              <w:right w:val="single" w:sz="8" w:space="0" w:color="292065"/>
            </w:tcBorders>
            <w:shd w:val="clear" w:color="auto" w:fill="292065"/>
            <w:vAlign w:val="center"/>
            <w:hideMark/>
          </w:tcPr>
          <w:p w14:paraId="31D59EC3"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2018</w:t>
            </w:r>
            <w:r>
              <w:rPr>
                <w:rFonts w:cstheme="minorHAnsi"/>
                <w:b w:val="0"/>
              </w:rPr>
              <w:br/>
              <w:t>($)</w:t>
            </w:r>
          </w:p>
        </w:tc>
        <w:tc>
          <w:tcPr>
            <w:tcW w:w="1037" w:type="dxa"/>
            <w:tcBorders>
              <w:top w:val="single" w:sz="8" w:space="0" w:color="292065"/>
              <w:left w:val="single" w:sz="8" w:space="0" w:color="292065"/>
              <w:bottom w:val="single" w:sz="8" w:space="0" w:color="292065"/>
              <w:right w:val="single" w:sz="8" w:space="0" w:color="292065"/>
            </w:tcBorders>
            <w:shd w:val="clear" w:color="auto" w:fill="292065"/>
            <w:vAlign w:val="center"/>
            <w:hideMark/>
          </w:tcPr>
          <w:p w14:paraId="6B387874"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2019</w:t>
            </w:r>
            <w:r>
              <w:rPr>
                <w:rFonts w:cstheme="minorHAnsi"/>
                <w:b w:val="0"/>
              </w:rPr>
              <w:br/>
              <w:t>($)</w:t>
            </w:r>
          </w:p>
        </w:tc>
        <w:tc>
          <w:tcPr>
            <w:tcW w:w="1166" w:type="dxa"/>
            <w:tcBorders>
              <w:top w:val="single" w:sz="8" w:space="0" w:color="292065"/>
              <w:left w:val="single" w:sz="8" w:space="0" w:color="292065"/>
              <w:bottom w:val="single" w:sz="8" w:space="0" w:color="292065"/>
              <w:right w:val="single" w:sz="8" w:space="0" w:color="292065"/>
            </w:tcBorders>
            <w:shd w:val="clear" w:color="auto" w:fill="292065"/>
            <w:vAlign w:val="center"/>
            <w:hideMark/>
          </w:tcPr>
          <w:p w14:paraId="7071DD45"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2020</w:t>
            </w:r>
            <w:r>
              <w:rPr>
                <w:rFonts w:cstheme="minorHAnsi"/>
                <w:b w:val="0"/>
              </w:rPr>
              <w:br/>
              <w:t>($)</w:t>
            </w:r>
          </w:p>
        </w:tc>
        <w:tc>
          <w:tcPr>
            <w:tcW w:w="1167" w:type="dxa"/>
            <w:tcBorders>
              <w:top w:val="single" w:sz="8" w:space="0" w:color="292065"/>
              <w:left w:val="single" w:sz="8" w:space="0" w:color="292065"/>
              <w:bottom w:val="single" w:sz="8" w:space="0" w:color="292065"/>
              <w:right w:val="single" w:sz="8" w:space="0" w:color="292065"/>
            </w:tcBorders>
            <w:shd w:val="clear" w:color="auto" w:fill="292065"/>
            <w:vAlign w:val="center"/>
            <w:hideMark/>
          </w:tcPr>
          <w:p w14:paraId="5B4285E5"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2021</w:t>
            </w:r>
            <w:r>
              <w:rPr>
                <w:rFonts w:cstheme="minorHAnsi"/>
                <w:b w:val="0"/>
              </w:rPr>
              <w:br/>
              <w:t>($)</w:t>
            </w:r>
          </w:p>
        </w:tc>
        <w:tc>
          <w:tcPr>
            <w:tcW w:w="1167" w:type="dxa"/>
            <w:tcBorders>
              <w:top w:val="single" w:sz="8" w:space="0" w:color="292065"/>
              <w:left w:val="single" w:sz="8" w:space="0" w:color="292065"/>
              <w:bottom w:val="single" w:sz="8" w:space="0" w:color="292065"/>
              <w:right w:val="single" w:sz="8" w:space="0" w:color="292065"/>
            </w:tcBorders>
            <w:shd w:val="clear" w:color="auto" w:fill="292065"/>
            <w:vAlign w:val="center"/>
            <w:hideMark/>
          </w:tcPr>
          <w:p w14:paraId="22177657"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2022</w:t>
            </w:r>
            <w:r>
              <w:rPr>
                <w:rFonts w:cstheme="minorHAnsi"/>
                <w:b w:val="0"/>
              </w:rPr>
              <w:br/>
              <w:t>($)</w:t>
            </w:r>
          </w:p>
        </w:tc>
        <w:tc>
          <w:tcPr>
            <w:tcW w:w="1167" w:type="dxa"/>
            <w:tcBorders>
              <w:top w:val="single" w:sz="8" w:space="0" w:color="292065"/>
              <w:left w:val="single" w:sz="8" w:space="0" w:color="292065"/>
              <w:bottom w:val="single" w:sz="8" w:space="0" w:color="292065"/>
              <w:right w:val="single" w:sz="8" w:space="0" w:color="292065"/>
            </w:tcBorders>
            <w:shd w:val="clear" w:color="auto" w:fill="292065"/>
            <w:hideMark/>
          </w:tcPr>
          <w:p w14:paraId="79239A67"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2023</w:t>
            </w:r>
          </w:p>
          <w:p w14:paraId="65E76776"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167" w:type="dxa"/>
            <w:tcBorders>
              <w:top w:val="single" w:sz="8" w:space="0" w:color="292065"/>
              <w:left w:val="single" w:sz="8" w:space="0" w:color="292065"/>
              <w:bottom w:val="single" w:sz="8" w:space="0" w:color="292065"/>
              <w:right w:val="single" w:sz="8" w:space="0" w:color="292065"/>
            </w:tcBorders>
            <w:shd w:val="clear" w:color="auto" w:fill="292065"/>
          </w:tcPr>
          <w:p w14:paraId="64BB3839" w14:textId="77777777"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2024</w:t>
            </w:r>
          </w:p>
          <w:p w14:paraId="65312F65" w14:textId="156F9F1B" w:rsidR="00835BB3" w:rsidRDefault="00835BB3">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835BB3" w14:paraId="11481CB7" w14:textId="2AF42D47" w:rsidTr="00835BB3">
        <w:trPr>
          <w:trHeight w:val="376"/>
        </w:trPr>
        <w:tc>
          <w:tcPr>
            <w:cnfStyle w:val="001000000000" w:firstRow="0" w:lastRow="0" w:firstColumn="1" w:lastColumn="0" w:oddVBand="0" w:evenVBand="0" w:oddHBand="0" w:evenHBand="0" w:firstRowFirstColumn="0" w:firstRowLastColumn="0" w:lastRowFirstColumn="0" w:lastRowLastColumn="0"/>
            <w:tcW w:w="1936" w:type="dxa"/>
            <w:tcBorders>
              <w:top w:val="single" w:sz="8" w:space="0" w:color="292065"/>
              <w:left w:val="single" w:sz="8" w:space="0" w:color="292065"/>
              <w:bottom w:val="single" w:sz="8" w:space="0" w:color="292065"/>
              <w:right w:val="single" w:sz="8" w:space="0" w:color="292065"/>
            </w:tcBorders>
            <w:hideMark/>
          </w:tcPr>
          <w:p w14:paraId="35AAB90F" w14:textId="2A0B771F" w:rsidR="00835BB3" w:rsidRDefault="00835BB3">
            <w:pPr>
              <w:spacing w:after="0"/>
              <w:rPr>
                <w:rFonts w:cstheme="minorHAnsi"/>
                <w:b/>
              </w:rPr>
            </w:pPr>
            <w:r>
              <w:rPr>
                <w:rFonts w:cstheme="minorHAnsi"/>
              </w:rPr>
              <w:t>Band 1 ($5,000)</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718A3569"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5,075</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5E2FE97D"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5,171</w:t>
            </w:r>
          </w:p>
        </w:tc>
        <w:tc>
          <w:tcPr>
            <w:tcW w:w="1166" w:type="dxa"/>
            <w:tcBorders>
              <w:top w:val="single" w:sz="8" w:space="0" w:color="292065"/>
              <w:left w:val="single" w:sz="8" w:space="0" w:color="292065"/>
              <w:bottom w:val="single" w:sz="8" w:space="0" w:color="292065"/>
              <w:right w:val="single" w:sz="8" w:space="0" w:color="292065"/>
            </w:tcBorders>
            <w:vAlign w:val="center"/>
            <w:hideMark/>
          </w:tcPr>
          <w:p w14:paraId="6F1D536C"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5,264</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53164F78"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5,358</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19F3848A"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5,406</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2E3062B9"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5,595</w:t>
            </w:r>
          </w:p>
        </w:tc>
        <w:tc>
          <w:tcPr>
            <w:tcW w:w="1167" w:type="dxa"/>
            <w:tcBorders>
              <w:top w:val="single" w:sz="8" w:space="0" w:color="292065"/>
              <w:left w:val="single" w:sz="8" w:space="0" w:color="292065"/>
              <w:bottom w:val="single" w:sz="8" w:space="0" w:color="292065"/>
              <w:right w:val="single" w:sz="8" w:space="0" w:color="292065"/>
            </w:tcBorders>
          </w:tcPr>
          <w:p w14:paraId="7479D2BC" w14:textId="0D25A28D" w:rsidR="00835BB3" w:rsidRDefault="00835BB3" w:rsidP="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6,031</w:t>
            </w:r>
          </w:p>
        </w:tc>
      </w:tr>
      <w:tr w:rsidR="00835BB3" w14:paraId="13CDD940" w14:textId="00965D41" w:rsidTr="00835BB3">
        <w:trPr>
          <w:trHeight w:val="376"/>
        </w:trPr>
        <w:tc>
          <w:tcPr>
            <w:cnfStyle w:val="001000000000" w:firstRow="0" w:lastRow="0" w:firstColumn="1" w:lastColumn="0" w:oddVBand="0" w:evenVBand="0" w:oddHBand="0" w:evenHBand="0" w:firstRowFirstColumn="0" w:firstRowLastColumn="0" w:lastRowFirstColumn="0" w:lastRowLastColumn="0"/>
            <w:tcW w:w="1936" w:type="dxa"/>
            <w:tcBorders>
              <w:top w:val="single" w:sz="8" w:space="0" w:color="292065"/>
              <w:left w:val="single" w:sz="8" w:space="0" w:color="292065"/>
              <w:bottom w:val="single" w:sz="8" w:space="0" w:color="292065"/>
              <w:right w:val="single" w:sz="8" w:space="0" w:color="292065"/>
            </w:tcBorders>
            <w:hideMark/>
          </w:tcPr>
          <w:p w14:paraId="1682533A" w14:textId="14E598C3" w:rsidR="00835BB3" w:rsidRDefault="00835BB3">
            <w:pPr>
              <w:spacing w:after="0"/>
              <w:rPr>
                <w:rFonts w:cstheme="minorHAnsi"/>
                <w:b/>
              </w:rPr>
            </w:pPr>
            <w:r>
              <w:rPr>
                <w:rFonts w:cstheme="minorHAnsi"/>
              </w:rPr>
              <w:t>Band 2 ($10,000)</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20BF9B22"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10,150</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71AF30A1"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10,342</w:t>
            </w:r>
          </w:p>
        </w:tc>
        <w:tc>
          <w:tcPr>
            <w:tcW w:w="1166" w:type="dxa"/>
            <w:tcBorders>
              <w:top w:val="single" w:sz="8" w:space="0" w:color="292065"/>
              <w:left w:val="single" w:sz="8" w:space="0" w:color="292065"/>
              <w:bottom w:val="single" w:sz="8" w:space="0" w:color="292065"/>
              <w:right w:val="single" w:sz="8" w:space="0" w:color="292065"/>
            </w:tcBorders>
            <w:vAlign w:val="center"/>
            <w:hideMark/>
          </w:tcPr>
          <w:p w14:paraId="68E9830D"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10,528</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61557F95"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10,717</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280C6C9E"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10,813</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7FAFBC0A"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11,191</w:t>
            </w:r>
          </w:p>
        </w:tc>
        <w:tc>
          <w:tcPr>
            <w:tcW w:w="1167" w:type="dxa"/>
            <w:tcBorders>
              <w:top w:val="single" w:sz="8" w:space="0" w:color="292065"/>
              <w:left w:val="single" w:sz="8" w:space="0" w:color="292065"/>
              <w:bottom w:val="single" w:sz="8" w:space="0" w:color="292065"/>
              <w:right w:val="single" w:sz="8" w:space="0" w:color="292065"/>
            </w:tcBorders>
          </w:tcPr>
          <w:p w14:paraId="238429E8" w14:textId="390C9519" w:rsidR="00835BB3" w:rsidRDefault="00835BB3" w:rsidP="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12,063</w:t>
            </w:r>
          </w:p>
        </w:tc>
      </w:tr>
      <w:tr w:rsidR="00835BB3" w14:paraId="6CEE8DAA" w14:textId="204871F7" w:rsidTr="00835BB3">
        <w:trPr>
          <w:trHeight w:val="376"/>
        </w:trPr>
        <w:tc>
          <w:tcPr>
            <w:cnfStyle w:val="001000000000" w:firstRow="0" w:lastRow="0" w:firstColumn="1" w:lastColumn="0" w:oddVBand="0" w:evenVBand="0" w:oddHBand="0" w:evenHBand="0" w:firstRowFirstColumn="0" w:firstRowLastColumn="0" w:lastRowFirstColumn="0" w:lastRowLastColumn="0"/>
            <w:tcW w:w="1936" w:type="dxa"/>
            <w:tcBorders>
              <w:top w:val="single" w:sz="8" w:space="0" w:color="292065"/>
              <w:left w:val="single" w:sz="8" w:space="0" w:color="292065"/>
              <w:bottom w:val="single" w:sz="8" w:space="0" w:color="292065"/>
              <w:right w:val="single" w:sz="8" w:space="0" w:color="292065"/>
            </w:tcBorders>
            <w:hideMark/>
          </w:tcPr>
          <w:p w14:paraId="5B142B6A" w14:textId="472222AB" w:rsidR="00835BB3" w:rsidRDefault="00835BB3">
            <w:pPr>
              <w:spacing w:after="0"/>
              <w:rPr>
                <w:rFonts w:cstheme="minorHAnsi"/>
                <w:b/>
              </w:rPr>
            </w:pPr>
            <w:r>
              <w:rPr>
                <w:rFonts w:cstheme="minorHAnsi"/>
              </w:rPr>
              <w:t>Band 3 ($15,000)</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2FD26012"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15,225</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34BC4EDB"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15,514</w:t>
            </w:r>
          </w:p>
        </w:tc>
        <w:tc>
          <w:tcPr>
            <w:tcW w:w="1166" w:type="dxa"/>
            <w:tcBorders>
              <w:top w:val="single" w:sz="8" w:space="0" w:color="292065"/>
              <w:left w:val="single" w:sz="8" w:space="0" w:color="292065"/>
              <w:bottom w:val="single" w:sz="8" w:space="0" w:color="292065"/>
              <w:right w:val="single" w:sz="8" w:space="0" w:color="292065"/>
            </w:tcBorders>
            <w:vAlign w:val="center"/>
            <w:hideMark/>
          </w:tcPr>
          <w:p w14:paraId="372A09DE"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15,793</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62C9491C"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16,077</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5F06B19A"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16,221</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1ED85982" w14:textId="77777777" w:rsidR="00835BB3" w:rsidRDefault="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16,788</w:t>
            </w:r>
          </w:p>
        </w:tc>
        <w:tc>
          <w:tcPr>
            <w:tcW w:w="1167" w:type="dxa"/>
            <w:tcBorders>
              <w:top w:val="single" w:sz="8" w:space="0" w:color="292065"/>
              <w:left w:val="single" w:sz="8" w:space="0" w:color="292065"/>
              <w:bottom w:val="single" w:sz="8" w:space="0" w:color="292065"/>
              <w:right w:val="single" w:sz="8" w:space="0" w:color="292065"/>
            </w:tcBorders>
          </w:tcPr>
          <w:p w14:paraId="1648D70E" w14:textId="7997F076" w:rsidR="00835BB3" w:rsidRDefault="00835BB3" w:rsidP="00835BB3">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18,097</w:t>
            </w:r>
          </w:p>
        </w:tc>
      </w:tr>
      <w:tr w:rsidR="00835BB3" w14:paraId="26889867" w14:textId="036EE668" w:rsidTr="0078419C">
        <w:trPr>
          <w:trHeight w:val="376"/>
        </w:trPr>
        <w:tc>
          <w:tcPr>
            <w:cnfStyle w:val="001000000000" w:firstRow="0" w:lastRow="0" w:firstColumn="1" w:lastColumn="0" w:oddVBand="0" w:evenVBand="0" w:oddHBand="0" w:evenHBand="0" w:firstRowFirstColumn="0" w:firstRowLastColumn="0" w:lastRowFirstColumn="0" w:lastRowLastColumn="0"/>
            <w:tcW w:w="1936" w:type="dxa"/>
            <w:tcBorders>
              <w:top w:val="single" w:sz="8" w:space="0" w:color="292065"/>
              <w:left w:val="single" w:sz="8" w:space="0" w:color="292065"/>
              <w:bottom w:val="single" w:sz="8" w:space="0" w:color="292065"/>
              <w:right w:val="single" w:sz="8" w:space="0" w:color="292065"/>
            </w:tcBorders>
            <w:hideMark/>
          </w:tcPr>
          <w:p w14:paraId="16BDB0DD" w14:textId="6AE2F452" w:rsidR="00835BB3" w:rsidRDefault="00835BB3">
            <w:pPr>
              <w:spacing w:after="0"/>
              <w:rPr>
                <w:rFonts w:cstheme="minorHAnsi"/>
                <w:b/>
              </w:rPr>
            </w:pPr>
            <w:r>
              <w:rPr>
                <w:rFonts w:cstheme="minorHAnsi"/>
              </w:rPr>
              <w:t>Schedule 2 ($75,000)</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0636DCBD" w14:textId="77777777"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76,125</w:t>
            </w:r>
          </w:p>
        </w:tc>
        <w:tc>
          <w:tcPr>
            <w:tcW w:w="1037" w:type="dxa"/>
            <w:tcBorders>
              <w:top w:val="single" w:sz="8" w:space="0" w:color="292065"/>
              <w:left w:val="single" w:sz="8" w:space="0" w:color="292065"/>
              <w:bottom w:val="single" w:sz="8" w:space="0" w:color="292065"/>
              <w:right w:val="single" w:sz="8" w:space="0" w:color="292065"/>
            </w:tcBorders>
            <w:vAlign w:val="center"/>
            <w:hideMark/>
          </w:tcPr>
          <w:p w14:paraId="01BEF8F5" w14:textId="77777777"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77,571</w:t>
            </w:r>
          </w:p>
        </w:tc>
        <w:tc>
          <w:tcPr>
            <w:tcW w:w="1166" w:type="dxa"/>
            <w:tcBorders>
              <w:top w:val="single" w:sz="8" w:space="0" w:color="292065"/>
              <w:left w:val="single" w:sz="8" w:space="0" w:color="292065"/>
              <w:bottom w:val="single" w:sz="8" w:space="0" w:color="292065"/>
              <w:right w:val="single" w:sz="8" w:space="0" w:color="292065"/>
            </w:tcBorders>
            <w:vAlign w:val="center"/>
            <w:hideMark/>
          </w:tcPr>
          <w:p w14:paraId="16618E9F" w14:textId="77777777"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78,967</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37A92568" w14:textId="77777777"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80,388</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6F0CE7BC" w14:textId="77777777"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81,111</w:t>
            </w:r>
          </w:p>
        </w:tc>
        <w:tc>
          <w:tcPr>
            <w:tcW w:w="1167" w:type="dxa"/>
            <w:tcBorders>
              <w:top w:val="single" w:sz="8" w:space="0" w:color="292065"/>
              <w:left w:val="single" w:sz="8" w:space="0" w:color="292065"/>
              <w:bottom w:val="single" w:sz="8" w:space="0" w:color="292065"/>
              <w:right w:val="single" w:sz="8" w:space="0" w:color="292065"/>
            </w:tcBorders>
            <w:vAlign w:val="center"/>
            <w:hideMark/>
          </w:tcPr>
          <w:p w14:paraId="5D231925" w14:textId="77777777"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83,949</w:t>
            </w:r>
          </w:p>
        </w:tc>
        <w:tc>
          <w:tcPr>
            <w:tcW w:w="1167" w:type="dxa"/>
            <w:tcBorders>
              <w:top w:val="single" w:sz="8" w:space="0" w:color="292065"/>
              <w:left w:val="single" w:sz="8" w:space="0" w:color="292065"/>
              <w:bottom w:val="single" w:sz="8" w:space="0" w:color="292065"/>
              <w:right w:val="single" w:sz="8" w:space="0" w:color="292065"/>
            </w:tcBorders>
            <w:vAlign w:val="center"/>
          </w:tcPr>
          <w:p w14:paraId="5089C2FD" w14:textId="6AA731CB" w:rsidR="00835BB3" w:rsidRDefault="00835BB3" w:rsidP="0078419C">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90,497</w:t>
            </w:r>
          </w:p>
        </w:tc>
      </w:tr>
    </w:tbl>
    <w:p w14:paraId="25E71F1C" w14:textId="0B6E57E6" w:rsidR="00824C82" w:rsidRPr="00824C82" w:rsidRDefault="00824C82" w:rsidP="00824C82">
      <w:pPr>
        <w:pStyle w:val="Heading1"/>
      </w:pPr>
      <w:r w:rsidRPr="00824C82">
        <w:t>For more information</w:t>
      </w:r>
    </w:p>
    <w:p w14:paraId="04ACA62D" w14:textId="249E4ED6" w:rsidR="00993E60" w:rsidRDefault="00824C82" w:rsidP="00824C82">
      <w:pPr>
        <w:rPr>
          <w:lang w:bidi="en-AU"/>
        </w:rPr>
      </w:pPr>
      <w:r w:rsidRPr="00824C82">
        <w:rPr>
          <w:lang w:bidi="en-AU"/>
        </w:rPr>
        <w:t xml:space="preserve">The Determination can be found on the </w:t>
      </w:r>
      <w:hyperlink r:id="rId12" w:history="1">
        <w:r w:rsidRPr="00824C82">
          <w:rPr>
            <w:rStyle w:val="Hyperlink"/>
            <w:lang w:bidi="en-AU"/>
          </w:rPr>
          <w:t>Federal Register of Legislation</w:t>
        </w:r>
      </w:hyperlink>
      <w:r w:rsidRPr="00824C82">
        <w:rPr>
          <w:lang w:bidi="en-AU"/>
        </w:rPr>
        <w:t xml:space="preserve">. This link will show Determination amendments and subsequent compilations. </w:t>
      </w:r>
      <w:r w:rsidR="00993E60">
        <w:rPr>
          <w:lang w:bidi="en-AU"/>
        </w:rPr>
        <w:t>You</w:t>
      </w:r>
      <w:r w:rsidR="00993E60" w:rsidRPr="00824C82">
        <w:rPr>
          <w:lang w:bidi="en-AU"/>
        </w:rPr>
        <w:t xml:space="preserve"> </w:t>
      </w:r>
      <w:r w:rsidRPr="00824C82">
        <w:rPr>
          <w:lang w:bidi="en-AU"/>
        </w:rPr>
        <w:t xml:space="preserve">should check this site for the most current version of the Determination. </w:t>
      </w:r>
    </w:p>
    <w:p w14:paraId="2EA1292C" w14:textId="76D32753" w:rsidR="00824C82" w:rsidRPr="00824C82" w:rsidRDefault="00824C82" w:rsidP="00824C82">
      <w:pPr>
        <w:rPr>
          <w:lang w:bidi="en-AU"/>
        </w:rPr>
      </w:pPr>
      <w:r w:rsidRPr="00824C82">
        <w:rPr>
          <w:lang w:bidi="en-AU"/>
        </w:rPr>
        <w:t>Note</w:t>
      </w:r>
      <w:r w:rsidR="00993E60">
        <w:rPr>
          <w:lang w:bidi="en-AU"/>
        </w:rPr>
        <w:t>:</w:t>
      </w:r>
      <w:r w:rsidRPr="00824C82">
        <w:rPr>
          <w:lang w:bidi="en-AU"/>
        </w:rPr>
        <w:t xml:space="preserve"> </w:t>
      </w:r>
      <w:r w:rsidR="00993E60">
        <w:rPr>
          <w:lang w:bidi="en-AU"/>
        </w:rPr>
        <w:t xml:space="preserve">You </w:t>
      </w:r>
      <w:r w:rsidRPr="00824C82">
        <w:rPr>
          <w:lang w:bidi="en-AU"/>
        </w:rPr>
        <w:t>may need to access the latest update on the Series home page under ‘Unincorporated Amendments’ until a compilation is displayed, noting the commencement date of any updates.</w:t>
      </w:r>
    </w:p>
    <w:p w14:paraId="525E917A" w14:textId="00D8E644" w:rsidR="00640B91" w:rsidRPr="00E53AC7" w:rsidRDefault="00824C82" w:rsidP="00C2679F">
      <w:pPr>
        <w:rPr>
          <w:rStyle w:val="BookTitle"/>
          <w:rFonts w:asciiTheme="minorHAnsi" w:hAnsiTheme="minorHAnsi"/>
          <w:bCs w:val="0"/>
          <w:i w:val="0"/>
          <w:iCs w:val="0"/>
          <w:spacing w:val="0"/>
          <w:lang w:bidi="en-AU"/>
        </w:rPr>
      </w:pPr>
      <w:r w:rsidRPr="00824C82">
        <w:rPr>
          <w:lang w:bidi="en-AU"/>
        </w:rPr>
        <w:t xml:space="preserve">If you cannot find the answer to your question in this document you are encouraged to use the VET Student Loans </w:t>
      </w:r>
      <w:hyperlink r:id="rId13" w:history="1">
        <w:r w:rsidRPr="00824C82">
          <w:rPr>
            <w:rStyle w:val="Hyperlink"/>
            <w:lang w:bidi="en-AU"/>
          </w:rPr>
          <w:t>online enquiry form</w:t>
        </w:r>
      </w:hyperlink>
      <w:r w:rsidRPr="00824C82">
        <w:rPr>
          <w:lang w:bidi="en-AU"/>
        </w:rPr>
        <w:t>.</w:t>
      </w:r>
      <w:bookmarkEnd w:id="0"/>
    </w:p>
    <w:p w14:paraId="201CC2CB" w14:textId="1E03B658" w:rsidR="00304F5B" w:rsidRPr="00BC1E8B" w:rsidRDefault="00304F5B" w:rsidP="00BC1E8B">
      <w:pPr>
        <w:spacing w:after="120" w:line="240" w:lineRule="auto"/>
        <w:rPr>
          <w:rFonts w:ascii="Calibri" w:eastAsia="Times New Roman" w:hAnsi="Calibri" w:cs="Calibri"/>
          <w:b/>
          <w:noProof/>
          <w:lang w:val="en"/>
        </w:rPr>
      </w:pPr>
    </w:p>
    <w:sectPr w:rsidR="00304F5B" w:rsidRPr="00BC1E8B" w:rsidSect="000D737E">
      <w:headerReference w:type="default" r:id="rId14"/>
      <w:footerReference w:type="even" r:id="rId15"/>
      <w:footerReference w:type="default" r:id="rId16"/>
      <w:headerReference w:type="first" r:id="rId17"/>
      <w:footerReference w:type="first" r:id="rId18"/>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2EF2" w14:textId="77777777" w:rsidR="009E6411" w:rsidRDefault="009E6411" w:rsidP="00717D10">
      <w:pPr>
        <w:spacing w:after="0" w:line="240" w:lineRule="auto"/>
      </w:pPr>
      <w:r>
        <w:separator/>
      </w:r>
    </w:p>
  </w:endnote>
  <w:endnote w:type="continuationSeparator" w:id="0">
    <w:p w14:paraId="6DD0D6D1" w14:textId="77777777" w:rsidR="009E6411" w:rsidRDefault="009E6411" w:rsidP="00717D10">
      <w:pPr>
        <w:spacing w:after="0" w:line="240" w:lineRule="auto"/>
      </w:pPr>
      <w:r>
        <w:continuationSeparator/>
      </w:r>
    </w:p>
  </w:endnote>
  <w:endnote w:type="continuationNotice" w:id="1">
    <w:p w14:paraId="1BCCBC16" w14:textId="77777777" w:rsidR="009E6411" w:rsidRDefault="009E6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color w:val="2B579A"/>
            <w:shd w:val="clear" w:color="auto" w:fill="E6E6E6"/>
            <w:lang w:eastAsia="en-AU"/>
          </w:rPr>
          <w:drawing>
            <wp:anchor distT="0" distB="0" distL="114300" distR="114300" simplePos="0" relativeHeight="251658241" behindDoc="1" locked="0" layoutInCell="1" allowOverlap="1" wp14:anchorId="17C14882" wp14:editId="1F1BF80F">
              <wp:simplePos x="0" y="0"/>
              <wp:positionH relativeFrom="column">
                <wp:posOffset>-895350</wp:posOffset>
              </wp:positionH>
              <wp:positionV relativeFrom="paragraph">
                <wp:posOffset>170180</wp:posOffset>
              </wp:positionV>
              <wp:extent cx="7624445" cy="636270"/>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sidR="000D737E">
          <w:rPr>
            <w:noProof/>
          </w:rPr>
          <w:t>2</w:t>
        </w:r>
        <w:r>
          <w:rPr>
            <w:noProof/>
            <w:color w:val="2B579A"/>
            <w:shd w:val="clear" w:color="auto" w:fill="E6E6E6"/>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30E5BE4A" w:rsidR="00046838" w:rsidRDefault="00046838" w:rsidP="00890E34">
        <w:pPr>
          <w:pStyle w:val="Footer"/>
          <w:ind w:right="403"/>
          <w:jc w:val="right"/>
        </w:pPr>
        <w:r>
          <w:rPr>
            <w:noProof/>
            <w:color w:val="2B579A"/>
            <w:shd w:val="clear" w:color="auto" w:fill="E6E6E6"/>
            <w:lang w:eastAsia="en-AU"/>
          </w:rPr>
          <w:drawing>
            <wp:anchor distT="0" distB="0" distL="114300" distR="114300" simplePos="0" relativeHeight="251658240" behindDoc="1" locked="0" layoutInCell="1" allowOverlap="1" wp14:anchorId="2F3D67FD" wp14:editId="4643ED7B">
              <wp:simplePos x="0" y="0"/>
              <wp:positionH relativeFrom="column">
                <wp:posOffset>-904875</wp:posOffset>
              </wp:positionH>
              <wp:positionV relativeFrom="paragraph">
                <wp:posOffset>170180</wp:posOffset>
              </wp:positionV>
              <wp:extent cx="7624445" cy="63627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sidR="00EB7582">
          <w:rPr>
            <w:noProof/>
          </w:rPr>
          <w:t>3</w:t>
        </w:r>
        <w:r>
          <w:rPr>
            <w:noProof/>
            <w:color w:val="2B579A"/>
            <w:shd w:val="clear" w:color="auto" w:fill="E6E6E6"/>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1FC2589C" w:rsidR="00914337" w:rsidRDefault="00914337">
        <w:pPr>
          <w:pStyle w:val="Footer"/>
          <w:jc w:val="right"/>
        </w:pPr>
        <w:r>
          <w:rPr>
            <w:noProof/>
            <w:color w:val="2B579A"/>
            <w:shd w:val="clear" w:color="auto" w:fill="E6E6E6"/>
            <w:lang w:eastAsia="en-AU"/>
          </w:rPr>
          <w:drawing>
            <wp:anchor distT="0" distB="0" distL="114300" distR="114300" simplePos="0" relativeHeight="251658242" behindDoc="1" locked="0" layoutInCell="1" allowOverlap="1" wp14:anchorId="3CCE2843" wp14:editId="0F08236E">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sidR="00EB7582">
          <w:rPr>
            <w:noProof/>
          </w:rPr>
          <w:t>1</w:t>
        </w:r>
        <w:r>
          <w:rPr>
            <w:noProof/>
            <w:color w:val="2B579A"/>
            <w:shd w:val="clear" w:color="auto" w:fill="E6E6E6"/>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C591F" w14:textId="77777777" w:rsidR="009E6411" w:rsidRDefault="009E6411" w:rsidP="00717D10">
      <w:pPr>
        <w:spacing w:after="0" w:line="240" w:lineRule="auto"/>
      </w:pPr>
      <w:r>
        <w:separator/>
      </w:r>
    </w:p>
  </w:footnote>
  <w:footnote w:type="continuationSeparator" w:id="0">
    <w:p w14:paraId="3D833DB4" w14:textId="77777777" w:rsidR="009E6411" w:rsidRDefault="009E6411" w:rsidP="00717D10">
      <w:pPr>
        <w:spacing w:after="0" w:line="240" w:lineRule="auto"/>
      </w:pPr>
      <w:r>
        <w:continuationSeparator/>
      </w:r>
    </w:p>
  </w:footnote>
  <w:footnote w:type="continuationNotice" w:id="1">
    <w:p w14:paraId="15BC6C0E" w14:textId="77777777" w:rsidR="009E6411" w:rsidRDefault="009E6411">
      <w:pPr>
        <w:spacing w:after="0" w:line="240" w:lineRule="auto"/>
      </w:pPr>
    </w:p>
  </w:footnote>
  <w:footnote w:id="2">
    <w:p w14:paraId="30A30398" w14:textId="77777777" w:rsidR="008A7F32" w:rsidRDefault="008A7F32" w:rsidP="008A7F32">
      <w:pPr>
        <w:ind w:right="241"/>
        <w:contextualSpacing/>
      </w:pPr>
      <w:r>
        <w:rPr>
          <w:rStyle w:val="FootnoteReference"/>
        </w:rPr>
        <w:footnoteRef/>
      </w:r>
      <w:r>
        <w:t xml:space="preserve"> This links to the Series home page of the Determination. If the compilation has not been updated, the latest amendment will be included under </w:t>
      </w:r>
      <w:r>
        <w:rPr>
          <w:i/>
        </w:rPr>
        <w:t xml:space="preserve">Unincorporated Amendments </w:t>
      </w:r>
      <w:r>
        <w:t xml:space="preserve">on the left-hand side of the Series home </w:t>
      </w:r>
      <w:proofErr w:type="gramStart"/>
      <w:r>
        <w:t>page</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color w:val="2B579A"/>
        <w:shd w:val="clear" w:color="auto" w:fill="E6E6E6"/>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100827407">
    <w:abstractNumId w:val="3"/>
  </w:num>
  <w:num w:numId="2" w16cid:durableId="1178927990">
    <w:abstractNumId w:val="12"/>
  </w:num>
  <w:num w:numId="3" w16cid:durableId="481889745">
    <w:abstractNumId w:val="18"/>
  </w:num>
  <w:num w:numId="4" w16cid:durableId="2100251761">
    <w:abstractNumId w:val="21"/>
  </w:num>
  <w:num w:numId="5" w16cid:durableId="456224339">
    <w:abstractNumId w:val="9"/>
  </w:num>
  <w:num w:numId="6" w16cid:durableId="1929583671">
    <w:abstractNumId w:val="11"/>
  </w:num>
  <w:num w:numId="7" w16cid:durableId="621114185">
    <w:abstractNumId w:val="19"/>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8" w16cid:durableId="509485497">
    <w:abstractNumId w:val="6"/>
  </w:num>
  <w:num w:numId="9" w16cid:durableId="1908806695">
    <w:abstractNumId w:val="19"/>
  </w:num>
  <w:num w:numId="10" w16cid:durableId="1285503525">
    <w:abstractNumId w:val="15"/>
  </w:num>
  <w:num w:numId="11" w16cid:durableId="141701004">
    <w:abstractNumId w:val="19"/>
  </w:num>
  <w:num w:numId="12" w16cid:durableId="1373652125">
    <w:abstractNumId w:val="19"/>
  </w:num>
  <w:num w:numId="13" w16cid:durableId="1552110793">
    <w:abstractNumId w:val="22"/>
  </w:num>
  <w:num w:numId="14" w16cid:durableId="1075855424">
    <w:abstractNumId w:val="7"/>
  </w:num>
  <w:num w:numId="15" w16cid:durableId="1036085244">
    <w:abstractNumId w:val="19"/>
  </w:num>
  <w:num w:numId="16" w16cid:durableId="1757821199">
    <w:abstractNumId w:val="16"/>
  </w:num>
  <w:num w:numId="17" w16cid:durableId="1261178925">
    <w:abstractNumId w:val="19"/>
  </w:num>
  <w:num w:numId="18" w16cid:durableId="1852136501">
    <w:abstractNumId w:val="19"/>
  </w:num>
  <w:num w:numId="19" w16cid:durableId="1759910855">
    <w:abstractNumId w:val="19"/>
  </w:num>
  <w:num w:numId="20" w16cid:durableId="1605965613">
    <w:abstractNumId w:val="2"/>
  </w:num>
  <w:num w:numId="21" w16cid:durableId="2119328691">
    <w:abstractNumId w:val="23"/>
  </w:num>
  <w:num w:numId="22" w16cid:durableId="755636219">
    <w:abstractNumId w:val="0"/>
  </w:num>
  <w:num w:numId="23" w16cid:durableId="1320124">
    <w:abstractNumId w:val="14"/>
  </w:num>
  <w:num w:numId="24" w16cid:durableId="7275324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3391265">
    <w:abstractNumId w:val="24"/>
  </w:num>
  <w:num w:numId="26" w16cid:durableId="20352270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34714914">
    <w:abstractNumId w:val="1"/>
  </w:num>
  <w:num w:numId="28" w16cid:durableId="1643072209">
    <w:abstractNumId w:val="8"/>
  </w:num>
  <w:num w:numId="29" w16cid:durableId="376971092">
    <w:abstractNumId w:val="10"/>
  </w:num>
  <w:num w:numId="30" w16cid:durableId="291062489">
    <w:abstractNumId w:val="13"/>
  </w:num>
  <w:num w:numId="31" w16cid:durableId="1105030413">
    <w:abstractNumId w:val="5"/>
  </w:num>
  <w:num w:numId="32" w16cid:durableId="1305622635">
    <w:abstractNumId w:val="19"/>
  </w:num>
  <w:num w:numId="33" w16cid:durableId="590159201">
    <w:abstractNumId w:val="19"/>
  </w:num>
  <w:num w:numId="34" w16cid:durableId="1331643368">
    <w:abstractNumId w:val="19"/>
  </w:num>
  <w:num w:numId="35" w16cid:durableId="88434749">
    <w:abstractNumId w:val="19"/>
  </w:num>
  <w:num w:numId="36" w16cid:durableId="227109708">
    <w:abstractNumId w:val="19"/>
  </w:num>
  <w:num w:numId="37" w16cid:durableId="841555362">
    <w:abstractNumId w:val="19"/>
  </w:num>
  <w:num w:numId="38" w16cid:durableId="102700040">
    <w:abstractNumId w:val="19"/>
  </w:num>
  <w:num w:numId="39" w16cid:durableId="1358196576">
    <w:abstractNumId w:val="20"/>
  </w:num>
  <w:num w:numId="40" w16cid:durableId="134032753">
    <w:abstractNumId w:val="19"/>
  </w:num>
  <w:num w:numId="41" w16cid:durableId="776214543">
    <w:abstractNumId w:val="19"/>
  </w:num>
  <w:num w:numId="42" w16cid:durableId="2111316020">
    <w:abstractNumId w:val="4"/>
  </w:num>
  <w:num w:numId="43" w16cid:durableId="4774964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0A3E"/>
    <w:rsid w:val="0000260F"/>
    <w:rsid w:val="000132FF"/>
    <w:rsid w:val="00017EB3"/>
    <w:rsid w:val="00020409"/>
    <w:rsid w:val="000433E3"/>
    <w:rsid w:val="00044D20"/>
    <w:rsid w:val="00046838"/>
    <w:rsid w:val="00047268"/>
    <w:rsid w:val="0005346E"/>
    <w:rsid w:val="00054523"/>
    <w:rsid w:val="0006240C"/>
    <w:rsid w:val="00076227"/>
    <w:rsid w:val="00087ADC"/>
    <w:rsid w:val="000947EF"/>
    <w:rsid w:val="000A6C42"/>
    <w:rsid w:val="000B579D"/>
    <w:rsid w:val="000C22CF"/>
    <w:rsid w:val="000D737E"/>
    <w:rsid w:val="000E521B"/>
    <w:rsid w:val="001342AC"/>
    <w:rsid w:val="00140C23"/>
    <w:rsid w:val="001548DE"/>
    <w:rsid w:val="00162AFA"/>
    <w:rsid w:val="001670E5"/>
    <w:rsid w:val="0017080A"/>
    <w:rsid w:val="00175452"/>
    <w:rsid w:val="0018200C"/>
    <w:rsid w:val="001907B3"/>
    <w:rsid w:val="00193491"/>
    <w:rsid w:val="001A1304"/>
    <w:rsid w:val="002031D4"/>
    <w:rsid w:val="00222D4D"/>
    <w:rsid w:val="002273CB"/>
    <w:rsid w:val="002347B1"/>
    <w:rsid w:val="002405D1"/>
    <w:rsid w:val="0024416C"/>
    <w:rsid w:val="00252D8F"/>
    <w:rsid w:val="00262CA5"/>
    <w:rsid w:val="0028040D"/>
    <w:rsid w:val="00282D66"/>
    <w:rsid w:val="00290E36"/>
    <w:rsid w:val="002A1074"/>
    <w:rsid w:val="002B23DD"/>
    <w:rsid w:val="002B29D3"/>
    <w:rsid w:val="002C7923"/>
    <w:rsid w:val="002D7757"/>
    <w:rsid w:val="00304F5B"/>
    <w:rsid w:val="00324D94"/>
    <w:rsid w:val="00330F75"/>
    <w:rsid w:val="00334560"/>
    <w:rsid w:val="0033585A"/>
    <w:rsid w:val="00361CB5"/>
    <w:rsid w:val="00365347"/>
    <w:rsid w:val="00372C0B"/>
    <w:rsid w:val="0037677E"/>
    <w:rsid w:val="00381131"/>
    <w:rsid w:val="00385010"/>
    <w:rsid w:val="00392B02"/>
    <w:rsid w:val="003E612E"/>
    <w:rsid w:val="003E65A1"/>
    <w:rsid w:val="003F1487"/>
    <w:rsid w:val="00410BF3"/>
    <w:rsid w:val="00411EDF"/>
    <w:rsid w:val="00412842"/>
    <w:rsid w:val="00413ABE"/>
    <w:rsid w:val="00414E8E"/>
    <w:rsid w:val="004152BF"/>
    <w:rsid w:val="004322A4"/>
    <w:rsid w:val="004376BC"/>
    <w:rsid w:val="00437A72"/>
    <w:rsid w:val="00445099"/>
    <w:rsid w:val="0045406A"/>
    <w:rsid w:val="004A2B93"/>
    <w:rsid w:val="004B1B95"/>
    <w:rsid w:val="004C14E3"/>
    <w:rsid w:val="004F078A"/>
    <w:rsid w:val="004F6B11"/>
    <w:rsid w:val="004F7003"/>
    <w:rsid w:val="005059B9"/>
    <w:rsid w:val="005322A5"/>
    <w:rsid w:val="00542571"/>
    <w:rsid w:val="005460E4"/>
    <w:rsid w:val="00553320"/>
    <w:rsid w:val="0055606F"/>
    <w:rsid w:val="00557FC4"/>
    <w:rsid w:val="005615CD"/>
    <w:rsid w:val="00570092"/>
    <w:rsid w:val="00584A1F"/>
    <w:rsid w:val="00586383"/>
    <w:rsid w:val="005970B7"/>
    <w:rsid w:val="005C2230"/>
    <w:rsid w:val="005C26D5"/>
    <w:rsid w:val="005E2F2B"/>
    <w:rsid w:val="00611FA2"/>
    <w:rsid w:val="006154A3"/>
    <w:rsid w:val="00621C9E"/>
    <w:rsid w:val="006256C1"/>
    <w:rsid w:val="006268F4"/>
    <w:rsid w:val="00640B91"/>
    <w:rsid w:val="0065092C"/>
    <w:rsid w:val="00651D5D"/>
    <w:rsid w:val="006551E9"/>
    <w:rsid w:val="006716C7"/>
    <w:rsid w:val="00676439"/>
    <w:rsid w:val="0069009B"/>
    <w:rsid w:val="0069369D"/>
    <w:rsid w:val="00693728"/>
    <w:rsid w:val="00695771"/>
    <w:rsid w:val="006C5975"/>
    <w:rsid w:val="006C6F84"/>
    <w:rsid w:val="006D18FD"/>
    <w:rsid w:val="006D606B"/>
    <w:rsid w:val="006E203A"/>
    <w:rsid w:val="006F672D"/>
    <w:rsid w:val="006F6A03"/>
    <w:rsid w:val="007042B0"/>
    <w:rsid w:val="00705E88"/>
    <w:rsid w:val="007118DD"/>
    <w:rsid w:val="007157A2"/>
    <w:rsid w:val="00717D10"/>
    <w:rsid w:val="00721990"/>
    <w:rsid w:val="00740306"/>
    <w:rsid w:val="00745195"/>
    <w:rsid w:val="00751AB3"/>
    <w:rsid w:val="00757B36"/>
    <w:rsid w:val="00761D35"/>
    <w:rsid w:val="0078419C"/>
    <w:rsid w:val="00785AB7"/>
    <w:rsid w:val="007A49B9"/>
    <w:rsid w:val="007C2896"/>
    <w:rsid w:val="007D0AC4"/>
    <w:rsid w:val="008009EB"/>
    <w:rsid w:val="008020E0"/>
    <w:rsid w:val="00803E57"/>
    <w:rsid w:val="00824C82"/>
    <w:rsid w:val="00835275"/>
    <w:rsid w:val="0083572F"/>
    <w:rsid w:val="00835BB3"/>
    <w:rsid w:val="008501FB"/>
    <w:rsid w:val="00874C06"/>
    <w:rsid w:val="0088046D"/>
    <w:rsid w:val="0088518B"/>
    <w:rsid w:val="00890E34"/>
    <w:rsid w:val="008A7F32"/>
    <w:rsid w:val="008B09A1"/>
    <w:rsid w:val="008B49BB"/>
    <w:rsid w:val="008C517C"/>
    <w:rsid w:val="008C6EEF"/>
    <w:rsid w:val="008D7570"/>
    <w:rsid w:val="008E2742"/>
    <w:rsid w:val="008F2C78"/>
    <w:rsid w:val="00914337"/>
    <w:rsid w:val="00916D6B"/>
    <w:rsid w:val="00917B95"/>
    <w:rsid w:val="00947BB5"/>
    <w:rsid w:val="0095275B"/>
    <w:rsid w:val="009546E4"/>
    <w:rsid w:val="0096078A"/>
    <w:rsid w:val="009766AA"/>
    <w:rsid w:val="00980B72"/>
    <w:rsid w:val="00993E60"/>
    <w:rsid w:val="009950AF"/>
    <w:rsid w:val="00995C84"/>
    <w:rsid w:val="009A3740"/>
    <w:rsid w:val="009C0C5E"/>
    <w:rsid w:val="009C198C"/>
    <w:rsid w:val="009C2C1A"/>
    <w:rsid w:val="009C32E8"/>
    <w:rsid w:val="009D1143"/>
    <w:rsid w:val="009D4CB6"/>
    <w:rsid w:val="009E6411"/>
    <w:rsid w:val="00A01C44"/>
    <w:rsid w:val="00A34110"/>
    <w:rsid w:val="00A66BF8"/>
    <w:rsid w:val="00A67229"/>
    <w:rsid w:val="00A8428A"/>
    <w:rsid w:val="00AC3652"/>
    <w:rsid w:val="00AE0E21"/>
    <w:rsid w:val="00AE4E35"/>
    <w:rsid w:val="00AE5016"/>
    <w:rsid w:val="00AF0E0D"/>
    <w:rsid w:val="00AF1FE9"/>
    <w:rsid w:val="00AF5F7D"/>
    <w:rsid w:val="00B041B4"/>
    <w:rsid w:val="00B13FD1"/>
    <w:rsid w:val="00B20069"/>
    <w:rsid w:val="00B37D7F"/>
    <w:rsid w:val="00B436C7"/>
    <w:rsid w:val="00B45AA4"/>
    <w:rsid w:val="00B60F84"/>
    <w:rsid w:val="00B6139E"/>
    <w:rsid w:val="00B61BE5"/>
    <w:rsid w:val="00B676BC"/>
    <w:rsid w:val="00B927FA"/>
    <w:rsid w:val="00B96BDE"/>
    <w:rsid w:val="00BA5E54"/>
    <w:rsid w:val="00BC1E8B"/>
    <w:rsid w:val="00BD156E"/>
    <w:rsid w:val="00BD7BBF"/>
    <w:rsid w:val="00C018E1"/>
    <w:rsid w:val="00C13816"/>
    <w:rsid w:val="00C1418C"/>
    <w:rsid w:val="00C14DFC"/>
    <w:rsid w:val="00C24DE0"/>
    <w:rsid w:val="00C2679F"/>
    <w:rsid w:val="00C276AA"/>
    <w:rsid w:val="00C61BD2"/>
    <w:rsid w:val="00C6350A"/>
    <w:rsid w:val="00C76EAA"/>
    <w:rsid w:val="00C90F7B"/>
    <w:rsid w:val="00CA18E6"/>
    <w:rsid w:val="00CA50A9"/>
    <w:rsid w:val="00CA5802"/>
    <w:rsid w:val="00CA5EAE"/>
    <w:rsid w:val="00CE44D5"/>
    <w:rsid w:val="00D10F2D"/>
    <w:rsid w:val="00D23247"/>
    <w:rsid w:val="00D35E56"/>
    <w:rsid w:val="00D470F4"/>
    <w:rsid w:val="00D5005E"/>
    <w:rsid w:val="00D56AB9"/>
    <w:rsid w:val="00D60545"/>
    <w:rsid w:val="00D60CDA"/>
    <w:rsid w:val="00D74B04"/>
    <w:rsid w:val="00D82EEB"/>
    <w:rsid w:val="00D84357"/>
    <w:rsid w:val="00D84540"/>
    <w:rsid w:val="00D90E35"/>
    <w:rsid w:val="00DA07EE"/>
    <w:rsid w:val="00DA0C29"/>
    <w:rsid w:val="00DA3169"/>
    <w:rsid w:val="00DA5547"/>
    <w:rsid w:val="00DA5BBB"/>
    <w:rsid w:val="00DA76B2"/>
    <w:rsid w:val="00DC72C8"/>
    <w:rsid w:val="00DC7C06"/>
    <w:rsid w:val="00DD40C8"/>
    <w:rsid w:val="00DF254A"/>
    <w:rsid w:val="00DF2CC9"/>
    <w:rsid w:val="00E03469"/>
    <w:rsid w:val="00E06497"/>
    <w:rsid w:val="00E2221D"/>
    <w:rsid w:val="00E31F02"/>
    <w:rsid w:val="00E53AC7"/>
    <w:rsid w:val="00E55A89"/>
    <w:rsid w:val="00E81738"/>
    <w:rsid w:val="00E86FFA"/>
    <w:rsid w:val="00E924D9"/>
    <w:rsid w:val="00E935AA"/>
    <w:rsid w:val="00EB7582"/>
    <w:rsid w:val="00ED1175"/>
    <w:rsid w:val="00ED23CC"/>
    <w:rsid w:val="00F06344"/>
    <w:rsid w:val="00F06CDB"/>
    <w:rsid w:val="00F078BC"/>
    <w:rsid w:val="00F20EA5"/>
    <w:rsid w:val="00F23E2C"/>
    <w:rsid w:val="00F44260"/>
    <w:rsid w:val="00F534D9"/>
    <w:rsid w:val="00F7456A"/>
    <w:rsid w:val="00F80AE2"/>
    <w:rsid w:val="00F948F8"/>
    <w:rsid w:val="00F94EF0"/>
    <w:rsid w:val="00F97231"/>
    <w:rsid w:val="00FA3427"/>
    <w:rsid w:val="00FB619D"/>
    <w:rsid w:val="00FD236D"/>
    <w:rsid w:val="00FD47FD"/>
    <w:rsid w:val="00FD565E"/>
    <w:rsid w:val="00FE1A48"/>
    <w:rsid w:val="00FF031B"/>
    <w:rsid w:val="00FF18FD"/>
    <w:rsid w:val="00FF1DBC"/>
    <w:rsid w:val="00FF4353"/>
    <w:rsid w:val="00FF6995"/>
    <w:rsid w:val="05B6BE3C"/>
    <w:rsid w:val="1E0C055B"/>
    <w:rsid w:val="1F70F276"/>
    <w:rsid w:val="210CC2D7"/>
    <w:rsid w:val="22A89338"/>
    <w:rsid w:val="301DE8D7"/>
    <w:rsid w:val="36DE32E4"/>
    <w:rsid w:val="5EA68A8A"/>
    <w:rsid w:val="635957F7"/>
    <w:rsid w:val="74FABA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8A7F32"/>
    <w:pPr>
      <w:keepNext/>
      <w:keepLines/>
      <w:spacing w:before="240" w:after="0"/>
      <w:outlineLvl w:val="0"/>
    </w:pPr>
    <w:rPr>
      <w:rFonts w:eastAsia="Times New Roman" w:cstheme="minorHAnsi"/>
      <w:color w:val="1E3D65"/>
      <w:sz w:val="32"/>
      <w:szCs w:val="32"/>
    </w:rPr>
  </w:style>
  <w:style w:type="paragraph" w:styleId="Heading2">
    <w:name w:val="heading 2"/>
    <w:basedOn w:val="Normal"/>
    <w:next w:val="Normal"/>
    <w:link w:val="Heading2Char"/>
    <w:uiPriority w:val="9"/>
    <w:unhideWhenUsed/>
    <w:qFormat/>
    <w:rsid w:val="008A7F32"/>
    <w:pPr>
      <w:keepNext/>
      <w:keepLines/>
      <w:spacing w:before="120" w:after="0" w:line="240" w:lineRule="auto"/>
      <w:outlineLvl w:val="1"/>
    </w:pPr>
    <w:rPr>
      <w:rFonts w:ascii="Calibri" w:eastAsia="Times New Roman" w:hAnsi="Calibri" w:cs="Calibri"/>
      <w:bCs/>
      <w:color w:val="3367B3"/>
      <w:sz w:val="28"/>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uiPriority w:val="99"/>
    <w:unhideWhenUsed/>
    <w:qFormat/>
    <w:rsid w:val="00640B91"/>
    <w:pPr>
      <w:numPr>
        <w:numId w:val="6"/>
      </w:numPr>
      <w:spacing w:after="120"/>
      <w:contextualSpacing/>
    </w:pPr>
    <w:rPr>
      <w:rFonts w:ascii="Calibri" w:eastAsiaTheme="minorEastAsia" w:hAnsi="Calibri"/>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8A7F32"/>
    <w:rPr>
      <w:rFonts w:eastAsia="Times New Roman" w:cstheme="minorHAnsi"/>
      <w:color w:val="1E3D65"/>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link w:val="ListBulletChar"/>
    <w:uiPriority w:val="99"/>
    <w:unhideWhenUsed/>
    <w:qFormat/>
    <w:rsid w:val="00A66BF8"/>
    <w:pPr>
      <w:spacing w:after="120"/>
      <w:contextualSpacing/>
    </w:pPr>
    <w:rPr>
      <w:rFonts w:ascii="Calibri" w:eastAsiaTheme="minorEastAsia" w:hAnsi="Calibri"/>
    </w:rPr>
  </w:style>
  <w:style w:type="paragraph" w:styleId="ListBullet2">
    <w:name w:val="List Bullet 2"/>
    <w:basedOn w:val="Normal"/>
    <w:link w:val="ListBullet2Char"/>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link w:val="ListBullet3Char"/>
    <w:uiPriority w:val="99"/>
    <w:qFormat/>
    <w:rsid w:val="007D0AC4"/>
    <w:pPr>
      <w:numPr>
        <w:ilvl w:val="2"/>
        <w:numId w:val="7"/>
      </w:numPr>
      <w:spacing w:after="120"/>
      <w:ind w:left="1077"/>
      <w:contextualSpacing/>
    </w:pPr>
    <w:rPr>
      <w:rFonts w:eastAsiaTheme="minorEastAsia"/>
    </w:rPr>
  </w:style>
  <w:style w:type="paragraph" w:styleId="ListBullet4">
    <w:name w:val="List Bullet 4"/>
    <w:basedOn w:val="Normal"/>
    <w:link w:val="ListBullet4Char"/>
    <w:uiPriority w:val="99"/>
    <w:qFormat/>
    <w:rsid w:val="00F94EF0"/>
    <w:pPr>
      <w:numPr>
        <w:ilvl w:val="3"/>
        <w:numId w:val="7"/>
      </w:numPr>
      <w:spacing w:after="120"/>
      <w:ind w:left="1117"/>
      <w:contextualSpacing/>
    </w:pPr>
    <w:rPr>
      <w:rFonts w:eastAsiaTheme="minorEastAsia"/>
    </w:rPr>
  </w:style>
  <w:style w:type="numbering" w:customStyle="1" w:styleId="BulletList">
    <w:name w:val="Bullet List"/>
    <w:uiPriority w:val="99"/>
    <w:rsid w:val="004F7003"/>
    <w:pPr>
      <w:numPr>
        <w:numId w:val="9"/>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8A7F32"/>
    <w:rPr>
      <w:rFonts w:ascii="Calibri" w:eastAsia="Times New Roman" w:hAnsi="Calibri" w:cs="Calibri"/>
      <w:bCs/>
      <w:color w:val="3367B3"/>
      <w:sz w:val="28"/>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16"/>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character" w:styleId="BookTitle">
    <w:name w:val="Book Title"/>
    <w:basedOn w:val="DefaultParagraphFont"/>
    <w:uiPriority w:val="33"/>
    <w:qFormat/>
    <w:rsid w:val="00640B91"/>
    <w:rPr>
      <w:rFonts w:ascii="Calibri" w:hAnsi="Calibri"/>
      <w:bCs/>
      <w:i/>
      <w:iCs/>
      <w:spacing w:val="5"/>
      <w:sz w:val="22"/>
    </w:rPr>
  </w:style>
  <w:style w:type="paragraph" w:customStyle="1" w:styleId="Style1">
    <w:name w:val="Style1"/>
    <w:basedOn w:val="ListBullet"/>
    <w:link w:val="Style1Char"/>
    <w:qFormat/>
    <w:rsid w:val="00A66BF8"/>
    <w:pPr>
      <w:numPr>
        <w:numId w:val="7"/>
      </w:numPr>
    </w:pPr>
    <w:rPr>
      <w:rFonts w:eastAsia="Calibri"/>
    </w:rPr>
  </w:style>
  <w:style w:type="paragraph" w:customStyle="1" w:styleId="Style2">
    <w:name w:val="Style2"/>
    <w:basedOn w:val="ListBullet4"/>
    <w:link w:val="Style2Char"/>
    <w:qFormat/>
    <w:rsid w:val="007D0AC4"/>
    <w:pPr>
      <w:ind w:left="714" w:hanging="357"/>
    </w:pPr>
    <w:rPr>
      <w:rFonts w:eastAsia="Calibri"/>
    </w:rPr>
  </w:style>
  <w:style w:type="character" w:customStyle="1" w:styleId="ListBulletChar">
    <w:name w:val="List Bullet Char"/>
    <w:basedOn w:val="DefaultParagraphFont"/>
    <w:link w:val="ListBullet"/>
    <w:uiPriority w:val="99"/>
    <w:rsid w:val="00A66BF8"/>
    <w:rPr>
      <w:rFonts w:ascii="Calibri" w:eastAsiaTheme="minorEastAsia" w:hAnsi="Calibri"/>
    </w:rPr>
  </w:style>
  <w:style w:type="character" w:customStyle="1" w:styleId="Style1Char">
    <w:name w:val="Style1 Char"/>
    <w:basedOn w:val="ListBulletChar"/>
    <w:link w:val="Style1"/>
    <w:rsid w:val="00A66BF8"/>
    <w:rPr>
      <w:rFonts w:ascii="Calibri" w:eastAsia="Calibri" w:hAnsi="Calibri"/>
    </w:rPr>
  </w:style>
  <w:style w:type="paragraph" w:customStyle="1" w:styleId="Style3">
    <w:name w:val="Style3"/>
    <w:basedOn w:val="Bullet4"/>
    <w:link w:val="Style3Char"/>
    <w:qFormat/>
    <w:rsid w:val="007D0AC4"/>
    <w:pPr>
      <w:ind w:left="1434" w:hanging="357"/>
    </w:pPr>
  </w:style>
  <w:style w:type="character" w:customStyle="1" w:styleId="ListBullet4Char">
    <w:name w:val="List Bullet 4 Char"/>
    <w:basedOn w:val="DefaultParagraphFont"/>
    <w:link w:val="ListBullet4"/>
    <w:uiPriority w:val="99"/>
    <w:rsid w:val="00A66BF8"/>
    <w:rPr>
      <w:rFonts w:eastAsiaTheme="minorEastAsia"/>
    </w:rPr>
  </w:style>
  <w:style w:type="character" w:customStyle="1" w:styleId="Style2Char">
    <w:name w:val="Style2 Char"/>
    <w:basedOn w:val="ListBullet4Char"/>
    <w:link w:val="Style2"/>
    <w:rsid w:val="007D0AC4"/>
    <w:rPr>
      <w:rFonts w:eastAsia="Calibri"/>
    </w:rPr>
  </w:style>
  <w:style w:type="paragraph" w:customStyle="1" w:styleId="Bullet3">
    <w:name w:val="Bullet 3"/>
    <w:basedOn w:val="ListBullet3"/>
    <w:link w:val="Bullet3Char"/>
    <w:qFormat/>
    <w:rsid w:val="00A66BF8"/>
  </w:style>
  <w:style w:type="character" w:customStyle="1" w:styleId="ListBullet2Char">
    <w:name w:val="List Bullet 2 Char"/>
    <w:basedOn w:val="DefaultParagraphFont"/>
    <w:link w:val="ListBullet2"/>
    <w:uiPriority w:val="99"/>
    <w:rsid w:val="00A66BF8"/>
    <w:rPr>
      <w:rFonts w:eastAsiaTheme="minorEastAsia"/>
    </w:rPr>
  </w:style>
  <w:style w:type="character" w:customStyle="1" w:styleId="Style3Char">
    <w:name w:val="Style3 Char"/>
    <w:basedOn w:val="ListBullet2Char"/>
    <w:link w:val="Style3"/>
    <w:rsid w:val="007D0AC4"/>
    <w:rPr>
      <w:rFonts w:eastAsiaTheme="minorEastAsia"/>
    </w:rPr>
  </w:style>
  <w:style w:type="paragraph" w:customStyle="1" w:styleId="Bullet4">
    <w:name w:val="Bullet 4"/>
    <w:basedOn w:val="ListBullet2"/>
    <w:link w:val="Bullet4Char"/>
    <w:qFormat/>
    <w:rsid w:val="00A66BF8"/>
    <w:pPr>
      <w:ind w:left="1474"/>
    </w:pPr>
  </w:style>
  <w:style w:type="character" w:customStyle="1" w:styleId="ListBullet3Char">
    <w:name w:val="List Bullet 3 Char"/>
    <w:basedOn w:val="DefaultParagraphFont"/>
    <w:link w:val="ListBullet3"/>
    <w:uiPriority w:val="99"/>
    <w:rsid w:val="007D0AC4"/>
    <w:rPr>
      <w:rFonts w:eastAsiaTheme="minorEastAsia"/>
    </w:rPr>
  </w:style>
  <w:style w:type="character" w:customStyle="1" w:styleId="Bullet3Char">
    <w:name w:val="Bullet 3 Char"/>
    <w:basedOn w:val="ListBullet3Char"/>
    <w:link w:val="Bullet3"/>
    <w:rsid w:val="00A66BF8"/>
    <w:rPr>
      <w:rFonts w:eastAsiaTheme="minorEastAsia"/>
    </w:rPr>
  </w:style>
  <w:style w:type="paragraph" w:customStyle="1" w:styleId="Bullet1">
    <w:name w:val="Bullet 1"/>
    <w:basedOn w:val="Style1"/>
    <w:link w:val="Bullet1Char"/>
    <w:qFormat/>
    <w:rsid w:val="00A66BF8"/>
  </w:style>
  <w:style w:type="character" w:customStyle="1" w:styleId="Bullet4Char">
    <w:name w:val="Bullet 4 Char"/>
    <w:basedOn w:val="ListBullet2Char"/>
    <w:link w:val="Bullet4"/>
    <w:rsid w:val="00A66BF8"/>
    <w:rPr>
      <w:rFonts w:eastAsiaTheme="minorEastAsia"/>
    </w:rPr>
  </w:style>
  <w:style w:type="character" w:customStyle="1" w:styleId="Bullet1Char">
    <w:name w:val="Bullet 1 Char"/>
    <w:basedOn w:val="Style1Char"/>
    <w:link w:val="Bullet1"/>
    <w:rsid w:val="00A66BF8"/>
    <w:rPr>
      <w:rFonts w:ascii="Calibri" w:eastAsia="Calibri" w:hAnsi="Calibri"/>
    </w:rPr>
  </w:style>
  <w:style w:type="paragraph" w:styleId="BodyText">
    <w:name w:val="Body Text"/>
    <w:basedOn w:val="Normal"/>
    <w:link w:val="BodyTextChar"/>
    <w:uiPriority w:val="1"/>
    <w:semiHidden/>
    <w:unhideWhenUsed/>
    <w:qFormat/>
    <w:rsid w:val="008A7F32"/>
    <w:pPr>
      <w:widowControl w:val="0"/>
      <w:autoSpaceDE w:val="0"/>
      <w:autoSpaceDN w:val="0"/>
      <w:spacing w:after="0" w:line="240" w:lineRule="auto"/>
      <w:ind w:left="1303"/>
    </w:pPr>
    <w:rPr>
      <w:rFonts w:ascii="Calibri" w:eastAsia="Calibri" w:hAnsi="Calibri" w:cs="Calibri"/>
      <w:sz w:val="24"/>
      <w:szCs w:val="24"/>
      <w:lang w:eastAsia="en-AU" w:bidi="en-AU"/>
    </w:rPr>
  </w:style>
  <w:style w:type="character" w:customStyle="1" w:styleId="BodyTextChar">
    <w:name w:val="Body Text Char"/>
    <w:basedOn w:val="DefaultParagraphFont"/>
    <w:link w:val="BodyText"/>
    <w:uiPriority w:val="1"/>
    <w:semiHidden/>
    <w:rsid w:val="008A7F32"/>
    <w:rPr>
      <w:rFonts w:ascii="Calibri" w:eastAsia="Calibri" w:hAnsi="Calibri" w:cs="Calibri"/>
      <w:sz w:val="24"/>
      <w:szCs w:val="24"/>
      <w:lang w:eastAsia="en-AU" w:bidi="en-AU"/>
    </w:rPr>
  </w:style>
  <w:style w:type="character" w:styleId="UnresolvedMention">
    <w:name w:val="Unresolved Mention"/>
    <w:basedOn w:val="DefaultParagraphFont"/>
    <w:uiPriority w:val="99"/>
    <w:semiHidden/>
    <w:unhideWhenUsed/>
    <w:rsid w:val="008A7F32"/>
    <w:rPr>
      <w:color w:val="605E5C"/>
      <w:shd w:val="clear" w:color="auto" w:fill="E1DFDD"/>
    </w:rPr>
  </w:style>
  <w:style w:type="table" w:styleId="TableGrid">
    <w:name w:val="Table Grid"/>
    <w:aliases w:val="HELP_Table Style 2"/>
    <w:basedOn w:val="TableNormal"/>
    <w:uiPriority w:val="59"/>
    <w:rsid w:val="00000A3E"/>
    <w:pPr>
      <w:spacing w:after="0" w:line="240" w:lineRule="auto"/>
    </w:pPr>
    <w:rPr>
      <w:rFonts w:eastAsiaTheme="minorEastAsia"/>
    </w:rPr>
    <w:tblPr>
      <w:tblInd w:w="0" w:type="nil"/>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E7E6E6" w:themeColor="background2"/>
      </w:rPr>
      <w:tblPr/>
      <w:tcPr>
        <w:shd w:val="clear" w:color="auto" w:fill="24206C"/>
      </w:tcPr>
    </w:tblStylePr>
    <w:tblStylePr w:type="firstCol">
      <w:pPr>
        <w:jc w:val="left"/>
      </w:pPr>
      <w:tblPr/>
      <w:tcPr>
        <w:vAlign w:val="center"/>
      </w:tcPr>
    </w:tblStyle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6908">
      <w:bodyDiv w:val="1"/>
      <w:marLeft w:val="0"/>
      <w:marRight w:val="0"/>
      <w:marTop w:val="0"/>
      <w:marBottom w:val="0"/>
      <w:divBdr>
        <w:top w:val="none" w:sz="0" w:space="0" w:color="auto"/>
        <w:left w:val="none" w:sz="0" w:space="0" w:color="auto"/>
        <w:bottom w:val="none" w:sz="0" w:space="0" w:color="auto"/>
        <w:right w:val="none" w:sz="0" w:space="0" w:color="auto"/>
      </w:divBdr>
    </w:div>
    <w:div w:id="273247476">
      <w:bodyDiv w:val="1"/>
      <w:marLeft w:val="0"/>
      <w:marRight w:val="0"/>
      <w:marTop w:val="0"/>
      <w:marBottom w:val="0"/>
      <w:divBdr>
        <w:top w:val="none" w:sz="0" w:space="0" w:color="auto"/>
        <w:left w:val="none" w:sz="0" w:space="0" w:color="auto"/>
        <w:bottom w:val="none" w:sz="0" w:space="0" w:color="auto"/>
        <w:right w:val="none" w:sz="0" w:space="0" w:color="auto"/>
      </w:divBdr>
    </w:div>
    <w:div w:id="744036887">
      <w:bodyDiv w:val="1"/>
      <w:marLeft w:val="0"/>
      <w:marRight w:val="0"/>
      <w:marTop w:val="0"/>
      <w:marBottom w:val="0"/>
      <w:divBdr>
        <w:top w:val="none" w:sz="0" w:space="0" w:color="auto"/>
        <w:left w:val="none" w:sz="0" w:space="0" w:color="auto"/>
        <w:bottom w:val="none" w:sz="0" w:space="0" w:color="auto"/>
        <w:right w:val="none" w:sz="0" w:space="0" w:color="auto"/>
      </w:divBdr>
    </w:div>
    <w:div w:id="828132764">
      <w:bodyDiv w:val="1"/>
      <w:marLeft w:val="0"/>
      <w:marRight w:val="0"/>
      <w:marTop w:val="0"/>
      <w:marBottom w:val="0"/>
      <w:divBdr>
        <w:top w:val="none" w:sz="0" w:space="0" w:color="auto"/>
        <w:left w:val="none" w:sz="0" w:space="0" w:color="auto"/>
        <w:bottom w:val="none" w:sz="0" w:space="0" w:color="auto"/>
        <w:right w:val="none" w:sz="0" w:space="0" w:color="auto"/>
      </w:divBdr>
    </w:div>
    <w:div w:id="1088693848">
      <w:bodyDiv w:val="1"/>
      <w:marLeft w:val="0"/>
      <w:marRight w:val="0"/>
      <w:marTop w:val="0"/>
      <w:marBottom w:val="0"/>
      <w:divBdr>
        <w:top w:val="none" w:sz="0" w:space="0" w:color="auto"/>
        <w:left w:val="none" w:sz="0" w:space="0" w:color="auto"/>
        <w:bottom w:val="none" w:sz="0" w:space="0" w:color="auto"/>
        <w:right w:val="none" w:sz="0" w:space="0" w:color="auto"/>
      </w:divBdr>
    </w:div>
    <w:div w:id="1246762146">
      <w:bodyDiv w:val="1"/>
      <w:marLeft w:val="0"/>
      <w:marRight w:val="0"/>
      <w:marTop w:val="0"/>
      <w:marBottom w:val="0"/>
      <w:divBdr>
        <w:top w:val="none" w:sz="0" w:space="0" w:color="auto"/>
        <w:left w:val="none" w:sz="0" w:space="0" w:color="auto"/>
        <w:bottom w:val="none" w:sz="0" w:space="0" w:color="auto"/>
        <w:right w:val="none" w:sz="0" w:space="0" w:color="auto"/>
      </w:divBdr>
    </w:div>
    <w:div w:id="1403409613">
      <w:bodyDiv w:val="1"/>
      <w:marLeft w:val="0"/>
      <w:marRight w:val="0"/>
      <w:marTop w:val="0"/>
      <w:marBottom w:val="0"/>
      <w:divBdr>
        <w:top w:val="none" w:sz="0" w:space="0" w:color="auto"/>
        <w:left w:val="none" w:sz="0" w:space="0" w:color="auto"/>
        <w:bottom w:val="none" w:sz="0" w:space="0" w:color="auto"/>
        <w:right w:val="none" w:sz="0" w:space="0" w:color="auto"/>
      </w:divBdr>
    </w:div>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049642">
      <w:bodyDiv w:val="1"/>
      <w:marLeft w:val="0"/>
      <w:marRight w:val="0"/>
      <w:marTop w:val="0"/>
      <w:marBottom w:val="0"/>
      <w:divBdr>
        <w:top w:val="none" w:sz="0" w:space="0" w:color="auto"/>
        <w:left w:val="none" w:sz="0" w:space="0" w:color="auto"/>
        <w:bottom w:val="none" w:sz="0" w:space="0" w:color="auto"/>
        <w:right w:val="none" w:sz="0" w:space="0" w:color="auto"/>
      </w:divBdr>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Series/F2016L02016" TargetMode="External"/><Relationship Id="rId13" Type="http://schemas.openxmlformats.org/officeDocument/2006/relationships/hyperlink" Target="https://schools.education.gov.au/VETFeeForm/Form/ProviderEnquiryVetSLFor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slation.gov.au/Search/vet%20student%20loans%20determina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wr.gov.au/vet-student-loans/resources/varying-conditions-approv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url?sa=t&amp;rct=j&amp;q=&amp;esrc=s&amp;source=web&amp;cd=&amp;cad=rja&amp;uact=8&amp;ved=2ahUKEwjsmZnZ3IiDAxVLbmwGHY2LAIwQFnoECCsQAQ&amp;url=https%3A%2F%2Ftraining.gov.au%2F&amp;usg=AOvVaw2WGznowH7LMoHrdw6V7XVE&amp;opi=8997844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sqa.gov.au/about/australias-vet-sector/standards-registered-training-organisations-rtos-201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AEB8-39E7-4780-BCF0-1B370F62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5397</Characters>
  <Application>Microsoft Office Word</Application>
  <DocSecurity>0</DocSecurity>
  <Lines>138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 Courses and Loan Caps</dc:title>
  <dc:subject/>
  <dc:creator/>
  <cp:keywords/>
  <dc:description/>
  <cp:lastModifiedBy/>
  <cp:revision>1</cp:revision>
  <dcterms:created xsi:type="dcterms:W3CDTF">2023-12-18T06:49:00Z</dcterms:created>
  <dcterms:modified xsi:type="dcterms:W3CDTF">2023-12-18T06:50:00Z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2023-12-18T06:49:48Z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4292880a-542c-4b5d-bb35-8c83c19a8194</vt:lpwstr>
  </property>
  <property fmtid="{D5CDD505-2E9C-101B-9397-08002B2CF9AE}" pid="8" name="MSIP_Label_79d889eb-932f-4752-8739-64d25806ef64_ContentBits">
    <vt:lpwstr>0</vt:lpwstr>
  </property>
</Properties>
</file>