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49D4" w14:textId="77777777" w:rsidR="007538ED" w:rsidRPr="006C653F" w:rsidRDefault="007538ED" w:rsidP="006C653F">
      <w:pPr>
        <w:pStyle w:val="Title"/>
      </w:pPr>
      <w:r w:rsidRPr="006C653F">
        <w:t>Quick Guide – Census Days and Fee Periods</w:t>
      </w:r>
    </w:p>
    <w:p w14:paraId="182CD9F7" w14:textId="77777777" w:rsidR="005277BC" w:rsidRDefault="007538ED" w:rsidP="00FE23C2">
      <w:pPr>
        <w:pStyle w:val="Subtitle"/>
        <w:rPr>
          <w:sz w:val="40"/>
        </w:rPr>
      </w:pPr>
      <w:r w:rsidRPr="00EE2071">
        <w:rPr>
          <w:sz w:val="40"/>
        </w:rPr>
        <w:t>This quick guide provides information on the census day and fee period requirements for VET Student Loans</w:t>
      </w:r>
    </w:p>
    <w:p w14:paraId="7E68454D" w14:textId="7AB78665" w:rsidR="007538ED" w:rsidRPr="00FE23C2" w:rsidRDefault="005277BC" w:rsidP="005277BC">
      <w:pPr>
        <w:pStyle w:val="Subtitle"/>
        <w:jc w:val="center"/>
        <w:rPr>
          <w:sz w:val="40"/>
        </w:rPr>
      </w:pPr>
      <w:r>
        <w:rPr>
          <w:noProof/>
          <w:sz w:val="40"/>
        </w:rPr>
        <w:drawing>
          <wp:inline distT="0" distB="0" distL="0" distR="0" wp14:anchorId="25BB4EC9" wp14:editId="09D9E98A">
            <wp:extent cx="3944620" cy="303022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620" cy="3030220"/>
                    </a:xfrm>
                    <a:prstGeom prst="rect">
                      <a:avLst/>
                    </a:prstGeom>
                    <a:noFill/>
                  </pic:spPr>
                </pic:pic>
              </a:graphicData>
            </a:graphic>
          </wp:inline>
        </w:drawing>
      </w:r>
    </w:p>
    <w:p w14:paraId="053D33FD" w14:textId="77777777" w:rsidR="007538ED" w:rsidRPr="005277BC" w:rsidRDefault="007538ED" w:rsidP="005277BC">
      <w:pPr>
        <w:pStyle w:val="Heading1"/>
      </w:pPr>
      <w:r w:rsidRPr="005277BC">
        <w:t>Census days</w:t>
      </w:r>
    </w:p>
    <w:p w14:paraId="180011A8" w14:textId="299470FD" w:rsidR="007538ED" w:rsidRPr="00112C24" w:rsidRDefault="007538ED" w:rsidP="00A4133F">
      <w:r w:rsidRPr="00112C24">
        <w:t xml:space="preserve">A census day is the last day on which a student can withdraw from part of a course without incurring tuition fees. It is also the last day on which a student may complete and submit an eCAF </w:t>
      </w:r>
      <w:r w:rsidR="00903630" w:rsidRPr="00112C24">
        <w:t>to</w:t>
      </w:r>
      <w:r w:rsidRPr="00112C24">
        <w:t xml:space="preserve"> apply for a VET Student Loan.</w:t>
      </w:r>
    </w:p>
    <w:p w14:paraId="55B21BF8" w14:textId="12E730F8" w:rsidR="007538ED" w:rsidRPr="00112C24" w:rsidRDefault="007538ED" w:rsidP="00A4133F">
      <w:r w:rsidRPr="00112C24">
        <w:t xml:space="preserve">If a student is still enrolled after the census </w:t>
      </w:r>
      <w:r w:rsidR="00CA60E5" w:rsidRPr="00112C24">
        <w:t>day,</w:t>
      </w:r>
      <w:r w:rsidRPr="00112C24">
        <w:t xml:space="preserve"> they will be liable for the tuition fees for that part of the course. </w:t>
      </w:r>
    </w:p>
    <w:p w14:paraId="2CE7CCF1" w14:textId="12EFF52F" w:rsidR="007538ED" w:rsidRPr="00112C24" w:rsidRDefault="00DA23E7" w:rsidP="00A4133F">
      <w:r>
        <w:t>You</w:t>
      </w:r>
      <w:r w:rsidRPr="00112C24">
        <w:t xml:space="preserve"> </w:t>
      </w:r>
      <w:r w:rsidR="007538ED" w:rsidRPr="00112C24">
        <w:t xml:space="preserve">cannot stop students from withdrawing on or before </w:t>
      </w:r>
      <w:r w:rsidR="005059E6">
        <w:t xml:space="preserve">the </w:t>
      </w:r>
      <w:r w:rsidR="007538ED" w:rsidRPr="00112C24">
        <w:t>census day, and</w:t>
      </w:r>
      <w:r w:rsidR="00A44E13">
        <w:t xml:space="preserve"> you</w:t>
      </w:r>
      <w:r w:rsidR="007538ED" w:rsidRPr="00112C24">
        <w:t xml:space="preserve"> cannot create barriers</w:t>
      </w:r>
      <w:r w:rsidR="000D599E">
        <w:t xml:space="preserve">, </w:t>
      </w:r>
      <w:r w:rsidR="007538ED" w:rsidRPr="00112C24">
        <w:t>such as fees</w:t>
      </w:r>
      <w:r w:rsidR="000D599E">
        <w:t>,</w:t>
      </w:r>
      <w:r w:rsidR="007538ED" w:rsidRPr="00112C24">
        <w:t xml:space="preserve"> to withdrawal. </w:t>
      </w:r>
    </w:p>
    <w:p w14:paraId="2AFAB386"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r w:rsidRPr="00EE2071">
        <w:rPr>
          <w:rFonts w:asciiTheme="minorHAnsi" w:hAnsiTheme="minorHAnsi" w:cstheme="minorHAnsi"/>
          <w:bCs/>
          <w:color w:val="3367B3"/>
          <w:sz w:val="28"/>
        </w:rPr>
        <w:t>Determining census days</w:t>
      </w:r>
    </w:p>
    <w:p w14:paraId="6EC5F4C4" w14:textId="32CFBE9E" w:rsidR="007538ED" w:rsidRPr="00112C24" w:rsidRDefault="00DA23E7" w:rsidP="00A4133F">
      <w:r>
        <w:t>You</w:t>
      </w:r>
      <w:r w:rsidRPr="00112C24">
        <w:t xml:space="preserve"> </w:t>
      </w:r>
      <w:r w:rsidR="007538ED" w:rsidRPr="00112C24">
        <w:t xml:space="preserve">determine the census days for </w:t>
      </w:r>
      <w:r w:rsidR="003137DE">
        <w:t xml:space="preserve">your </w:t>
      </w:r>
      <w:r w:rsidR="007538ED" w:rsidRPr="00112C24">
        <w:t>courses. However, there are rules that must be followed when choosing which days to set as census days.</w:t>
      </w:r>
    </w:p>
    <w:p w14:paraId="77DCABFD" w14:textId="67C785DA" w:rsidR="007538ED" w:rsidRPr="00112C24" w:rsidRDefault="007538ED" w:rsidP="00A4133F">
      <w:r w:rsidRPr="00112C24">
        <w:t xml:space="preserve">There must be at least </w:t>
      </w:r>
      <w:r w:rsidR="003137DE">
        <w:t xml:space="preserve">3 </w:t>
      </w:r>
      <w:r w:rsidRPr="00112C24">
        <w:t xml:space="preserve">census days for a course. This means that the course will be divided into at least </w:t>
      </w:r>
      <w:r w:rsidR="003137DE">
        <w:t xml:space="preserve">3 </w:t>
      </w:r>
      <w:r w:rsidRPr="00112C24">
        <w:t xml:space="preserve">parts. </w:t>
      </w:r>
    </w:p>
    <w:p w14:paraId="2D34868E" w14:textId="6C66DA3A" w:rsidR="007538ED" w:rsidRPr="00112C24" w:rsidRDefault="007538ED" w:rsidP="00A4133F">
      <w:r w:rsidRPr="00112C24">
        <w:lastRenderedPageBreak/>
        <w:t>Each census day can occur no earlier than 20</w:t>
      </w:r>
      <w:r w:rsidR="003137DE">
        <w:t>%</w:t>
      </w:r>
      <w:r w:rsidRPr="00112C24">
        <w:t xml:space="preserve"> of the way through its part of the course. </w:t>
      </w:r>
    </w:p>
    <w:p w14:paraId="67BF04C4" w14:textId="5BB568F7" w:rsidR="007538ED" w:rsidRPr="00112C24" w:rsidRDefault="007538ED" w:rsidP="00A4133F">
      <w:r w:rsidRPr="00112C24">
        <w:t xml:space="preserve">The duration of a course includes any normal study breaks, assessments and/or examination periods. </w:t>
      </w:r>
      <w:r w:rsidR="00B114BC">
        <w:t>T</w:t>
      </w:r>
      <w:r w:rsidR="00B114BC" w:rsidRPr="00112C24">
        <w:t xml:space="preserve">he last day of the examination period should be used </w:t>
      </w:r>
      <w:r w:rsidR="00B114BC">
        <w:t>i</w:t>
      </w:r>
      <w:r w:rsidRPr="00112C24">
        <w:t xml:space="preserve">f final examination dates are unknown. </w:t>
      </w:r>
      <w:r w:rsidRPr="00112C24">
        <w:tab/>
      </w:r>
    </w:p>
    <w:p w14:paraId="363EFFDB" w14:textId="5988BCDF" w:rsidR="007538ED" w:rsidRPr="00112C24" w:rsidRDefault="007538ED" w:rsidP="00A4133F">
      <w:r w:rsidRPr="00112C24">
        <w:t>Census days must not fall on a day when a student cannot lodge a withdrawal from their course. This means that the census date should not fall on non-business days (</w:t>
      </w:r>
      <w:r w:rsidR="000425D5">
        <w:t>that is</w:t>
      </w:r>
      <w:r w:rsidRPr="00112C24">
        <w:t xml:space="preserve"> weekends or public holidays). </w:t>
      </w:r>
    </w:p>
    <w:p w14:paraId="29EA4F4C" w14:textId="01B77A9D" w:rsidR="007538ED" w:rsidRPr="00112C24" w:rsidRDefault="007538ED" w:rsidP="00A4133F">
      <w:r w:rsidRPr="00112C24">
        <w:t xml:space="preserve">A </w:t>
      </w:r>
      <w:hyperlink r:id="rId12" w:history="1">
        <w:r w:rsidRPr="006C653F">
          <w:rPr>
            <w:rStyle w:val="Hyperlink"/>
          </w:rPr>
          <w:t>census day calculator</w:t>
        </w:r>
      </w:hyperlink>
      <w:r w:rsidRPr="00112C24">
        <w:t xml:space="preserve"> is available on the Department of </w:t>
      </w:r>
      <w:r w:rsidR="002D6660">
        <w:t>Employment</w:t>
      </w:r>
      <w:r w:rsidR="00F124AF" w:rsidRPr="00112C24">
        <w:t xml:space="preserve"> </w:t>
      </w:r>
      <w:r w:rsidR="00AC7532">
        <w:t xml:space="preserve">and Workplace Relations </w:t>
      </w:r>
      <w:r w:rsidRPr="00112C24">
        <w:t>website.</w:t>
      </w:r>
    </w:p>
    <w:p w14:paraId="1CF0EF2D" w14:textId="4D91AA42" w:rsidR="007538ED" w:rsidRPr="00112C24" w:rsidRDefault="007538ED" w:rsidP="00A4133F">
      <w:r w:rsidRPr="00112C24">
        <w:t>N</w:t>
      </w:r>
      <w:r w:rsidR="005059E6">
        <w:t>ote</w:t>
      </w:r>
      <w:r w:rsidRPr="00112C24">
        <w:t xml:space="preserve">: The calculator does not return dates occurring on a Saturday or a Sunday. </w:t>
      </w:r>
      <w:r w:rsidR="002A662A">
        <w:t>T</w:t>
      </w:r>
      <w:r w:rsidR="002A662A" w:rsidRPr="00112C24">
        <w:t xml:space="preserve">he date of the following Monday is returned </w:t>
      </w:r>
      <w:r w:rsidR="002A662A">
        <w:t>w</w:t>
      </w:r>
      <w:r w:rsidRPr="00112C24">
        <w:t>here a calculated date occurs on a weekend. It is</w:t>
      </w:r>
      <w:r w:rsidR="00DA23E7">
        <w:t xml:space="preserve"> your </w:t>
      </w:r>
      <w:r w:rsidRPr="00112C24">
        <w:t>responsibility to check whether the date returned is a public holiday. Where the date returned is a public holiday it is advisable to set the census day on a subsequent business day.</w:t>
      </w:r>
    </w:p>
    <w:p w14:paraId="65CF0419"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r w:rsidRPr="00EE2071">
        <w:rPr>
          <w:rFonts w:asciiTheme="minorHAnsi" w:hAnsiTheme="minorHAnsi" w:cstheme="minorHAnsi"/>
          <w:bCs/>
          <w:color w:val="3367B3"/>
          <w:sz w:val="28"/>
        </w:rPr>
        <w:t>Publishing census days</w:t>
      </w:r>
    </w:p>
    <w:p w14:paraId="51DD2473" w14:textId="1D8AC200" w:rsidR="007538ED" w:rsidRPr="00112C24" w:rsidRDefault="00DA23E7" w:rsidP="00A4133F">
      <w:r>
        <w:t xml:space="preserve">You </w:t>
      </w:r>
      <w:r w:rsidR="007538ED" w:rsidRPr="00FE23C2">
        <w:rPr>
          <w:bCs/>
        </w:rPr>
        <w:t>must</w:t>
      </w:r>
      <w:r w:rsidR="007538ED" w:rsidRPr="001F1A25">
        <w:rPr>
          <w:b/>
        </w:rPr>
        <w:t xml:space="preserve"> </w:t>
      </w:r>
      <w:r w:rsidR="007538ED" w:rsidRPr="00112C24">
        <w:t xml:space="preserve">publish the census days for </w:t>
      </w:r>
      <w:r>
        <w:t>your</w:t>
      </w:r>
      <w:r w:rsidRPr="00112C24">
        <w:t xml:space="preserve"> </w:t>
      </w:r>
      <w:r w:rsidR="007538ED" w:rsidRPr="00112C24">
        <w:t xml:space="preserve">courses. This must be done by no later than the first day that enrolments are accepted for the course. </w:t>
      </w:r>
    </w:p>
    <w:p w14:paraId="2BCC22CD" w14:textId="6F414407" w:rsidR="007538ED" w:rsidRPr="00112C24" w:rsidRDefault="007538ED" w:rsidP="00A4133F">
      <w:r w:rsidRPr="00112C24">
        <w:t xml:space="preserve">The information must be easily accessible and displayed prominently on </w:t>
      </w:r>
      <w:r w:rsidR="00DA23E7">
        <w:t>your</w:t>
      </w:r>
      <w:r w:rsidRPr="00112C24">
        <w:t xml:space="preserve"> website. Students should not need to login to access the information.</w:t>
      </w:r>
    </w:p>
    <w:p w14:paraId="515FCFD7"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bookmarkStart w:id="0" w:name="_Flexible_enrolments_2"/>
      <w:bookmarkEnd w:id="0"/>
      <w:r w:rsidRPr="00EE2071">
        <w:rPr>
          <w:rFonts w:asciiTheme="minorHAnsi" w:hAnsiTheme="minorHAnsi" w:cstheme="minorHAnsi"/>
          <w:bCs/>
          <w:color w:val="3367B3"/>
          <w:sz w:val="28"/>
        </w:rPr>
        <w:t>Flexible enrolments</w:t>
      </w:r>
    </w:p>
    <w:p w14:paraId="63B53BE0" w14:textId="77777777" w:rsidR="007538ED" w:rsidRPr="00112C24" w:rsidRDefault="007538ED" w:rsidP="00A4133F">
      <w:r w:rsidRPr="00112C24">
        <w:t xml:space="preserve">A census day to accommodate rolling intakes or flexible enrolments does not need to be on a calendar date. It can simply be a statement indicating when a census day will fall. For example, if part of the course lasts 12 weeks, a statement that the census day falls on Day 1 of Week 4 would be sufficient. </w:t>
      </w:r>
    </w:p>
    <w:p w14:paraId="3AC6F93C"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bookmarkStart w:id="1" w:name="_Variations_to_census_1"/>
      <w:bookmarkEnd w:id="1"/>
      <w:r w:rsidRPr="00EE2071">
        <w:rPr>
          <w:rFonts w:asciiTheme="minorHAnsi" w:hAnsiTheme="minorHAnsi" w:cstheme="minorHAnsi"/>
          <w:bCs/>
          <w:color w:val="3367B3"/>
          <w:sz w:val="28"/>
        </w:rPr>
        <w:t>Variations to census days</w:t>
      </w:r>
    </w:p>
    <w:p w14:paraId="7E544C1C" w14:textId="35DBAC11" w:rsidR="007538ED" w:rsidRPr="00112C24" w:rsidRDefault="00DA23E7" w:rsidP="00A4133F">
      <w:r>
        <w:t>You</w:t>
      </w:r>
      <w:r w:rsidRPr="00112C24">
        <w:t xml:space="preserve"> </w:t>
      </w:r>
      <w:r w:rsidR="007538ED" w:rsidRPr="00112C24">
        <w:t>may change published census days but only under certain conditions. These conditions are that the change must:</w:t>
      </w:r>
    </w:p>
    <w:p w14:paraId="02F8BBCC" w14:textId="4764D4D4" w:rsidR="007538ED" w:rsidRPr="009F1785" w:rsidRDefault="007538ED" w:rsidP="009F1785">
      <w:pPr>
        <w:pStyle w:val="ListParagraph"/>
        <w:numPr>
          <w:ilvl w:val="0"/>
          <w:numId w:val="24"/>
        </w:numPr>
        <w:spacing w:before="120" w:after="120" w:line="240" w:lineRule="auto"/>
        <w:ind w:left="426" w:hanging="426"/>
        <w:rPr>
          <w:rFonts w:eastAsia="Calibri"/>
        </w:rPr>
      </w:pPr>
      <w:r w:rsidRPr="009F1785">
        <w:rPr>
          <w:rFonts w:eastAsia="Calibri"/>
        </w:rPr>
        <w:t>occur before the census day and</w:t>
      </w:r>
    </w:p>
    <w:p w14:paraId="1B492AB2" w14:textId="2A45D32B" w:rsidR="007538ED" w:rsidRPr="009F1785" w:rsidRDefault="007538ED" w:rsidP="009F1785">
      <w:pPr>
        <w:pStyle w:val="ListParagraph"/>
        <w:numPr>
          <w:ilvl w:val="0"/>
          <w:numId w:val="24"/>
        </w:numPr>
        <w:spacing w:before="120" w:after="120" w:line="240" w:lineRule="auto"/>
        <w:ind w:left="426" w:hanging="426"/>
        <w:rPr>
          <w:rFonts w:eastAsia="Calibri"/>
        </w:rPr>
      </w:pPr>
      <w:r w:rsidRPr="009F1785">
        <w:rPr>
          <w:rFonts w:eastAsia="Calibri"/>
        </w:rPr>
        <w:t>not disadvantage students enrolled in, or seeking to enrol in, the course</w:t>
      </w:r>
      <w:r w:rsidR="008528B0">
        <w:rPr>
          <w:rFonts w:eastAsia="Calibri"/>
        </w:rPr>
        <w:t>,</w:t>
      </w:r>
      <w:r w:rsidRPr="009F1785">
        <w:rPr>
          <w:rFonts w:eastAsia="Calibri"/>
        </w:rPr>
        <w:t xml:space="preserve"> and</w:t>
      </w:r>
    </w:p>
    <w:p w14:paraId="60F7C13C" w14:textId="77777777" w:rsidR="007538ED" w:rsidRPr="009F1785" w:rsidRDefault="007538ED" w:rsidP="009F1785">
      <w:pPr>
        <w:pStyle w:val="ListParagraph"/>
        <w:numPr>
          <w:ilvl w:val="0"/>
          <w:numId w:val="24"/>
        </w:numPr>
        <w:spacing w:before="120" w:after="120" w:line="240" w:lineRule="auto"/>
        <w:ind w:left="426" w:hanging="426"/>
        <w:rPr>
          <w:rFonts w:eastAsia="Calibri"/>
        </w:rPr>
      </w:pPr>
      <w:r w:rsidRPr="009F1785">
        <w:rPr>
          <w:rFonts w:eastAsia="Calibri"/>
        </w:rPr>
        <w:t>be necessary to correct an administrative error or deal with a change in circumstances.</w:t>
      </w:r>
    </w:p>
    <w:p w14:paraId="1BBD1216" w14:textId="148C7607" w:rsidR="007538ED" w:rsidRPr="00112C24" w:rsidRDefault="007538ED" w:rsidP="00A4133F">
      <w:r w:rsidRPr="00112C24">
        <w:t xml:space="preserve">A change that moves the census day to an </w:t>
      </w:r>
      <w:proofErr w:type="gramStart"/>
      <w:r w:rsidRPr="00112C24">
        <w:t>earlier date disadvantages</w:t>
      </w:r>
      <w:proofErr w:type="gramEnd"/>
      <w:r w:rsidRPr="00112C24">
        <w:t xml:space="preserve"> students. </w:t>
      </w:r>
      <w:r w:rsidR="00DA23E7">
        <w:t>You</w:t>
      </w:r>
      <w:r w:rsidRPr="00112C24">
        <w:t xml:space="preserve"> must publish </w:t>
      </w:r>
      <w:r w:rsidR="00DA23E7" w:rsidRPr="00112C24">
        <w:t xml:space="preserve">any change to a census day as soon as practicable </w:t>
      </w:r>
      <w:r w:rsidR="00DA23E7">
        <w:t xml:space="preserve">and </w:t>
      </w:r>
      <w:r w:rsidRPr="00112C24">
        <w:t>prominently on</w:t>
      </w:r>
      <w:r w:rsidR="00DA23E7">
        <w:t xml:space="preserve"> your</w:t>
      </w:r>
      <w:r w:rsidRPr="00112C24">
        <w:t xml:space="preserve"> </w:t>
      </w:r>
      <w:r w:rsidR="00DA23E7">
        <w:t xml:space="preserve">organisation’s </w:t>
      </w:r>
      <w:r w:rsidRPr="00112C24">
        <w:t>website.</w:t>
      </w:r>
    </w:p>
    <w:p w14:paraId="3F6B9010" w14:textId="23F00F47" w:rsidR="007538ED" w:rsidRPr="00112C24" w:rsidRDefault="00BF1E4C" w:rsidP="00A4133F">
      <w:r>
        <w:t>You</w:t>
      </w:r>
      <w:r w:rsidRPr="00112C24">
        <w:t xml:space="preserve"> m</w:t>
      </w:r>
      <w:r>
        <w:t xml:space="preserve">ust obtain our approval </w:t>
      </w:r>
      <w:r w:rsidRPr="00112C24">
        <w:t>to change the census day</w:t>
      </w:r>
      <w:r>
        <w:t xml:space="preserve"> i</w:t>
      </w:r>
      <w:r w:rsidR="007538ED" w:rsidRPr="00112C24">
        <w:t>f the circumstances above are not met. Further information on varying census days, including h</w:t>
      </w:r>
      <w:r w:rsidR="0099066A">
        <w:t>ow to seek approval</w:t>
      </w:r>
      <w:r>
        <w:t>,</w:t>
      </w:r>
      <w:r w:rsidR="0099066A">
        <w:t xml:space="preserve"> </w:t>
      </w:r>
      <w:r w:rsidR="007538ED" w:rsidRPr="00112C24">
        <w:t xml:space="preserve">can be found in sections 4.9.4 and 4.9.5 of the </w:t>
      </w:r>
      <w:hyperlink r:id="rId13" w:history="1">
        <w:r w:rsidR="007538ED" w:rsidRPr="006C653F">
          <w:rPr>
            <w:rStyle w:val="Hyperlink"/>
          </w:rPr>
          <w:t>VET Student Loans Manual for Providers</w:t>
        </w:r>
      </w:hyperlink>
      <w:r w:rsidR="007538ED" w:rsidRPr="00EE2071">
        <w:rPr>
          <w:rStyle w:val="Hyperlink"/>
          <w:rFonts w:eastAsiaTheme="minorEastAsia"/>
          <w:color w:val="auto"/>
          <w:u w:val="none"/>
        </w:rPr>
        <w:t>.</w:t>
      </w:r>
    </w:p>
    <w:p w14:paraId="1AEE751C" w14:textId="77777777" w:rsidR="007538ED" w:rsidRPr="00EE2071" w:rsidRDefault="007538ED" w:rsidP="005277BC">
      <w:pPr>
        <w:pStyle w:val="Heading1"/>
      </w:pPr>
      <w:r w:rsidRPr="00EE2071">
        <w:t>Fee periods</w:t>
      </w:r>
    </w:p>
    <w:p w14:paraId="490F6A3E" w14:textId="185FDC3A" w:rsidR="00B04303" w:rsidRDefault="007538ED" w:rsidP="00A4133F">
      <w:r w:rsidRPr="007538ED">
        <w:t xml:space="preserve">VET Student Loans approved courses must be split into </w:t>
      </w:r>
      <w:r w:rsidRPr="00FE23C2">
        <w:rPr>
          <w:bCs/>
        </w:rPr>
        <w:t>at least</w:t>
      </w:r>
      <w:r w:rsidRPr="007538ED">
        <w:t xml:space="preserve"> </w:t>
      </w:r>
      <w:r w:rsidR="00BF1E4C">
        <w:t xml:space="preserve">3 </w:t>
      </w:r>
      <w:r w:rsidRPr="007538ED">
        <w:t xml:space="preserve">fee periods. Each fee period must contain </w:t>
      </w:r>
      <w:r w:rsidRPr="00FE23C2">
        <w:rPr>
          <w:bCs/>
        </w:rPr>
        <w:t>at least</w:t>
      </w:r>
      <w:r w:rsidRPr="00112C24">
        <w:t xml:space="preserve"> </w:t>
      </w:r>
      <w:r w:rsidRPr="007538ED">
        <w:t>one census day. The course’s tuition fees must be spread approximately equally between each of its fee periods. No tuition fees for the course can be made payable outside of the fee periods.</w:t>
      </w:r>
      <w:bookmarkStart w:id="2" w:name="_Length_of_fee"/>
      <w:bookmarkEnd w:id="2"/>
    </w:p>
    <w:p w14:paraId="7F1A2347"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r w:rsidRPr="00EE2071">
        <w:rPr>
          <w:rFonts w:asciiTheme="minorHAnsi" w:hAnsiTheme="minorHAnsi" w:cstheme="minorHAnsi"/>
          <w:bCs/>
          <w:color w:val="3367B3"/>
          <w:sz w:val="28"/>
        </w:rPr>
        <w:t>Length of fee periods</w:t>
      </w:r>
    </w:p>
    <w:p w14:paraId="28C84C50" w14:textId="2C28A978" w:rsidR="007538ED" w:rsidRPr="007538ED" w:rsidRDefault="007538ED" w:rsidP="00A4133F">
      <w:r w:rsidRPr="007538ED">
        <w:t xml:space="preserve">The length of a fee period will depend on the duration of the course. </w:t>
      </w:r>
      <w:r w:rsidR="00DA23E7">
        <w:t xml:space="preserve">You </w:t>
      </w:r>
      <w:r w:rsidRPr="007538ED">
        <w:t xml:space="preserve">should structure </w:t>
      </w:r>
      <w:r w:rsidR="00DA23E7">
        <w:t xml:space="preserve">your </w:t>
      </w:r>
      <w:r w:rsidRPr="007538ED">
        <w:t xml:space="preserve">courses so that there is sufficient time between enrolment and the start of a course to accommodate the </w:t>
      </w:r>
      <w:proofErr w:type="gramStart"/>
      <w:r w:rsidR="005F7740">
        <w:t xml:space="preserve">2 </w:t>
      </w:r>
      <w:r w:rsidRPr="007538ED">
        <w:t>day</w:t>
      </w:r>
      <w:proofErr w:type="gramEnd"/>
      <w:r w:rsidRPr="007538ED">
        <w:t xml:space="preserve"> business gap for requesting a VET Student Loan and the time period required for issuing VET Student Loan</w:t>
      </w:r>
      <w:r w:rsidR="005059E6">
        <w:t>s</w:t>
      </w:r>
      <w:r w:rsidRPr="007538ED">
        <w:t xml:space="preserve"> fee notices. </w:t>
      </w:r>
    </w:p>
    <w:p w14:paraId="272453BC" w14:textId="2EFA3424" w:rsidR="007538ED" w:rsidRPr="007538ED" w:rsidRDefault="007538ED" w:rsidP="00A4133F">
      <w:r w:rsidRPr="007538ED">
        <w:lastRenderedPageBreak/>
        <w:t>Each of the fee periods must be of approximately equal length and the fee periods must together cover the full duration of the course.</w:t>
      </w:r>
    </w:p>
    <w:p w14:paraId="37AD0F64" w14:textId="4FAF1C5C" w:rsidR="007538ED" w:rsidRPr="007538ED" w:rsidRDefault="007538ED" w:rsidP="00A4133F">
      <w:r w:rsidRPr="007538ED">
        <w:t>It is possible for</w:t>
      </w:r>
      <w:r w:rsidR="00DA23E7">
        <w:t xml:space="preserve"> you</w:t>
      </w:r>
      <w:r w:rsidRPr="007538ED">
        <w:t xml:space="preserve"> to assign different fee periods to students studying the same course. For example, part-time students may have longer fee periods than full-time students.</w:t>
      </w:r>
    </w:p>
    <w:p w14:paraId="71D12861"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r w:rsidRPr="00EE2071">
        <w:rPr>
          <w:rFonts w:asciiTheme="minorHAnsi" w:hAnsiTheme="minorHAnsi" w:cstheme="minorHAnsi"/>
          <w:bCs/>
          <w:color w:val="3367B3"/>
          <w:sz w:val="28"/>
        </w:rPr>
        <w:t>Changes to the length of fee periods</w:t>
      </w:r>
    </w:p>
    <w:p w14:paraId="0006F652" w14:textId="22FD8863" w:rsidR="007538ED" w:rsidRPr="007538ED" w:rsidRDefault="007538ED" w:rsidP="00A4133F">
      <w:r w:rsidRPr="007538ED">
        <w:t xml:space="preserve">If the length of a course changes after it has already </w:t>
      </w:r>
      <w:r w:rsidR="008932C5" w:rsidRPr="007538ED">
        <w:t>started,</w:t>
      </w:r>
      <w:r w:rsidRPr="007538ED">
        <w:t xml:space="preserve"> then the length of fee periods that have not yet started may also be changed. This should be done in proportion to the change in the length of the course. For example, if a student switches from full-time to part-time </w:t>
      </w:r>
      <w:proofErr w:type="gramStart"/>
      <w:r w:rsidRPr="007538ED">
        <w:t>study</w:t>
      </w:r>
      <w:proofErr w:type="gramEnd"/>
      <w:r w:rsidRPr="007538ED">
        <w:t xml:space="preserve"> then their course duration will increase. </w:t>
      </w:r>
      <w:r w:rsidR="005B3297">
        <w:t xml:space="preserve">You </w:t>
      </w:r>
      <w:r w:rsidRPr="007538ED">
        <w:t>may therefore increase the length of their fee periods. The changed fee periods must still be of approximately equal length.</w:t>
      </w:r>
    </w:p>
    <w:p w14:paraId="26245C9E" w14:textId="59B6F976" w:rsidR="007538ED" w:rsidRPr="00EE2071" w:rsidRDefault="00622887" w:rsidP="00EE2071">
      <w:pPr>
        <w:pStyle w:val="Heading2"/>
        <w:keepNext w:val="0"/>
        <w:keepLines w:val="0"/>
        <w:spacing w:before="120" w:line="240" w:lineRule="auto"/>
        <w:rPr>
          <w:rFonts w:asciiTheme="minorHAnsi" w:hAnsiTheme="minorHAnsi" w:cstheme="minorHAnsi"/>
          <w:bCs/>
          <w:color w:val="3367B3"/>
          <w:sz w:val="28"/>
        </w:rPr>
      </w:pPr>
      <w:bookmarkStart w:id="3" w:name="_Fee_periods_and"/>
      <w:bookmarkStart w:id="4" w:name="_Fee_periods_and_1"/>
      <w:bookmarkEnd w:id="3"/>
      <w:bookmarkEnd w:id="4"/>
      <w:r w:rsidRPr="00EE2071">
        <w:rPr>
          <w:rFonts w:asciiTheme="minorHAnsi" w:hAnsiTheme="minorHAnsi" w:cstheme="minorHAnsi"/>
          <w:bCs/>
          <w:color w:val="3367B3"/>
          <w:sz w:val="28"/>
        </w:rPr>
        <w:t>Fee periods and complying with state or t</w:t>
      </w:r>
      <w:r w:rsidR="007538ED" w:rsidRPr="00EE2071">
        <w:rPr>
          <w:rFonts w:asciiTheme="minorHAnsi" w:hAnsiTheme="minorHAnsi" w:cstheme="minorHAnsi"/>
          <w:bCs/>
          <w:color w:val="3367B3"/>
          <w:sz w:val="28"/>
        </w:rPr>
        <w:t>erritory funding arrangements</w:t>
      </w:r>
    </w:p>
    <w:p w14:paraId="5C01CF0C" w14:textId="70298D9D" w:rsidR="007538ED" w:rsidRPr="007538ED" w:rsidRDefault="007538ED" w:rsidP="00A4133F">
      <w:r w:rsidRPr="007538ED">
        <w:t xml:space="preserve">If </w:t>
      </w:r>
      <w:r w:rsidR="00DA23E7">
        <w:t>you are</w:t>
      </w:r>
      <w:r w:rsidR="00622887">
        <w:t xml:space="preserve"> in an arrangement with a state or t</w:t>
      </w:r>
      <w:r w:rsidRPr="007538ED">
        <w:t xml:space="preserve">erritory authority that is inconsistent with the fee period requirements, </w:t>
      </w:r>
      <w:r w:rsidR="00DA23E7">
        <w:t>you</w:t>
      </w:r>
      <w:r w:rsidRPr="007538ED">
        <w:t xml:space="preserve"> must</w:t>
      </w:r>
      <w:r w:rsidR="00622887">
        <w:t xml:space="preserve"> provide written notice to </w:t>
      </w:r>
      <w:r w:rsidR="00DA23E7">
        <w:t>us</w:t>
      </w:r>
      <w:r w:rsidRPr="007538ED">
        <w:t xml:space="preserve"> that, among other things, explains why </w:t>
      </w:r>
      <w:r w:rsidR="00DA23E7">
        <w:t>you</w:t>
      </w:r>
      <w:r w:rsidR="00DA23E7" w:rsidRPr="007538ED">
        <w:t xml:space="preserve"> </w:t>
      </w:r>
      <w:r w:rsidRPr="007538ED">
        <w:t xml:space="preserve">are unable to comply with the fee period requirements. See section 4.8.12 Fee periods, of the </w:t>
      </w:r>
      <w:hyperlink r:id="rId14" w:history="1">
        <w:r w:rsidRPr="006C653F">
          <w:rPr>
            <w:rStyle w:val="Hyperlink"/>
          </w:rPr>
          <w:t>VET Student Loans Manual for Providers</w:t>
        </w:r>
      </w:hyperlink>
      <w:r w:rsidRPr="007538ED">
        <w:t xml:space="preserve"> for information on how to do this.</w:t>
      </w:r>
    </w:p>
    <w:p w14:paraId="4C70E8EF" w14:textId="17329E47" w:rsidR="007538ED" w:rsidRPr="00112C24" w:rsidRDefault="007538ED" w:rsidP="00A4133F">
      <w:r w:rsidRPr="007538ED">
        <w:t xml:space="preserve">In all other instances, </w:t>
      </w:r>
      <w:r w:rsidR="00DA23E7">
        <w:t>you</w:t>
      </w:r>
      <w:r w:rsidR="00DA23E7" w:rsidRPr="007538ED">
        <w:t xml:space="preserve"> </w:t>
      </w:r>
      <w:r w:rsidRPr="00FE23C2">
        <w:rPr>
          <w:bCs/>
        </w:rPr>
        <w:t>must</w:t>
      </w:r>
      <w:r w:rsidRPr="007538ED">
        <w:t xml:space="preserve"> follow the fee period requirements.</w:t>
      </w:r>
      <w:bookmarkStart w:id="5" w:name="_Students_who_are"/>
      <w:bookmarkStart w:id="6" w:name="_eCAFs"/>
      <w:bookmarkStart w:id="7" w:name="_Tax_File_Numbers"/>
      <w:bookmarkStart w:id="8" w:name="_Census_Days"/>
      <w:bookmarkStart w:id="9" w:name="_Determining_census_days"/>
      <w:bookmarkStart w:id="10" w:name="_Flexible_enrolments"/>
      <w:bookmarkStart w:id="11" w:name="_Flexible_enrolments_1"/>
      <w:bookmarkStart w:id="12" w:name="_Publishing_census_days"/>
      <w:bookmarkStart w:id="13" w:name="_Variations_to_census"/>
      <w:bookmarkEnd w:id="5"/>
      <w:bookmarkEnd w:id="6"/>
      <w:bookmarkEnd w:id="7"/>
      <w:bookmarkEnd w:id="8"/>
      <w:bookmarkEnd w:id="9"/>
      <w:bookmarkEnd w:id="10"/>
      <w:bookmarkEnd w:id="11"/>
      <w:bookmarkEnd w:id="12"/>
      <w:bookmarkEnd w:id="13"/>
    </w:p>
    <w:p w14:paraId="22A4F00B" w14:textId="77777777" w:rsidR="007538ED" w:rsidRPr="00EE2071" w:rsidRDefault="007538ED" w:rsidP="00EE2071">
      <w:pPr>
        <w:pStyle w:val="Heading2"/>
        <w:keepNext w:val="0"/>
        <w:keepLines w:val="0"/>
        <w:spacing w:before="120" w:line="240" w:lineRule="auto"/>
        <w:rPr>
          <w:rFonts w:asciiTheme="minorHAnsi" w:hAnsiTheme="minorHAnsi" w:cstheme="minorHAnsi"/>
          <w:bCs/>
          <w:color w:val="3367B3"/>
          <w:sz w:val="28"/>
        </w:rPr>
      </w:pPr>
      <w:r w:rsidRPr="00EE2071">
        <w:rPr>
          <w:rFonts w:asciiTheme="minorHAnsi" w:hAnsiTheme="minorHAnsi" w:cstheme="minorHAnsi"/>
          <w:bCs/>
          <w:color w:val="3367B3"/>
          <w:sz w:val="28"/>
        </w:rPr>
        <w:t>Further information</w:t>
      </w:r>
    </w:p>
    <w:p w14:paraId="2C9999F5" w14:textId="5FFAE0A2" w:rsidR="007538ED" w:rsidRPr="007538ED" w:rsidRDefault="007538ED" w:rsidP="00112C24">
      <w:bookmarkStart w:id="14" w:name="_FEE-HELP_balance"/>
      <w:bookmarkStart w:id="15" w:name="_Enrolment_in_an"/>
      <w:bookmarkStart w:id="16" w:name="_Study_at_a"/>
      <w:bookmarkStart w:id="17" w:name="_Academic_suitability"/>
      <w:bookmarkStart w:id="18" w:name="_Tax_File_Number"/>
      <w:bookmarkStart w:id="19" w:name="_Unique_Student_identifier"/>
      <w:bookmarkStart w:id="20" w:name="_Required_documentation"/>
      <w:bookmarkEnd w:id="14"/>
      <w:bookmarkEnd w:id="15"/>
      <w:bookmarkEnd w:id="16"/>
      <w:bookmarkEnd w:id="17"/>
      <w:bookmarkEnd w:id="18"/>
      <w:bookmarkEnd w:id="19"/>
      <w:bookmarkEnd w:id="20"/>
      <w:r w:rsidRPr="007538ED">
        <w:t xml:space="preserve">For further information on census days and fee periods, refer to the </w:t>
      </w:r>
      <w:hyperlink r:id="rId15" w:history="1">
        <w:r w:rsidRPr="006C653F">
          <w:rPr>
            <w:rStyle w:val="Hyperlink"/>
          </w:rPr>
          <w:t>VET Student Loans Manual for Providers</w:t>
        </w:r>
      </w:hyperlink>
      <w:r w:rsidRPr="00EE2071">
        <w:rPr>
          <w:rStyle w:val="Hyperlink"/>
          <w:rFonts w:eastAsiaTheme="minorEastAsia"/>
          <w:color w:val="287BB3"/>
          <w:u w:val="none"/>
        </w:rPr>
        <w:t xml:space="preserve"> </w:t>
      </w:r>
      <w:r w:rsidRPr="007538ED">
        <w:t>(see Chapter 4.8.12 Fee periods and Chapter 4.9 Census Days).</w:t>
      </w:r>
    </w:p>
    <w:p w14:paraId="201CC2CB" w14:textId="0889B3A7" w:rsidR="00304F5B" w:rsidRPr="007538ED" w:rsidRDefault="007538ED" w:rsidP="00112C24">
      <w:r w:rsidRPr="007538ED">
        <w:t>For the legislation governing the census day and fee period requirements, please see sections 58-59 of the</w:t>
      </w:r>
      <w:hyperlink r:id="rId16" w:history="1">
        <w:r w:rsidRPr="00EE2071">
          <w:rPr>
            <w:rStyle w:val="Hyperlink"/>
            <w:rFonts w:eastAsiaTheme="minorEastAsia"/>
            <w:color w:val="287BB3"/>
            <w:u w:val="none"/>
          </w:rPr>
          <w:t xml:space="preserve"> </w:t>
        </w:r>
        <w:r w:rsidRPr="006C653F">
          <w:rPr>
            <w:rStyle w:val="Hyperlink"/>
            <w:i/>
            <w:iCs/>
          </w:rPr>
          <w:t>VET Student Loans Act 2016</w:t>
        </w:r>
      </w:hyperlink>
      <w:r w:rsidRPr="007538ED">
        <w:t xml:space="preserve"> and sections 86-87, 98, 122, 123 and 130-134 of the </w:t>
      </w:r>
      <w:hyperlink r:id="rId17" w:history="1">
        <w:r w:rsidRPr="006C653F">
          <w:rPr>
            <w:rStyle w:val="Hyperlink"/>
          </w:rPr>
          <w:t>VET Student Loans Rules 2016</w:t>
        </w:r>
      </w:hyperlink>
      <w:r w:rsidRPr="00112C24">
        <w:t>.</w:t>
      </w:r>
      <w:r w:rsidRPr="007538ED">
        <w:t xml:space="preserve"> </w:t>
      </w:r>
    </w:p>
    <w:sectPr w:rsidR="00304F5B" w:rsidRPr="007538ED" w:rsidSect="000D737E">
      <w:headerReference w:type="default" r:id="rId18"/>
      <w:footerReference w:type="even" r:id="rId19"/>
      <w:footerReference w:type="default" r:id="rId20"/>
      <w:headerReference w:type="first" r:id="rId21"/>
      <w:footerReference w:type="first" r:id="rId22"/>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FB11" w14:textId="77777777" w:rsidR="00225946" w:rsidRDefault="00225946" w:rsidP="00717D10">
      <w:pPr>
        <w:spacing w:after="0" w:line="240" w:lineRule="auto"/>
      </w:pPr>
      <w:r>
        <w:separator/>
      </w:r>
    </w:p>
  </w:endnote>
  <w:endnote w:type="continuationSeparator" w:id="0">
    <w:p w14:paraId="2034EE96" w14:textId="77777777" w:rsidR="00225946" w:rsidRDefault="00225946"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608B7058">
              <wp:simplePos x="0" y="0"/>
              <wp:positionH relativeFrom="column">
                <wp:posOffset>-895350</wp:posOffset>
              </wp:positionH>
              <wp:positionV relativeFrom="paragraph">
                <wp:posOffset>170180</wp:posOffset>
              </wp:positionV>
              <wp:extent cx="7624445" cy="63627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57719483"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6061DCA6">
              <wp:simplePos x="0" y="0"/>
              <wp:positionH relativeFrom="column">
                <wp:posOffset>-904875</wp:posOffset>
              </wp:positionH>
              <wp:positionV relativeFrom="paragraph">
                <wp:posOffset>170180</wp:posOffset>
              </wp:positionV>
              <wp:extent cx="7624445" cy="63627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F1785">
          <w:rPr>
            <w:noProof/>
          </w:rPr>
          <w:t>3</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65365376"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255AAFBD">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F1785">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AE6F" w14:textId="77777777" w:rsidR="00225946" w:rsidRDefault="00225946" w:rsidP="00717D10">
      <w:pPr>
        <w:spacing w:after="0" w:line="240" w:lineRule="auto"/>
      </w:pPr>
      <w:r>
        <w:separator/>
      </w:r>
    </w:p>
  </w:footnote>
  <w:footnote w:type="continuationSeparator" w:id="0">
    <w:p w14:paraId="6F767709" w14:textId="77777777" w:rsidR="00225946" w:rsidRDefault="00225946"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40F296C7">
          <wp:extent cx="7559675" cy="878205"/>
          <wp:effectExtent l="0" t="0" r="3175" b="0"/>
          <wp:docPr id="3" name="Picture 3" descr="Australian Government Logo and VET Student Loans logo" title="Banner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0C6C22"/>
    <w:multiLevelType w:val="hybridMultilevel"/>
    <w:tmpl w:val="53BE32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9"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32176"/>
    <w:multiLevelType w:val="hybridMultilevel"/>
    <w:tmpl w:val="DA546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9642D7"/>
    <w:multiLevelType w:val="hybridMultilevel"/>
    <w:tmpl w:val="E4843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14"/>
  </w:num>
  <w:num w:numId="5">
    <w:abstractNumId w:val="4"/>
  </w:num>
  <w:num w:numId="6">
    <w:abstractNumId w:val="5"/>
  </w:num>
  <w:num w:numId="7">
    <w:abstractNumId w:val="13"/>
  </w:num>
  <w:num w:numId="8">
    <w:abstractNumId w:val="2"/>
  </w:num>
  <w:num w:numId="9">
    <w:abstractNumId w:val="13"/>
  </w:num>
  <w:num w:numId="10">
    <w:abstractNumId w:val="8"/>
  </w:num>
  <w:num w:numId="11">
    <w:abstractNumId w:val="13"/>
  </w:num>
  <w:num w:numId="12">
    <w:abstractNumId w:val="13"/>
  </w:num>
  <w:num w:numId="13">
    <w:abstractNumId w:val="15"/>
  </w:num>
  <w:num w:numId="14">
    <w:abstractNumId w:val="3"/>
  </w:num>
  <w:num w:numId="15">
    <w:abstractNumId w:val="13"/>
  </w:num>
  <w:num w:numId="16">
    <w:abstractNumId w:val="9"/>
  </w:num>
  <w:num w:numId="17">
    <w:abstractNumId w:val="13"/>
  </w:num>
  <w:num w:numId="18">
    <w:abstractNumId w:val="13"/>
  </w:num>
  <w:num w:numId="19">
    <w:abstractNumId w:val="13"/>
  </w:num>
  <w:num w:numId="20">
    <w:abstractNumId w:val="0"/>
  </w:num>
  <w:num w:numId="21">
    <w:abstractNumId w:val="16"/>
  </w:num>
  <w:num w:numId="22">
    <w:abstractNumId w:val="7"/>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0774D"/>
    <w:rsid w:val="000132FF"/>
    <w:rsid w:val="00017EB3"/>
    <w:rsid w:val="00020409"/>
    <w:rsid w:val="000425D5"/>
    <w:rsid w:val="000433E3"/>
    <w:rsid w:val="00046838"/>
    <w:rsid w:val="00047268"/>
    <w:rsid w:val="0005346E"/>
    <w:rsid w:val="00054523"/>
    <w:rsid w:val="00054560"/>
    <w:rsid w:val="000947EF"/>
    <w:rsid w:val="000D599E"/>
    <w:rsid w:val="000D737E"/>
    <w:rsid w:val="000E521B"/>
    <w:rsid w:val="001051E1"/>
    <w:rsid w:val="00112C24"/>
    <w:rsid w:val="00140C23"/>
    <w:rsid w:val="001548DE"/>
    <w:rsid w:val="00162AFA"/>
    <w:rsid w:val="001670E5"/>
    <w:rsid w:val="0017080A"/>
    <w:rsid w:val="00175452"/>
    <w:rsid w:val="001907B3"/>
    <w:rsid w:val="00193491"/>
    <w:rsid w:val="001A1304"/>
    <w:rsid w:val="001F1A25"/>
    <w:rsid w:val="002031D4"/>
    <w:rsid w:val="00225946"/>
    <w:rsid w:val="002273CB"/>
    <w:rsid w:val="002405D1"/>
    <w:rsid w:val="0024416C"/>
    <w:rsid w:val="00262CA5"/>
    <w:rsid w:val="00282D66"/>
    <w:rsid w:val="00290E36"/>
    <w:rsid w:val="002A1074"/>
    <w:rsid w:val="002A662A"/>
    <w:rsid w:val="002D2B04"/>
    <w:rsid w:val="002D6660"/>
    <w:rsid w:val="002D7757"/>
    <w:rsid w:val="00304F5B"/>
    <w:rsid w:val="003137DE"/>
    <w:rsid w:val="00330F75"/>
    <w:rsid w:val="0033585A"/>
    <w:rsid w:val="00361CB5"/>
    <w:rsid w:val="00365347"/>
    <w:rsid w:val="00372C0B"/>
    <w:rsid w:val="0037677E"/>
    <w:rsid w:val="00385010"/>
    <w:rsid w:val="00392B02"/>
    <w:rsid w:val="003E612E"/>
    <w:rsid w:val="003F1487"/>
    <w:rsid w:val="00404D82"/>
    <w:rsid w:val="00410BF3"/>
    <w:rsid w:val="00413ABE"/>
    <w:rsid w:val="00414E8E"/>
    <w:rsid w:val="004152BF"/>
    <w:rsid w:val="00422D14"/>
    <w:rsid w:val="00433C7E"/>
    <w:rsid w:val="004376BC"/>
    <w:rsid w:val="00437A72"/>
    <w:rsid w:val="00445099"/>
    <w:rsid w:val="004500F5"/>
    <w:rsid w:val="0045406A"/>
    <w:rsid w:val="004844B7"/>
    <w:rsid w:val="004C14E3"/>
    <w:rsid w:val="004E4D72"/>
    <w:rsid w:val="004F078A"/>
    <w:rsid w:val="004F6B11"/>
    <w:rsid w:val="004F7003"/>
    <w:rsid w:val="005059B9"/>
    <w:rsid w:val="005059E6"/>
    <w:rsid w:val="005277BC"/>
    <w:rsid w:val="005322A5"/>
    <w:rsid w:val="005339B7"/>
    <w:rsid w:val="00542571"/>
    <w:rsid w:val="005460E4"/>
    <w:rsid w:val="00553320"/>
    <w:rsid w:val="0055606F"/>
    <w:rsid w:val="00557FC4"/>
    <w:rsid w:val="005615CD"/>
    <w:rsid w:val="00570092"/>
    <w:rsid w:val="00584A1F"/>
    <w:rsid w:val="005853CE"/>
    <w:rsid w:val="005970B7"/>
    <w:rsid w:val="005B3297"/>
    <w:rsid w:val="005C2230"/>
    <w:rsid w:val="005C26D5"/>
    <w:rsid w:val="005E2F2B"/>
    <w:rsid w:val="005F7740"/>
    <w:rsid w:val="0061074C"/>
    <w:rsid w:val="00621C9E"/>
    <w:rsid w:val="00622887"/>
    <w:rsid w:val="006268F4"/>
    <w:rsid w:val="0065092C"/>
    <w:rsid w:val="00651D5D"/>
    <w:rsid w:val="006716C7"/>
    <w:rsid w:val="006747EC"/>
    <w:rsid w:val="0069369D"/>
    <w:rsid w:val="00693728"/>
    <w:rsid w:val="00695771"/>
    <w:rsid w:val="006C5975"/>
    <w:rsid w:val="006C653F"/>
    <w:rsid w:val="006C6F84"/>
    <w:rsid w:val="006D606B"/>
    <w:rsid w:val="006E203A"/>
    <w:rsid w:val="006F672D"/>
    <w:rsid w:val="006F6A03"/>
    <w:rsid w:val="007042B0"/>
    <w:rsid w:val="007118DD"/>
    <w:rsid w:val="007157A2"/>
    <w:rsid w:val="00717D10"/>
    <w:rsid w:val="00721990"/>
    <w:rsid w:val="00745195"/>
    <w:rsid w:val="007538ED"/>
    <w:rsid w:val="00757B36"/>
    <w:rsid w:val="00761D35"/>
    <w:rsid w:val="00785AB7"/>
    <w:rsid w:val="007C2896"/>
    <w:rsid w:val="008009EB"/>
    <w:rsid w:val="008020E0"/>
    <w:rsid w:val="00803E57"/>
    <w:rsid w:val="00817478"/>
    <w:rsid w:val="00835275"/>
    <w:rsid w:val="0083572F"/>
    <w:rsid w:val="008501FB"/>
    <w:rsid w:val="008528B0"/>
    <w:rsid w:val="00870696"/>
    <w:rsid w:val="0088046D"/>
    <w:rsid w:val="0088518B"/>
    <w:rsid w:val="00890E34"/>
    <w:rsid w:val="008932C5"/>
    <w:rsid w:val="008A06C2"/>
    <w:rsid w:val="008B09A1"/>
    <w:rsid w:val="008B49BB"/>
    <w:rsid w:val="008C517C"/>
    <w:rsid w:val="008C6EEF"/>
    <w:rsid w:val="008D7570"/>
    <w:rsid w:val="008E2742"/>
    <w:rsid w:val="008F2C78"/>
    <w:rsid w:val="00903630"/>
    <w:rsid w:val="00910717"/>
    <w:rsid w:val="00914337"/>
    <w:rsid w:val="00916D6B"/>
    <w:rsid w:val="00917B95"/>
    <w:rsid w:val="009317A6"/>
    <w:rsid w:val="00947BB5"/>
    <w:rsid w:val="0095275B"/>
    <w:rsid w:val="009546E4"/>
    <w:rsid w:val="0096078A"/>
    <w:rsid w:val="0099066A"/>
    <w:rsid w:val="00995C84"/>
    <w:rsid w:val="009C2C1A"/>
    <w:rsid w:val="009C32E8"/>
    <w:rsid w:val="009D1143"/>
    <w:rsid w:val="009D4CB6"/>
    <w:rsid w:val="009F1785"/>
    <w:rsid w:val="00A05053"/>
    <w:rsid w:val="00A34110"/>
    <w:rsid w:val="00A4133F"/>
    <w:rsid w:val="00A44E13"/>
    <w:rsid w:val="00A67229"/>
    <w:rsid w:val="00A73F41"/>
    <w:rsid w:val="00A8428A"/>
    <w:rsid w:val="00AC7532"/>
    <w:rsid w:val="00AE0E21"/>
    <w:rsid w:val="00AE4E35"/>
    <w:rsid w:val="00AE5016"/>
    <w:rsid w:val="00AF0E0D"/>
    <w:rsid w:val="00AF1FE9"/>
    <w:rsid w:val="00AF5F7D"/>
    <w:rsid w:val="00AF6963"/>
    <w:rsid w:val="00B041B4"/>
    <w:rsid w:val="00B04303"/>
    <w:rsid w:val="00B114BC"/>
    <w:rsid w:val="00B13FD1"/>
    <w:rsid w:val="00B1702D"/>
    <w:rsid w:val="00B20069"/>
    <w:rsid w:val="00B22CAD"/>
    <w:rsid w:val="00B37D7F"/>
    <w:rsid w:val="00B436C7"/>
    <w:rsid w:val="00B45AA4"/>
    <w:rsid w:val="00B60F84"/>
    <w:rsid w:val="00B6139E"/>
    <w:rsid w:val="00B61BE5"/>
    <w:rsid w:val="00B676BC"/>
    <w:rsid w:val="00B927FA"/>
    <w:rsid w:val="00B96BDE"/>
    <w:rsid w:val="00BA5E54"/>
    <w:rsid w:val="00BD156E"/>
    <w:rsid w:val="00BD7BBF"/>
    <w:rsid w:val="00BF1E4C"/>
    <w:rsid w:val="00C1418C"/>
    <w:rsid w:val="00C14DFC"/>
    <w:rsid w:val="00C276AA"/>
    <w:rsid w:val="00C579BD"/>
    <w:rsid w:val="00C61BD2"/>
    <w:rsid w:val="00C76EAA"/>
    <w:rsid w:val="00C846D3"/>
    <w:rsid w:val="00C90F7B"/>
    <w:rsid w:val="00CA50A9"/>
    <w:rsid w:val="00CA5802"/>
    <w:rsid w:val="00CA5EAE"/>
    <w:rsid w:val="00CA60E5"/>
    <w:rsid w:val="00D10F2D"/>
    <w:rsid w:val="00D35E56"/>
    <w:rsid w:val="00D5005E"/>
    <w:rsid w:val="00D56AB9"/>
    <w:rsid w:val="00D60CDA"/>
    <w:rsid w:val="00D74B04"/>
    <w:rsid w:val="00D82EEB"/>
    <w:rsid w:val="00D84357"/>
    <w:rsid w:val="00D84540"/>
    <w:rsid w:val="00D90E35"/>
    <w:rsid w:val="00DA0C29"/>
    <w:rsid w:val="00DA23E7"/>
    <w:rsid w:val="00DA5547"/>
    <w:rsid w:val="00DA76B2"/>
    <w:rsid w:val="00DC72C8"/>
    <w:rsid w:val="00DD40C8"/>
    <w:rsid w:val="00DF254A"/>
    <w:rsid w:val="00E03469"/>
    <w:rsid w:val="00E06497"/>
    <w:rsid w:val="00E2221D"/>
    <w:rsid w:val="00E31F02"/>
    <w:rsid w:val="00E86FFA"/>
    <w:rsid w:val="00E924D9"/>
    <w:rsid w:val="00ED1175"/>
    <w:rsid w:val="00EE2071"/>
    <w:rsid w:val="00F06CDB"/>
    <w:rsid w:val="00F078BC"/>
    <w:rsid w:val="00F124AF"/>
    <w:rsid w:val="00F20EA5"/>
    <w:rsid w:val="00F23E2C"/>
    <w:rsid w:val="00F44260"/>
    <w:rsid w:val="00F7456A"/>
    <w:rsid w:val="00F80AE2"/>
    <w:rsid w:val="00F948F8"/>
    <w:rsid w:val="00F97231"/>
    <w:rsid w:val="00FA3427"/>
    <w:rsid w:val="00FB619D"/>
    <w:rsid w:val="00FD236D"/>
    <w:rsid w:val="00FD565E"/>
    <w:rsid w:val="00FE23C2"/>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5277BC"/>
    <w:pPr>
      <w:keepNext/>
      <w:keepLines/>
      <w:spacing w:before="240" w:after="120"/>
      <w:outlineLvl w:val="0"/>
    </w:pPr>
    <w:rPr>
      <w:rFonts w:eastAsiaTheme="majorEastAsia" w:cstheme="minorHAnsi"/>
      <w:color w:val="1E3D6B"/>
      <w:sz w:val="32"/>
      <w:szCs w:val="32"/>
    </w:rPr>
  </w:style>
  <w:style w:type="paragraph" w:styleId="Heading2">
    <w:name w:val="heading 2"/>
    <w:basedOn w:val="Normal"/>
    <w:next w:val="Normal"/>
    <w:link w:val="Heading2Char"/>
    <w:uiPriority w:val="2"/>
    <w:unhideWhenUsed/>
    <w:qFormat/>
    <w:rsid w:val="00505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uiPriority w:val="99"/>
    <w:unhideWhenUsed/>
    <w:qFormat/>
    <w:rsid w:val="006C653F"/>
    <w:rPr>
      <w:color w:val="0563C1"/>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semiHidden/>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semiHidden/>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6C653F"/>
    <w:pPr>
      <w:spacing w:before="720" w:after="180" w:line="240" w:lineRule="auto"/>
      <w:contextualSpacing/>
    </w:pPr>
    <w:rPr>
      <w:rFonts w:ascii="Calibri" w:eastAsiaTheme="majorEastAsia" w:hAnsi="Calibri" w:cstheme="majorBidi"/>
      <w:noProof/>
      <w:color w:val="292065"/>
      <w:spacing w:val="5"/>
      <w:kern w:val="28"/>
      <w:sz w:val="60"/>
      <w:szCs w:val="60"/>
    </w:rPr>
  </w:style>
  <w:style w:type="character" w:customStyle="1" w:styleId="TitleChar">
    <w:name w:val="Title Char"/>
    <w:basedOn w:val="DefaultParagraphFont"/>
    <w:link w:val="Title"/>
    <w:uiPriority w:val="7"/>
    <w:rsid w:val="006C653F"/>
    <w:rPr>
      <w:rFonts w:ascii="Calibri" w:eastAsiaTheme="majorEastAsia" w:hAnsi="Calibri" w:cstheme="majorBidi"/>
      <w:noProof/>
      <w:color w:val="292065"/>
      <w:spacing w:val="5"/>
      <w:kern w:val="28"/>
      <w:sz w:val="60"/>
      <w:szCs w:val="60"/>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22"/>
    <w:qFormat/>
    <w:rsid w:val="00C76EAA"/>
    <w:rPr>
      <w:b/>
      <w:bCs/>
    </w:rPr>
  </w:style>
  <w:style w:type="paragraph" w:styleId="ListNumber">
    <w:name w:val="List Number"/>
    <w:basedOn w:val="Normal"/>
    <w:uiPriority w:val="99"/>
    <w:unhideWhenUsed/>
    <w:rsid w:val="00C76EAA"/>
    <w:pPr>
      <w:numPr>
        <w:numId w:val="6"/>
      </w:numPr>
      <w:spacing w:after="120" w:line="276" w:lineRule="auto"/>
      <w:contextualSpacing/>
    </w:pPr>
    <w:rPr>
      <w:rFonts w:eastAsiaTheme="minorEastAsia"/>
    </w:rPr>
  </w:style>
  <w:style w:type="paragraph" w:styleId="ListNumber2">
    <w:name w:val="List Number 2"/>
    <w:basedOn w:val="Normal"/>
    <w:uiPriority w:val="99"/>
    <w:unhideWhenUsed/>
    <w:rsid w:val="00C76EAA"/>
    <w:pPr>
      <w:numPr>
        <w:ilvl w:val="1"/>
        <w:numId w:val="6"/>
      </w:numPr>
      <w:tabs>
        <w:tab w:val="left" w:pos="1134"/>
      </w:tabs>
      <w:spacing w:after="120" w:line="276" w:lineRule="auto"/>
      <w:contextualSpacing/>
    </w:pPr>
    <w:rPr>
      <w:rFonts w:eastAsiaTheme="minorEastAsia"/>
    </w:rPr>
  </w:style>
  <w:style w:type="paragraph" w:styleId="ListNumber3">
    <w:name w:val="List Number 3"/>
    <w:basedOn w:val="Normal"/>
    <w:uiPriority w:val="99"/>
    <w:semiHidden/>
    <w:rsid w:val="00C76EAA"/>
    <w:pPr>
      <w:numPr>
        <w:ilvl w:val="2"/>
        <w:numId w:val="6"/>
      </w:numPr>
      <w:spacing w:after="120" w:line="276" w:lineRule="auto"/>
      <w:contextualSpacing/>
    </w:pPr>
    <w:rPr>
      <w:rFonts w:eastAsiaTheme="minorEastAsia"/>
    </w:rPr>
  </w:style>
  <w:style w:type="paragraph" w:styleId="ListNumber4">
    <w:name w:val="List Number 4"/>
    <w:basedOn w:val="Normal"/>
    <w:uiPriority w:val="99"/>
    <w:semiHidden/>
    <w:rsid w:val="00C76EAA"/>
    <w:pPr>
      <w:numPr>
        <w:ilvl w:val="3"/>
        <w:numId w:val="6"/>
      </w:numPr>
      <w:spacing w:after="120" w:line="276" w:lineRule="auto"/>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spacing w:after="200" w:line="276" w:lineRule="auto"/>
      <w:contextualSpacing/>
    </w:pPr>
    <w:rPr>
      <w:rFonts w:eastAsiaTheme="minorEastAsia"/>
    </w:rPr>
  </w:style>
  <w:style w:type="paragraph" w:customStyle="1" w:styleId="Strongcolor">
    <w:name w:val="Strong color"/>
    <w:basedOn w:val="Normal"/>
    <w:link w:val="StrongcolorChar"/>
    <w:qFormat/>
    <w:rsid w:val="00C76EAA"/>
    <w:pPr>
      <w:spacing w:after="200" w:line="276" w:lineRule="auto"/>
    </w:pPr>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5277BC"/>
    <w:rPr>
      <w:rFonts w:eastAsiaTheme="majorEastAsia" w:cstheme="minorHAnsi"/>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uiPriority w:val="99"/>
    <w:unhideWhenUsed/>
    <w:qFormat/>
    <w:rsid w:val="004F7003"/>
    <w:pPr>
      <w:spacing w:after="120" w:line="276" w:lineRule="auto"/>
      <w:contextualSpacing/>
    </w:pPr>
    <w:rPr>
      <w:rFonts w:eastAsiaTheme="minorEastAsia"/>
    </w:rPr>
  </w:style>
  <w:style w:type="paragraph" w:styleId="ListBullet2">
    <w:name w:val="List Bullet 2"/>
    <w:basedOn w:val="Normal"/>
    <w:uiPriority w:val="99"/>
    <w:unhideWhenUsed/>
    <w:rsid w:val="004F7003"/>
    <w:pPr>
      <w:numPr>
        <w:ilvl w:val="1"/>
        <w:numId w:val="7"/>
      </w:numPr>
      <w:spacing w:after="120" w:line="276" w:lineRule="auto"/>
      <w:contextualSpacing/>
    </w:pPr>
    <w:rPr>
      <w:rFonts w:eastAsiaTheme="minorEastAsia"/>
    </w:rPr>
  </w:style>
  <w:style w:type="paragraph" w:styleId="ListBullet3">
    <w:name w:val="List Bullet 3"/>
    <w:basedOn w:val="Normal"/>
    <w:uiPriority w:val="99"/>
    <w:semiHidden/>
    <w:rsid w:val="004F7003"/>
    <w:pPr>
      <w:numPr>
        <w:ilvl w:val="2"/>
        <w:numId w:val="7"/>
      </w:numPr>
      <w:spacing w:after="120" w:line="276" w:lineRule="auto"/>
      <w:contextualSpacing/>
    </w:pPr>
    <w:rPr>
      <w:rFonts w:eastAsiaTheme="minorEastAsia"/>
    </w:rPr>
  </w:style>
  <w:style w:type="paragraph" w:styleId="ListBullet4">
    <w:name w:val="List Bullet 4"/>
    <w:basedOn w:val="Normal"/>
    <w:uiPriority w:val="99"/>
    <w:semiHidden/>
    <w:rsid w:val="004F7003"/>
    <w:pPr>
      <w:numPr>
        <w:ilvl w:val="3"/>
        <w:numId w:val="7"/>
      </w:numPr>
      <w:spacing w:after="120" w:line="276" w:lineRule="auto"/>
      <w:contextualSpacing/>
    </w:pPr>
    <w:rPr>
      <w:rFonts w:eastAsiaTheme="minorEastAsia"/>
    </w:rPr>
  </w:style>
  <w:style w:type="numbering" w:customStyle="1" w:styleId="BulletList">
    <w:name w:val="Bullet List"/>
    <w:uiPriority w:val="99"/>
    <w:rsid w:val="004F7003"/>
    <w:pPr>
      <w:numPr>
        <w:numId w:val="7"/>
      </w:numPr>
    </w:pPr>
  </w:style>
  <w:style w:type="paragraph" w:styleId="ListBullet5">
    <w:name w:val="List Bullet 5"/>
    <w:basedOn w:val="Normal"/>
    <w:uiPriority w:val="99"/>
    <w:semiHidden/>
    <w:rsid w:val="004F7003"/>
    <w:pPr>
      <w:numPr>
        <w:ilvl w:val="4"/>
        <w:numId w:val="7"/>
      </w:numPr>
      <w:spacing w:after="200" w:line="276" w:lineRule="auto"/>
      <w:contextualSpacing/>
    </w:pPr>
    <w:rPr>
      <w:rFonts w:eastAsiaTheme="minorEastAsia"/>
    </w:rPr>
  </w:style>
  <w:style w:type="character" w:customStyle="1" w:styleId="Heading3Char">
    <w:name w:val="Heading 3 Char"/>
    <w:basedOn w:val="DefaultParagraphFont"/>
    <w:link w:val="Heading3"/>
    <w:uiPriority w:val="9"/>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2"/>
    <w:rsid w:val="005059B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8"/>
    <w:qFormat/>
    <w:rsid w:val="00422D14"/>
    <w:pPr>
      <w:spacing w:after="200" w:line="276" w:lineRule="auto"/>
    </w:pPr>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422D14"/>
    <w:rPr>
      <w:rFonts w:ascii="Calibri" w:eastAsiaTheme="majorEastAsia" w:hAnsi="Calibri" w:cstheme="majorBidi"/>
      <w:iCs/>
      <w:color w:val="000000" w:themeColor="text1"/>
      <w:spacing w:val="13"/>
      <w:sz w:val="36"/>
      <w:szCs w:val="40"/>
      <w14:ligatures w14:val="standard"/>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9F1785"/>
  </w:style>
  <w:style w:type="character" w:styleId="UnresolvedMention">
    <w:name w:val="Unresolved Mention"/>
    <w:basedOn w:val="DefaultParagraphFont"/>
    <w:uiPriority w:val="99"/>
    <w:semiHidden/>
    <w:unhideWhenUsed/>
    <w:rsid w:val="00042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wr.gov.au/vet-student-loans/resources/vet-student-loans-manual-provider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dewr.gov.au/vet-student-loans/resources/census-day-calculator" TargetMode="External"/><Relationship Id="rId17" Type="http://schemas.openxmlformats.org/officeDocument/2006/relationships/hyperlink" Target="https://www.legislation.gov.au/Series/F2016L02030" TargetMode="External"/><Relationship Id="rId2" Type="http://schemas.openxmlformats.org/officeDocument/2006/relationships/customXml" Target="../customXml/item2.xml"/><Relationship Id="rId16" Type="http://schemas.openxmlformats.org/officeDocument/2006/relationships/hyperlink" Target="https://www.legislation.gov.au/Series/C2016A0009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dewr.gov.au/vet-student-loans/resources/vet-student-loans-manual-provider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wr.gov.au/vet-student-loans/resources/vet-student-loans-manual-providers"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7FBC52F13C904AAA1CF5EC39138230" ma:contentTypeVersion="18" ma:contentTypeDescription="Create a new document." ma:contentTypeScope="" ma:versionID="03556411244c83d66f5875600dc0f244">
  <xsd:schema xmlns:xsd="http://www.w3.org/2001/XMLSchema" xmlns:xs="http://www.w3.org/2001/XMLSchema" xmlns:p="http://schemas.microsoft.com/office/2006/metadata/properties" xmlns:ns2="da686254-28fc-4a80-a15e-fc33c1b94c7e" xmlns:ns3="04a9a847-fe22-44bb-bb48-4bc4e99aed03" targetNamespace="http://schemas.microsoft.com/office/2006/metadata/properties" ma:root="true" ma:fieldsID="1bfc866ff62746da1fa24139ec597706" ns2:_="" ns3:_="">
    <xsd:import namespace="da686254-28fc-4a80-a15e-fc33c1b94c7e"/>
    <xsd:import namespace="04a9a847-fe22-44bb-bb48-4bc4e99aed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Dat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86254-28fc-4a80-a15e-fc33c1b94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ate" ma:index="22" nillable="true" ma:displayName="Date" ma:description="test" ma:format="DateOnly" ma:internalName="Date">
      <xsd:simpleType>
        <xsd:restriction base="dms:DateTime"/>
      </xsd:simpleType>
    </xsd:element>
    <xsd:element name="Comments" ma:index="23"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9a847-fe22-44bb-bb48-4bc4e99aed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7fe9c6c-d96a-467c-b41a-bb0452157a0a}" ma:internalName="TaxCatchAll" ma:showField="CatchAllData" ma:web="04a9a847-fe22-44bb-bb48-4bc4e99ae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686254-28fc-4a80-a15e-fc33c1b94c7e">
      <Terms xmlns="http://schemas.microsoft.com/office/infopath/2007/PartnerControls"/>
    </lcf76f155ced4ddcb4097134ff3c332f>
    <TaxCatchAll xmlns="04a9a847-fe22-44bb-bb48-4bc4e99aed03" xsi:nil="true"/>
    <Date xmlns="da686254-28fc-4a80-a15e-fc33c1b94c7e" xsi:nil="true"/>
    <Comments xmlns="da686254-28fc-4a80-a15e-fc33c1b94c7e" xsi:nil="true"/>
  </documentManagement>
</p:properties>
</file>

<file path=customXml/itemProps1.xml><?xml version="1.0" encoding="utf-8"?>
<ds:datastoreItem xmlns:ds="http://schemas.openxmlformats.org/officeDocument/2006/customXml" ds:itemID="{1627116C-9B4E-4084-A7AC-A1A819E0EF8F}">
  <ds:schemaRefs>
    <ds:schemaRef ds:uri="http://schemas.openxmlformats.org/officeDocument/2006/bibliography"/>
  </ds:schemaRefs>
</ds:datastoreItem>
</file>

<file path=customXml/itemProps2.xml><?xml version="1.0" encoding="utf-8"?>
<ds:datastoreItem xmlns:ds="http://schemas.openxmlformats.org/officeDocument/2006/customXml" ds:itemID="{087B1689-A979-4F43-8D1B-2893DDC4A7D0}"/>
</file>

<file path=customXml/itemProps3.xml><?xml version="1.0" encoding="utf-8"?>
<ds:datastoreItem xmlns:ds="http://schemas.openxmlformats.org/officeDocument/2006/customXml" ds:itemID="{55BA5E84-658F-4482-AF94-E757EBC9487D}">
  <ds:schemaRefs>
    <ds:schemaRef ds:uri="http://schemas.microsoft.com/sharepoint/v3/contenttype/forms"/>
  </ds:schemaRefs>
</ds:datastoreItem>
</file>

<file path=customXml/itemProps4.xml><?xml version="1.0" encoding="utf-8"?>
<ds:datastoreItem xmlns:ds="http://schemas.openxmlformats.org/officeDocument/2006/customXml" ds:itemID="{1E31E4A9-252A-4448-843B-9ECF29C2C68C}">
  <ds:schemaRefs>
    <ds:schemaRef ds:uri="http://schemas.microsoft.com/office/2006/metadata/properties"/>
    <ds:schemaRef ds:uri="http://schemas.microsoft.com/office/infopath/2007/PartnerControls"/>
    <ds:schemaRef ds:uri="da686254-28fc-4a80-a15e-fc33c1b94c7e"/>
    <ds:schemaRef ds:uri="04a9a847-fe22-44bb-bb48-4bc4e99aed0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2022-10-12T03:13:00Z</dcterms:created>
  <dcterms:modified xsi:type="dcterms:W3CDTF">2022-10-14T03:20:00Z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2022-07-19T00:05:24Z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68e05671-7abd-4d80-ad8e-238ccd0e4c99</vt:lpwstr>
  </property>
  <property fmtid="{D5CDD505-2E9C-101B-9397-08002B2CF9AE}" pid="8" name="MSIP_Label_79d889eb-932f-4752-8739-64d25806ef64_ContentBits">
    <vt:lpwstr>0</vt:lpwstr>
  </property>
  <property fmtid="{D5CDD505-2E9C-101B-9397-08002B2CF9AE}" pid="9" name="ContentTypeId">
    <vt:lpwstr>0x010100A37FBC52F13C904AAA1CF5EC39138230</vt:lpwstr>
  </property>
</Properties>
</file>