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0A457" w14:textId="77777777" w:rsidR="009E3698" w:rsidRDefault="002B7084" w:rsidP="009E3698">
      <w:pPr>
        <w:jc w:val="center"/>
        <w:rPr>
          <w:rFonts w:asciiTheme="minorHAnsi" w:hAnsiTheme="minorHAnsi" w:cstheme="minorHAnsi"/>
        </w:rPr>
      </w:pPr>
      <w:bookmarkStart w:id="0" w:name="_GoBack"/>
      <w:bookmarkEnd w:id="0"/>
      <w:r>
        <w:rPr>
          <w:rFonts w:asciiTheme="minorHAnsi" w:hAnsiTheme="minorHAnsi" w:cstheme="minorHAnsi"/>
          <w:noProof/>
        </w:rPr>
        <w:drawing>
          <wp:anchor distT="0" distB="0" distL="114300" distR="114300" simplePos="0" relativeHeight="251665408" behindDoc="0" locked="0" layoutInCell="1" allowOverlap="1" wp14:anchorId="59C0A836" wp14:editId="59C0A837">
            <wp:simplePos x="0" y="0"/>
            <wp:positionH relativeFrom="margin">
              <wp:posOffset>1788795</wp:posOffset>
            </wp:positionH>
            <wp:positionV relativeFrom="margin">
              <wp:posOffset>5124450</wp:posOffset>
            </wp:positionV>
            <wp:extent cx="4138930" cy="3604260"/>
            <wp:effectExtent l="1905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138930" cy="3604260"/>
                    </a:xfrm>
                    <a:prstGeom prst="rect">
                      <a:avLst/>
                    </a:prstGeom>
                    <a:noFill/>
                    <a:ln w="9525">
                      <a:noFill/>
                      <a:miter lim="800000"/>
                      <a:headEnd/>
                      <a:tailEnd/>
                    </a:ln>
                  </pic:spPr>
                </pic:pic>
              </a:graphicData>
            </a:graphic>
          </wp:anchor>
        </w:drawing>
      </w:r>
      <w:r w:rsidR="007071B8">
        <w:rPr>
          <w:rFonts w:asciiTheme="minorHAnsi" w:hAnsiTheme="minorHAnsi" w:cstheme="minorHAnsi"/>
          <w:noProof/>
        </w:rPr>
        <w:drawing>
          <wp:anchor distT="0" distB="0" distL="114300" distR="114300" simplePos="0" relativeHeight="251663360" behindDoc="0" locked="0" layoutInCell="1" allowOverlap="1" wp14:anchorId="59C0A838" wp14:editId="59C0A839">
            <wp:simplePos x="0" y="0"/>
            <wp:positionH relativeFrom="margin">
              <wp:posOffset>-1177290</wp:posOffset>
            </wp:positionH>
            <wp:positionV relativeFrom="margin">
              <wp:posOffset>-906145</wp:posOffset>
            </wp:positionV>
            <wp:extent cx="7642860" cy="5908675"/>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t="2967"/>
                    <a:stretch>
                      <a:fillRect/>
                    </a:stretch>
                  </pic:blipFill>
                  <pic:spPr bwMode="auto">
                    <a:xfrm>
                      <a:off x="0" y="0"/>
                      <a:ext cx="7642860" cy="5908675"/>
                    </a:xfrm>
                    <a:prstGeom prst="rect">
                      <a:avLst/>
                    </a:prstGeom>
                    <a:noFill/>
                    <a:ln w="9525">
                      <a:noFill/>
                      <a:miter lim="800000"/>
                      <a:headEnd/>
                      <a:tailEnd/>
                    </a:ln>
                  </pic:spPr>
                </pic:pic>
              </a:graphicData>
            </a:graphic>
          </wp:anchor>
        </w:drawing>
      </w:r>
      <w:r w:rsidR="003B76C2">
        <w:rPr>
          <w:rFonts w:asciiTheme="minorHAnsi" w:hAnsiTheme="minorHAnsi" w:cstheme="minorHAnsi"/>
        </w:rPr>
        <w:t xml:space="preserve"> </w:t>
      </w:r>
    </w:p>
    <w:p w14:paraId="59C0A458" w14:textId="77777777" w:rsidR="009E3698" w:rsidRPr="00EB297F" w:rsidRDefault="009E3698" w:rsidP="009E3698">
      <w:pPr>
        <w:jc w:val="center"/>
        <w:rPr>
          <w:rFonts w:asciiTheme="minorHAnsi" w:hAnsiTheme="minorHAnsi" w:cstheme="minorHAnsi"/>
          <w:b/>
          <w:sz w:val="60"/>
          <w:szCs w:val="60"/>
        </w:rPr>
      </w:pPr>
    </w:p>
    <w:p w14:paraId="59C0A459" w14:textId="77777777" w:rsidR="009E3698" w:rsidRDefault="009E3698">
      <w:pPr>
        <w:rPr>
          <w:rFonts w:asciiTheme="minorHAnsi" w:hAnsiTheme="minorHAnsi" w:cstheme="minorHAnsi"/>
        </w:rPr>
        <w:sectPr w:rsidR="009E3698" w:rsidSect="009E3698">
          <w:headerReference w:type="default" r:id="rId15"/>
          <w:type w:val="continuous"/>
          <w:pgSz w:w="11906" w:h="16838"/>
          <w:pgMar w:top="1440" w:right="1800" w:bottom="1440" w:left="1800" w:header="708" w:footer="708" w:gutter="0"/>
          <w:cols w:num="2"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8522"/>
      </w:tblGrid>
      <w:tr w:rsidR="007C44EE" w14:paraId="59C0A479" w14:textId="77777777" w:rsidTr="00D320EB">
        <w:tc>
          <w:tcPr>
            <w:tcW w:w="8522" w:type="dxa"/>
            <w:shd w:val="clear" w:color="auto" w:fill="DBE5F1" w:themeFill="accent1" w:themeFillTint="33"/>
          </w:tcPr>
          <w:p w14:paraId="59C0A45A" w14:textId="77777777" w:rsidR="007C44EE" w:rsidRDefault="00D24B73" w:rsidP="007C44EE">
            <w:pPr>
              <w:rPr>
                <w:rFonts w:asciiTheme="minorHAnsi" w:hAnsiTheme="minorHAnsi" w:cstheme="minorHAnsi"/>
                <w:sz w:val="36"/>
                <w:szCs w:val="36"/>
              </w:rPr>
            </w:pPr>
            <w:r w:rsidRPr="00D24B73">
              <w:rPr>
                <w:rFonts w:asciiTheme="minorHAnsi" w:hAnsiTheme="minorHAnsi" w:cstheme="minorHAnsi"/>
                <w:sz w:val="36"/>
                <w:szCs w:val="36"/>
              </w:rPr>
              <w:lastRenderedPageBreak/>
              <w:t>INSTRUCTIONS FOR SUBMISSION</w:t>
            </w:r>
          </w:p>
          <w:p w14:paraId="59C0A45B" w14:textId="77777777" w:rsidR="00674AB6" w:rsidRDefault="007C44EE" w:rsidP="007C44EE">
            <w:pPr>
              <w:rPr>
                <w:rFonts w:asciiTheme="minorHAnsi" w:hAnsiTheme="minorHAnsi" w:cstheme="minorHAnsi"/>
              </w:rPr>
            </w:pPr>
            <w:r>
              <w:rPr>
                <w:rFonts w:asciiTheme="minorHAnsi" w:hAnsiTheme="minorHAnsi" w:cstheme="minorHAnsi"/>
              </w:rPr>
              <w:t>The Language, Literacy and Numeracy Progra</w:t>
            </w:r>
            <w:r w:rsidR="002E4EA6">
              <w:rPr>
                <w:rFonts w:asciiTheme="minorHAnsi" w:hAnsiTheme="minorHAnsi" w:cstheme="minorHAnsi"/>
              </w:rPr>
              <w:t xml:space="preserve">m (LLNP) </w:t>
            </w:r>
            <w:r w:rsidR="004079EE">
              <w:rPr>
                <w:rFonts w:asciiTheme="minorHAnsi" w:hAnsiTheme="minorHAnsi" w:cstheme="minorHAnsi"/>
              </w:rPr>
              <w:t>is seeking</w:t>
            </w:r>
            <w:r w:rsidR="002E4EA6">
              <w:rPr>
                <w:rFonts w:asciiTheme="minorHAnsi" w:hAnsiTheme="minorHAnsi" w:cstheme="minorHAnsi"/>
              </w:rPr>
              <w:t xml:space="preserve"> feedback on the Discussion P</w:t>
            </w:r>
            <w:r>
              <w:rPr>
                <w:rFonts w:asciiTheme="minorHAnsi" w:hAnsiTheme="minorHAnsi" w:cstheme="minorHAnsi"/>
              </w:rPr>
              <w:t xml:space="preserve">aper from all interested stakeholders. </w:t>
            </w:r>
            <w:r w:rsidR="005B20FA">
              <w:rPr>
                <w:rFonts w:asciiTheme="minorHAnsi" w:hAnsiTheme="minorHAnsi" w:cstheme="minorHAnsi"/>
              </w:rPr>
              <w:t xml:space="preserve"> </w:t>
            </w:r>
            <w:r>
              <w:rPr>
                <w:rFonts w:asciiTheme="minorHAnsi" w:hAnsiTheme="minorHAnsi" w:cstheme="minorHAnsi"/>
              </w:rPr>
              <w:t xml:space="preserve">Responses must be submitted by </w:t>
            </w:r>
            <w:r w:rsidR="000A288B">
              <w:rPr>
                <w:rFonts w:asciiTheme="minorHAnsi" w:hAnsiTheme="minorHAnsi" w:cstheme="minorHAnsi"/>
              </w:rPr>
              <w:t>Friday</w:t>
            </w:r>
            <w:r w:rsidR="00674AB6">
              <w:rPr>
                <w:rFonts w:asciiTheme="minorHAnsi" w:hAnsiTheme="minorHAnsi" w:cstheme="minorHAnsi"/>
              </w:rPr>
              <w:t xml:space="preserve">, </w:t>
            </w:r>
          </w:p>
          <w:p w14:paraId="59C0A45C" w14:textId="77777777" w:rsidR="007C44EE" w:rsidRDefault="000A288B" w:rsidP="007C44EE">
            <w:pPr>
              <w:rPr>
                <w:rFonts w:asciiTheme="minorHAnsi" w:hAnsiTheme="minorHAnsi" w:cstheme="minorHAnsi"/>
              </w:rPr>
            </w:pPr>
            <w:r>
              <w:rPr>
                <w:rFonts w:asciiTheme="minorHAnsi" w:hAnsiTheme="minorHAnsi" w:cstheme="minorHAnsi"/>
              </w:rPr>
              <w:t>17</w:t>
            </w:r>
            <w:r w:rsidR="00674AB6">
              <w:rPr>
                <w:rFonts w:asciiTheme="minorHAnsi" w:hAnsiTheme="minorHAnsi" w:cstheme="minorHAnsi"/>
              </w:rPr>
              <w:t xml:space="preserve"> August</w:t>
            </w:r>
            <w:r w:rsidR="007C44EE">
              <w:rPr>
                <w:rFonts w:asciiTheme="minorHAnsi" w:hAnsiTheme="minorHAnsi" w:cstheme="minorHAnsi"/>
              </w:rPr>
              <w:t xml:space="preserve"> 2012.</w:t>
            </w:r>
          </w:p>
          <w:p w14:paraId="59C0A45D" w14:textId="77777777" w:rsidR="007C44EE" w:rsidRDefault="007C44EE" w:rsidP="007C44EE">
            <w:pPr>
              <w:rPr>
                <w:rFonts w:asciiTheme="minorHAnsi" w:hAnsiTheme="minorHAnsi" w:cstheme="minorHAnsi"/>
              </w:rPr>
            </w:pPr>
          </w:p>
          <w:p w14:paraId="59C0A45E" w14:textId="77777777" w:rsidR="005B20FA" w:rsidRDefault="002E4EA6" w:rsidP="007C44EE">
            <w:pPr>
              <w:rPr>
                <w:rFonts w:asciiTheme="minorHAnsi" w:hAnsiTheme="minorHAnsi" w:cstheme="minorHAnsi"/>
              </w:rPr>
            </w:pPr>
            <w:r>
              <w:rPr>
                <w:rFonts w:asciiTheme="minorHAnsi" w:hAnsiTheme="minorHAnsi" w:cstheme="minorHAnsi"/>
              </w:rPr>
              <w:t>The Discussion P</w:t>
            </w:r>
            <w:r w:rsidR="007C44EE">
              <w:rPr>
                <w:rFonts w:asciiTheme="minorHAnsi" w:hAnsiTheme="minorHAnsi" w:cstheme="minorHAnsi"/>
              </w:rPr>
              <w:t xml:space="preserve">aper contains several questions to guide submissions, which are summarised at Appendix A. </w:t>
            </w:r>
            <w:r w:rsidR="005B20FA">
              <w:rPr>
                <w:rFonts w:asciiTheme="minorHAnsi" w:hAnsiTheme="minorHAnsi" w:cstheme="minorHAnsi"/>
              </w:rPr>
              <w:t xml:space="preserve"> </w:t>
            </w:r>
            <w:r w:rsidR="007C44EE">
              <w:rPr>
                <w:rFonts w:asciiTheme="minorHAnsi" w:hAnsiTheme="minorHAnsi" w:cstheme="minorHAnsi"/>
              </w:rPr>
              <w:t>The LLNP does not wish to limit responses to these questions and welcomes submissions that respond to the paper more generall</w:t>
            </w:r>
            <w:r w:rsidR="005B20FA">
              <w:rPr>
                <w:rFonts w:asciiTheme="minorHAnsi" w:hAnsiTheme="minorHAnsi" w:cstheme="minorHAnsi"/>
              </w:rPr>
              <w:t>y.  However, concise responses are encouraged.</w:t>
            </w:r>
          </w:p>
          <w:p w14:paraId="59C0A45F" w14:textId="77777777" w:rsidR="005B20FA" w:rsidRDefault="005B20FA" w:rsidP="007C44EE">
            <w:pPr>
              <w:rPr>
                <w:rFonts w:asciiTheme="minorHAnsi" w:hAnsiTheme="minorHAnsi" w:cstheme="minorHAnsi"/>
              </w:rPr>
            </w:pPr>
          </w:p>
          <w:p w14:paraId="59C0A460" w14:textId="77777777" w:rsidR="005B20FA" w:rsidRDefault="005B20FA" w:rsidP="007C44EE">
            <w:pPr>
              <w:rPr>
                <w:rFonts w:asciiTheme="minorHAnsi" w:hAnsiTheme="minorHAnsi" w:cstheme="minorHAnsi"/>
              </w:rPr>
            </w:pPr>
            <w:r>
              <w:rPr>
                <w:rFonts w:asciiTheme="minorHAnsi" w:hAnsiTheme="minorHAnsi" w:cstheme="minorHAnsi"/>
              </w:rPr>
              <w:t>Where possible, submissions should be provided electronically in a text-ba</w:t>
            </w:r>
            <w:r w:rsidR="002E4EA6">
              <w:rPr>
                <w:rFonts w:asciiTheme="minorHAnsi" w:hAnsiTheme="minorHAnsi" w:cstheme="minorHAnsi"/>
              </w:rPr>
              <w:t>sed format (such as Word or .pdf</w:t>
            </w:r>
            <w:r>
              <w:rPr>
                <w:rFonts w:asciiTheme="minorHAnsi" w:hAnsiTheme="minorHAnsi" w:cstheme="minorHAnsi"/>
              </w:rPr>
              <w:t>):</w:t>
            </w:r>
          </w:p>
          <w:p w14:paraId="59C0A461" w14:textId="77777777" w:rsidR="005B20FA" w:rsidRDefault="005B20FA" w:rsidP="007C44EE">
            <w:pPr>
              <w:rPr>
                <w:rFonts w:asciiTheme="minorHAnsi" w:hAnsiTheme="minorHAnsi" w:cstheme="minorHAnsi"/>
              </w:rPr>
            </w:pPr>
          </w:p>
          <w:p w14:paraId="59C0A462" w14:textId="77777777" w:rsidR="005B20FA" w:rsidRPr="005B20FA" w:rsidRDefault="00D24B73" w:rsidP="007C44EE">
            <w:pPr>
              <w:rPr>
                <w:rFonts w:asciiTheme="minorHAnsi" w:hAnsiTheme="minorHAnsi" w:cstheme="minorHAnsi"/>
                <w:b/>
              </w:rPr>
            </w:pPr>
            <w:r w:rsidRPr="00D24B73">
              <w:rPr>
                <w:rFonts w:asciiTheme="minorHAnsi" w:hAnsiTheme="minorHAnsi" w:cstheme="minorHAnsi"/>
                <w:b/>
              </w:rPr>
              <w:t>Email:</w:t>
            </w:r>
            <w:r w:rsidR="00942101">
              <w:rPr>
                <w:rFonts w:asciiTheme="minorHAnsi" w:hAnsiTheme="minorHAnsi" w:cstheme="minorHAnsi"/>
              </w:rPr>
              <w:t xml:space="preserve"> </w:t>
            </w:r>
            <w:r w:rsidR="00674AB6">
              <w:rPr>
                <w:rFonts w:asciiTheme="minorHAnsi" w:hAnsiTheme="minorHAnsi" w:cstheme="minorHAnsi"/>
              </w:rPr>
              <w:t xml:space="preserve"> </w:t>
            </w:r>
            <w:hyperlink r:id="rId16" w:history="1">
              <w:r w:rsidR="00523E95" w:rsidRPr="00523E95">
                <w:rPr>
                  <w:rStyle w:val="Hyperlink"/>
                </w:rPr>
                <w:t>LLNPFeedback@deewr.gov.au</w:t>
              </w:r>
            </w:hyperlink>
          </w:p>
          <w:p w14:paraId="59C0A463" w14:textId="77777777" w:rsidR="005B20FA" w:rsidRDefault="005B20FA" w:rsidP="007C44EE">
            <w:pPr>
              <w:rPr>
                <w:rFonts w:asciiTheme="minorHAnsi" w:hAnsiTheme="minorHAnsi" w:cstheme="minorHAnsi"/>
              </w:rPr>
            </w:pPr>
          </w:p>
          <w:p w14:paraId="59C0A464" w14:textId="77777777" w:rsidR="005B20FA" w:rsidRDefault="005B20FA" w:rsidP="007C44EE">
            <w:pPr>
              <w:rPr>
                <w:rFonts w:asciiTheme="minorHAnsi" w:hAnsiTheme="minorHAnsi" w:cstheme="minorHAnsi"/>
              </w:rPr>
            </w:pPr>
            <w:r>
              <w:rPr>
                <w:rFonts w:asciiTheme="minorHAnsi" w:hAnsiTheme="minorHAnsi" w:cstheme="minorHAnsi"/>
              </w:rPr>
              <w:t>Alternatively, submi</w:t>
            </w:r>
            <w:r w:rsidR="00674AB6">
              <w:rPr>
                <w:rFonts w:asciiTheme="minorHAnsi" w:hAnsiTheme="minorHAnsi" w:cstheme="minorHAnsi"/>
              </w:rPr>
              <w:t xml:space="preserve">ssions may be provided by </w:t>
            </w:r>
            <w:r>
              <w:rPr>
                <w:rFonts w:asciiTheme="minorHAnsi" w:hAnsiTheme="minorHAnsi" w:cstheme="minorHAnsi"/>
              </w:rPr>
              <w:t>mail to:</w:t>
            </w:r>
          </w:p>
          <w:p w14:paraId="59C0A465" w14:textId="77777777" w:rsidR="005B20FA" w:rsidRPr="005B20FA" w:rsidRDefault="005B20FA" w:rsidP="007C44EE">
            <w:pPr>
              <w:rPr>
                <w:rFonts w:asciiTheme="minorHAnsi" w:hAnsiTheme="minorHAnsi" w:cstheme="minorHAnsi"/>
                <w:b/>
              </w:rPr>
            </w:pPr>
          </w:p>
          <w:p w14:paraId="59C0A466" w14:textId="77777777" w:rsidR="00BA26D9" w:rsidRPr="00BA26D9" w:rsidRDefault="00D24B73" w:rsidP="007C44EE">
            <w:pPr>
              <w:rPr>
                <w:rFonts w:asciiTheme="minorHAnsi" w:hAnsiTheme="minorHAnsi" w:cstheme="minorHAnsi"/>
              </w:rPr>
            </w:pPr>
            <w:r w:rsidRPr="00674AB6">
              <w:rPr>
                <w:rFonts w:asciiTheme="minorHAnsi" w:hAnsiTheme="minorHAnsi" w:cstheme="minorHAnsi"/>
                <w:b/>
              </w:rPr>
              <w:t>Mail:</w:t>
            </w:r>
            <w:r w:rsidR="00674AB6">
              <w:rPr>
                <w:rFonts w:asciiTheme="minorHAnsi" w:hAnsiTheme="minorHAnsi" w:cstheme="minorHAnsi"/>
                <w:b/>
              </w:rPr>
              <w:t xml:space="preserve">  </w:t>
            </w:r>
            <w:r w:rsidR="00BA26D9" w:rsidRPr="00BA26D9">
              <w:rPr>
                <w:rFonts w:asciiTheme="minorHAnsi" w:hAnsiTheme="minorHAnsi" w:cstheme="minorHAnsi"/>
              </w:rPr>
              <w:t>LLNP Section</w:t>
            </w:r>
          </w:p>
          <w:p w14:paraId="59C0A467" w14:textId="77777777" w:rsidR="005B20FA" w:rsidRDefault="00BA26D9" w:rsidP="007C44EE">
            <w:pPr>
              <w:rPr>
                <w:rFonts w:asciiTheme="minorHAnsi" w:hAnsiTheme="minorHAnsi" w:cstheme="minorHAnsi"/>
              </w:rPr>
            </w:pPr>
            <w:r>
              <w:rPr>
                <w:rFonts w:asciiTheme="minorHAnsi" w:hAnsiTheme="minorHAnsi" w:cstheme="minorHAnsi"/>
              </w:rPr>
              <w:t xml:space="preserve">           </w:t>
            </w:r>
            <w:r w:rsidR="00674AB6">
              <w:rPr>
                <w:rFonts w:asciiTheme="minorHAnsi" w:hAnsiTheme="minorHAnsi" w:cstheme="minorHAnsi"/>
              </w:rPr>
              <w:t>GPO Box 9839</w:t>
            </w:r>
          </w:p>
          <w:p w14:paraId="59C0A468" w14:textId="77777777" w:rsidR="00674AB6" w:rsidRPr="00674AB6" w:rsidRDefault="00674AB6" w:rsidP="007C44EE">
            <w:pPr>
              <w:rPr>
                <w:rFonts w:asciiTheme="minorHAnsi" w:hAnsiTheme="minorHAnsi" w:cstheme="minorHAnsi"/>
              </w:rPr>
            </w:pPr>
            <w:r>
              <w:rPr>
                <w:rFonts w:asciiTheme="minorHAnsi" w:hAnsiTheme="minorHAnsi" w:cstheme="minorHAnsi"/>
              </w:rPr>
              <w:t xml:space="preserve">           Canberra ACT 2601</w:t>
            </w:r>
          </w:p>
          <w:p w14:paraId="59C0A469" w14:textId="77777777" w:rsidR="005B20FA" w:rsidRDefault="005B20FA" w:rsidP="007C44EE">
            <w:pPr>
              <w:rPr>
                <w:rFonts w:asciiTheme="minorHAnsi" w:hAnsiTheme="minorHAnsi" w:cstheme="minorHAnsi"/>
              </w:rPr>
            </w:pPr>
          </w:p>
          <w:p w14:paraId="59C0A46A" w14:textId="77777777" w:rsidR="005B20FA" w:rsidRPr="005B20FA" w:rsidRDefault="00D24B73" w:rsidP="007C44EE">
            <w:pPr>
              <w:rPr>
                <w:rFonts w:asciiTheme="minorHAnsi" w:hAnsiTheme="minorHAnsi" w:cstheme="minorHAnsi"/>
                <w:b/>
                <w:sz w:val="24"/>
                <w:szCs w:val="24"/>
              </w:rPr>
            </w:pPr>
            <w:r w:rsidRPr="00D24B73">
              <w:rPr>
                <w:rFonts w:asciiTheme="minorHAnsi" w:hAnsiTheme="minorHAnsi" w:cstheme="minorHAnsi"/>
                <w:b/>
                <w:sz w:val="24"/>
                <w:szCs w:val="24"/>
              </w:rPr>
              <w:t>Cover page</w:t>
            </w:r>
          </w:p>
          <w:p w14:paraId="59C0A46B" w14:textId="77777777" w:rsidR="005B20FA" w:rsidRDefault="00463D25" w:rsidP="007C44EE">
            <w:pPr>
              <w:rPr>
                <w:rFonts w:asciiTheme="minorHAnsi" w:hAnsiTheme="minorHAnsi" w:cstheme="minorHAnsi"/>
              </w:rPr>
            </w:pPr>
            <w:r>
              <w:rPr>
                <w:rFonts w:asciiTheme="minorHAnsi" w:hAnsiTheme="minorHAnsi" w:cstheme="minorHAnsi"/>
              </w:rPr>
              <w:t>T</w:t>
            </w:r>
            <w:r w:rsidR="005B20FA">
              <w:rPr>
                <w:rFonts w:asciiTheme="minorHAnsi" w:hAnsiTheme="minorHAnsi" w:cstheme="minorHAnsi"/>
              </w:rPr>
              <w:t>he following information should be provided in a cover page to your submission:</w:t>
            </w:r>
          </w:p>
          <w:p w14:paraId="59C0A46C" w14:textId="77777777" w:rsidR="007071B8" w:rsidRDefault="005B20FA" w:rsidP="009A4A3E">
            <w:pPr>
              <w:pStyle w:val="ListParagraph"/>
              <w:numPr>
                <w:ilvl w:val="0"/>
                <w:numId w:val="16"/>
              </w:numPr>
              <w:rPr>
                <w:rFonts w:asciiTheme="minorHAnsi" w:eastAsia="Times New Roman" w:hAnsiTheme="minorHAnsi" w:cstheme="minorHAnsi"/>
                <w:lang w:eastAsia="en-AU"/>
              </w:rPr>
            </w:pPr>
            <w:r>
              <w:rPr>
                <w:rFonts w:asciiTheme="minorHAnsi" w:hAnsiTheme="minorHAnsi" w:cstheme="minorHAnsi"/>
              </w:rPr>
              <w:t>Name of organisation</w:t>
            </w:r>
          </w:p>
          <w:p w14:paraId="59C0A46D" w14:textId="77777777" w:rsidR="007071B8" w:rsidRDefault="005B20FA" w:rsidP="009A4A3E">
            <w:pPr>
              <w:pStyle w:val="ListParagraph"/>
              <w:numPr>
                <w:ilvl w:val="0"/>
                <w:numId w:val="16"/>
              </w:numPr>
              <w:rPr>
                <w:rFonts w:asciiTheme="minorHAnsi" w:eastAsia="Times New Roman" w:hAnsiTheme="minorHAnsi" w:cstheme="minorHAnsi"/>
                <w:lang w:eastAsia="en-AU"/>
              </w:rPr>
            </w:pPr>
            <w:r>
              <w:rPr>
                <w:rFonts w:asciiTheme="minorHAnsi" w:hAnsiTheme="minorHAnsi" w:cstheme="minorHAnsi"/>
              </w:rPr>
              <w:t>Category of stakeholder – i.e. registered training organisation, peak industry body, union, government agency, etc.</w:t>
            </w:r>
          </w:p>
          <w:p w14:paraId="59C0A46E" w14:textId="77777777" w:rsidR="007071B8" w:rsidRDefault="005B20FA" w:rsidP="009A4A3E">
            <w:pPr>
              <w:pStyle w:val="ListParagraph"/>
              <w:numPr>
                <w:ilvl w:val="0"/>
                <w:numId w:val="16"/>
              </w:numPr>
              <w:rPr>
                <w:rFonts w:asciiTheme="minorHAnsi" w:eastAsia="Times New Roman" w:hAnsiTheme="minorHAnsi" w:cstheme="minorHAnsi"/>
                <w:lang w:eastAsia="en-AU"/>
              </w:rPr>
            </w:pPr>
            <w:r>
              <w:rPr>
                <w:rFonts w:asciiTheme="minorHAnsi" w:hAnsiTheme="minorHAnsi" w:cstheme="minorHAnsi"/>
              </w:rPr>
              <w:t>Contact person if clarification is required</w:t>
            </w:r>
          </w:p>
          <w:p w14:paraId="59C0A46F" w14:textId="77777777" w:rsidR="007071B8" w:rsidRDefault="005B20FA" w:rsidP="009A4A3E">
            <w:pPr>
              <w:pStyle w:val="ListParagraph"/>
              <w:numPr>
                <w:ilvl w:val="0"/>
                <w:numId w:val="16"/>
              </w:numPr>
              <w:rPr>
                <w:rFonts w:asciiTheme="minorHAnsi" w:eastAsia="Times New Roman" w:hAnsiTheme="minorHAnsi" w:cstheme="minorHAnsi"/>
                <w:lang w:eastAsia="en-AU"/>
              </w:rPr>
            </w:pPr>
            <w:r>
              <w:rPr>
                <w:rFonts w:asciiTheme="minorHAnsi" w:hAnsiTheme="minorHAnsi" w:cstheme="minorHAnsi"/>
              </w:rPr>
              <w:t>Contact person’s phone number</w:t>
            </w:r>
          </w:p>
          <w:p w14:paraId="59C0A470" w14:textId="77777777" w:rsidR="007071B8" w:rsidRDefault="005B20FA" w:rsidP="009A4A3E">
            <w:pPr>
              <w:pStyle w:val="ListParagraph"/>
              <w:numPr>
                <w:ilvl w:val="0"/>
                <w:numId w:val="16"/>
              </w:numPr>
              <w:rPr>
                <w:rFonts w:asciiTheme="minorHAnsi" w:eastAsia="Times New Roman" w:hAnsiTheme="minorHAnsi" w:cstheme="minorHAnsi"/>
                <w:lang w:eastAsia="en-AU"/>
              </w:rPr>
            </w:pPr>
            <w:r>
              <w:rPr>
                <w:rFonts w:asciiTheme="minorHAnsi" w:hAnsiTheme="minorHAnsi" w:cstheme="minorHAnsi"/>
              </w:rPr>
              <w:t>Contact person’s email address</w:t>
            </w:r>
          </w:p>
          <w:p w14:paraId="59C0A471" w14:textId="77777777" w:rsidR="0015003D" w:rsidRDefault="0015003D">
            <w:pPr>
              <w:rPr>
                <w:rFonts w:asciiTheme="minorHAnsi" w:eastAsia="Times New Roman" w:hAnsiTheme="minorHAnsi" w:cstheme="minorHAnsi"/>
                <w:lang w:eastAsia="en-AU"/>
              </w:rPr>
            </w:pPr>
          </w:p>
          <w:p w14:paraId="59C0A472" w14:textId="77777777" w:rsidR="0015003D" w:rsidRPr="0015003D" w:rsidRDefault="00D24B73">
            <w:pPr>
              <w:rPr>
                <w:rFonts w:asciiTheme="minorHAnsi" w:hAnsiTheme="minorHAnsi" w:cstheme="minorHAnsi"/>
                <w:b/>
                <w:sz w:val="24"/>
                <w:szCs w:val="24"/>
              </w:rPr>
            </w:pPr>
            <w:r w:rsidRPr="00D24B73">
              <w:rPr>
                <w:rFonts w:asciiTheme="minorHAnsi" w:hAnsiTheme="minorHAnsi" w:cstheme="minorHAnsi"/>
                <w:b/>
                <w:sz w:val="24"/>
                <w:szCs w:val="24"/>
              </w:rPr>
              <w:t>Enquiries</w:t>
            </w:r>
          </w:p>
          <w:p w14:paraId="59C0A473" w14:textId="77777777" w:rsidR="007C44EE" w:rsidRDefault="005B20FA">
            <w:pPr>
              <w:rPr>
                <w:rFonts w:asciiTheme="minorHAnsi" w:hAnsiTheme="minorHAnsi" w:cstheme="minorHAnsi"/>
              </w:rPr>
            </w:pPr>
            <w:r>
              <w:rPr>
                <w:rFonts w:asciiTheme="minorHAnsi" w:hAnsiTheme="minorHAnsi" w:cstheme="minorHAnsi"/>
              </w:rPr>
              <w:t>For enquiries regarding submission</w:t>
            </w:r>
            <w:r w:rsidR="002E4EA6">
              <w:rPr>
                <w:rFonts w:asciiTheme="minorHAnsi" w:hAnsiTheme="minorHAnsi" w:cstheme="minorHAnsi"/>
              </w:rPr>
              <w:t>s</w:t>
            </w:r>
            <w:r>
              <w:rPr>
                <w:rFonts w:asciiTheme="minorHAnsi" w:hAnsiTheme="minorHAnsi" w:cstheme="minorHAnsi"/>
              </w:rPr>
              <w:t xml:space="preserve"> please email </w:t>
            </w:r>
            <w:hyperlink r:id="rId17" w:history="1">
              <w:r w:rsidR="007071B8" w:rsidRPr="00C10487">
                <w:rPr>
                  <w:rStyle w:val="Hyperlink"/>
                  <w:rFonts w:asciiTheme="minorHAnsi" w:hAnsiTheme="minorHAnsi" w:cstheme="minorHAnsi"/>
                </w:rPr>
                <w:t>LLNPFeedback@deewr.gov.au</w:t>
              </w:r>
            </w:hyperlink>
          </w:p>
          <w:p w14:paraId="59C0A474" w14:textId="77777777" w:rsidR="005B20FA" w:rsidRDefault="005B20FA">
            <w:pPr>
              <w:rPr>
                <w:rFonts w:asciiTheme="minorHAnsi" w:hAnsiTheme="minorHAnsi" w:cstheme="minorHAnsi"/>
              </w:rPr>
            </w:pPr>
          </w:p>
          <w:p w14:paraId="59C0A475" w14:textId="77777777" w:rsidR="005B20FA" w:rsidRDefault="005B20FA">
            <w:pPr>
              <w:rPr>
                <w:rFonts w:asciiTheme="minorHAnsi" w:hAnsiTheme="minorHAnsi" w:cstheme="minorHAnsi"/>
              </w:rPr>
            </w:pPr>
            <w:r>
              <w:rPr>
                <w:rFonts w:asciiTheme="minorHAnsi" w:hAnsiTheme="minorHAnsi" w:cstheme="minorHAnsi"/>
              </w:rPr>
              <w:t>Further information is available on our website</w:t>
            </w:r>
            <w:r w:rsidR="004079EE">
              <w:rPr>
                <w:rFonts w:asciiTheme="minorHAnsi" w:hAnsiTheme="minorHAnsi" w:cstheme="minorHAnsi"/>
              </w:rPr>
              <w:t xml:space="preserve"> </w:t>
            </w:r>
            <w:hyperlink r:id="rId18" w:history="1">
              <w:r w:rsidR="004079EE">
                <w:rPr>
                  <w:rStyle w:val="Hyperlink"/>
                </w:rPr>
                <w:t>www.innovation.gov.au/llnp</w:t>
              </w:r>
            </w:hyperlink>
            <w:r w:rsidR="008A040F">
              <w:rPr>
                <w:color w:val="1F497D"/>
              </w:rPr>
              <w:t>.</w:t>
            </w:r>
            <w:r w:rsidR="008A040F">
              <w:rPr>
                <w:rFonts w:asciiTheme="minorHAnsi" w:hAnsiTheme="minorHAnsi" w:cstheme="minorHAnsi"/>
              </w:rPr>
              <w:t xml:space="preserve"> </w:t>
            </w:r>
          </w:p>
          <w:p w14:paraId="59C0A476" w14:textId="77777777" w:rsidR="005B20FA" w:rsidRDefault="005B20FA">
            <w:pPr>
              <w:rPr>
                <w:rFonts w:asciiTheme="minorHAnsi" w:hAnsiTheme="minorHAnsi" w:cstheme="minorHAnsi"/>
              </w:rPr>
            </w:pPr>
          </w:p>
          <w:p w14:paraId="59C0A477" w14:textId="77777777" w:rsidR="005B20FA" w:rsidRDefault="005B20FA">
            <w:pPr>
              <w:rPr>
                <w:rFonts w:asciiTheme="minorHAnsi" w:hAnsiTheme="minorHAnsi" w:cstheme="minorHAnsi"/>
              </w:rPr>
            </w:pPr>
            <w:r>
              <w:rPr>
                <w:rFonts w:asciiTheme="minorHAnsi" w:hAnsiTheme="minorHAnsi" w:cstheme="minorHAnsi"/>
              </w:rPr>
              <w:t>The material</w:t>
            </w:r>
            <w:r w:rsidR="003A64D3">
              <w:rPr>
                <w:rFonts w:asciiTheme="minorHAnsi" w:hAnsiTheme="minorHAnsi" w:cstheme="minorHAnsi"/>
              </w:rPr>
              <w:t xml:space="preserve"> collected in response to this D</w:t>
            </w:r>
            <w:r>
              <w:rPr>
                <w:rFonts w:asciiTheme="minorHAnsi" w:hAnsiTheme="minorHAnsi" w:cstheme="minorHAnsi"/>
              </w:rPr>
              <w:t xml:space="preserve">iscussion </w:t>
            </w:r>
            <w:r w:rsidR="003A64D3">
              <w:rPr>
                <w:rFonts w:asciiTheme="minorHAnsi" w:hAnsiTheme="minorHAnsi" w:cstheme="minorHAnsi"/>
              </w:rPr>
              <w:t>P</w:t>
            </w:r>
            <w:r>
              <w:rPr>
                <w:rFonts w:asciiTheme="minorHAnsi" w:hAnsiTheme="minorHAnsi" w:cstheme="minorHAnsi"/>
              </w:rPr>
              <w:t>aper will be treated as confidential.</w:t>
            </w:r>
          </w:p>
          <w:p w14:paraId="59C0A478" w14:textId="77777777" w:rsidR="005B20FA" w:rsidRPr="007C44EE" w:rsidRDefault="005B20FA">
            <w:pPr>
              <w:rPr>
                <w:rFonts w:asciiTheme="minorHAnsi" w:hAnsiTheme="minorHAnsi" w:cstheme="minorHAnsi"/>
              </w:rPr>
            </w:pPr>
            <w:r>
              <w:rPr>
                <w:rFonts w:asciiTheme="minorHAnsi" w:hAnsiTheme="minorHAnsi" w:cstheme="minorHAnsi"/>
              </w:rPr>
              <w:t xml:space="preserve"> </w:t>
            </w:r>
          </w:p>
        </w:tc>
      </w:tr>
      <w:tr w:rsidR="00674AB6" w14:paraId="59C0A47B" w14:textId="77777777" w:rsidTr="00D320EB">
        <w:tc>
          <w:tcPr>
            <w:tcW w:w="8522" w:type="dxa"/>
            <w:shd w:val="clear" w:color="auto" w:fill="DBE5F1" w:themeFill="accent1" w:themeFillTint="33"/>
          </w:tcPr>
          <w:p w14:paraId="59C0A47A" w14:textId="77777777" w:rsidR="00674AB6" w:rsidRPr="00D24B73" w:rsidRDefault="00674AB6" w:rsidP="007C44EE">
            <w:pPr>
              <w:rPr>
                <w:rFonts w:asciiTheme="minorHAnsi" w:hAnsiTheme="minorHAnsi" w:cstheme="minorHAnsi"/>
                <w:sz w:val="36"/>
                <w:szCs w:val="36"/>
              </w:rPr>
            </w:pPr>
          </w:p>
        </w:tc>
      </w:tr>
    </w:tbl>
    <w:p w14:paraId="59C0A47C" w14:textId="77777777" w:rsidR="007C44EE" w:rsidRDefault="007C44EE">
      <w:pPr>
        <w:rPr>
          <w:rFonts w:asciiTheme="minorHAnsi" w:hAnsiTheme="minorHAnsi" w:cstheme="minorHAnsi"/>
          <w:sz w:val="40"/>
          <w:szCs w:val="40"/>
        </w:rPr>
      </w:pPr>
    </w:p>
    <w:p w14:paraId="59C0A47D" w14:textId="77777777" w:rsidR="007C44EE" w:rsidRPr="007C44EE" w:rsidRDefault="007C44EE">
      <w:pPr>
        <w:rPr>
          <w:rFonts w:asciiTheme="minorHAnsi" w:hAnsiTheme="minorHAnsi" w:cstheme="minorHAnsi"/>
          <w:sz w:val="40"/>
          <w:szCs w:val="40"/>
        </w:rPr>
      </w:pPr>
    </w:p>
    <w:p w14:paraId="59C0A47E" w14:textId="77777777" w:rsidR="00EB297F" w:rsidRDefault="00EB297F">
      <w:pPr>
        <w:rPr>
          <w:rFonts w:asciiTheme="minorHAnsi" w:hAnsiTheme="minorHAnsi" w:cstheme="minorHAnsi"/>
        </w:rPr>
      </w:pPr>
    </w:p>
    <w:p w14:paraId="59C0A47F" w14:textId="77777777" w:rsidR="00EB297F" w:rsidRDefault="00EB297F">
      <w:pPr>
        <w:rPr>
          <w:rFonts w:asciiTheme="minorHAnsi" w:hAnsiTheme="minorHAnsi" w:cstheme="minorHAnsi"/>
        </w:rPr>
      </w:pPr>
    </w:p>
    <w:p w14:paraId="59C0A480" w14:textId="77777777" w:rsidR="001C02FA" w:rsidRPr="00B75B4C" w:rsidRDefault="00B75B4C">
      <w:pPr>
        <w:rPr>
          <w:rFonts w:asciiTheme="minorHAnsi" w:hAnsiTheme="minorHAnsi" w:cstheme="minorHAnsi"/>
        </w:rPr>
      </w:pPr>
      <w:r>
        <w:rPr>
          <w:rFonts w:asciiTheme="minorHAnsi" w:hAnsiTheme="minorHAnsi" w:cstheme="minorHAnsi"/>
        </w:rPr>
        <w:br w:type="page"/>
      </w:r>
    </w:p>
    <w:sdt>
      <w:sdtPr>
        <w:rPr>
          <w:rFonts w:ascii="Calibri" w:eastAsia="Times New Roman" w:hAnsi="Calibri" w:cs="Calibri"/>
          <w:bCs w:val="0"/>
          <w:color w:val="auto"/>
          <w:sz w:val="22"/>
          <w:szCs w:val="22"/>
          <w:lang w:val="en-AU" w:eastAsia="en-AU"/>
        </w:rPr>
        <w:id w:val="377292320"/>
        <w:docPartObj>
          <w:docPartGallery w:val="Table of Contents"/>
          <w:docPartUnique/>
        </w:docPartObj>
      </w:sdtPr>
      <w:sdtEndPr/>
      <w:sdtContent>
        <w:p w14:paraId="59C0A481" w14:textId="77777777" w:rsidR="003A64D3" w:rsidRDefault="004B5D49">
          <w:pPr>
            <w:pStyle w:val="TOCHeading"/>
          </w:pPr>
          <w:r>
            <w:t>Table of Contents</w:t>
          </w:r>
        </w:p>
        <w:p w14:paraId="59C0A482" w14:textId="77777777" w:rsidR="003A64D3" w:rsidRDefault="00717192">
          <w:pPr>
            <w:pStyle w:val="TOC1"/>
            <w:tabs>
              <w:tab w:val="right" w:leader="dot" w:pos="8296"/>
            </w:tabs>
            <w:rPr>
              <w:rFonts w:asciiTheme="minorHAnsi" w:eastAsiaTheme="minorEastAsia" w:hAnsiTheme="minorHAnsi" w:cstheme="minorBidi"/>
              <w:noProof/>
            </w:rPr>
          </w:pPr>
          <w:r>
            <w:fldChar w:fldCharType="begin"/>
          </w:r>
          <w:r w:rsidR="003A64D3">
            <w:instrText xml:space="preserve"> TOC \o "1-3" \h \z \u </w:instrText>
          </w:r>
          <w:r>
            <w:fldChar w:fldCharType="separate"/>
          </w:r>
          <w:hyperlink w:anchor="_Toc330460452" w:history="1">
            <w:r w:rsidR="003A64D3" w:rsidRPr="00D02D59">
              <w:rPr>
                <w:rStyle w:val="Hyperlink"/>
                <w:noProof/>
              </w:rPr>
              <w:t>Acronyms</w:t>
            </w:r>
            <w:r w:rsidR="003A64D3">
              <w:rPr>
                <w:noProof/>
                <w:webHidden/>
              </w:rPr>
              <w:tab/>
            </w:r>
            <w:r>
              <w:rPr>
                <w:noProof/>
                <w:webHidden/>
              </w:rPr>
              <w:fldChar w:fldCharType="begin"/>
            </w:r>
            <w:r w:rsidR="003A64D3">
              <w:rPr>
                <w:noProof/>
                <w:webHidden/>
              </w:rPr>
              <w:instrText xml:space="preserve"> PAGEREF _Toc330460452 \h </w:instrText>
            </w:r>
            <w:r>
              <w:rPr>
                <w:noProof/>
                <w:webHidden/>
              </w:rPr>
            </w:r>
            <w:r>
              <w:rPr>
                <w:noProof/>
                <w:webHidden/>
              </w:rPr>
              <w:fldChar w:fldCharType="separate"/>
            </w:r>
            <w:r w:rsidR="00A84876">
              <w:rPr>
                <w:noProof/>
                <w:webHidden/>
              </w:rPr>
              <w:t>4</w:t>
            </w:r>
            <w:r>
              <w:rPr>
                <w:noProof/>
                <w:webHidden/>
              </w:rPr>
              <w:fldChar w:fldCharType="end"/>
            </w:r>
          </w:hyperlink>
        </w:p>
        <w:p w14:paraId="59C0A483" w14:textId="77777777" w:rsidR="003A64D3" w:rsidRDefault="002753C8">
          <w:pPr>
            <w:pStyle w:val="TOC1"/>
            <w:tabs>
              <w:tab w:val="right" w:leader="dot" w:pos="8296"/>
            </w:tabs>
            <w:rPr>
              <w:rFonts w:asciiTheme="minorHAnsi" w:eastAsiaTheme="minorEastAsia" w:hAnsiTheme="minorHAnsi" w:cstheme="minorBidi"/>
              <w:noProof/>
            </w:rPr>
          </w:pPr>
          <w:hyperlink w:anchor="_Toc330460453" w:history="1">
            <w:r w:rsidR="003A64D3" w:rsidRPr="00D02D59">
              <w:rPr>
                <w:rStyle w:val="Hyperlink"/>
                <w:noProof/>
              </w:rPr>
              <w:t>Chapter 1 – Introduction</w:t>
            </w:r>
            <w:r w:rsidR="003A64D3">
              <w:rPr>
                <w:noProof/>
                <w:webHidden/>
              </w:rPr>
              <w:tab/>
            </w:r>
            <w:r w:rsidR="00717192">
              <w:rPr>
                <w:noProof/>
                <w:webHidden/>
              </w:rPr>
              <w:fldChar w:fldCharType="begin"/>
            </w:r>
            <w:r w:rsidR="003A64D3">
              <w:rPr>
                <w:noProof/>
                <w:webHidden/>
              </w:rPr>
              <w:instrText xml:space="preserve"> PAGEREF _Toc330460453 \h </w:instrText>
            </w:r>
            <w:r w:rsidR="00717192">
              <w:rPr>
                <w:noProof/>
                <w:webHidden/>
              </w:rPr>
            </w:r>
            <w:r w:rsidR="00717192">
              <w:rPr>
                <w:noProof/>
                <w:webHidden/>
              </w:rPr>
              <w:fldChar w:fldCharType="separate"/>
            </w:r>
            <w:r w:rsidR="00A84876">
              <w:rPr>
                <w:noProof/>
                <w:webHidden/>
              </w:rPr>
              <w:t>6</w:t>
            </w:r>
            <w:r w:rsidR="00717192">
              <w:rPr>
                <w:noProof/>
                <w:webHidden/>
              </w:rPr>
              <w:fldChar w:fldCharType="end"/>
            </w:r>
          </w:hyperlink>
        </w:p>
        <w:p w14:paraId="59C0A484" w14:textId="77777777" w:rsidR="003A64D3" w:rsidRDefault="002753C8">
          <w:pPr>
            <w:pStyle w:val="TOC3"/>
            <w:tabs>
              <w:tab w:val="right" w:leader="dot" w:pos="8296"/>
            </w:tabs>
            <w:rPr>
              <w:rFonts w:asciiTheme="minorHAnsi" w:eastAsiaTheme="minorEastAsia" w:hAnsiTheme="minorHAnsi" w:cstheme="minorBidi"/>
              <w:noProof/>
            </w:rPr>
          </w:pPr>
          <w:hyperlink w:anchor="_Toc330460454" w:history="1">
            <w:r w:rsidR="003A64D3" w:rsidRPr="00D02D59">
              <w:rPr>
                <w:rStyle w:val="Hyperlink"/>
                <w:noProof/>
              </w:rPr>
              <w:t>Overview</w:t>
            </w:r>
            <w:r w:rsidR="003A64D3">
              <w:rPr>
                <w:noProof/>
                <w:webHidden/>
              </w:rPr>
              <w:tab/>
            </w:r>
            <w:r w:rsidR="00717192">
              <w:rPr>
                <w:noProof/>
                <w:webHidden/>
              </w:rPr>
              <w:fldChar w:fldCharType="begin"/>
            </w:r>
            <w:r w:rsidR="003A64D3">
              <w:rPr>
                <w:noProof/>
                <w:webHidden/>
              </w:rPr>
              <w:instrText xml:space="preserve"> PAGEREF _Toc330460454 \h </w:instrText>
            </w:r>
            <w:r w:rsidR="00717192">
              <w:rPr>
                <w:noProof/>
                <w:webHidden/>
              </w:rPr>
            </w:r>
            <w:r w:rsidR="00717192">
              <w:rPr>
                <w:noProof/>
                <w:webHidden/>
              </w:rPr>
              <w:fldChar w:fldCharType="separate"/>
            </w:r>
            <w:r w:rsidR="00A84876">
              <w:rPr>
                <w:noProof/>
                <w:webHidden/>
              </w:rPr>
              <w:t>6</w:t>
            </w:r>
            <w:r w:rsidR="00717192">
              <w:rPr>
                <w:noProof/>
                <w:webHidden/>
              </w:rPr>
              <w:fldChar w:fldCharType="end"/>
            </w:r>
          </w:hyperlink>
        </w:p>
        <w:p w14:paraId="59C0A485" w14:textId="77777777" w:rsidR="003A64D3" w:rsidRDefault="002753C8">
          <w:pPr>
            <w:pStyle w:val="TOC3"/>
            <w:tabs>
              <w:tab w:val="right" w:leader="dot" w:pos="8296"/>
            </w:tabs>
            <w:rPr>
              <w:rFonts w:asciiTheme="minorHAnsi" w:eastAsiaTheme="minorEastAsia" w:hAnsiTheme="minorHAnsi" w:cstheme="minorBidi"/>
              <w:noProof/>
            </w:rPr>
          </w:pPr>
          <w:hyperlink w:anchor="_Toc330460455" w:history="1">
            <w:r w:rsidR="003A64D3" w:rsidRPr="00D02D59">
              <w:rPr>
                <w:rStyle w:val="Hyperlink"/>
                <w:noProof/>
              </w:rPr>
              <w:t>Purpose of the LLNP Review</w:t>
            </w:r>
            <w:r w:rsidR="003A64D3">
              <w:rPr>
                <w:noProof/>
                <w:webHidden/>
              </w:rPr>
              <w:tab/>
            </w:r>
            <w:r w:rsidR="00717192">
              <w:rPr>
                <w:noProof/>
                <w:webHidden/>
              </w:rPr>
              <w:fldChar w:fldCharType="begin"/>
            </w:r>
            <w:r w:rsidR="003A64D3">
              <w:rPr>
                <w:noProof/>
                <w:webHidden/>
              </w:rPr>
              <w:instrText xml:space="preserve"> PAGEREF _Toc330460455 \h </w:instrText>
            </w:r>
            <w:r w:rsidR="00717192">
              <w:rPr>
                <w:noProof/>
                <w:webHidden/>
              </w:rPr>
            </w:r>
            <w:r w:rsidR="00717192">
              <w:rPr>
                <w:noProof/>
                <w:webHidden/>
              </w:rPr>
              <w:fldChar w:fldCharType="separate"/>
            </w:r>
            <w:r w:rsidR="00A84876">
              <w:rPr>
                <w:noProof/>
                <w:webHidden/>
              </w:rPr>
              <w:t>6</w:t>
            </w:r>
            <w:r w:rsidR="00717192">
              <w:rPr>
                <w:noProof/>
                <w:webHidden/>
              </w:rPr>
              <w:fldChar w:fldCharType="end"/>
            </w:r>
          </w:hyperlink>
        </w:p>
        <w:p w14:paraId="59C0A486" w14:textId="77777777" w:rsidR="003A64D3" w:rsidRDefault="002753C8">
          <w:pPr>
            <w:pStyle w:val="TOC3"/>
            <w:tabs>
              <w:tab w:val="right" w:leader="dot" w:pos="8296"/>
            </w:tabs>
            <w:rPr>
              <w:rFonts w:asciiTheme="minorHAnsi" w:eastAsiaTheme="minorEastAsia" w:hAnsiTheme="minorHAnsi" w:cstheme="minorBidi"/>
              <w:noProof/>
            </w:rPr>
          </w:pPr>
          <w:hyperlink w:anchor="_Toc330460456" w:history="1">
            <w:r w:rsidR="003A64D3" w:rsidRPr="00D02D59">
              <w:rPr>
                <w:rStyle w:val="Hyperlink"/>
                <w:noProof/>
              </w:rPr>
              <w:t>Background to the Language, Literacy and Numeracy Program</w:t>
            </w:r>
            <w:r w:rsidR="003A64D3">
              <w:rPr>
                <w:noProof/>
                <w:webHidden/>
              </w:rPr>
              <w:tab/>
            </w:r>
            <w:r w:rsidR="00717192">
              <w:rPr>
                <w:noProof/>
                <w:webHidden/>
              </w:rPr>
              <w:fldChar w:fldCharType="begin"/>
            </w:r>
            <w:r w:rsidR="003A64D3">
              <w:rPr>
                <w:noProof/>
                <w:webHidden/>
              </w:rPr>
              <w:instrText xml:space="preserve"> PAGEREF _Toc330460456 \h </w:instrText>
            </w:r>
            <w:r w:rsidR="00717192">
              <w:rPr>
                <w:noProof/>
                <w:webHidden/>
              </w:rPr>
            </w:r>
            <w:r w:rsidR="00717192">
              <w:rPr>
                <w:noProof/>
                <w:webHidden/>
              </w:rPr>
              <w:fldChar w:fldCharType="separate"/>
            </w:r>
            <w:r w:rsidR="00A84876">
              <w:rPr>
                <w:noProof/>
                <w:webHidden/>
              </w:rPr>
              <w:t>7</w:t>
            </w:r>
            <w:r w:rsidR="00717192">
              <w:rPr>
                <w:noProof/>
                <w:webHidden/>
              </w:rPr>
              <w:fldChar w:fldCharType="end"/>
            </w:r>
          </w:hyperlink>
        </w:p>
        <w:p w14:paraId="59C0A487" w14:textId="77777777" w:rsidR="003A64D3" w:rsidRDefault="002753C8">
          <w:pPr>
            <w:pStyle w:val="TOC1"/>
            <w:tabs>
              <w:tab w:val="right" w:leader="dot" w:pos="8296"/>
            </w:tabs>
            <w:rPr>
              <w:rFonts w:asciiTheme="minorHAnsi" w:eastAsiaTheme="minorEastAsia" w:hAnsiTheme="minorHAnsi" w:cstheme="minorBidi"/>
              <w:noProof/>
            </w:rPr>
          </w:pPr>
          <w:hyperlink w:anchor="_Toc330460457" w:history="1">
            <w:r w:rsidR="003A64D3" w:rsidRPr="00D02D59">
              <w:rPr>
                <w:rStyle w:val="Hyperlink"/>
                <w:noProof/>
              </w:rPr>
              <w:t>Chapter 2 – Market Delivery in 2013-16</w:t>
            </w:r>
            <w:r w:rsidR="003A64D3">
              <w:rPr>
                <w:noProof/>
                <w:webHidden/>
              </w:rPr>
              <w:tab/>
            </w:r>
            <w:r w:rsidR="00717192">
              <w:rPr>
                <w:noProof/>
                <w:webHidden/>
              </w:rPr>
              <w:fldChar w:fldCharType="begin"/>
            </w:r>
            <w:r w:rsidR="003A64D3">
              <w:rPr>
                <w:noProof/>
                <w:webHidden/>
              </w:rPr>
              <w:instrText xml:space="preserve"> PAGEREF _Toc330460457 \h </w:instrText>
            </w:r>
            <w:r w:rsidR="00717192">
              <w:rPr>
                <w:noProof/>
                <w:webHidden/>
              </w:rPr>
            </w:r>
            <w:r w:rsidR="00717192">
              <w:rPr>
                <w:noProof/>
                <w:webHidden/>
              </w:rPr>
              <w:fldChar w:fldCharType="separate"/>
            </w:r>
            <w:r w:rsidR="00A84876">
              <w:rPr>
                <w:noProof/>
                <w:webHidden/>
              </w:rPr>
              <w:t>9</w:t>
            </w:r>
            <w:r w:rsidR="00717192">
              <w:rPr>
                <w:noProof/>
                <w:webHidden/>
              </w:rPr>
              <w:fldChar w:fldCharType="end"/>
            </w:r>
          </w:hyperlink>
        </w:p>
        <w:p w14:paraId="59C0A488" w14:textId="77777777" w:rsidR="003A64D3" w:rsidRDefault="002753C8">
          <w:pPr>
            <w:pStyle w:val="TOC3"/>
            <w:tabs>
              <w:tab w:val="right" w:leader="dot" w:pos="8296"/>
            </w:tabs>
            <w:rPr>
              <w:rFonts w:asciiTheme="minorHAnsi" w:eastAsiaTheme="minorEastAsia" w:hAnsiTheme="minorHAnsi" w:cstheme="minorBidi"/>
              <w:noProof/>
            </w:rPr>
          </w:pPr>
          <w:hyperlink w:anchor="_Toc330460458" w:history="1">
            <w:r w:rsidR="003A64D3" w:rsidRPr="00D02D59">
              <w:rPr>
                <w:rStyle w:val="Hyperlink"/>
                <w:noProof/>
              </w:rPr>
              <w:t>Multi- provider service delivery model</w:t>
            </w:r>
            <w:r w:rsidR="003A64D3">
              <w:rPr>
                <w:noProof/>
                <w:webHidden/>
              </w:rPr>
              <w:tab/>
            </w:r>
            <w:r w:rsidR="00717192">
              <w:rPr>
                <w:noProof/>
                <w:webHidden/>
              </w:rPr>
              <w:fldChar w:fldCharType="begin"/>
            </w:r>
            <w:r w:rsidR="003A64D3">
              <w:rPr>
                <w:noProof/>
                <w:webHidden/>
              </w:rPr>
              <w:instrText xml:space="preserve"> PAGEREF _Toc330460458 \h </w:instrText>
            </w:r>
            <w:r w:rsidR="00717192">
              <w:rPr>
                <w:noProof/>
                <w:webHidden/>
              </w:rPr>
            </w:r>
            <w:r w:rsidR="00717192">
              <w:rPr>
                <w:noProof/>
                <w:webHidden/>
              </w:rPr>
              <w:fldChar w:fldCharType="separate"/>
            </w:r>
            <w:r w:rsidR="00A84876">
              <w:rPr>
                <w:noProof/>
                <w:webHidden/>
              </w:rPr>
              <w:t>10</w:t>
            </w:r>
            <w:r w:rsidR="00717192">
              <w:rPr>
                <w:noProof/>
                <w:webHidden/>
              </w:rPr>
              <w:fldChar w:fldCharType="end"/>
            </w:r>
          </w:hyperlink>
        </w:p>
        <w:p w14:paraId="59C0A489" w14:textId="77777777" w:rsidR="003A64D3" w:rsidRDefault="002753C8">
          <w:pPr>
            <w:pStyle w:val="TOC3"/>
            <w:tabs>
              <w:tab w:val="right" w:leader="dot" w:pos="8296"/>
            </w:tabs>
            <w:rPr>
              <w:rFonts w:asciiTheme="minorHAnsi" w:eastAsiaTheme="minorEastAsia" w:hAnsiTheme="minorHAnsi" w:cstheme="minorBidi"/>
              <w:noProof/>
            </w:rPr>
          </w:pPr>
          <w:hyperlink w:anchor="_Toc330460459" w:history="1">
            <w:r w:rsidR="003A64D3" w:rsidRPr="00D02D59">
              <w:rPr>
                <w:rStyle w:val="Hyperlink"/>
                <w:noProof/>
              </w:rPr>
              <w:t>Introduction of a Panel Model</w:t>
            </w:r>
            <w:r w:rsidR="003A64D3">
              <w:rPr>
                <w:noProof/>
                <w:webHidden/>
              </w:rPr>
              <w:tab/>
            </w:r>
            <w:r w:rsidR="00717192">
              <w:rPr>
                <w:noProof/>
                <w:webHidden/>
              </w:rPr>
              <w:fldChar w:fldCharType="begin"/>
            </w:r>
            <w:r w:rsidR="003A64D3">
              <w:rPr>
                <w:noProof/>
                <w:webHidden/>
              </w:rPr>
              <w:instrText xml:space="preserve"> PAGEREF _Toc330460459 \h </w:instrText>
            </w:r>
            <w:r w:rsidR="00717192">
              <w:rPr>
                <w:noProof/>
                <w:webHidden/>
              </w:rPr>
            </w:r>
            <w:r w:rsidR="00717192">
              <w:rPr>
                <w:noProof/>
                <w:webHidden/>
              </w:rPr>
              <w:fldChar w:fldCharType="separate"/>
            </w:r>
            <w:r w:rsidR="00A84876">
              <w:rPr>
                <w:noProof/>
                <w:webHidden/>
              </w:rPr>
              <w:t>10</w:t>
            </w:r>
            <w:r w:rsidR="00717192">
              <w:rPr>
                <w:noProof/>
                <w:webHidden/>
              </w:rPr>
              <w:fldChar w:fldCharType="end"/>
            </w:r>
          </w:hyperlink>
        </w:p>
        <w:p w14:paraId="59C0A48A" w14:textId="77777777" w:rsidR="003A64D3" w:rsidRDefault="002753C8">
          <w:pPr>
            <w:pStyle w:val="TOC1"/>
            <w:tabs>
              <w:tab w:val="right" w:leader="dot" w:pos="8296"/>
            </w:tabs>
            <w:rPr>
              <w:rFonts w:asciiTheme="minorHAnsi" w:eastAsiaTheme="minorEastAsia" w:hAnsiTheme="minorHAnsi" w:cstheme="minorBidi"/>
              <w:noProof/>
            </w:rPr>
          </w:pPr>
          <w:hyperlink w:anchor="_Toc330460460" w:history="1">
            <w:r w:rsidR="003A64D3" w:rsidRPr="00D02D59">
              <w:rPr>
                <w:rStyle w:val="Hyperlink"/>
                <w:noProof/>
              </w:rPr>
              <w:t>Chapter 3 – Changes for Consideration</w:t>
            </w:r>
            <w:r w:rsidR="003A64D3">
              <w:rPr>
                <w:noProof/>
                <w:webHidden/>
              </w:rPr>
              <w:tab/>
            </w:r>
            <w:r w:rsidR="00717192">
              <w:rPr>
                <w:noProof/>
                <w:webHidden/>
              </w:rPr>
              <w:fldChar w:fldCharType="begin"/>
            </w:r>
            <w:r w:rsidR="003A64D3">
              <w:rPr>
                <w:noProof/>
                <w:webHidden/>
              </w:rPr>
              <w:instrText xml:space="preserve"> PAGEREF _Toc330460460 \h </w:instrText>
            </w:r>
            <w:r w:rsidR="00717192">
              <w:rPr>
                <w:noProof/>
                <w:webHidden/>
              </w:rPr>
            </w:r>
            <w:r w:rsidR="00717192">
              <w:rPr>
                <w:noProof/>
                <w:webHidden/>
              </w:rPr>
              <w:fldChar w:fldCharType="separate"/>
            </w:r>
            <w:r w:rsidR="00A84876">
              <w:rPr>
                <w:noProof/>
                <w:webHidden/>
              </w:rPr>
              <w:t>12</w:t>
            </w:r>
            <w:r w:rsidR="00717192">
              <w:rPr>
                <w:noProof/>
                <w:webHidden/>
              </w:rPr>
              <w:fldChar w:fldCharType="end"/>
            </w:r>
          </w:hyperlink>
        </w:p>
        <w:p w14:paraId="59C0A48B" w14:textId="77777777" w:rsidR="003A64D3" w:rsidRDefault="002753C8">
          <w:pPr>
            <w:pStyle w:val="TOC3"/>
            <w:tabs>
              <w:tab w:val="right" w:leader="dot" w:pos="8296"/>
            </w:tabs>
            <w:rPr>
              <w:rFonts w:asciiTheme="minorHAnsi" w:eastAsiaTheme="minorEastAsia" w:hAnsiTheme="minorHAnsi" w:cstheme="minorBidi"/>
              <w:noProof/>
            </w:rPr>
          </w:pPr>
          <w:hyperlink w:anchor="_Toc330460461" w:history="1">
            <w:r w:rsidR="003A64D3" w:rsidRPr="00D02D59">
              <w:rPr>
                <w:rStyle w:val="Hyperlink"/>
                <w:noProof/>
              </w:rPr>
              <w:t>3.1 Teacher and Assessor Qualifications</w:t>
            </w:r>
            <w:r w:rsidR="003A64D3">
              <w:rPr>
                <w:noProof/>
                <w:webHidden/>
              </w:rPr>
              <w:tab/>
            </w:r>
            <w:r w:rsidR="00717192">
              <w:rPr>
                <w:noProof/>
                <w:webHidden/>
              </w:rPr>
              <w:fldChar w:fldCharType="begin"/>
            </w:r>
            <w:r w:rsidR="003A64D3">
              <w:rPr>
                <w:noProof/>
                <w:webHidden/>
              </w:rPr>
              <w:instrText xml:space="preserve"> PAGEREF _Toc330460461 \h </w:instrText>
            </w:r>
            <w:r w:rsidR="00717192">
              <w:rPr>
                <w:noProof/>
                <w:webHidden/>
              </w:rPr>
            </w:r>
            <w:r w:rsidR="00717192">
              <w:rPr>
                <w:noProof/>
                <w:webHidden/>
              </w:rPr>
              <w:fldChar w:fldCharType="separate"/>
            </w:r>
            <w:r w:rsidR="00A84876">
              <w:rPr>
                <w:noProof/>
                <w:webHidden/>
              </w:rPr>
              <w:t>12</w:t>
            </w:r>
            <w:r w:rsidR="00717192">
              <w:rPr>
                <w:noProof/>
                <w:webHidden/>
              </w:rPr>
              <w:fldChar w:fldCharType="end"/>
            </w:r>
          </w:hyperlink>
        </w:p>
        <w:p w14:paraId="59C0A48C" w14:textId="77777777" w:rsidR="003A64D3" w:rsidRDefault="002753C8">
          <w:pPr>
            <w:pStyle w:val="TOC3"/>
            <w:tabs>
              <w:tab w:val="right" w:leader="dot" w:pos="8296"/>
            </w:tabs>
            <w:rPr>
              <w:rFonts w:asciiTheme="minorHAnsi" w:eastAsiaTheme="minorEastAsia" w:hAnsiTheme="minorHAnsi" w:cstheme="minorBidi"/>
              <w:noProof/>
            </w:rPr>
          </w:pPr>
          <w:hyperlink w:anchor="_Toc330460462" w:history="1">
            <w:r w:rsidR="003A64D3" w:rsidRPr="00D02D59">
              <w:rPr>
                <w:rStyle w:val="Hyperlink"/>
                <w:noProof/>
              </w:rPr>
              <w:t>3.2 Complementary Training and Advanced Vocationally Oriented Courses</w:t>
            </w:r>
            <w:r w:rsidR="003A64D3">
              <w:rPr>
                <w:noProof/>
                <w:webHidden/>
              </w:rPr>
              <w:tab/>
            </w:r>
            <w:r w:rsidR="00717192">
              <w:rPr>
                <w:noProof/>
                <w:webHidden/>
              </w:rPr>
              <w:fldChar w:fldCharType="begin"/>
            </w:r>
            <w:r w:rsidR="003A64D3">
              <w:rPr>
                <w:noProof/>
                <w:webHidden/>
              </w:rPr>
              <w:instrText xml:space="preserve"> PAGEREF _Toc330460462 \h </w:instrText>
            </w:r>
            <w:r w:rsidR="00717192">
              <w:rPr>
                <w:noProof/>
                <w:webHidden/>
              </w:rPr>
            </w:r>
            <w:r w:rsidR="00717192">
              <w:rPr>
                <w:noProof/>
                <w:webHidden/>
              </w:rPr>
              <w:fldChar w:fldCharType="separate"/>
            </w:r>
            <w:r w:rsidR="00A84876">
              <w:rPr>
                <w:noProof/>
                <w:webHidden/>
              </w:rPr>
              <w:t>14</w:t>
            </w:r>
            <w:r w:rsidR="00717192">
              <w:rPr>
                <w:noProof/>
                <w:webHidden/>
              </w:rPr>
              <w:fldChar w:fldCharType="end"/>
            </w:r>
          </w:hyperlink>
        </w:p>
        <w:p w14:paraId="59C0A48D" w14:textId="77777777" w:rsidR="003A64D3" w:rsidRDefault="002753C8">
          <w:pPr>
            <w:pStyle w:val="TOC3"/>
            <w:tabs>
              <w:tab w:val="right" w:leader="dot" w:pos="8296"/>
            </w:tabs>
            <w:rPr>
              <w:rFonts w:asciiTheme="minorHAnsi" w:eastAsiaTheme="minorEastAsia" w:hAnsiTheme="minorHAnsi" w:cstheme="minorBidi"/>
              <w:noProof/>
            </w:rPr>
          </w:pPr>
          <w:hyperlink w:anchor="_Toc330460463" w:history="1">
            <w:r w:rsidR="003A64D3" w:rsidRPr="00D02D59">
              <w:rPr>
                <w:rStyle w:val="Hyperlink"/>
                <w:noProof/>
              </w:rPr>
              <w:t>3.3 Work Experience</w:t>
            </w:r>
            <w:r w:rsidR="003A64D3">
              <w:rPr>
                <w:noProof/>
                <w:webHidden/>
              </w:rPr>
              <w:tab/>
            </w:r>
            <w:r w:rsidR="00717192">
              <w:rPr>
                <w:noProof/>
                <w:webHidden/>
              </w:rPr>
              <w:fldChar w:fldCharType="begin"/>
            </w:r>
            <w:r w:rsidR="003A64D3">
              <w:rPr>
                <w:noProof/>
                <w:webHidden/>
              </w:rPr>
              <w:instrText xml:space="preserve"> PAGEREF _Toc330460463 \h </w:instrText>
            </w:r>
            <w:r w:rsidR="00717192">
              <w:rPr>
                <w:noProof/>
                <w:webHidden/>
              </w:rPr>
            </w:r>
            <w:r w:rsidR="00717192">
              <w:rPr>
                <w:noProof/>
                <w:webHidden/>
              </w:rPr>
              <w:fldChar w:fldCharType="separate"/>
            </w:r>
            <w:r w:rsidR="00A84876">
              <w:rPr>
                <w:noProof/>
                <w:webHidden/>
              </w:rPr>
              <w:t>15</w:t>
            </w:r>
            <w:r w:rsidR="00717192">
              <w:rPr>
                <w:noProof/>
                <w:webHidden/>
              </w:rPr>
              <w:fldChar w:fldCharType="end"/>
            </w:r>
          </w:hyperlink>
        </w:p>
        <w:p w14:paraId="59C0A48E" w14:textId="77777777" w:rsidR="003A64D3" w:rsidRDefault="002753C8">
          <w:pPr>
            <w:pStyle w:val="TOC3"/>
            <w:tabs>
              <w:tab w:val="right" w:leader="dot" w:pos="8296"/>
            </w:tabs>
            <w:rPr>
              <w:rFonts w:asciiTheme="minorHAnsi" w:eastAsiaTheme="minorEastAsia" w:hAnsiTheme="minorHAnsi" w:cstheme="minorBidi"/>
              <w:noProof/>
            </w:rPr>
          </w:pPr>
          <w:hyperlink w:anchor="_Toc330460464" w:history="1">
            <w:r w:rsidR="003A64D3" w:rsidRPr="00D02D59">
              <w:rPr>
                <w:rStyle w:val="Hyperlink"/>
                <w:noProof/>
              </w:rPr>
              <w:t>3.4 Extended Period to Undertake a Pre-Training Assessment</w:t>
            </w:r>
            <w:r w:rsidR="003A64D3">
              <w:rPr>
                <w:noProof/>
                <w:webHidden/>
              </w:rPr>
              <w:tab/>
            </w:r>
            <w:r w:rsidR="00717192">
              <w:rPr>
                <w:noProof/>
                <w:webHidden/>
              </w:rPr>
              <w:fldChar w:fldCharType="begin"/>
            </w:r>
            <w:r w:rsidR="003A64D3">
              <w:rPr>
                <w:noProof/>
                <w:webHidden/>
              </w:rPr>
              <w:instrText xml:space="preserve"> PAGEREF _Toc330460464 \h </w:instrText>
            </w:r>
            <w:r w:rsidR="00717192">
              <w:rPr>
                <w:noProof/>
                <w:webHidden/>
              </w:rPr>
            </w:r>
            <w:r w:rsidR="00717192">
              <w:rPr>
                <w:noProof/>
                <w:webHidden/>
              </w:rPr>
              <w:fldChar w:fldCharType="separate"/>
            </w:r>
            <w:r w:rsidR="00A84876">
              <w:rPr>
                <w:noProof/>
                <w:webHidden/>
              </w:rPr>
              <w:t>15</w:t>
            </w:r>
            <w:r w:rsidR="00717192">
              <w:rPr>
                <w:noProof/>
                <w:webHidden/>
              </w:rPr>
              <w:fldChar w:fldCharType="end"/>
            </w:r>
          </w:hyperlink>
        </w:p>
        <w:p w14:paraId="59C0A48F" w14:textId="77777777" w:rsidR="003A64D3" w:rsidRDefault="002753C8">
          <w:pPr>
            <w:pStyle w:val="TOC3"/>
            <w:tabs>
              <w:tab w:val="right" w:leader="dot" w:pos="8296"/>
            </w:tabs>
            <w:rPr>
              <w:rFonts w:asciiTheme="minorHAnsi" w:eastAsiaTheme="minorEastAsia" w:hAnsiTheme="minorHAnsi" w:cstheme="minorBidi"/>
              <w:noProof/>
            </w:rPr>
          </w:pPr>
          <w:hyperlink w:anchor="_Toc330460465" w:history="1">
            <w:r w:rsidR="003A64D3" w:rsidRPr="00D02D59">
              <w:rPr>
                <w:rStyle w:val="Hyperlink"/>
                <w:noProof/>
              </w:rPr>
              <w:t>3.5 Suitability for Training</w:t>
            </w:r>
            <w:r w:rsidR="003A64D3">
              <w:rPr>
                <w:noProof/>
                <w:webHidden/>
              </w:rPr>
              <w:tab/>
            </w:r>
            <w:r w:rsidR="00717192">
              <w:rPr>
                <w:noProof/>
                <w:webHidden/>
              </w:rPr>
              <w:fldChar w:fldCharType="begin"/>
            </w:r>
            <w:r w:rsidR="003A64D3">
              <w:rPr>
                <w:noProof/>
                <w:webHidden/>
              </w:rPr>
              <w:instrText xml:space="preserve"> PAGEREF _Toc330460465 \h </w:instrText>
            </w:r>
            <w:r w:rsidR="00717192">
              <w:rPr>
                <w:noProof/>
                <w:webHidden/>
              </w:rPr>
            </w:r>
            <w:r w:rsidR="00717192">
              <w:rPr>
                <w:noProof/>
                <w:webHidden/>
              </w:rPr>
              <w:fldChar w:fldCharType="separate"/>
            </w:r>
            <w:r w:rsidR="00A84876">
              <w:rPr>
                <w:noProof/>
                <w:webHidden/>
              </w:rPr>
              <w:t>16</w:t>
            </w:r>
            <w:r w:rsidR="00717192">
              <w:rPr>
                <w:noProof/>
                <w:webHidden/>
              </w:rPr>
              <w:fldChar w:fldCharType="end"/>
            </w:r>
          </w:hyperlink>
        </w:p>
        <w:p w14:paraId="59C0A490" w14:textId="77777777" w:rsidR="003A64D3" w:rsidRDefault="002753C8">
          <w:pPr>
            <w:pStyle w:val="TOC3"/>
            <w:tabs>
              <w:tab w:val="right" w:leader="dot" w:pos="8296"/>
            </w:tabs>
            <w:rPr>
              <w:rFonts w:asciiTheme="minorHAnsi" w:eastAsiaTheme="minorEastAsia" w:hAnsiTheme="minorHAnsi" w:cstheme="minorBidi"/>
              <w:noProof/>
            </w:rPr>
          </w:pPr>
          <w:hyperlink w:anchor="_Toc330460466" w:history="1">
            <w:r w:rsidR="003A64D3" w:rsidRPr="00D02D59">
              <w:rPr>
                <w:rStyle w:val="Hyperlink"/>
                <w:noProof/>
              </w:rPr>
              <w:t>3.6 Service Delivery</w:t>
            </w:r>
            <w:r w:rsidR="003A64D3">
              <w:rPr>
                <w:noProof/>
                <w:webHidden/>
              </w:rPr>
              <w:tab/>
            </w:r>
            <w:r w:rsidR="00717192">
              <w:rPr>
                <w:noProof/>
                <w:webHidden/>
              </w:rPr>
              <w:fldChar w:fldCharType="begin"/>
            </w:r>
            <w:r w:rsidR="003A64D3">
              <w:rPr>
                <w:noProof/>
                <w:webHidden/>
              </w:rPr>
              <w:instrText xml:space="preserve"> PAGEREF _Toc330460466 \h </w:instrText>
            </w:r>
            <w:r w:rsidR="00717192">
              <w:rPr>
                <w:noProof/>
                <w:webHidden/>
              </w:rPr>
            </w:r>
            <w:r w:rsidR="00717192">
              <w:rPr>
                <w:noProof/>
                <w:webHidden/>
              </w:rPr>
              <w:fldChar w:fldCharType="separate"/>
            </w:r>
            <w:r w:rsidR="00A84876">
              <w:rPr>
                <w:noProof/>
                <w:webHidden/>
              </w:rPr>
              <w:t>16</w:t>
            </w:r>
            <w:r w:rsidR="00717192">
              <w:rPr>
                <w:noProof/>
                <w:webHidden/>
              </w:rPr>
              <w:fldChar w:fldCharType="end"/>
            </w:r>
          </w:hyperlink>
        </w:p>
        <w:p w14:paraId="59C0A491" w14:textId="77777777" w:rsidR="003A64D3" w:rsidRDefault="002753C8">
          <w:pPr>
            <w:pStyle w:val="TOC3"/>
            <w:tabs>
              <w:tab w:val="right" w:leader="dot" w:pos="8296"/>
            </w:tabs>
            <w:rPr>
              <w:rFonts w:asciiTheme="minorHAnsi" w:eastAsiaTheme="minorEastAsia" w:hAnsiTheme="minorHAnsi" w:cstheme="minorBidi"/>
              <w:noProof/>
            </w:rPr>
          </w:pPr>
          <w:hyperlink w:anchor="_Toc330460467" w:history="1">
            <w:r w:rsidR="003A64D3" w:rsidRPr="00D02D59">
              <w:rPr>
                <w:rStyle w:val="Hyperlink"/>
                <w:noProof/>
              </w:rPr>
              <w:t>3.7 National Broadband Network</w:t>
            </w:r>
            <w:r w:rsidR="003A64D3">
              <w:rPr>
                <w:noProof/>
                <w:webHidden/>
              </w:rPr>
              <w:tab/>
            </w:r>
            <w:r w:rsidR="00717192">
              <w:rPr>
                <w:noProof/>
                <w:webHidden/>
              </w:rPr>
              <w:fldChar w:fldCharType="begin"/>
            </w:r>
            <w:r w:rsidR="003A64D3">
              <w:rPr>
                <w:noProof/>
                <w:webHidden/>
              </w:rPr>
              <w:instrText xml:space="preserve"> PAGEREF _Toc330460467 \h </w:instrText>
            </w:r>
            <w:r w:rsidR="00717192">
              <w:rPr>
                <w:noProof/>
                <w:webHidden/>
              </w:rPr>
            </w:r>
            <w:r w:rsidR="00717192">
              <w:rPr>
                <w:noProof/>
                <w:webHidden/>
              </w:rPr>
              <w:fldChar w:fldCharType="separate"/>
            </w:r>
            <w:r w:rsidR="00A84876">
              <w:rPr>
                <w:noProof/>
                <w:webHidden/>
              </w:rPr>
              <w:t>17</w:t>
            </w:r>
            <w:r w:rsidR="00717192">
              <w:rPr>
                <w:noProof/>
                <w:webHidden/>
              </w:rPr>
              <w:fldChar w:fldCharType="end"/>
            </w:r>
          </w:hyperlink>
        </w:p>
        <w:p w14:paraId="59C0A492" w14:textId="77777777" w:rsidR="003A64D3" w:rsidRDefault="002753C8">
          <w:pPr>
            <w:pStyle w:val="TOC3"/>
            <w:tabs>
              <w:tab w:val="right" w:leader="dot" w:pos="8296"/>
            </w:tabs>
            <w:rPr>
              <w:rFonts w:asciiTheme="minorHAnsi" w:eastAsiaTheme="minorEastAsia" w:hAnsiTheme="minorHAnsi" w:cstheme="minorBidi"/>
              <w:noProof/>
            </w:rPr>
          </w:pPr>
          <w:hyperlink w:anchor="_Toc330460468" w:history="1">
            <w:r w:rsidR="003A64D3" w:rsidRPr="00D02D59">
              <w:rPr>
                <w:rStyle w:val="Hyperlink"/>
                <w:noProof/>
              </w:rPr>
              <w:t>3.8 Geographic Coverage</w:t>
            </w:r>
            <w:r w:rsidR="003A64D3">
              <w:rPr>
                <w:noProof/>
                <w:webHidden/>
              </w:rPr>
              <w:tab/>
            </w:r>
            <w:r w:rsidR="00717192">
              <w:rPr>
                <w:noProof/>
                <w:webHidden/>
              </w:rPr>
              <w:fldChar w:fldCharType="begin"/>
            </w:r>
            <w:r w:rsidR="003A64D3">
              <w:rPr>
                <w:noProof/>
                <w:webHidden/>
              </w:rPr>
              <w:instrText xml:space="preserve"> PAGEREF _Toc330460468 \h </w:instrText>
            </w:r>
            <w:r w:rsidR="00717192">
              <w:rPr>
                <w:noProof/>
                <w:webHidden/>
              </w:rPr>
            </w:r>
            <w:r w:rsidR="00717192">
              <w:rPr>
                <w:noProof/>
                <w:webHidden/>
              </w:rPr>
              <w:fldChar w:fldCharType="separate"/>
            </w:r>
            <w:r w:rsidR="00A84876">
              <w:rPr>
                <w:noProof/>
                <w:webHidden/>
              </w:rPr>
              <w:t>19</w:t>
            </w:r>
            <w:r w:rsidR="00717192">
              <w:rPr>
                <w:noProof/>
                <w:webHidden/>
              </w:rPr>
              <w:fldChar w:fldCharType="end"/>
            </w:r>
          </w:hyperlink>
        </w:p>
        <w:p w14:paraId="59C0A493" w14:textId="77777777" w:rsidR="003A64D3" w:rsidRDefault="002753C8">
          <w:pPr>
            <w:pStyle w:val="TOC3"/>
            <w:tabs>
              <w:tab w:val="right" w:leader="dot" w:pos="8296"/>
            </w:tabs>
            <w:rPr>
              <w:rFonts w:asciiTheme="minorHAnsi" w:eastAsiaTheme="minorEastAsia" w:hAnsiTheme="minorHAnsi" w:cstheme="minorBidi"/>
              <w:noProof/>
            </w:rPr>
          </w:pPr>
          <w:hyperlink w:anchor="_Toc330460469" w:history="1">
            <w:r w:rsidR="003A64D3" w:rsidRPr="00D02D59">
              <w:rPr>
                <w:rStyle w:val="Hyperlink"/>
                <w:noProof/>
              </w:rPr>
              <w:t>3.9 Training and Assessment Sites</w:t>
            </w:r>
            <w:r w:rsidR="003A64D3">
              <w:rPr>
                <w:noProof/>
                <w:webHidden/>
              </w:rPr>
              <w:tab/>
            </w:r>
            <w:r w:rsidR="00717192">
              <w:rPr>
                <w:noProof/>
                <w:webHidden/>
              </w:rPr>
              <w:fldChar w:fldCharType="begin"/>
            </w:r>
            <w:r w:rsidR="003A64D3">
              <w:rPr>
                <w:noProof/>
                <w:webHidden/>
              </w:rPr>
              <w:instrText xml:space="preserve"> PAGEREF _Toc330460469 \h </w:instrText>
            </w:r>
            <w:r w:rsidR="00717192">
              <w:rPr>
                <w:noProof/>
                <w:webHidden/>
              </w:rPr>
            </w:r>
            <w:r w:rsidR="00717192">
              <w:rPr>
                <w:noProof/>
                <w:webHidden/>
              </w:rPr>
              <w:fldChar w:fldCharType="separate"/>
            </w:r>
            <w:r w:rsidR="00A84876">
              <w:rPr>
                <w:noProof/>
                <w:webHidden/>
              </w:rPr>
              <w:t>21</w:t>
            </w:r>
            <w:r w:rsidR="00717192">
              <w:rPr>
                <w:noProof/>
                <w:webHidden/>
              </w:rPr>
              <w:fldChar w:fldCharType="end"/>
            </w:r>
          </w:hyperlink>
        </w:p>
        <w:p w14:paraId="59C0A494" w14:textId="77777777" w:rsidR="003A64D3" w:rsidRDefault="002753C8">
          <w:pPr>
            <w:pStyle w:val="TOC3"/>
            <w:tabs>
              <w:tab w:val="right" w:leader="dot" w:pos="8296"/>
            </w:tabs>
            <w:rPr>
              <w:rFonts w:asciiTheme="minorHAnsi" w:eastAsiaTheme="minorEastAsia" w:hAnsiTheme="minorHAnsi" w:cstheme="minorBidi"/>
              <w:noProof/>
            </w:rPr>
          </w:pPr>
          <w:hyperlink w:anchor="_Toc330460470" w:history="1">
            <w:r w:rsidR="003A64D3" w:rsidRPr="00D02D59">
              <w:rPr>
                <w:rStyle w:val="Hyperlink"/>
                <w:noProof/>
              </w:rPr>
              <w:t>3.10 Performance Framework</w:t>
            </w:r>
            <w:r w:rsidR="003A64D3">
              <w:rPr>
                <w:noProof/>
                <w:webHidden/>
              </w:rPr>
              <w:tab/>
            </w:r>
            <w:r w:rsidR="00717192">
              <w:rPr>
                <w:noProof/>
                <w:webHidden/>
              </w:rPr>
              <w:fldChar w:fldCharType="begin"/>
            </w:r>
            <w:r w:rsidR="003A64D3">
              <w:rPr>
                <w:noProof/>
                <w:webHidden/>
              </w:rPr>
              <w:instrText xml:space="preserve"> PAGEREF _Toc330460470 \h </w:instrText>
            </w:r>
            <w:r w:rsidR="00717192">
              <w:rPr>
                <w:noProof/>
                <w:webHidden/>
              </w:rPr>
            </w:r>
            <w:r w:rsidR="00717192">
              <w:rPr>
                <w:noProof/>
                <w:webHidden/>
              </w:rPr>
              <w:fldChar w:fldCharType="separate"/>
            </w:r>
            <w:r w:rsidR="00A84876">
              <w:rPr>
                <w:noProof/>
                <w:webHidden/>
              </w:rPr>
              <w:t>21</w:t>
            </w:r>
            <w:r w:rsidR="00717192">
              <w:rPr>
                <w:noProof/>
                <w:webHidden/>
              </w:rPr>
              <w:fldChar w:fldCharType="end"/>
            </w:r>
          </w:hyperlink>
        </w:p>
        <w:p w14:paraId="59C0A495" w14:textId="77777777" w:rsidR="003A64D3" w:rsidRDefault="002753C8">
          <w:pPr>
            <w:pStyle w:val="TOC3"/>
            <w:tabs>
              <w:tab w:val="right" w:leader="dot" w:pos="8296"/>
            </w:tabs>
            <w:rPr>
              <w:rFonts w:asciiTheme="minorHAnsi" w:eastAsiaTheme="minorEastAsia" w:hAnsiTheme="minorHAnsi" w:cstheme="minorBidi"/>
              <w:noProof/>
            </w:rPr>
          </w:pPr>
          <w:hyperlink w:anchor="_Toc330460471" w:history="1">
            <w:r w:rsidR="003A64D3" w:rsidRPr="00D02D59">
              <w:rPr>
                <w:rStyle w:val="Hyperlink"/>
                <w:noProof/>
              </w:rPr>
              <w:t>3.11 Payment Structure</w:t>
            </w:r>
            <w:r w:rsidR="003A64D3">
              <w:rPr>
                <w:noProof/>
                <w:webHidden/>
              </w:rPr>
              <w:tab/>
            </w:r>
            <w:r w:rsidR="00717192">
              <w:rPr>
                <w:noProof/>
                <w:webHidden/>
              </w:rPr>
              <w:fldChar w:fldCharType="begin"/>
            </w:r>
            <w:r w:rsidR="003A64D3">
              <w:rPr>
                <w:noProof/>
                <w:webHidden/>
              </w:rPr>
              <w:instrText xml:space="preserve"> PAGEREF _Toc330460471 \h </w:instrText>
            </w:r>
            <w:r w:rsidR="00717192">
              <w:rPr>
                <w:noProof/>
                <w:webHidden/>
              </w:rPr>
            </w:r>
            <w:r w:rsidR="00717192">
              <w:rPr>
                <w:noProof/>
                <w:webHidden/>
              </w:rPr>
              <w:fldChar w:fldCharType="separate"/>
            </w:r>
            <w:r w:rsidR="00A84876">
              <w:rPr>
                <w:noProof/>
                <w:webHidden/>
              </w:rPr>
              <w:t>23</w:t>
            </w:r>
            <w:r w:rsidR="00717192">
              <w:rPr>
                <w:noProof/>
                <w:webHidden/>
              </w:rPr>
              <w:fldChar w:fldCharType="end"/>
            </w:r>
          </w:hyperlink>
        </w:p>
        <w:p w14:paraId="59C0A496" w14:textId="77777777" w:rsidR="003A64D3" w:rsidRDefault="002753C8">
          <w:pPr>
            <w:pStyle w:val="TOC3"/>
            <w:tabs>
              <w:tab w:val="right" w:leader="dot" w:pos="8296"/>
            </w:tabs>
            <w:rPr>
              <w:rFonts w:asciiTheme="minorHAnsi" w:eastAsiaTheme="minorEastAsia" w:hAnsiTheme="minorHAnsi" w:cstheme="minorBidi"/>
              <w:noProof/>
            </w:rPr>
          </w:pPr>
          <w:hyperlink w:anchor="_Toc330460472" w:history="1">
            <w:r w:rsidR="003A64D3" w:rsidRPr="00D02D59">
              <w:rPr>
                <w:rStyle w:val="Hyperlink"/>
                <w:noProof/>
              </w:rPr>
              <w:t>3.12 Participant Engagement</w:t>
            </w:r>
            <w:r w:rsidR="003A64D3">
              <w:rPr>
                <w:noProof/>
                <w:webHidden/>
              </w:rPr>
              <w:tab/>
            </w:r>
            <w:r w:rsidR="00717192">
              <w:rPr>
                <w:noProof/>
                <w:webHidden/>
              </w:rPr>
              <w:fldChar w:fldCharType="begin"/>
            </w:r>
            <w:r w:rsidR="003A64D3">
              <w:rPr>
                <w:noProof/>
                <w:webHidden/>
              </w:rPr>
              <w:instrText xml:space="preserve"> PAGEREF _Toc330460472 \h </w:instrText>
            </w:r>
            <w:r w:rsidR="00717192">
              <w:rPr>
                <w:noProof/>
                <w:webHidden/>
              </w:rPr>
            </w:r>
            <w:r w:rsidR="00717192">
              <w:rPr>
                <w:noProof/>
                <w:webHidden/>
              </w:rPr>
              <w:fldChar w:fldCharType="separate"/>
            </w:r>
            <w:r w:rsidR="00A84876">
              <w:rPr>
                <w:noProof/>
                <w:webHidden/>
              </w:rPr>
              <w:t>25</w:t>
            </w:r>
            <w:r w:rsidR="00717192">
              <w:rPr>
                <w:noProof/>
                <w:webHidden/>
              </w:rPr>
              <w:fldChar w:fldCharType="end"/>
            </w:r>
          </w:hyperlink>
        </w:p>
        <w:p w14:paraId="59C0A497" w14:textId="77777777" w:rsidR="003A64D3" w:rsidRDefault="002753C8">
          <w:pPr>
            <w:pStyle w:val="TOC1"/>
            <w:tabs>
              <w:tab w:val="right" w:leader="dot" w:pos="8296"/>
            </w:tabs>
            <w:rPr>
              <w:rFonts w:asciiTheme="minorHAnsi" w:eastAsiaTheme="minorEastAsia" w:hAnsiTheme="minorHAnsi" w:cstheme="minorBidi"/>
              <w:noProof/>
            </w:rPr>
          </w:pPr>
          <w:hyperlink w:anchor="_Toc330460473" w:history="1">
            <w:r w:rsidR="003A64D3" w:rsidRPr="00D02D59">
              <w:rPr>
                <w:rStyle w:val="Hyperlink"/>
                <w:noProof/>
              </w:rPr>
              <w:t>Chapter 4 – Improving Remote Service delivery for the Language, Literacy and Numeracy Program</w:t>
            </w:r>
            <w:r w:rsidR="003A64D3">
              <w:rPr>
                <w:noProof/>
                <w:webHidden/>
              </w:rPr>
              <w:tab/>
            </w:r>
            <w:r w:rsidR="00717192">
              <w:rPr>
                <w:noProof/>
                <w:webHidden/>
              </w:rPr>
              <w:fldChar w:fldCharType="begin"/>
            </w:r>
            <w:r w:rsidR="003A64D3">
              <w:rPr>
                <w:noProof/>
                <w:webHidden/>
              </w:rPr>
              <w:instrText xml:space="preserve"> PAGEREF _Toc330460473 \h </w:instrText>
            </w:r>
            <w:r w:rsidR="00717192">
              <w:rPr>
                <w:noProof/>
                <w:webHidden/>
              </w:rPr>
            </w:r>
            <w:r w:rsidR="00717192">
              <w:rPr>
                <w:noProof/>
                <w:webHidden/>
              </w:rPr>
              <w:fldChar w:fldCharType="separate"/>
            </w:r>
            <w:r w:rsidR="00A84876">
              <w:rPr>
                <w:noProof/>
                <w:webHidden/>
              </w:rPr>
              <w:t>27</w:t>
            </w:r>
            <w:r w:rsidR="00717192">
              <w:rPr>
                <w:noProof/>
                <w:webHidden/>
              </w:rPr>
              <w:fldChar w:fldCharType="end"/>
            </w:r>
          </w:hyperlink>
        </w:p>
        <w:p w14:paraId="59C0A498" w14:textId="77777777" w:rsidR="003A64D3" w:rsidRDefault="002753C8">
          <w:pPr>
            <w:pStyle w:val="TOC3"/>
            <w:tabs>
              <w:tab w:val="right" w:leader="dot" w:pos="8296"/>
            </w:tabs>
            <w:rPr>
              <w:rFonts w:asciiTheme="minorHAnsi" w:eastAsiaTheme="minorEastAsia" w:hAnsiTheme="minorHAnsi" w:cstheme="minorBidi"/>
              <w:noProof/>
            </w:rPr>
          </w:pPr>
          <w:hyperlink w:anchor="_Toc330460474" w:history="1">
            <w:r w:rsidR="003A64D3" w:rsidRPr="00D02D59">
              <w:rPr>
                <w:rStyle w:val="Hyperlink"/>
                <w:noProof/>
              </w:rPr>
              <w:t>Remote Service Delivery</w:t>
            </w:r>
            <w:r w:rsidR="003A64D3">
              <w:rPr>
                <w:noProof/>
                <w:webHidden/>
              </w:rPr>
              <w:tab/>
            </w:r>
            <w:r w:rsidR="00717192">
              <w:rPr>
                <w:noProof/>
                <w:webHidden/>
              </w:rPr>
              <w:fldChar w:fldCharType="begin"/>
            </w:r>
            <w:r w:rsidR="003A64D3">
              <w:rPr>
                <w:noProof/>
                <w:webHidden/>
              </w:rPr>
              <w:instrText xml:space="preserve"> PAGEREF _Toc330460474 \h </w:instrText>
            </w:r>
            <w:r w:rsidR="00717192">
              <w:rPr>
                <w:noProof/>
                <w:webHidden/>
              </w:rPr>
            </w:r>
            <w:r w:rsidR="00717192">
              <w:rPr>
                <w:noProof/>
                <w:webHidden/>
              </w:rPr>
              <w:fldChar w:fldCharType="separate"/>
            </w:r>
            <w:r w:rsidR="00A84876">
              <w:rPr>
                <w:noProof/>
                <w:webHidden/>
              </w:rPr>
              <w:t>27</w:t>
            </w:r>
            <w:r w:rsidR="00717192">
              <w:rPr>
                <w:noProof/>
                <w:webHidden/>
              </w:rPr>
              <w:fldChar w:fldCharType="end"/>
            </w:r>
          </w:hyperlink>
        </w:p>
        <w:p w14:paraId="59C0A499" w14:textId="77777777" w:rsidR="003A64D3" w:rsidRDefault="002753C8">
          <w:pPr>
            <w:pStyle w:val="TOC1"/>
            <w:tabs>
              <w:tab w:val="right" w:leader="dot" w:pos="8296"/>
            </w:tabs>
            <w:rPr>
              <w:rFonts w:asciiTheme="minorHAnsi" w:eastAsiaTheme="minorEastAsia" w:hAnsiTheme="minorHAnsi" w:cstheme="minorBidi"/>
              <w:noProof/>
            </w:rPr>
          </w:pPr>
          <w:hyperlink w:anchor="_Toc330460475" w:history="1">
            <w:r w:rsidR="003A64D3" w:rsidRPr="00D02D59">
              <w:rPr>
                <w:rStyle w:val="Hyperlink"/>
                <w:noProof/>
              </w:rPr>
              <w:t xml:space="preserve">Chapter 5 </w:t>
            </w:r>
            <w:r w:rsidR="003A64D3" w:rsidRPr="00D02D59">
              <w:rPr>
                <w:rStyle w:val="Hyperlink"/>
                <w:rFonts w:cstheme="minorHAnsi"/>
                <w:noProof/>
              </w:rPr>
              <w:t xml:space="preserve">– </w:t>
            </w:r>
            <w:r w:rsidR="003A64D3" w:rsidRPr="00D02D59">
              <w:rPr>
                <w:rStyle w:val="Hyperlink"/>
                <w:noProof/>
              </w:rPr>
              <w:t>Independent Verification Process</w:t>
            </w:r>
            <w:r w:rsidR="003A64D3">
              <w:rPr>
                <w:noProof/>
                <w:webHidden/>
              </w:rPr>
              <w:tab/>
            </w:r>
            <w:r w:rsidR="00717192">
              <w:rPr>
                <w:noProof/>
                <w:webHidden/>
              </w:rPr>
              <w:fldChar w:fldCharType="begin"/>
            </w:r>
            <w:r w:rsidR="003A64D3">
              <w:rPr>
                <w:noProof/>
                <w:webHidden/>
              </w:rPr>
              <w:instrText xml:space="preserve"> PAGEREF _Toc330460475 \h </w:instrText>
            </w:r>
            <w:r w:rsidR="00717192">
              <w:rPr>
                <w:noProof/>
                <w:webHidden/>
              </w:rPr>
            </w:r>
            <w:r w:rsidR="00717192">
              <w:rPr>
                <w:noProof/>
                <w:webHidden/>
              </w:rPr>
              <w:fldChar w:fldCharType="separate"/>
            </w:r>
            <w:r w:rsidR="00A84876">
              <w:rPr>
                <w:noProof/>
                <w:webHidden/>
              </w:rPr>
              <w:t>30</w:t>
            </w:r>
            <w:r w:rsidR="00717192">
              <w:rPr>
                <w:noProof/>
                <w:webHidden/>
              </w:rPr>
              <w:fldChar w:fldCharType="end"/>
            </w:r>
          </w:hyperlink>
        </w:p>
        <w:p w14:paraId="59C0A49A" w14:textId="77777777" w:rsidR="003A64D3" w:rsidRDefault="002753C8">
          <w:pPr>
            <w:pStyle w:val="TOC3"/>
            <w:tabs>
              <w:tab w:val="right" w:leader="dot" w:pos="8296"/>
            </w:tabs>
            <w:rPr>
              <w:rFonts w:asciiTheme="minorHAnsi" w:eastAsiaTheme="minorEastAsia" w:hAnsiTheme="minorHAnsi" w:cstheme="minorBidi"/>
              <w:noProof/>
            </w:rPr>
          </w:pPr>
          <w:hyperlink w:anchor="_Toc330460476" w:history="1">
            <w:r w:rsidR="003A64D3" w:rsidRPr="00D02D59">
              <w:rPr>
                <w:rStyle w:val="Hyperlink"/>
                <w:noProof/>
              </w:rPr>
              <w:t>Role of the Independent Verifier</w:t>
            </w:r>
            <w:r w:rsidR="003A64D3">
              <w:rPr>
                <w:noProof/>
                <w:webHidden/>
              </w:rPr>
              <w:tab/>
            </w:r>
            <w:r w:rsidR="00717192">
              <w:rPr>
                <w:noProof/>
                <w:webHidden/>
              </w:rPr>
              <w:fldChar w:fldCharType="begin"/>
            </w:r>
            <w:r w:rsidR="003A64D3">
              <w:rPr>
                <w:noProof/>
                <w:webHidden/>
              </w:rPr>
              <w:instrText xml:space="preserve"> PAGEREF _Toc330460476 \h </w:instrText>
            </w:r>
            <w:r w:rsidR="00717192">
              <w:rPr>
                <w:noProof/>
                <w:webHidden/>
              </w:rPr>
            </w:r>
            <w:r w:rsidR="00717192">
              <w:rPr>
                <w:noProof/>
                <w:webHidden/>
              </w:rPr>
              <w:fldChar w:fldCharType="separate"/>
            </w:r>
            <w:r w:rsidR="00A84876">
              <w:rPr>
                <w:noProof/>
                <w:webHidden/>
              </w:rPr>
              <w:t>30</w:t>
            </w:r>
            <w:r w:rsidR="00717192">
              <w:rPr>
                <w:noProof/>
                <w:webHidden/>
              </w:rPr>
              <w:fldChar w:fldCharType="end"/>
            </w:r>
          </w:hyperlink>
        </w:p>
        <w:p w14:paraId="59C0A49B" w14:textId="77777777" w:rsidR="003A64D3" w:rsidRDefault="002753C8">
          <w:pPr>
            <w:pStyle w:val="TOC1"/>
            <w:tabs>
              <w:tab w:val="right" w:leader="dot" w:pos="8296"/>
            </w:tabs>
            <w:rPr>
              <w:rFonts w:asciiTheme="minorHAnsi" w:eastAsiaTheme="minorEastAsia" w:hAnsiTheme="minorHAnsi" w:cstheme="minorBidi"/>
              <w:noProof/>
            </w:rPr>
          </w:pPr>
          <w:hyperlink w:anchor="_Toc330460477" w:history="1">
            <w:r w:rsidR="003A64D3" w:rsidRPr="00D02D59">
              <w:rPr>
                <w:rStyle w:val="Hyperlink"/>
                <w:noProof/>
              </w:rPr>
              <w:t>Appendix A – Summary of Questions</w:t>
            </w:r>
            <w:r w:rsidR="003A64D3">
              <w:rPr>
                <w:noProof/>
                <w:webHidden/>
              </w:rPr>
              <w:tab/>
            </w:r>
            <w:r w:rsidR="00717192">
              <w:rPr>
                <w:noProof/>
                <w:webHidden/>
              </w:rPr>
              <w:fldChar w:fldCharType="begin"/>
            </w:r>
            <w:r w:rsidR="003A64D3">
              <w:rPr>
                <w:noProof/>
                <w:webHidden/>
              </w:rPr>
              <w:instrText xml:space="preserve"> PAGEREF _Toc330460477 \h </w:instrText>
            </w:r>
            <w:r w:rsidR="00717192">
              <w:rPr>
                <w:noProof/>
                <w:webHidden/>
              </w:rPr>
            </w:r>
            <w:r w:rsidR="00717192">
              <w:rPr>
                <w:noProof/>
                <w:webHidden/>
              </w:rPr>
              <w:fldChar w:fldCharType="separate"/>
            </w:r>
            <w:r w:rsidR="00A84876">
              <w:rPr>
                <w:noProof/>
                <w:webHidden/>
              </w:rPr>
              <w:t>32</w:t>
            </w:r>
            <w:r w:rsidR="00717192">
              <w:rPr>
                <w:noProof/>
                <w:webHidden/>
              </w:rPr>
              <w:fldChar w:fldCharType="end"/>
            </w:r>
          </w:hyperlink>
        </w:p>
        <w:p w14:paraId="59C0A49C" w14:textId="77777777" w:rsidR="003A64D3" w:rsidRDefault="00717192">
          <w:r>
            <w:fldChar w:fldCharType="end"/>
          </w:r>
        </w:p>
      </w:sdtContent>
    </w:sdt>
    <w:p w14:paraId="59C0A49D" w14:textId="77777777" w:rsidR="00B41202" w:rsidRDefault="00B41202">
      <w:pPr>
        <w:rPr>
          <w:rFonts w:asciiTheme="minorHAnsi" w:hAnsiTheme="minorHAnsi" w:cstheme="minorHAnsi"/>
        </w:rPr>
      </w:pPr>
    </w:p>
    <w:p w14:paraId="59C0A49E" w14:textId="77777777" w:rsidR="00E93DFF" w:rsidRDefault="00E93DFF" w:rsidP="003A64D3">
      <w:pPr>
        <w:pStyle w:val="Heading3"/>
      </w:pPr>
      <w:r>
        <w:br w:type="page"/>
      </w:r>
    </w:p>
    <w:p w14:paraId="59C0A49F" w14:textId="77777777" w:rsidR="00E93DFF" w:rsidRPr="00D5270D" w:rsidRDefault="00D24B73" w:rsidP="003A64D3">
      <w:pPr>
        <w:pStyle w:val="Heading1"/>
      </w:pPr>
      <w:bookmarkStart w:id="1" w:name="_Toc330460452"/>
      <w:r w:rsidRPr="00D24B73">
        <w:lastRenderedPageBreak/>
        <w:t>Acronyms</w:t>
      </w:r>
      <w:bookmarkEnd w:id="1"/>
    </w:p>
    <w:p w14:paraId="59C0A4A0" w14:textId="77777777" w:rsidR="00342C05" w:rsidRDefault="00342C05">
      <w:pPr>
        <w:rPr>
          <w:rFonts w:asciiTheme="minorHAnsi" w:hAnsiTheme="minorHAnsi" w:cstheme="minorHAnsi"/>
        </w:rPr>
      </w:pPr>
    </w:p>
    <w:tbl>
      <w:tblPr>
        <w:tblStyle w:val="TableGrid"/>
        <w:tblW w:w="9180" w:type="dxa"/>
        <w:tblLook w:val="04A0" w:firstRow="1" w:lastRow="0" w:firstColumn="1" w:lastColumn="0" w:noHBand="0" w:noVBand="1"/>
      </w:tblPr>
      <w:tblGrid>
        <w:gridCol w:w="1384"/>
        <w:gridCol w:w="7796"/>
      </w:tblGrid>
      <w:tr w:rsidR="00342C05" w14:paraId="59C0A4A4" w14:textId="77777777" w:rsidTr="00B24152">
        <w:tc>
          <w:tcPr>
            <w:tcW w:w="1384" w:type="dxa"/>
            <w:shd w:val="pct12" w:color="auto" w:fill="auto"/>
          </w:tcPr>
          <w:p w14:paraId="59C0A4A1" w14:textId="77777777" w:rsidR="00342C05" w:rsidRPr="00FC47EC" w:rsidRDefault="00342C05" w:rsidP="00B160AF">
            <w:pPr>
              <w:jc w:val="center"/>
              <w:rPr>
                <w:b/>
              </w:rPr>
            </w:pPr>
            <w:r w:rsidRPr="00FC47EC">
              <w:rPr>
                <w:b/>
              </w:rPr>
              <w:t>Acronym</w:t>
            </w:r>
          </w:p>
        </w:tc>
        <w:tc>
          <w:tcPr>
            <w:tcW w:w="7796" w:type="dxa"/>
            <w:shd w:val="pct12" w:color="auto" w:fill="auto"/>
          </w:tcPr>
          <w:p w14:paraId="59C0A4A2" w14:textId="77777777" w:rsidR="00342C05" w:rsidRDefault="009F490B" w:rsidP="00B160AF">
            <w:pPr>
              <w:jc w:val="center"/>
              <w:rPr>
                <w:b/>
              </w:rPr>
            </w:pPr>
            <w:r>
              <w:rPr>
                <w:b/>
              </w:rPr>
              <w:t>Name</w:t>
            </w:r>
          </w:p>
          <w:p w14:paraId="59C0A4A3" w14:textId="77777777" w:rsidR="00B24152" w:rsidRPr="00FC47EC" w:rsidRDefault="00B24152" w:rsidP="00B160AF">
            <w:pPr>
              <w:jc w:val="center"/>
              <w:rPr>
                <w:b/>
              </w:rPr>
            </w:pPr>
          </w:p>
        </w:tc>
      </w:tr>
      <w:tr w:rsidR="00342C05" w:rsidRPr="004F4C90" w14:paraId="59C0A4A8" w14:textId="77777777" w:rsidTr="004B5D49">
        <w:trPr>
          <w:trHeight w:val="348"/>
        </w:trPr>
        <w:tc>
          <w:tcPr>
            <w:tcW w:w="1384" w:type="dxa"/>
          </w:tcPr>
          <w:p w14:paraId="59C0A4A5" w14:textId="77777777" w:rsidR="00342C05" w:rsidRPr="004F4C90" w:rsidRDefault="002F5F9A" w:rsidP="00B160AF">
            <w:pPr>
              <w:rPr>
                <w:rFonts w:asciiTheme="minorHAnsi" w:hAnsiTheme="minorHAnsi" w:cstheme="minorHAnsi"/>
              </w:rPr>
            </w:pPr>
            <w:r w:rsidRPr="002F5F9A">
              <w:rPr>
                <w:rFonts w:asciiTheme="minorHAnsi" w:hAnsiTheme="minorHAnsi" w:cstheme="minorHAnsi"/>
              </w:rPr>
              <w:t>ACSF</w:t>
            </w:r>
          </w:p>
        </w:tc>
        <w:tc>
          <w:tcPr>
            <w:tcW w:w="7796" w:type="dxa"/>
          </w:tcPr>
          <w:p w14:paraId="59C0A4A6" w14:textId="77777777" w:rsidR="00342C05" w:rsidRPr="004F4C90" w:rsidRDefault="002F5F9A" w:rsidP="00B160AF">
            <w:pPr>
              <w:tabs>
                <w:tab w:val="center" w:pos="4513"/>
                <w:tab w:val="right" w:pos="9026"/>
              </w:tabs>
              <w:rPr>
                <w:rFonts w:asciiTheme="minorHAnsi" w:hAnsiTheme="minorHAnsi" w:cstheme="minorHAnsi"/>
                <w:b/>
              </w:rPr>
            </w:pPr>
            <w:r w:rsidRPr="002F5F9A">
              <w:rPr>
                <w:rFonts w:asciiTheme="minorHAnsi" w:hAnsiTheme="minorHAnsi" w:cstheme="minorHAnsi"/>
                <w:b/>
              </w:rPr>
              <w:t>Australian Core Skills Framework</w:t>
            </w:r>
          </w:p>
          <w:p w14:paraId="59C0A4A7" w14:textId="77777777" w:rsidR="00342C05" w:rsidRPr="004F4C90" w:rsidRDefault="00342C05" w:rsidP="00B160AF">
            <w:pPr>
              <w:tabs>
                <w:tab w:val="center" w:pos="4513"/>
                <w:tab w:val="right" w:pos="9026"/>
              </w:tabs>
              <w:rPr>
                <w:rFonts w:asciiTheme="minorHAnsi" w:hAnsiTheme="minorHAnsi" w:cstheme="minorHAnsi"/>
              </w:rPr>
            </w:pPr>
          </w:p>
        </w:tc>
      </w:tr>
      <w:tr w:rsidR="00342C05" w:rsidRPr="004F4C90" w14:paraId="59C0A4AC" w14:textId="77777777" w:rsidTr="00342C05">
        <w:tc>
          <w:tcPr>
            <w:tcW w:w="1384" w:type="dxa"/>
          </w:tcPr>
          <w:p w14:paraId="59C0A4A9" w14:textId="77777777" w:rsidR="00342C05" w:rsidRPr="004F4C90" w:rsidRDefault="002F5F9A" w:rsidP="00B160AF">
            <w:pPr>
              <w:tabs>
                <w:tab w:val="center" w:pos="4513"/>
                <w:tab w:val="right" w:pos="9026"/>
              </w:tabs>
              <w:rPr>
                <w:rFonts w:asciiTheme="minorHAnsi" w:hAnsiTheme="minorHAnsi" w:cstheme="minorHAnsi"/>
              </w:rPr>
            </w:pPr>
            <w:r w:rsidRPr="002F5F9A">
              <w:rPr>
                <w:rFonts w:asciiTheme="minorHAnsi" w:hAnsiTheme="minorHAnsi" w:cstheme="minorHAnsi"/>
              </w:rPr>
              <w:t>AMEP</w:t>
            </w:r>
          </w:p>
        </w:tc>
        <w:tc>
          <w:tcPr>
            <w:tcW w:w="7796" w:type="dxa"/>
          </w:tcPr>
          <w:p w14:paraId="59C0A4AA" w14:textId="77777777" w:rsidR="00342C05" w:rsidRPr="004F4C90" w:rsidRDefault="002F5F9A" w:rsidP="00B160AF">
            <w:pPr>
              <w:tabs>
                <w:tab w:val="center" w:pos="4513"/>
                <w:tab w:val="right" w:pos="9026"/>
              </w:tabs>
              <w:rPr>
                <w:rFonts w:asciiTheme="minorHAnsi" w:hAnsiTheme="minorHAnsi" w:cstheme="minorHAnsi"/>
                <w:b/>
              </w:rPr>
            </w:pPr>
            <w:r w:rsidRPr="002F5F9A">
              <w:rPr>
                <w:rFonts w:asciiTheme="minorHAnsi" w:hAnsiTheme="minorHAnsi" w:cstheme="minorHAnsi"/>
                <w:b/>
              </w:rPr>
              <w:t xml:space="preserve">Adult Migrant English Program </w:t>
            </w:r>
          </w:p>
          <w:p w14:paraId="59C0A4AB" w14:textId="77777777" w:rsidR="00342C05" w:rsidRPr="004F4C90" w:rsidRDefault="00342C05" w:rsidP="00B160AF">
            <w:pPr>
              <w:tabs>
                <w:tab w:val="center" w:pos="4513"/>
                <w:tab w:val="right" w:pos="9026"/>
              </w:tabs>
              <w:rPr>
                <w:rFonts w:asciiTheme="minorHAnsi" w:hAnsiTheme="minorHAnsi" w:cstheme="minorHAnsi"/>
              </w:rPr>
            </w:pPr>
          </w:p>
        </w:tc>
      </w:tr>
      <w:tr w:rsidR="00CF07F5" w:rsidRPr="004F4C90" w14:paraId="59C0A4B0" w14:textId="77777777" w:rsidTr="00342C05">
        <w:tc>
          <w:tcPr>
            <w:tcW w:w="1384" w:type="dxa"/>
          </w:tcPr>
          <w:p w14:paraId="59C0A4AD" w14:textId="77777777" w:rsidR="00CF07F5" w:rsidRPr="002F5F9A" w:rsidRDefault="00CF07F5" w:rsidP="00B160AF">
            <w:pPr>
              <w:tabs>
                <w:tab w:val="center" w:pos="4513"/>
                <w:tab w:val="right" w:pos="9026"/>
              </w:tabs>
              <w:rPr>
                <w:rFonts w:asciiTheme="minorHAnsi" w:hAnsiTheme="minorHAnsi" w:cstheme="minorHAnsi"/>
              </w:rPr>
            </w:pPr>
            <w:r>
              <w:rPr>
                <w:rFonts w:asciiTheme="minorHAnsi" w:hAnsiTheme="minorHAnsi" w:cstheme="minorHAnsi"/>
              </w:rPr>
              <w:t>AQTF</w:t>
            </w:r>
          </w:p>
        </w:tc>
        <w:tc>
          <w:tcPr>
            <w:tcW w:w="7796" w:type="dxa"/>
          </w:tcPr>
          <w:p w14:paraId="59C0A4AE" w14:textId="77777777" w:rsidR="00CF07F5" w:rsidRDefault="00CF07F5" w:rsidP="00B160AF">
            <w:pPr>
              <w:tabs>
                <w:tab w:val="center" w:pos="4513"/>
                <w:tab w:val="right" w:pos="9026"/>
              </w:tabs>
              <w:rPr>
                <w:rFonts w:asciiTheme="minorHAnsi" w:hAnsiTheme="minorHAnsi" w:cstheme="minorHAnsi"/>
                <w:b/>
              </w:rPr>
            </w:pPr>
            <w:r>
              <w:rPr>
                <w:rFonts w:asciiTheme="minorHAnsi" w:hAnsiTheme="minorHAnsi" w:cstheme="minorHAnsi"/>
                <w:b/>
              </w:rPr>
              <w:t>Australian Quality Training Framework</w:t>
            </w:r>
          </w:p>
          <w:p w14:paraId="59C0A4AF" w14:textId="77777777" w:rsidR="00CF07F5" w:rsidRPr="002F5F9A" w:rsidRDefault="00CF07F5" w:rsidP="00B160AF">
            <w:pPr>
              <w:tabs>
                <w:tab w:val="center" w:pos="4513"/>
                <w:tab w:val="right" w:pos="9026"/>
              </w:tabs>
              <w:rPr>
                <w:rFonts w:asciiTheme="minorHAnsi" w:hAnsiTheme="minorHAnsi" w:cstheme="minorHAnsi"/>
                <w:b/>
              </w:rPr>
            </w:pPr>
          </w:p>
        </w:tc>
      </w:tr>
      <w:tr w:rsidR="00AB3630" w:rsidRPr="004F4C90" w14:paraId="59C0A4B4" w14:textId="77777777" w:rsidTr="00342C05">
        <w:tc>
          <w:tcPr>
            <w:tcW w:w="1384" w:type="dxa"/>
          </w:tcPr>
          <w:p w14:paraId="59C0A4B1" w14:textId="77777777" w:rsidR="00AB3630" w:rsidRPr="002F5F9A" w:rsidRDefault="00AB3630" w:rsidP="00B160AF">
            <w:pPr>
              <w:tabs>
                <w:tab w:val="center" w:pos="4513"/>
                <w:tab w:val="right" w:pos="9026"/>
              </w:tabs>
              <w:rPr>
                <w:rFonts w:asciiTheme="minorHAnsi" w:hAnsiTheme="minorHAnsi" w:cstheme="minorHAnsi"/>
              </w:rPr>
            </w:pPr>
            <w:r>
              <w:rPr>
                <w:rFonts w:asciiTheme="minorHAnsi" w:hAnsiTheme="minorHAnsi" w:cstheme="minorHAnsi"/>
              </w:rPr>
              <w:t>AVOC</w:t>
            </w:r>
          </w:p>
        </w:tc>
        <w:tc>
          <w:tcPr>
            <w:tcW w:w="7796" w:type="dxa"/>
          </w:tcPr>
          <w:p w14:paraId="59C0A4B2" w14:textId="77777777" w:rsidR="00AB3630" w:rsidRDefault="00AB3630" w:rsidP="00B160AF">
            <w:pPr>
              <w:rPr>
                <w:rFonts w:asciiTheme="minorHAnsi" w:hAnsiTheme="minorHAnsi" w:cstheme="minorHAnsi"/>
                <w:b/>
              </w:rPr>
            </w:pPr>
            <w:r>
              <w:rPr>
                <w:rFonts w:asciiTheme="minorHAnsi" w:hAnsiTheme="minorHAnsi" w:cstheme="minorHAnsi"/>
                <w:b/>
              </w:rPr>
              <w:t>Advanced Vocationally Oriented Courses</w:t>
            </w:r>
          </w:p>
          <w:p w14:paraId="59C0A4B3" w14:textId="77777777" w:rsidR="00AB3630" w:rsidRPr="00AB3630" w:rsidRDefault="00AB3630" w:rsidP="00FD1FD4">
            <w:pPr>
              <w:rPr>
                <w:rFonts w:asciiTheme="minorHAnsi" w:hAnsiTheme="minorHAnsi" w:cstheme="minorHAnsi"/>
              </w:rPr>
            </w:pPr>
          </w:p>
        </w:tc>
      </w:tr>
      <w:tr w:rsidR="00D55FBB" w:rsidRPr="004F4C90" w14:paraId="59C0A4B8" w14:textId="77777777" w:rsidTr="00342C05">
        <w:tc>
          <w:tcPr>
            <w:tcW w:w="1384" w:type="dxa"/>
          </w:tcPr>
          <w:p w14:paraId="59C0A4B5" w14:textId="77777777" w:rsidR="00D55FBB" w:rsidRDefault="00D55FBB" w:rsidP="00B160AF">
            <w:pPr>
              <w:tabs>
                <w:tab w:val="center" w:pos="4513"/>
                <w:tab w:val="right" w:pos="9026"/>
              </w:tabs>
              <w:rPr>
                <w:rFonts w:asciiTheme="minorHAnsi" w:hAnsiTheme="minorHAnsi" w:cstheme="minorHAnsi"/>
              </w:rPr>
            </w:pPr>
            <w:r>
              <w:rPr>
                <w:rFonts w:asciiTheme="minorHAnsi" w:hAnsiTheme="minorHAnsi" w:cstheme="minorHAnsi"/>
              </w:rPr>
              <w:t>BAFW</w:t>
            </w:r>
          </w:p>
        </w:tc>
        <w:tc>
          <w:tcPr>
            <w:tcW w:w="7796" w:type="dxa"/>
          </w:tcPr>
          <w:p w14:paraId="59C0A4B6" w14:textId="77777777" w:rsidR="00D55FBB" w:rsidRDefault="00D55FBB" w:rsidP="00B160AF">
            <w:pPr>
              <w:rPr>
                <w:rFonts w:asciiTheme="minorHAnsi" w:hAnsiTheme="minorHAnsi" w:cstheme="minorHAnsi"/>
                <w:b/>
              </w:rPr>
            </w:pPr>
            <w:r>
              <w:rPr>
                <w:rFonts w:asciiTheme="minorHAnsi" w:hAnsiTheme="minorHAnsi" w:cstheme="minorHAnsi"/>
                <w:b/>
              </w:rPr>
              <w:t>Building Australia’s Future Workforce</w:t>
            </w:r>
          </w:p>
          <w:p w14:paraId="59C0A4B7" w14:textId="77777777" w:rsidR="00D55FBB" w:rsidRPr="00D55FBB" w:rsidRDefault="00D55FBB" w:rsidP="00B160AF">
            <w:pPr>
              <w:rPr>
                <w:rFonts w:asciiTheme="minorHAnsi" w:hAnsiTheme="minorHAnsi" w:cstheme="minorHAnsi"/>
                <w:b/>
              </w:rPr>
            </w:pPr>
          </w:p>
        </w:tc>
      </w:tr>
      <w:tr w:rsidR="008D492E" w:rsidRPr="004F4C90" w14:paraId="59C0A4BC" w14:textId="77777777" w:rsidTr="00342C05">
        <w:tc>
          <w:tcPr>
            <w:tcW w:w="1384" w:type="dxa"/>
          </w:tcPr>
          <w:p w14:paraId="59C0A4B9" w14:textId="77777777" w:rsidR="008D492E" w:rsidRDefault="008D492E" w:rsidP="00B160AF">
            <w:pPr>
              <w:tabs>
                <w:tab w:val="center" w:pos="4513"/>
                <w:tab w:val="right" w:pos="9026"/>
              </w:tabs>
              <w:rPr>
                <w:rFonts w:asciiTheme="minorHAnsi" w:hAnsiTheme="minorHAnsi" w:cstheme="minorHAnsi"/>
              </w:rPr>
            </w:pPr>
            <w:r>
              <w:rPr>
                <w:rFonts w:asciiTheme="minorHAnsi" w:hAnsiTheme="minorHAnsi" w:cstheme="minorHAnsi"/>
              </w:rPr>
              <w:t>BES</w:t>
            </w:r>
          </w:p>
          <w:p w14:paraId="59C0A4BA" w14:textId="77777777" w:rsidR="008D492E" w:rsidRDefault="008D492E" w:rsidP="00B160AF">
            <w:pPr>
              <w:tabs>
                <w:tab w:val="center" w:pos="4513"/>
                <w:tab w:val="right" w:pos="9026"/>
              </w:tabs>
              <w:rPr>
                <w:rFonts w:asciiTheme="minorHAnsi" w:hAnsiTheme="minorHAnsi" w:cstheme="minorHAnsi"/>
              </w:rPr>
            </w:pPr>
          </w:p>
        </w:tc>
        <w:tc>
          <w:tcPr>
            <w:tcW w:w="7796" w:type="dxa"/>
          </w:tcPr>
          <w:p w14:paraId="59C0A4BB" w14:textId="77777777" w:rsidR="008D492E" w:rsidRDefault="008D492E" w:rsidP="00B160AF">
            <w:pPr>
              <w:rPr>
                <w:rFonts w:asciiTheme="minorHAnsi" w:hAnsiTheme="minorHAnsi" w:cstheme="minorHAnsi"/>
                <w:b/>
              </w:rPr>
            </w:pPr>
            <w:r>
              <w:rPr>
                <w:rFonts w:asciiTheme="minorHAnsi" w:hAnsiTheme="minorHAnsi" w:cstheme="minorHAnsi"/>
                <w:b/>
              </w:rPr>
              <w:t>Block Exit Statement</w:t>
            </w:r>
          </w:p>
        </w:tc>
      </w:tr>
      <w:tr w:rsidR="00D55FBB" w:rsidRPr="004F4C90" w14:paraId="59C0A4C0" w14:textId="77777777" w:rsidTr="00342C05">
        <w:tc>
          <w:tcPr>
            <w:tcW w:w="1384" w:type="dxa"/>
          </w:tcPr>
          <w:p w14:paraId="59C0A4BD" w14:textId="77777777" w:rsidR="00D55FBB" w:rsidRDefault="00D55FBB" w:rsidP="00B160AF">
            <w:pPr>
              <w:tabs>
                <w:tab w:val="center" w:pos="4513"/>
                <w:tab w:val="right" w:pos="9026"/>
              </w:tabs>
              <w:rPr>
                <w:rFonts w:asciiTheme="minorHAnsi" w:hAnsiTheme="minorHAnsi" w:cstheme="minorHAnsi"/>
              </w:rPr>
            </w:pPr>
            <w:r>
              <w:rPr>
                <w:rFonts w:asciiTheme="minorHAnsi" w:hAnsiTheme="minorHAnsi" w:cstheme="minorHAnsi"/>
              </w:rPr>
              <w:t>BR</w:t>
            </w:r>
          </w:p>
        </w:tc>
        <w:tc>
          <w:tcPr>
            <w:tcW w:w="7796" w:type="dxa"/>
          </w:tcPr>
          <w:p w14:paraId="59C0A4BE" w14:textId="77777777" w:rsidR="00D55FBB" w:rsidRDefault="005249F9" w:rsidP="00B160AF">
            <w:pPr>
              <w:rPr>
                <w:rFonts w:asciiTheme="minorHAnsi" w:hAnsiTheme="minorHAnsi" w:cstheme="minorHAnsi"/>
                <w:b/>
              </w:rPr>
            </w:pPr>
            <w:r>
              <w:rPr>
                <w:rFonts w:asciiTheme="minorHAnsi" w:hAnsiTheme="minorHAnsi" w:cstheme="minorHAnsi"/>
                <w:b/>
              </w:rPr>
              <w:t>Business Region</w:t>
            </w:r>
          </w:p>
          <w:p w14:paraId="59C0A4BF" w14:textId="77777777" w:rsidR="005249F9" w:rsidRPr="005249F9" w:rsidRDefault="005249F9" w:rsidP="005249F9"/>
        </w:tc>
      </w:tr>
      <w:tr w:rsidR="00D55FBB" w:rsidRPr="004F4C90" w14:paraId="59C0A4C4" w14:textId="77777777" w:rsidTr="00342C05">
        <w:tc>
          <w:tcPr>
            <w:tcW w:w="1384" w:type="dxa"/>
          </w:tcPr>
          <w:p w14:paraId="59C0A4C1" w14:textId="77777777" w:rsidR="00D55FBB" w:rsidRDefault="00D55FBB" w:rsidP="00B160AF">
            <w:pPr>
              <w:tabs>
                <w:tab w:val="center" w:pos="4513"/>
                <w:tab w:val="right" w:pos="9026"/>
              </w:tabs>
              <w:rPr>
                <w:rFonts w:asciiTheme="minorHAnsi" w:hAnsiTheme="minorHAnsi" w:cstheme="minorHAnsi"/>
              </w:rPr>
            </w:pPr>
            <w:r>
              <w:rPr>
                <w:rFonts w:asciiTheme="minorHAnsi" w:hAnsiTheme="minorHAnsi" w:cstheme="minorHAnsi"/>
              </w:rPr>
              <w:t>BSA</w:t>
            </w:r>
          </w:p>
        </w:tc>
        <w:tc>
          <w:tcPr>
            <w:tcW w:w="7796" w:type="dxa"/>
          </w:tcPr>
          <w:p w14:paraId="59C0A4C2" w14:textId="77777777" w:rsidR="00D55FBB" w:rsidRDefault="00D55FBB" w:rsidP="00B160AF">
            <w:pPr>
              <w:rPr>
                <w:rFonts w:asciiTheme="minorHAnsi" w:hAnsiTheme="minorHAnsi" w:cstheme="minorHAnsi"/>
                <w:b/>
              </w:rPr>
            </w:pPr>
            <w:r>
              <w:rPr>
                <w:rFonts w:asciiTheme="minorHAnsi" w:hAnsiTheme="minorHAnsi" w:cstheme="minorHAnsi"/>
                <w:b/>
              </w:rPr>
              <w:t>Business Service Area</w:t>
            </w:r>
          </w:p>
          <w:p w14:paraId="59C0A4C3" w14:textId="77777777" w:rsidR="00D55FBB" w:rsidRPr="005249F9" w:rsidRDefault="00D55FBB" w:rsidP="00F800D4"/>
        </w:tc>
      </w:tr>
      <w:tr w:rsidR="00F63D39" w:rsidRPr="004F4C90" w14:paraId="59C0A4C8" w14:textId="77777777" w:rsidTr="00342C05">
        <w:tc>
          <w:tcPr>
            <w:tcW w:w="1384" w:type="dxa"/>
          </w:tcPr>
          <w:p w14:paraId="59C0A4C5" w14:textId="77777777" w:rsidR="00F63D39" w:rsidRDefault="00F63D39" w:rsidP="00B160AF">
            <w:pPr>
              <w:tabs>
                <w:tab w:val="center" w:pos="4513"/>
                <w:tab w:val="right" w:pos="9026"/>
              </w:tabs>
              <w:rPr>
                <w:rFonts w:asciiTheme="minorHAnsi" w:hAnsiTheme="minorHAnsi" w:cstheme="minorHAnsi"/>
              </w:rPr>
            </w:pPr>
            <w:r>
              <w:rPr>
                <w:rFonts w:asciiTheme="minorHAnsi" w:hAnsiTheme="minorHAnsi" w:cstheme="minorHAnsi"/>
              </w:rPr>
              <w:t>CALD</w:t>
            </w:r>
          </w:p>
        </w:tc>
        <w:tc>
          <w:tcPr>
            <w:tcW w:w="7796" w:type="dxa"/>
          </w:tcPr>
          <w:p w14:paraId="59C0A4C6" w14:textId="77777777" w:rsidR="00F63D39" w:rsidRDefault="00F63D39" w:rsidP="00B160AF">
            <w:pPr>
              <w:rPr>
                <w:rFonts w:asciiTheme="minorHAnsi" w:hAnsiTheme="minorHAnsi" w:cstheme="minorHAnsi"/>
                <w:b/>
              </w:rPr>
            </w:pPr>
            <w:r>
              <w:rPr>
                <w:rFonts w:asciiTheme="minorHAnsi" w:hAnsiTheme="minorHAnsi" w:cstheme="minorHAnsi"/>
                <w:b/>
              </w:rPr>
              <w:t>Culturally and L</w:t>
            </w:r>
            <w:r w:rsidRPr="00F63D39">
              <w:rPr>
                <w:rFonts w:asciiTheme="minorHAnsi" w:hAnsiTheme="minorHAnsi" w:cstheme="minorHAnsi"/>
                <w:b/>
              </w:rPr>
              <w:t>inguistically</w:t>
            </w:r>
            <w:r>
              <w:rPr>
                <w:rFonts w:asciiTheme="minorHAnsi" w:hAnsiTheme="minorHAnsi" w:cstheme="minorHAnsi"/>
                <w:b/>
              </w:rPr>
              <w:t xml:space="preserve"> Diverse </w:t>
            </w:r>
          </w:p>
          <w:p w14:paraId="59C0A4C7" w14:textId="77777777" w:rsidR="00F63D39" w:rsidRDefault="00F63D39" w:rsidP="00B160AF">
            <w:pPr>
              <w:rPr>
                <w:rFonts w:asciiTheme="minorHAnsi" w:hAnsiTheme="minorHAnsi" w:cstheme="minorHAnsi"/>
                <w:b/>
              </w:rPr>
            </w:pPr>
          </w:p>
        </w:tc>
      </w:tr>
      <w:tr w:rsidR="00D55FBB" w:rsidRPr="004F4C90" w14:paraId="59C0A4CC" w14:textId="77777777" w:rsidTr="00342C05">
        <w:tc>
          <w:tcPr>
            <w:tcW w:w="1384" w:type="dxa"/>
          </w:tcPr>
          <w:p w14:paraId="59C0A4C9" w14:textId="77777777" w:rsidR="00D55FBB" w:rsidRPr="002F5F9A" w:rsidRDefault="00D55FBB" w:rsidP="00B160AF">
            <w:pPr>
              <w:rPr>
                <w:rFonts w:asciiTheme="minorHAnsi" w:hAnsiTheme="minorHAnsi" w:cstheme="minorHAnsi"/>
              </w:rPr>
            </w:pPr>
            <w:r>
              <w:rPr>
                <w:rFonts w:asciiTheme="minorHAnsi" w:hAnsiTheme="minorHAnsi" w:cstheme="minorHAnsi"/>
              </w:rPr>
              <w:t>CT</w:t>
            </w:r>
          </w:p>
        </w:tc>
        <w:tc>
          <w:tcPr>
            <w:tcW w:w="7796" w:type="dxa"/>
          </w:tcPr>
          <w:p w14:paraId="59C0A4CA" w14:textId="77777777" w:rsidR="00D55FBB" w:rsidRDefault="00D55FBB" w:rsidP="00B160AF">
            <w:pPr>
              <w:rPr>
                <w:rFonts w:asciiTheme="minorHAnsi" w:hAnsiTheme="minorHAnsi" w:cstheme="minorHAnsi"/>
                <w:b/>
              </w:rPr>
            </w:pPr>
            <w:r>
              <w:rPr>
                <w:rFonts w:asciiTheme="minorHAnsi" w:hAnsiTheme="minorHAnsi" w:cstheme="minorHAnsi"/>
                <w:b/>
              </w:rPr>
              <w:t>Complementary Training</w:t>
            </w:r>
          </w:p>
          <w:p w14:paraId="59C0A4CB" w14:textId="77777777" w:rsidR="00D55FBB" w:rsidRPr="00F800D4" w:rsidRDefault="00D55FBB" w:rsidP="00FD1FD4"/>
        </w:tc>
      </w:tr>
      <w:tr w:rsidR="00AB000F" w:rsidRPr="004F4C90" w14:paraId="59C0A4D0" w14:textId="77777777" w:rsidTr="00342C05">
        <w:tc>
          <w:tcPr>
            <w:tcW w:w="1384" w:type="dxa"/>
          </w:tcPr>
          <w:p w14:paraId="59C0A4CD" w14:textId="77777777" w:rsidR="00AB000F" w:rsidRPr="00666BA5" w:rsidRDefault="00D24B73" w:rsidP="00B160AF">
            <w:pPr>
              <w:tabs>
                <w:tab w:val="center" w:pos="4513"/>
                <w:tab w:val="right" w:pos="9026"/>
              </w:tabs>
              <w:rPr>
                <w:rFonts w:asciiTheme="minorHAnsi" w:hAnsiTheme="minorHAnsi" w:cstheme="minorHAnsi"/>
              </w:rPr>
            </w:pPr>
            <w:r w:rsidRPr="00D24B73">
              <w:rPr>
                <w:rFonts w:asciiTheme="minorHAnsi" w:hAnsiTheme="minorHAnsi" w:cstheme="minorHAnsi"/>
              </w:rPr>
              <w:t>DEEWR</w:t>
            </w:r>
          </w:p>
        </w:tc>
        <w:tc>
          <w:tcPr>
            <w:tcW w:w="7796" w:type="dxa"/>
          </w:tcPr>
          <w:p w14:paraId="59C0A4CE" w14:textId="77777777" w:rsidR="0013474A" w:rsidRPr="00666BA5" w:rsidRDefault="00D24B73" w:rsidP="00B160AF">
            <w:pPr>
              <w:tabs>
                <w:tab w:val="center" w:pos="4513"/>
                <w:tab w:val="right" w:pos="9026"/>
              </w:tabs>
              <w:rPr>
                <w:rFonts w:asciiTheme="minorHAnsi" w:hAnsiTheme="minorHAnsi" w:cstheme="minorHAnsi"/>
                <w:b/>
              </w:rPr>
            </w:pPr>
            <w:r w:rsidRPr="00D24B73">
              <w:rPr>
                <w:rFonts w:asciiTheme="minorHAnsi" w:hAnsiTheme="minorHAnsi" w:cstheme="minorHAnsi"/>
                <w:b/>
              </w:rPr>
              <w:t>Department of Education, Employment and Workplace Relations</w:t>
            </w:r>
          </w:p>
          <w:p w14:paraId="59C0A4CF" w14:textId="77777777" w:rsidR="00B24152" w:rsidRPr="00666BA5" w:rsidRDefault="00B24152" w:rsidP="00B160AF">
            <w:pPr>
              <w:rPr>
                <w:rFonts w:asciiTheme="minorHAnsi" w:hAnsiTheme="minorHAnsi" w:cstheme="minorHAnsi"/>
                <w:b/>
              </w:rPr>
            </w:pPr>
          </w:p>
        </w:tc>
      </w:tr>
      <w:tr w:rsidR="008D492E" w:rsidRPr="004F4C90" w14:paraId="59C0A4D4" w14:textId="77777777" w:rsidTr="00342C05">
        <w:tc>
          <w:tcPr>
            <w:tcW w:w="1384" w:type="dxa"/>
          </w:tcPr>
          <w:p w14:paraId="59C0A4D1" w14:textId="77777777" w:rsidR="008D492E" w:rsidRPr="008D492E" w:rsidRDefault="008D492E" w:rsidP="00B160AF">
            <w:pPr>
              <w:rPr>
                <w:rFonts w:asciiTheme="minorHAnsi" w:hAnsiTheme="minorHAnsi" w:cstheme="minorHAnsi"/>
              </w:rPr>
            </w:pPr>
            <w:r w:rsidRPr="008D492E">
              <w:rPr>
                <w:rFonts w:asciiTheme="minorHAnsi" w:hAnsiTheme="minorHAnsi" w:cstheme="minorHAnsi"/>
              </w:rPr>
              <w:t>DES</w:t>
            </w:r>
          </w:p>
          <w:p w14:paraId="59C0A4D2" w14:textId="77777777" w:rsidR="008D492E" w:rsidRPr="0013474A" w:rsidRDefault="008D492E" w:rsidP="00B160AF">
            <w:pPr>
              <w:rPr>
                <w:rFonts w:asciiTheme="minorHAnsi" w:hAnsiTheme="minorHAnsi" w:cstheme="minorHAnsi"/>
                <w:highlight w:val="yellow"/>
              </w:rPr>
            </w:pPr>
          </w:p>
        </w:tc>
        <w:tc>
          <w:tcPr>
            <w:tcW w:w="7796" w:type="dxa"/>
          </w:tcPr>
          <w:p w14:paraId="59C0A4D3" w14:textId="77777777" w:rsidR="008D492E" w:rsidRPr="008D492E" w:rsidRDefault="008D492E" w:rsidP="00B160AF">
            <w:pPr>
              <w:rPr>
                <w:rFonts w:asciiTheme="minorHAnsi" w:hAnsiTheme="minorHAnsi" w:cstheme="minorHAnsi"/>
                <w:b/>
                <w:highlight w:val="yellow"/>
              </w:rPr>
            </w:pPr>
            <w:r w:rsidRPr="008D492E">
              <w:rPr>
                <w:rFonts w:asciiTheme="minorHAnsi" w:hAnsiTheme="minorHAnsi" w:cstheme="minorHAnsi"/>
                <w:b/>
              </w:rPr>
              <w:t>Disability Employment Service</w:t>
            </w:r>
          </w:p>
        </w:tc>
      </w:tr>
      <w:tr w:rsidR="00DE5AB9" w:rsidRPr="004F4C90" w14:paraId="59C0A4D8" w14:textId="77777777" w:rsidTr="00342C05">
        <w:tc>
          <w:tcPr>
            <w:tcW w:w="1384" w:type="dxa"/>
          </w:tcPr>
          <w:p w14:paraId="59C0A4D5" w14:textId="77777777" w:rsidR="00DE5AB9" w:rsidRDefault="00DD1CDD" w:rsidP="00B160AF">
            <w:pPr>
              <w:rPr>
                <w:rFonts w:asciiTheme="minorHAnsi" w:hAnsiTheme="minorHAnsi" w:cstheme="minorHAnsi"/>
              </w:rPr>
            </w:pPr>
            <w:r>
              <w:rPr>
                <w:rFonts w:asciiTheme="minorHAnsi" w:hAnsiTheme="minorHAnsi" w:cstheme="minorHAnsi"/>
              </w:rPr>
              <w:t>ESA</w:t>
            </w:r>
          </w:p>
        </w:tc>
        <w:tc>
          <w:tcPr>
            <w:tcW w:w="7796" w:type="dxa"/>
          </w:tcPr>
          <w:p w14:paraId="59C0A4D6" w14:textId="77777777" w:rsidR="00DD1CDD" w:rsidRDefault="00DD1CDD" w:rsidP="00DD1CDD">
            <w:pPr>
              <w:rPr>
                <w:rFonts w:asciiTheme="minorHAnsi" w:hAnsiTheme="minorHAnsi" w:cstheme="minorHAnsi"/>
                <w:b/>
              </w:rPr>
            </w:pPr>
            <w:r>
              <w:rPr>
                <w:rFonts w:asciiTheme="minorHAnsi" w:hAnsiTheme="minorHAnsi" w:cstheme="minorHAnsi"/>
                <w:b/>
              </w:rPr>
              <w:t>Employment Service Area</w:t>
            </w:r>
          </w:p>
          <w:p w14:paraId="59C0A4D7" w14:textId="77777777" w:rsidR="00DD1CDD" w:rsidRDefault="00DD1CDD" w:rsidP="00DD1CDD">
            <w:pPr>
              <w:rPr>
                <w:rFonts w:asciiTheme="minorHAnsi" w:hAnsiTheme="minorHAnsi" w:cstheme="minorHAnsi"/>
                <w:b/>
              </w:rPr>
            </w:pPr>
          </w:p>
        </w:tc>
      </w:tr>
      <w:tr w:rsidR="00DE5AB9" w:rsidRPr="004F4C90" w14:paraId="59C0A4DC" w14:textId="77777777" w:rsidTr="00342C05">
        <w:tc>
          <w:tcPr>
            <w:tcW w:w="1384" w:type="dxa"/>
          </w:tcPr>
          <w:p w14:paraId="59C0A4D9" w14:textId="77777777" w:rsidR="00DE5AB9" w:rsidRPr="002F5F9A" w:rsidRDefault="00DD1CDD" w:rsidP="00B160AF">
            <w:pPr>
              <w:rPr>
                <w:rFonts w:asciiTheme="minorHAnsi" w:hAnsiTheme="minorHAnsi" w:cstheme="minorHAnsi"/>
              </w:rPr>
            </w:pPr>
            <w:r>
              <w:rPr>
                <w:rFonts w:asciiTheme="minorHAnsi" w:hAnsiTheme="minorHAnsi" w:cstheme="minorHAnsi"/>
              </w:rPr>
              <w:t>ESL</w:t>
            </w:r>
          </w:p>
        </w:tc>
        <w:tc>
          <w:tcPr>
            <w:tcW w:w="7796" w:type="dxa"/>
          </w:tcPr>
          <w:p w14:paraId="59C0A4DA" w14:textId="77777777" w:rsidR="00DD1CDD" w:rsidRDefault="00DD1CDD" w:rsidP="00DD1CDD">
            <w:pPr>
              <w:rPr>
                <w:rFonts w:asciiTheme="minorHAnsi" w:hAnsiTheme="minorHAnsi" w:cstheme="minorHAnsi"/>
                <w:b/>
              </w:rPr>
            </w:pPr>
            <w:r>
              <w:rPr>
                <w:rFonts w:asciiTheme="minorHAnsi" w:hAnsiTheme="minorHAnsi" w:cstheme="minorHAnsi"/>
                <w:b/>
              </w:rPr>
              <w:t>English as a Second Language</w:t>
            </w:r>
          </w:p>
          <w:p w14:paraId="59C0A4DB" w14:textId="77777777" w:rsidR="00DD1CDD" w:rsidRPr="002F5F9A" w:rsidRDefault="00DD1CDD" w:rsidP="00B160AF">
            <w:pPr>
              <w:rPr>
                <w:rFonts w:asciiTheme="minorHAnsi" w:hAnsiTheme="minorHAnsi" w:cstheme="minorHAnsi"/>
                <w:b/>
              </w:rPr>
            </w:pPr>
          </w:p>
        </w:tc>
      </w:tr>
      <w:tr w:rsidR="00883E83" w:rsidRPr="004F4C90" w14:paraId="59C0A4E0" w14:textId="77777777" w:rsidTr="00342C05">
        <w:tc>
          <w:tcPr>
            <w:tcW w:w="1384" w:type="dxa"/>
          </w:tcPr>
          <w:p w14:paraId="59C0A4DD" w14:textId="77777777" w:rsidR="00883E83" w:rsidRPr="002F5F9A" w:rsidRDefault="00883E83" w:rsidP="00B160AF">
            <w:pPr>
              <w:rPr>
                <w:rFonts w:asciiTheme="minorHAnsi" w:hAnsiTheme="minorHAnsi" w:cstheme="minorHAnsi"/>
              </w:rPr>
            </w:pPr>
            <w:r>
              <w:rPr>
                <w:rFonts w:asciiTheme="minorHAnsi" w:hAnsiTheme="minorHAnsi" w:cstheme="minorHAnsi"/>
              </w:rPr>
              <w:t>FSD</w:t>
            </w:r>
          </w:p>
        </w:tc>
        <w:tc>
          <w:tcPr>
            <w:tcW w:w="7796" w:type="dxa"/>
          </w:tcPr>
          <w:p w14:paraId="59C0A4DE" w14:textId="77777777" w:rsidR="00883E83" w:rsidRDefault="00CC11B5" w:rsidP="00B160AF">
            <w:pPr>
              <w:rPr>
                <w:rFonts w:asciiTheme="minorHAnsi" w:hAnsiTheme="minorHAnsi" w:cstheme="minorHAnsi"/>
                <w:b/>
              </w:rPr>
            </w:pPr>
            <w:r>
              <w:rPr>
                <w:rFonts w:asciiTheme="minorHAnsi" w:hAnsiTheme="minorHAnsi" w:cstheme="minorHAnsi"/>
                <w:b/>
              </w:rPr>
              <w:t>Full Service Delivery</w:t>
            </w:r>
          </w:p>
          <w:p w14:paraId="59C0A4DF" w14:textId="77777777" w:rsidR="00CC11B5" w:rsidRPr="002F5F9A" w:rsidRDefault="00CC11B5" w:rsidP="00B160AF">
            <w:pPr>
              <w:rPr>
                <w:rFonts w:asciiTheme="minorHAnsi" w:hAnsiTheme="minorHAnsi" w:cstheme="minorHAnsi"/>
                <w:b/>
              </w:rPr>
            </w:pPr>
          </w:p>
        </w:tc>
      </w:tr>
      <w:tr w:rsidR="00090885" w:rsidRPr="004F4C90" w14:paraId="59C0A4E4" w14:textId="77777777" w:rsidTr="00342C05">
        <w:tc>
          <w:tcPr>
            <w:tcW w:w="1384" w:type="dxa"/>
          </w:tcPr>
          <w:p w14:paraId="59C0A4E1" w14:textId="77777777" w:rsidR="00090885" w:rsidRPr="002F5F9A" w:rsidRDefault="00090885" w:rsidP="00B160AF">
            <w:pPr>
              <w:rPr>
                <w:rFonts w:asciiTheme="minorHAnsi" w:hAnsiTheme="minorHAnsi" w:cstheme="minorHAnsi"/>
              </w:rPr>
            </w:pPr>
            <w:r>
              <w:rPr>
                <w:rFonts w:asciiTheme="minorHAnsi" w:hAnsiTheme="minorHAnsi" w:cstheme="minorHAnsi"/>
              </w:rPr>
              <w:t>ITP</w:t>
            </w:r>
          </w:p>
        </w:tc>
        <w:tc>
          <w:tcPr>
            <w:tcW w:w="7796" w:type="dxa"/>
          </w:tcPr>
          <w:p w14:paraId="59C0A4E2" w14:textId="77777777" w:rsidR="00090885" w:rsidRDefault="00090885" w:rsidP="00B160AF">
            <w:pPr>
              <w:rPr>
                <w:rFonts w:asciiTheme="minorHAnsi" w:hAnsiTheme="minorHAnsi" w:cstheme="minorHAnsi"/>
                <w:b/>
              </w:rPr>
            </w:pPr>
            <w:r>
              <w:rPr>
                <w:rFonts w:asciiTheme="minorHAnsi" w:hAnsiTheme="minorHAnsi" w:cstheme="minorHAnsi"/>
                <w:b/>
              </w:rPr>
              <w:t>Individual Training Plan</w:t>
            </w:r>
          </w:p>
          <w:p w14:paraId="59C0A4E3" w14:textId="77777777" w:rsidR="00090885" w:rsidRPr="002F5F9A" w:rsidRDefault="00090885" w:rsidP="00B160AF">
            <w:pPr>
              <w:rPr>
                <w:rFonts w:asciiTheme="minorHAnsi" w:hAnsiTheme="minorHAnsi" w:cstheme="minorHAnsi"/>
                <w:b/>
              </w:rPr>
            </w:pPr>
          </w:p>
        </w:tc>
      </w:tr>
      <w:tr w:rsidR="00666BA5" w:rsidRPr="004F4C90" w14:paraId="59C0A4E7" w14:textId="77777777" w:rsidTr="00342C05">
        <w:tc>
          <w:tcPr>
            <w:tcW w:w="1384" w:type="dxa"/>
          </w:tcPr>
          <w:p w14:paraId="59C0A4E5" w14:textId="77777777" w:rsidR="00666BA5" w:rsidRDefault="00666BA5" w:rsidP="00B160AF">
            <w:pPr>
              <w:rPr>
                <w:rFonts w:asciiTheme="minorHAnsi" w:hAnsiTheme="minorHAnsi" w:cstheme="minorHAnsi"/>
              </w:rPr>
            </w:pPr>
            <w:r>
              <w:rPr>
                <w:rFonts w:asciiTheme="minorHAnsi" w:hAnsiTheme="minorHAnsi" w:cstheme="minorHAnsi"/>
              </w:rPr>
              <w:t>IV</w:t>
            </w:r>
          </w:p>
        </w:tc>
        <w:tc>
          <w:tcPr>
            <w:tcW w:w="7796" w:type="dxa"/>
          </w:tcPr>
          <w:p w14:paraId="59C0A4E6" w14:textId="77777777" w:rsidR="00666BA5" w:rsidRDefault="00666BA5" w:rsidP="00B160AF">
            <w:pPr>
              <w:rPr>
                <w:rFonts w:asciiTheme="minorHAnsi" w:hAnsiTheme="minorHAnsi" w:cstheme="minorHAnsi"/>
                <w:b/>
              </w:rPr>
            </w:pPr>
            <w:r>
              <w:rPr>
                <w:rFonts w:asciiTheme="minorHAnsi" w:hAnsiTheme="minorHAnsi" w:cstheme="minorHAnsi"/>
                <w:b/>
              </w:rPr>
              <w:t>Independent Verification</w:t>
            </w:r>
            <w:r>
              <w:rPr>
                <w:rFonts w:asciiTheme="minorHAnsi" w:hAnsiTheme="minorHAnsi" w:cstheme="minorHAnsi"/>
                <w:b/>
              </w:rPr>
              <w:br/>
            </w:r>
          </w:p>
        </w:tc>
      </w:tr>
      <w:tr w:rsidR="008D492E" w:rsidRPr="004F4C90" w14:paraId="59C0A4EB" w14:textId="77777777" w:rsidTr="00342C05">
        <w:tc>
          <w:tcPr>
            <w:tcW w:w="1384" w:type="dxa"/>
          </w:tcPr>
          <w:p w14:paraId="59C0A4E8" w14:textId="77777777" w:rsidR="008D492E" w:rsidRDefault="008D492E" w:rsidP="00B160AF">
            <w:pPr>
              <w:rPr>
                <w:rFonts w:asciiTheme="minorHAnsi" w:hAnsiTheme="minorHAnsi" w:cstheme="minorHAnsi"/>
              </w:rPr>
            </w:pPr>
            <w:r>
              <w:rPr>
                <w:rFonts w:asciiTheme="minorHAnsi" w:hAnsiTheme="minorHAnsi" w:cstheme="minorHAnsi"/>
              </w:rPr>
              <w:t>JSA</w:t>
            </w:r>
          </w:p>
        </w:tc>
        <w:tc>
          <w:tcPr>
            <w:tcW w:w="7796" w:type="dxa"/>
          </w:tcPr>
          <w:p w14:paraId="59C0A4E9" w14:textId="77777777" w:rsidR="008D492E" w:rsidRDefault="008D492E" w:rsidP="00B160AF">
            <w:pPr>
              <w:rPr>
                <w:rFonts w:asciiTheme="minorHAnsi" w:hAnsiTheme="minorHAnsi" w:cstheme="minorHAnsi"/>
                <w:b/>
              </w:rPr>
            </w:pPr>
            <w:r>
              <w:rPr>
                <w:rFonts w:asciiTheme="minorHAnsi" w:hAnsiTheme="minorHAnsi" w:cstheme="minorHAnsi"/>
                <w:b/>
              </w:rPr>
              <w:t>Job Services Australia</w:t>
            </w:r>
          </w:p>
          <w:p w14:paraId="59C0A4EA" w14:textId="77777777" w:rsidR="008D492E" w:rsidRDefault="008D492E" w:rsidP="00B160AF">
            <w:pPr>
              <w:rPr>
                <w:rFonts w:asciiTheme="minorHAnsi" w:hAnsiTheme="minorHAnsi" w:cstheme="minorHAnsi"/>
                <w:b/>
              </w:rPr>
            </w:pPr>
          </w:p>
        </w:tc>
      </w:tr>
      <w:tr w:rsidR="00D55FBB" w:rsidRPr="004F4C90" w14:paraId="59C0A4EF" w14:textId="77777777" w:rsidTr="00342C05">
        <w:tc>
          <w:tcPr>
            <w:tcW w:w="1384" w:type="dxa"/>
          </w:tcPr>
          <w:p w14:paraId="59C0A4EC" w14:textId="77777777" w:rsidR="00D55FBB" w:rsidRPr="002F5F9A" w:rsidRDefault="00D55FBB" w:rsidP="00B160AF">
            <w:pPr>
              <w:rPr>
                <w:rFonts w:asciiTheme="minorHAnsi" w:hAnsiTheme="minorHAnsi" w:cstheme="minorHAnsi"/>
              </w:rPr>
            </w:pPr>
            <w:r>
              <w:rPr>
                <w:rFonts w:asciiTheme="minorHAnsi" w:hAnsiTheme="minorHAnsi" w:cstheme="minorHAnsi"/>
              </w:rPr>
              <w:t>LLNP</w:t>
            </w:r>
          </w:p>
        </w:tc>
        <w:tc>
          <w:tcPr>
            <w:tcW w:w="7796" w:type="dxa"/>
          </w:tcPr>
          <w:p w14:paraId="59C0A4ED" w14:textId="77777777" w:rsidR="00D55FBB" w:rsidRDefault="00D55FBB" w:rsidP="00B160AF">
            <w:pPr>
              <w:rPr>
                <w:rFonts w:asciiTheme="minorHAnsi" w:hAnsiTheme="minorHAnsi" w:cstheme="minorHAnsi"/>
                <w:b/>
              </w:rPr>
            </w:pPr>
            <w:r>
              <w:rPr>
                <w:rFonts w:asciiTheme="minorHAnsi" w:hAnsiTheme="minorHAnsi" w:cstheme="minorHAnsi"/>
                <w:b/>
              </w:rPr>
              <w:t>Language, Literacy and Numeracy Program</w:t>
            </w:r>
          </w:p>
          <w:p w14:paraId="59C0A4EE" w14:textId="77777777" w:rsidR="00D55FBB" w:rsidRPr="00D55FBB" w:rsidRDefault="00D55FBB" w:rsidP="00B160AF">
            <w:pPr>
              <w:rPr>
                <w:rFonts w:asciiTheme="minorHAnsi" w:hAnsiTheme="minorHAnsi" w:cstheme="minorHAnsi"/>
                <w:b/>
              </w:rPr>
            </w:pPr>
          </w:p>
        </w:tc>
      </w:tr>
      <w:tr w:rsidR="00F63D39" w:rsidRPr="004F4C90" w14:paraId="59C0A4F3" w14:textId="77777777" w:rsidTr="00342C05">
        <w:tc>
          <w:tcPr>
            <w:tcW w:w="1384" w:type="dxa"/>
          </w:tcPr>
          <w:p w14:paraId="59C0A4F0" w14:textId="77777777" w:rsidR="00F63D39" w:rsidRDefault="00F63D39" w:rsidP="00B160AF">
            <w:pPr>
              <w:rPr>
                <w:rFonts w:asciiTheme="minorHAnsi" w:hAnsiTheme="minorHAnsi" w:cstheme="minorHAnsi"/>
              </w:rPr>
            </w:pPr>
            <w:r>
              <w:rPr>
                <w:rFonts w:asciiTheme="minorHAnsi" w:hAnsiTheme="minorHAnsi" w:cstheme="minorHAnsi"/>
              </w:rPr>
              <w:t>LLN</w:t>
            </w:r>
          </w:p>
        </w:tc>
        <w:tc>
          <w:tcPr>
            <w:tcW w:w="7796" w:type="dxa"/>
          </w:tcPr>
          <w:p w14:paraId="59C0A4F1" w14:textId="77777777" w:rsidR="00F63D39" w:rsidRDefault="00F63D39" w:rsidP="00B160AF">
            <w:pPr>
              <w:rPr>
                <w:rFonts w:asciiTheme="minorHAnsi" w:hAnsiTheme="minorHAnsi" w:cstheme="minorHAnsi"/>
                <w:b/>
              </w:rPr>
            </w:pPr>
            <w:r>
              <w:rPr>
                <w:rFonts w:asciiTheme="minorHAnsi" w:hAnsiTheme="minorHAnsi" w:cstheme="minorHAnsi"/>
                <w:b/>
              </w:rPr>
              <w:t>Language, Literacy and Numeracy</w:t>
            </w:r>
          </w:p>
          <w:p w14:paraId="59C0A4F2" w14:textId="77777777" w:rsidR="00F63D39" w:rsidRDefault="00F63D39" w:rsidP="00B160AF">
            <w:pPr>
              <w:rPr>
                <w:rFonts w:asciiTheme="minorHAnsi" w:hAnsiTheme="minorHAnsi" w:cstheme="minorHAnsi"/>
                <w:b/>
              </w:rPr>
            </w:pPr>
          </w:p>
        </w:tc>
      </w:tr>
      <w:tr w:rsidR="008D492E" w:rsidRPr="004F4C90" w14:paraId="59C0A4F7" w14:textId="77777777" w:rsidTr="00342C05">
        <w:tc>
          <w:tcPr>
            <w:tcW w:w="1384" w:type="dxa"/>
          </w:tcPr>
          <w:p w14:paraId="59C0A4F4" w14:textId="77777777" w:rsidR="008D492E" w:rsidRPr="002F5F9A" w:rsidRDefault="008D492E" w:rsidP="00B160AF">
            <w:pPr>
              <w:rPr>
                <w:rFonts w:asciiTheme="minorHAnsi" w:hAnsiTheme="minorHAnsi" w:cstheme="minorHAnsi"/>
              </w:rPr>
            </w:pPr>
            <w:r>
              <w:rPr>
                <w:rFonts w:asciiTheme="minorHAnsi" w:hAnsiTheme="minorHAnsi" w:cstheme="minorHAnsi"/>
              </w:rPr>
              <w:t>NBN</w:t>
            </w:r>
          </w:p>
        </w:tc>
        <w:tc>
          <w:tcPr>
            <w:tcW w:w="7796" w:type="dxa"/>
          </w:tcPr>
          <w:p w14:paraId="59C0A4F5" w14:textId="77777777" w:rsidR="008D492E" w:rsidRDefault="008D492E" w:rsidP="001442EA">
            <w:pPr>
              <w:rPr>
                <w:rFonts w:asciiTheme="minorHAnsi" w:hAnsiTheme="minorHAnsi" w:cstheme="minorHAnsi"/>
                <w:b/>
              </w:rPr>
            </w:pPr>
            <w:r>
              <w:rPr>
                <w:rFonts w:asciiTheme="minorHAnsi" w:hAnsiTheme="minorHAnsi" w:cstheme="minorHAnsi"/>
                <w:b/>
              </w:rPr>
              <w:t>National Broadband Network</w:t>
            </w:r>
          </w:p>
          <w:p w14:paraId="59C0A4F6" w14:textId="77777777" w:rsidR="008D492E" w:rsidRPr="002F5F9A" w:rsidRDefault="008D492E" w:rsidP="00B160AF">
            <w:pPr>
              <w:rPr>
                <w:rFonts w:asciiTheme="minorHAnsi" w:hAnsiTheme="minorHAnsi" w:cstheme="minorHAnsi"/>
                <w:b/>
              </w:rPr>
            </w:pPr>
          </w:p>
        </w:tc>
      </w:tr>
      <w:tr w:rsidR="008D492E" w:rsidRPr="004F4C90" w14:paraId="59C0A4FB" w14:textId="77777777" w:rsidTr="00342C05">
        <w:tc>
          <w:tcPr>
            <w:tcW w:w="1384" w:type="dxa"/>
          </w:tcPr>
          <w:p w14:paraId="59C0A4F8" w14:textId="77777777" w:rsidR="008D492E" w:rsidRPr="00B656A5" w:rsidRDefault="00094103" w:rsidP="00B160AF">
            <w:pPr>
              <w:rPr>
                <w:rFonts w:asciiTheme="minorHAnsi" w:hAnsiTheme="minorHAnsi" w:cstheme="minorHAnsi"/>
              </w:rPr>
            </w:pPr>
            <w:r>
              <w:rPr>
                <w:rFonts w:asciiTheme="minorHAnsi" w:hAnsiTheme="minorHAnsi" w:cstheme="minorHAnsi"/>
              </w:rPr>
              <w:t>NSSC</w:t>
            </w:r>
          </w:p>
        </w:tc>
        <w:tc>
          <w:tcPr>
            <w:tcW w:w="7796" w:type="dxa"/>
          </w:tcPr>
          <w:p w14:paraId="59C0A4F9" w14:textId="77777777" w:rsidR="008D492E" w:rsidRPr="00B656A5" w:rsidRDefault="00094103" w:rsidP="00AA6A00">
            <w:pPr>
              <w:rPr>
                <w:rFonts w:asciiTheme="minorHAnsi" w:hAnsiTheme="minorHAnsi" w:cstheme="minorHAnsi"/>
              </w:rPr>
            </w:pPr>
            <w:r>
              <w:rPr>
                <w:rFonts w:asciiTheme="minorHAnsi" w:hAnsiTheme="minorHAnsi" w:cstheme="minorHAnsi"/>
                <w:b/>
              </w:rPr>
              <w:t>National Skills Standards Council</w:t>
            </w:r>
            <w:r>
              <w:rPr>
                <w:rFonts w:asciiTheme="minorHAnsi" w:hAnsiTheme="minorHAnsi" w:cstheme="minorHAnsi"/>
              </w:rPr>
              <w:t xml:space="preserve"> </w:t>
            </w:r>
          </w:p>
          <w:p w14:paraId="59C0A4FA" w14:textId="77777777" w:rsidR="008D492E" w:rsidRPr="00B656A5" w:rsidRDefault="008D492E" w:rsidP="00B160AF">
            <w:pPr>
              <w:rPr>
                <w:rFonts w:asciiTheme="minorHAnsi" w:hAnsiTheme="minorHAnsi" w:cstheme="minorHAnsi"/>
              </w:rPr>
            </w:pPr>
          </w:p>
        </w:tc>
      </w:tr>
      <w:tr w:rsidR="008D492E" w:rsidRPr="004F4C90" w14:paraId="59C0A4FF" w14:textId="77777777" w:rsidTr="00342C05">
        <w:tc>
          <w:tcPr>
            <w:tcW w:w="1384" w:type="dxa"/>
          </w:tcPr>
          <w:p w14:paraId="59C0A4FC" w14:textId="77777777" w:rsidR="008D492E" w:rsidRPr="002F5F9A" w:rsidRDefault="008D492E" w:rsidP="00B160AF">
            <w:pPr>
              <w:rPr>
                <w:rFonts w:asciiTheme="minorHAnsi" w:hAnsiTheme="minorHAnsi" w:cstheme="minorHAnsi"/>
              </w:rPr>
            </w:pPr>
            <w:r>
              <w:rPr>
                <w:rFonts w:asciiTheme="minorHAnsi" w:hAnsiTheme="minorHAnsi" w:cstheme="minorHAnsi"/>
              </w:rPr>
              <w:t>PTA</w:t>
            </w:r>
          </w:p>
        </w:tc>
        <w:tc>
          <w:tcPr>
            <w:tcW w:w="7796" w:type="dxa"/>
          </w:tcPr>
          <w:p w14:paraId="59C0A4FD" w14:textId="77777777" w:rsidR="008D492E" w:rsidRDefault="008D492E" w:rsidP="00B160AF">
            <w:pPr>
              <w:rPr>
                <w:rFonts w:asciiTheme="minorHAnsi" w:hAnsiTheme="minorHAnsi" w:cstheme="minorHAnsi"/>
                <w:b/>
              </w:rPr>
            </w:pPr>
            <w:r>
              <w:rPr>
                <w:rFonts w:asciiTheme="minorHAnsi" w:hAnsiTheme="minorHAnsi" w:cstheme="minorHAnsi"/>
                <w:b/>
              </w:rPr>
              <w:t>Pre-Training Assessment</w:t>
            </w:r>
          </w:p>
          <w:p w14:paraId="59C0A4FE" w14:textId="77777777" w:rsidR="008D492E" w:rsidRPr="00CC11B5" w:rsidRDefault="008D492E" w:rsidP="00B160AF"/>
        </w:tc>
      </w:tr>
      <w:tr w:rsidR="008D492E" w:rsidRPr="004F4C90" w14:paraId="59C0A503" w14:textId="77777777" w:rsidTr="00342C05">
        <w:tc>
          <w:tcPr>
            <w:tcW w:w="1384" w:type="dxa"/>
          </w:tcPr>
          <w:p w14:paraId="59C0A500" w14:textId="77777777" w:rsidR="008D492E" w:rsidRDefault="008D492E" w:rsidP="00B160AF">
            <w:pPr>
              <w:rPr>
                <w:rFonts w:asciiTheme="minorHAnsi" w:hAnsiTheme="minorHAnsi" w:cstheme="minorHAnsi"/>
              </w:rPr>
            </w:pPr>
            <w:r>
              <w:rPr>
                <w:rFonts w:asciiTheme="minorHAnsi" w:hAnsiTheme="minorHAnsi" w:cstheme="minorHAnsi"/>
              </w:rPr>
              <w:lastRenderedPageBreak/>
              <w:t>RFT</w:t>
            </w:r>
          </w:p>
        </w:tc>
        <w:tc>
          <w:tcPr>
            <w:tcW w:w="7796" w:type="dxa"/>
          </w:tcPr>
          <w:p w14:paraId="59C0A501" w14:textId="77777777" w:rsidR="008D492E" w:rsidRDefault="008D492E" w:rsidP="00B160AF">
            <w:pPr>
              <w:rPr>
                <w:rFonts w:asciiTheme="minorHAnsi" w:hAnsiTheme="minorHAnsi" w:cstheme="minorHAnsi"/>
                <w:b/>
              </w:rPr>
            </w:pPr>
            <w:r>
              <w:rPr>
                <w:rFonts w:asciiTheme="minorHAnsi" w:hAnsiTheme="minorHAnsi" w:cstheme="minorHAnsi"/>
                <w:b/>
              </w:rPr>
              <w:t>Request For Tender</w:t>
            </w:r>
          </w:p>
          <w:p w14:paraId="59C0A502" w14:textId="77777777" w:rsidR="008D492E" w:rsidRDefault="008D492E" w:rsidP="00B160AF">
            <w:pPr>
              <w:rPr>
                <w:rFonts w:asciiTheme="minorHAnsi" w:hAnsiTheme="minorHAnsi" w:cstheme="minorHAnsi"/>
                <w:b/>
              </w:rPr>
            </w:pPr>
          </w:p>
        </w:tc>
      </w:tr>
      <w:tr w:rsidR="008D492E" w:rsidRPr="004F4C90" w14:paraId="59C0A507" w14:textId="77777777" w:rsidTr="00342C05">
        <w:tc>
          <w:tcPr>
            <w:tcW w:w="1384" w:type="dxa"/>
          </w:tcPr>
          <w:p w14:paraId="59C0A504" w14:textId="77777777" w:rsidR="008D492E" w:rsidRDefault="008D492E" w:rsidP="00B160AF">
            <w:pPr>
              <w:rPr>
                <w:rFonts w:asciiTheme="minorHAnsi" w:hAnsiTheme="minorHAnsi" w:cstheme="minorHAnsi"/>
              </w:rPr>
            </w:pPr>
            <w:r>
              <w:rPr>
                <w:rFonts w:asciiTheme="minorHAnsi" w:hAnsiTheme="minorHAnsi" w:cstheme="minorHAnsi"/>
              </w:rPr>
              <w:t>RTO</w:t>
            </w:r>
          </w:p>
        </w:tc>
        <w:tc>
          <w:tcPr>
            <w:tcW w:w="7796" w:type="dxa"/>
          </w:tcPr>
          <w:p w14:paraId="59C0A505" w14:textId="77777777" w:rsidR="008D492E" w:rsidRDefault="008D492E" w:rsidP="00B160AF">
            <w:pPr>
              <w:rPr>
                <w:rFonts w:asciiTheme="minorHAnsi" w:hAnsiTheme="minorHAnsi" w:cstheme="minorHAnsi"/>
                <w:b/>
              </w:rPr>
            </w:pPr>
            <w:r>
              <w:rPr>
                <w:rFonts w:asciiTheme="minorHAnsi" w:hAnsiTheme="minorHAnsi" w:cstheme="minorHAnsi"/>
                <w:b/>
              </w:rPr>
              <w:t>Registered Training Organisation</w:t>
            </w:r>
          </w:p>
          <w:p w14:paraId="59C0A506" w14:textId="77777777" w:rsidR="008D492E" w:rsidRDefault="008D492E" w:rsidP="00B160AF">
            <w:pPr>
              <w:rPr>
                <w:rFonts w:asciiTheme="minorHAnsi" w:hAnsiTheme="minorHAnsi" w:cstheme="minorHAnsi"/>
                <w:b/>
              </w:rPr>
            </w:pPr>
          </w:p>
        </w:tc>
      </w:tr>
      <w:tr w:rsidR="000B67B4" w:rsidRPr="004F4C90" w14:paraId="59C0A50B" w14:textId="77777777" w:rsidTr="00342C05">
        <w:tc>
          <w:tcPr>
            <w:tcW w:w="1384" w:type="dxa"/>
          </w:tcPr>
          <w:p w14:paraId="59C0A508" w14:textId="77777777" w:rsidR="000B67B4" w:rsidRPr="002F5F9A" w:rsidRDefault="000B67B4" w:rsidP="00B160AF">
            <w:pPr>
              <w:rPr>
                <w:rFonts w:asciiTheme="minorHAnsi" w:hAnsiTheme="minorHAnsi" w:cstheme="minorHAnsi"/>
              </w:rPr>
            </w:pPr>
            <w:r>
              <w:rPr>
                <w:rFonts w:asciiTheme="minorHAnsi" w:hAnsiTheme="minorHAnsi" w:cstheme="minorHAnsi"/>
              </w:rPr>
              <w:t>SEE</w:t>
            </w:r>
          </w:p>
        </w:tc>
        <w:tc>
          <w:tcPr>
            <w:tcW w:w="7796" w:type="dxa"/>
          </w:tcPr>
          <w:p w14:paraId="59C0A509" w14:textId="77777777" w:rsidR="000B67B4" w:rsidRDefault="000B67B4" w:rsidP="00AA6A00">
            <w:pPr>
              <w:rPr>
                <w:rFonts w:asciiTheme="minorHAnsi" w:hAnsiTheme="minorHAnsi" w:cstheme="minorHAnsi"/>
                <w:b/>
              </w:rPr>
            </w:pPr>
            <w:r>
              <w:rPr>
                <w:rFonts w:asciiTheme="minorHAnsi" w:hAnsiTheme="minorHAnsi" w:cstheme="minorHAnsi"/>
                <w:b/>
              </w:rPr>
              <w:t xml:space="preserve">Skills for Education and Employment </w:t>
            </w:r>
          </w:p>
          <w:p w14:paraId="59C0A50A" w14:textId="77777777" w:rsidR="000B67B4" w:rsidRPr="002F5F9A" w:rsidRDefault="000B67B4" w:rsidP="00AA6A00">
            <w:pPr>
              <w:rPr>
                <w:rFonts w:asciiTheme="minorHAnsi" w:hAnsiTheme="minorHAnsi" w:cstheme="minorHAnsi"/>
                <w:b/>
              </w:rPr>
            </w:pPr>
          </w:p>
        </w:tc>
      </w:tr>
      <w:tr w:rsidR="008D492E" w:rsidRPr="004F4C90" w14:paraId="59C0A50F" w14:textId="77777777" w:rsidTr="00342C05">
        <w:tc>
          <w:tcPr>
            <w:tcW w:w="1384" w:type="dxa"/>
          </w:tcPr>
          <w:p w14:paraId="59C0A50C" w14:textId="77777777" w:rsidR="008D492E" w:rsidRPr="002F5F9A" w:rsidRDefault="008D492E" w:rsidP="00B160AF">
            <w:pPr>
              <w:rPr>
                <w:rFonts w:asciiTheme="minorHAnsi" w:hAnsiTheme="minorHAnsi" w:cstheme="minorHAnsi"/>
              </w:rPr>
            </w:pPr>
            <w:r>
              <w:rPr>
                <w:rFonts w:asciiTheme="minorHAnsi" w:hAnsiTheme="minorHAnsi" w:cstheme="minorHAnsi"/>
              </w:rPr>
              <w:t>SGT</w:t>
            </w:r>
          </w:p>
        </w:tc>
        <w:tc>
          <w:tcPr>
            <w:tcW w:w="7796" w:type="dxa"/>
          </w:tcPr>
          <w:p w14:paraId="59C0A50D" w14:textId="77777777" w:rsidR="008D492E" w:rsidRDefault="008D492E" w:rsidP="00B160AF">
            <w:pPr>
              <w:rPr>
                <w:rFonts w:asciiTheme="minorHAnsi" w:hAnsiTheme="minorHAnsi" w:cstheme="minorHAnsi"/>
                <w:b/>
              </w:rPr>
            </w:pPr>
            <w:r>
              <w:rPr>
                <w:rFonts w:asciiTheme="minorHAnsi" w:hAnsiTheme="minorHAnsi" w:cstheme="minorHAnsi"/>
                <w:b/>
              </w:rPr>
              <w:t>Small Group Training</w:t>
            </w:r>
          </w:p>
          <w:p w14:paraId="59C0A50E" w14:textId="77777777" w:rsidR="008D492E" w:rsidRPr="00486D1F" w:rsidRDefault="008D492E" w:rsidP="00B160AF">
            <w:pPr>
              <w:rPr>
                <w:rFonts w:asciiTheme="minorHAnsi" w:hAnsiTheme="minorHAnsi" w:cstheme="minorHAnsi"/>
              </w:rPr>
            </w:pPr>
          </w:p>
        </w:tc>
      </w:tr>
      <w:tr w:rsidR="008D492E" w:rsidRPr="004F4C90" w14:paraId="59C0A513" w14:textId="77777777" w:rsidTr="00342C05">
        <w:tc>
          <w:tcPr>
            <w:tcW w:w="1384" w:type="dxa"/>
          </w:tcPr>
          <w:p w14:paraId="59C0A510" w14:textId="77777777" w:rsidR="008D492E" w:rsidRPr="002F5F9A" w:rsidRDefault="008D492E" w:rsidP="00B160AF">
            <w:pPr>
              <w:rPr>
                <w:rFonts w:asciiTheme="minorHAnsi" w:hAnsiTheme="minorHAnsi" w:cstheme="minorHAnsi"/>
              </w:rPr>
            </w:pPr>
            <w:r>
              <w:rPr>
                <w:rFonts w:asciiTheme="minorHAnsi" w:hAnsiTheme="minorHAnsi" w:cstheme="minorHAnsi"/>
              </w:rPr>
              <w:t>TADS</w:t>
            </w:r>
          </w:p>
        </w:tc>
        <w:tc>
          <w:tcPr>
            <w:tcW w:w="7796" w:type="dxa"/>
          </w:tcPr>
          <w:p w14:paraId="59C0A511" w14:textId="77777777" w:rsidR="008D492E" w:rsidRDefault="008D492E" w:rsidP="00B160AF">
            <w:pPr>
              <w:tabs>
                <w:tab w:val="center" w:pos="4513"/>
                <w:tab w:val="right" w:pos="9026"/>
              </w:tabs>
              <w:rPr>
                <w:rFonts w:asciiTheme="minorHAnsi" w:hAnsiTheme="minorHAnsi" w:cstheme="minorHAnsi"/>
                <w:b/>
              </w:rPr>
            </w:pPr>
            <w:r>
              <w:rPr>
                <w:rFonts w:asciiTheme="minorHAnsi" w:hAnsiTheme="minorHAnsi" w:cstheme="minorHAnsi"/>
                <w:b/>
              </w:rPr>
              <w:t>Training and Delivery Strategy</w:t>
            </w:r>
          </w:p>
          <w:p w14:paraId="59C0A512" w14:textId="77777777" w:rsidR="008D492E" w:rsidRPr="002F5F9A" w:rsidRDefault="008D492E" w:rsidP="00B160AF">
            <w:pPr>
              <w:tabs>
                <w:tab w:val="center" w:pos="4513"/>
                <w:tab w:val="right" w:pos="9026"/>
              </w:tabs>
              <w:rPr>
                <w:rFonts w:asciiTheme="minorHAnsi" w:hAnsiTheme="minorHAnsi" w:cstheme="minorHAnsi"/>
                <w:b/>
              </w:rPr>
            </w:pPr>
          </w:p>
        </w:tc>
      </w:tr>
      <w:tr w:rsidR="008D492E" w:rsidRPr="004F4C90" w14:paraId="59C0A517" w14:textId="77777777" w:rsidTr="00342C05">
        <w:tc>
          <w:tcPr>
            <w:tcW w:w="1384" w:type="dxa"/>
          </w:tcPr>
          <w:p w14:paraId="59C0A514" w14:textId="77777777" w:rsidR="008D492E" w:rsidRDefault="008D492E" w:rsidP="00B160AF">
            <w:pPr>
              <w:rPr>
                <w:rFonts w:asciiTheme="minorHAnsi" w:hAnsiTheme="minorHAnsi" w:cstheme="minorHAnsi"/>
              </w:rPr>
            </w:pPr>
            <w:r>
              <w:rPr>
                <w:rFonts w:asciiTheme="minorHAnsi" w:hAnsiTheme="minorHAnsi" w:cstheme="minorHAnsi"/>
              </w:rPr>
              <w:t>TESOL</w:t>
            </w:r>
          </w:p>
          <w:p w14:paraId="59C0A515" w14:textId="77777777" w:rsidR="008D492E" w:rsidRPr="002F5F9A" w:rsidRDefault="008D492E" w:rsidP="00B160AF">
            <w:pPr>
              <w:rPr>
                <w:rFonts w:asciiTheme="minorHAnsi" w:hAnsiTheme="minorHAnsi" w:cstheme="minorHAnsi"/>
              </w:rPr>
            </w:pPr>
          </w:p>
        </w:tc>
        <w:tc>
          <w:tcPr>
            <w:tcW w:w="7796" w:type="dxa"/>
          </w:tcPr>
          <w:p w14:paraId="59C0A516" w14:textId="77777777" w:rsidR="008D492E" w:rsidRPr="002F5F9A" w:rsidRDefault="008D492E" w:rsidP="0018555D">
            <w:pPr>
              <w:tabs>
                <w:tab w:val="center" w:pos="4513"/>
                <w:tab w:val="right" w:pos="9026"/>
              </w:tabs>
              <w:rPr>
                <w:rFonts w:asciiTheme="minorHAnsi" w:hAnsiTheme="minorHAnsi" w:cstheme="minorHAnsi"/>
                <w:b/>
              </w:rPr>
            </w:pPr>
            <w:r>
              <w:rPr>
                <w:rFonts w:asciiTheme="minorHAnsi" w:hAnsiTheme="minorHAnsi" w:cstheme="minorHAnsi"/>
                <w:b/>
              </w:rPr>
              <w:t xml:space="preserve">Teaching English </w:t>
            </w:r>
            <w:r w:rsidR="0018555D">
              <w:rPr>
                <w:rFonts w:asciiTheme="minorHAnsi" w:hAnsiTheme="minorHAnsi" w:cstheme="minorHAnsi"/>
                <w:b/>
              </w:rPr>
              <w:t>to Speakers of Other Languages</w:t>
            </w:r>
          </w:p>
        </w:tc>
      </w:tr>
      <w:tr w:rsidR="008D492E" w:rsidRPr="004F4C90" w14:paraId="59C0A51B" w14:textId="77777777" w:rsidTr="00342C05">
        <w:tc>
          <w:tcPr>
            <w:tcW w:w="1384" w:type="dxa"/>
          </w:tcPr>
          <w:p w14:paraId="59C0A518" w14:textId="77777777" w:rsidR="008D492E" w:rsidRPr="002F5F9A" w:rsidRDefault="008D492E" w:rsidP="00B160AF">
            <w:pPr>
              <w:rPr>
                <w:rFonts w:asciiTheme="minorHAnsi" w:hAnsiTheme="minorHAnsi" w:cstheme="minorHAnsi"/>
              </w:rPr>
            </w:pPr>
            <w:r>
              <w:rPr>
                <w:rFonts w:asciiTheme="minorHAnsi" w:hAnsiTheme="minorHAnsi" w:cstheme="minorHAnsi"/>
              </w:rPr>
              <w:t>VET</w:t>
            </w:r>
          </w:p>
        </w:tc>
        <w:tc>
          <w:tcPr>
            <w:tcW w:w="7796" w:type="dxa"/>
          </w:tcPr>
          <w:p w14:paraId="59C0A519" w14:textId="77777777" w:rsidR="008D492E" w:rsidRPr="004F4C90" w:rsidRDefault="008D492E" w:rsidP="007D7D96">
            <w:pPr>
              <w:tabs>
                <w:tab w:val="center" w:pos="4513"/>
                <w:tab w:val="right" w:pos="9026"/>
              </w:tabs>
              <w:rPr>
                <w:rFonts w:asciiTheme="minorHAnsi" w:hAnsiTheme="minorHAnsi" w:cstheme="minorHAnsi"/>
                <w:b/>
              </w:rPr>
            </w:pPr>
            <w:r>
              <w:rPr>
                <w:rFonts w:asciiTheme="minorHAnsi" w:hAnsiTheme="minorHAnsi" w:cstheme="minorHAnsi"/>
                <w:b/>
              </w:rPr>
              <w:t>Vocational Education and Training</w:t>
            </w:r>
          </w:p>
          <w:p w14:paraId="59C0A51A" w14:textId="77777777" w:rsidR="008D492E" w:rsidRPr="002F5F9A" w:rsidRDefault="008D492E" w:rsidP="00B160AF">
            <w:pPr>
              <w:tabs>
                <w:tab w:val="center" w:pos="4513"/>
                <w:tab w:val="right" w:pos="9026"/>
              </w:tabs>
              <w:rPr>
                <w:rFonts w:asciiTheme="minorHAnsi" w:hAnsiTheme="minorHAnsi" w:cstheme="minorHAnsi"/>
                <w:b/>
              </w:rPr>
            </w:pPr>
          </w:p>
        </w:tc>
      </w:tr>
      <w:tr w:rsidR="008D492E" w:rsidRPr="004F4C90" w14:paraId="59C0A51F" w14:textId="77777777" w:rsidTr="00342C05">
        <w:tc>
          <w:tcPr>
            <w:tcW w:w="1384" w:type="dxa"/>
          </w:tcPr>
          <w:p w14:paraId="59C0A51C" w14:textId="77777777" w:rsidR="008D492E" w:rsidRDefault="008D492E" w:rsidP="00B160AF">
            <w:pPr>
              <w:rPr>
                <w:rFonts w:asciiTheme="minorHAnsi" w:hAnsiTheme="minorHAnsi" w:cstheme="minorHAnsi"/>
              </w:rPr>
            </w:pPr>
            <w:r>
              <w:rPr>
                <w:rFonts w:asciiTheme="minorHAnsi" w:hAnsiTheme="minorHAnsi" w:cstheme="minorHAnsi"/>
              </w:rPr>
              <w:t>VOIP</w:t>
            </w:r>
          </w:p>
        </w:tc>
        <w:tc>
          <w:tcPr>
            <w:tcW w:w="7796" w:type="dxa"/>
          </w:tcPr>
          <w:p w14:paraId="59C0A51D" w14:textId="77777777" w:rsidR="008D492E" w:rsidRDefault="008D492E">
            <w:pPr>
              <w:tabs>
                <w:tab w:val="center" w:pos="4513"/>
                <w:tab w:val="right" w:pos="9026"/>
              </w:tabs>
              <w:rPr>
                <w:rFonts w:asciiTheme="minorHAnsi" w:hAnsiTheme="minorHAnsi" w:cstheme="minorHAnsi"/>
                <w:b/>
              </w:rPr>
            </w:pPr>
            <w:r>
              <w:rPr>
                <w:rFonts w:asciiTheme="minorHAnsi" w:hAnsiTheme="minorHAnsi" w:cstheme="minorHAnsi"/>
                <w:b/>
              </w:rPr>
              <w:t xml:space="preserve">Voice Over Internet Protocol Technology </w:t>
            </w:r>
          </w:p>
          <w:p w14:paraId="59C0A51E" w14:textId="77777777" w:rsidR="008D492E" w:rsidRDefault="008D492E">
            <w:pPr>
              <w:tabs>
                <w:tab w:val="center" w:pos="4513"/>
                <w:tab w:val="right" w:pos="9026"/>
              </w:tabs>
              <w:rPr>
                <w:rFonts w:asciiTheme="minorHAnsi" w:eastAsia="Times New Roman" w:hAnsiTheme="minorHAnsi" w:cstheme="minorHAnsi"/>
                <w:b/>
                <w:lang w:eastAsia="en-AU"/>
              </w:rPr>
            </w:pPr>
          </w:p>
        </w:tc>
      </w:tr>
    </w:tbl>
    <w:p w14:paraId="59C0A520" w14:textId="77777777" w:rsidR="00E93DFF" w:rsidRPr="004F4C90" w:rsidRDefault="00E93DFF">
      <w:pPr>
        <w:rPr>
          <w:rFonts w:asciiTheme="minorHAnsi" w:hAnsiTheme="minorHAnsi" w:cstheme="minorHAnsi"/>
        </w:rPr>
      </w:pPr>
      <w:r w:rsidRPr="004F4C90">
        <w:rPr>
          <w:rFonts w:asciiTheme="minorHAnsi" w:hAnsiTheme="minorHAnsi" w:cstheme="minorHAnsi"/>
        </w:rPr>
        <w:br w:type="page"/>
      </w:r>
    </w:p>
    <w:p w14:paraId="59C0A521" w14:textId="77777777" w:rsidR="007071B8" w:rsidRPr="00523E95" w:rsidRDefault="00FA4EBD" w:rsidP="0075673C">
      <w:pPr>
        <w:pStyle w:val="Heading1"/>
      </w:pPr>
      <w:bookmarkStart w:id="2" w:name="_Toc330460453"/>
      <w:r>
        <w:lastRenderedPageBreak/>
        <w:t xml:space="preserve">Chapter </w:t>
      </w:r>
      <w:r w:rsidR="00D5270D">
        <w:t>1</w:t>
      </w:r>
      <w:r>
        <w:t xml:space="preserve"> </w:t>
      </w:r>
      <w:r w:rsidRPr="0015003D">
        <w:t xml:space="preserve">– </w:t>
      </w:r>
      <w:r>
        <w:t>Introduction</w:t>
      </w:r>
      <w:bookmarkEnd w:id="2"/>
    </w:p>
    <w:p w14:paraId="59C0A522" w14:textId="77777777" w:rsidR="0074504E" w:rsidRDefault="0074504E">
      <w:pPr>
        <w:shd w:val="clear" w:color="auto" w:fill="FFFFFF"/>
        <w:rPr>
          <w:rFonts w:ascii="Century Gothic" w:hAnsi="Century Gothic" w:cstheme="minorHAnsi"/>
          <w:color w:val="365F91" w:themeColor="accent1" w:themeShade="BF"/>
          <w:sz w:val="28"/>
          <w:szCs w:val="28"/>
        </w:rPr>
      </w:pPr>
    </w:p>
    <w:p w14:paraId="59C0A523" w14:textId="77777777" w:rsidR="00D5270D" w:rsidRDefault="00D24B73" w:rsidP="003A64D3">
      <w:pPr>
        <w:pStyle w:val="Heading3"/>
      </w:pPr>
      <w:bookmarkStart w:id="3" w:name="_Toc330460454"/>
      <w:r w:rsidRPr="00D24B73">
        <w:t>Overview</w:t>
      </w:r>
      <w:bookmarkEnd w:id="3"/>
    </w:p>
    <w:p w14:paraId="59C0A524" w14:textId="77777777" w:rsidR="00E93DFF" w:rsidRPr="00D5270D" w:rsidRDefault="00E93DFF" w:rsidP="00E93DFF">
      <w:pPr>
        <w:shd w:val="clear" w:color="auto" w:fill="FFFFFF"/>
        <w:rPr>
          <w:rFonts w:ascii="Century Gothic" w:hAnsi="Century Gothic" w:cstheme="minorHAnsi"/>
          <w:color w:val="365F91" w:themeColor="accent1" w:themeShade="BF"/>
          <w:sz w:val="28"/>
          <w:szCs w:val="28"/>
        </w:rPr>
      </w:pPr>
      <w:r w:rsidRPr="004350B4">
        <w:rPr>
          <w:rFonts w:asciiTheme="minorHAnsi" w:hAnsiTheme="minorHAnsi" w:cstheme="minorHAnsi"/>
          <w:color w:val="000000"/>
        </w:rPr>
        <w:t>The L</w:t>
      </w:r>
      <w:r w:rsidR="00D86D6F">
        <w:rPr>
          <w:rFonts w:asciiTheme="minorHAnsi" w:hAnsiTheme="minorHAnsi" w:cstheme="minorHAnsi"/>
          <w:color w:val="000000"/>
        </w:rPr>
        <w:t xml:space="preserve">anguage, Literacy and Numeracy Program (LLNP) has been operating since 2002.  The program </w:t>
      </w:r>
      <w:r w:rsidRPr="004350B4">
        <w:rPr>
          <w:rFonts w:asciiTheme="minorHAnsi" w:hAnsiTheme="minorHAnsi" w:cstheme="minorHAnsi"/>
          <w:color w:val="000000"/>
        </w:rPr>
        <w:t>seeks to improve clients’ language, literacy and/or numeracy</w:t>
      </w:r>
      <w:r w:rsidR="003559C3">
        <w:rPr>
          <w:rFonts w:asciiTheme="minorHAnsi" w:hAnsiTheme="minorHAnsi" w:cstheme="minorHAnsi"/>
          <w:color w:val="000000"/>
        </w:rPr>
        <w:t xml:space="preserve"> (LLN) skills</w:t>
      </w:r>
      <w:r w:rsidRPr="004350B4">
        <w:rPr>
          <w:rFonts w:asciiTheme="minorHAnsi" w:hAnsiTheme="minorHAnsi" w:cstheme="minorHAnsi"/>
          <w:color w:val="000000"/>
        </w:rPr>
        <w:t xml:space="preserve"> with the expectation that such improvements will enable them to participate more effectively in training or in the labour force</w:t>
      </w:r>
      <w:r w:rsidR="002859CE">
        <w:rPr>
          <w:rFonts w:asciiTheme="minorHAnsi" w:hAnsiTheme="minorHAnsi" w:cstheme="minorHAnsi"/>
          <w:color w:val="000000"/>
        </w:rPr>
        <w:t>,</w:t>
      </w:r>
      <w:r w:rsidRPr="004350B4">
        <w:rPr>
          <w:rFonts w:asciiTheme="minorHAnsi" w:hAnsiTheme="minorHAnsi" w:cstheme="minorHAnsi"/>
          <w:color w:val="000000"/>
        </w:rPr>
        <w:t xml:space="preserve"> and lead to greater</w:t>
      </w:r>
      <w:r w:rsidR="002859CE">
        <w:rPr>
          <w:rFonts w:asciiTheme="minorHAnsi" w:hAnsiTheme="minorHAnsi" w:cstheme="minorHAnsi"/>
          <w:color w:val="000000"/>
        </w:rPr>
        <w:t xml:space="preserve"> long-term</w:t>
      </w:r>
      <w:r w:rsidRPr="004350B4">
        <w:rPr>
          <w:rFonts w:asciiTheme="minorHAnsi" w:hAnsiTheme="minorHAnsi" w:cstheme="minorHAnsi"/>
          <w:color w:val="000000"/>
        </w:rPr>
        <w:t xml:space="preserve"> gains for society</w:t>
      </w:r>
      <w:r w:rsidR="002859CE">
        <w:rPr>
          <w:rFonts w:asciiTheme="minorHAnsi" w:hAnsiTheme="minorHAnsi" w:cstheme="minorHAnsi"/>
          <w:color w:val="000000"/>
        </w:rPr>
        <w:t>.</w:t>
      </w:r>
    </w:p>
    <w:p w14:paraId="59C0A525" w14:textId="77777777" w:rsidR="00D86D6F" w:rsidRDefault="00D86D6F" w:rsidP="00F07453">
      <w:pPr>
        <w:rPr>
          <w:rFonts w:asciiTheme="minorHAnsi" w:hAnsiTheme="minorHAnsi" w:cstheme="minorHAnsi"/>
        </w:rPr>
      </w:pPr>
      <w:r>
        <w:rPr>
          <w:rFonts w:asciiTheme="minorHAnsi" w:hAnsiTheme="minorHAnsi" w:cstheme="minorHAnsi"/>
        </w:rPr>
        <w:t>Registered Training Organisations</w:t>
      </w:r>
      <w:r w:rsidR="0089524D">
        <w:rPr>
          <w:rFonts w:asciiTheme="minorHAnsi" w:hAnsiTheme="minorHAnsi" w:cstheme="minorHAnsi"/>
        </w:rPr>
        <w:t xml:space="preserve"> (RTOs)</w:t>
      </w:r>
      <w:r>
        <w:rPr>
          <w:rFonts w:asciiTheme="minorHAnsi" w:hAnsiTheme="minorHAnsi" w:cstheme="minorHAnsi"/>
        </w:rPr>
        <w:t xml:space="preserve"> are contracted by the Department of Industry, Innovation, Science, Research and Tertiary Education to deliver the LLNP.  The Commonwealth </w:t>
      </w:r>
      <w:r w:rsidR="004079EE">
        <w:rPr>
          <w:rFonts w:asciiTheme="minorHAnsi" w:hAnsiTheme="minorHAnsi" w:cstheme="minorHAnsi"/>
        </w:rPr>
        <w:t xml:space="preserve">facilitates the delivery of these </w:t>
      </w:r>
      <w:r w:rsidR="00F07453">
        <w:rPr>
          <w:rFonts w:asciiTheme="minorHAnsi" w:hAnsiTheme="minorHAnsi" w:cstheme="minorHAnsi"/>
        </w:rPr>
        <w:t xml:space="preserve">services by </w:t>
      </w:r>
      <w:r>
        <w:rPr>
          <w:rFonts w:asciiTheme="minorHAnsi" w:hAnsiTheme="minorHAnsi" w:cstheme="minorHAnsi"/>
        </w:rPr>
        <w:t>undertak</w:t>
      </w:r>
      <w:r w:rsidR="00F07453">
        <w:rPr>
          <w:rFonts w:asciiTheme="minorHAnsi" w:hAnsiTheme="minorHAnsi" w:cstheme="minorHAnsi"/>
        </w:rPr>
        <w:t xml:space="preserve">ing </w:t>
      </w:r>
      <w:r>
        <w:rPr>
          <w:rFonts w:asciiTheme="minorHAnsi" w:hAnsiTheme="minorHAnsi" w:cstheme="minorHAnsi"/>
        </w:rPr>
        <w:t>an open market procurement process</w:t>
      </w:r>
      <w:r w:rsidR="00F07453">
        <w:rPr>
          <w:rFonts w:asciiTheme="minorHAnsi" w:hAnsiTheme="minorHAnsi" w:cstheme="minorHAnsi"/>
        </w:rPr>
        <w:t xml:space="preserve">.  The last procurement process was undertaken in </w:t>
      </w:r>
      <w:r w:rsidR="00084013">
        <w:rPr>
          <w:rFonts w:asciiTheme="minorHAnsi" w:hAnsiTheme="minorHAnsi" w:cstheme="minorHAnsi"/>
        </w:rPr>
        <w:t>2009</w:t>
      </w:r>
      <w:r w:rsidR="00F07453">
        <w:rPr>
          <w:rFonts w:asciiTheme="minorHAnsi" w:hAnsiTheme="minorHAnsi" w:cstheme="minorHAnsi"/>
        </w:rPr>
        <w:t xml:space="preserve"> for the 2010-13 contract period.  </w:t>
      </w:r>
    </w:p>
    <w:p w14:paraId="59C0A526" w14:textId="77777777" w:rsidR="00D86D6F" w:rsidRDefault="00D86D6F" w:rsidP="00D86D6F">
      <w:pPr>
        <w:rPr>
          <w:rFonts w:asciiTheme="minorHAnsi" w:hAnsiTheme="minorHAnsi" w:cstheme="minorHAnsi"/>
        </w:rPr>
      </w:pPr>
    </w:p>
    <w:p w14:paraId="59C0A527" w14:textId="77777777" w:rsidR="001E540B" w:rsidRDefault="001E540B" w:rsidP="001E540B">
      <w:pPr>
        <w:rPr>
          <w:rFonts w:asciiTheme="minorHAnsi" w:hAnsiTheme="minorHAnsi" w:cstheme="minorHAnsi"/>
        </w:rPr>
      </w:pPr>
      <w:r>
        <w:rPr>
          <w:rFonts w:asciiTheme="minorHAnsi" w:hAnsiTheme="minorHAnsi" w:cstheme="minorHAnsi"/>
        </w:rPr>
        <w:t xml:space="preserve">Given that the </w:t>
      </w:r>
      <w:r w:rsidRPr="00B160AF">
        <w:rPr>
          <w:rFonts w:asciiTheme="minorHAnsi" w:hAnsiTheme="minorHAnsi" w:cstheme="minorHAnsi"/>
        </w:rPr>
        <w:t>current contracts</w:t>
      </w:r>
      <w:r>
        <w:rPr>
          <w:rFonts w:asciiTheme="minorHAnsi" w:hAnsiTheme="minorHAnsi" w:cstheme="minorHAnsi"/>
        </w:rPr>
        <w:t xml:space="preserve"> </w:t>
      </w:r>
      <w:r w:rsidRPr="00B160AF">
        <w:rPr>
          <w:rFonts w:asciiTheme="minorHAnsi" w:hAnsiTheme="minorHAnsi" w:cstheme="minorHAnsi"/>
        </w:rPr>
        <w:t>for the delivery of the program expire on 30 June 2013</w:t>
      </w:r>
      <w:r>
        <w:rPr>
          <w:rFonts w:asciiTheme="minorHAnsi" w:hAnsiTheme="minorHAnsi" w:cstheme="minorHAnsi"/>
        </w:rPr>
        <w:t>, the Government sees this as an opportune time to review</w:t>
      </w:r>
      <w:r w:rsidR="004F6071">
        <w:rPr>
          <w:rFonts w:asciiTheme="minorHAnsi" w:hAnsiTheme="minorHAnsi" w:cstheme="minorHAnsi"/>
        </w:rPr>
        <w:t xml:space="preserve"> elements of </w:t>
      </w:r>
      <w:r>
        <w:rPr>
          <w:rFonts w:asciiTheme="minorHAnsi" w:hAnsiTheme="minorHAnsi" w:cstheme="minorHAnsi"/>
        </w:rPr>
        <w:t>the program</w:t>
      </w:r>
      <w:r w:rsidR="007E7ADC">
        <w:rPr>
          <w:rFonts w:asciiTheme="minorHAnsi" w:hAnsiTheme="minorHAnsi" w:cstheme="minorHAnsi"/>
        </w:rPr>
        <w:t xml:space="preserve">.  </w:t>
      </w:r>
    </w:p>
    <w:p w14:paraId="59C0A528" w14:textId="77777777" w:rsidR="001E540B" w:rsidRDefault="001E540B" w:rsidP="00D86D6F">
      <w:pPr>
        <w:rPr>
          <w:rFonts w:asciiTheme="minorHAnsi" w:hAnsiTheme="minorHAnsi" w:cstheme="minorHAnsi"/>
        </w:rPr>
      </w:pPr>
    </w:p>
    <w:p w14:paraId="59C0A529" w14:textId="77777777" w:rsidR="001E540B" w:rsidRDefault="009D4944">
      <w:pPr>
        <w:rPr>
          <w:rFonts w:asciiTheme="minorHAnsi" w:hAnsiTheme="minorHAnsi" w:cstheme="minorHAnsi"/>
        </w:rPr>
      </w:pPr>
      <w:r>
        <w:rPr>
          <w:rFonts w:asciiTheme="minorHAnsi" w:hAnsiTheme="minorHAnsi" w:cstheme="minorHAnsi"/>
        </w:rPr>
        <w:t xml:space="preserve">This Discussion </w:t>
      </w:r>
      <w:r w:rsidR="0089524D">
        <w:rPr>
          <w:rFonts w:asciiTheme="minorHAnsi" w:hAnsiTheme="minorHAnsi" w:cstheme="minorHAnsi"/>
        </w:rPr>
        <w:t>P</w:t>
      </w:r>
      <w:r>
        <w:rPr>
          <w:rFonts w:asciiTheme="minorHAnsi" w:hAnsiTheme="minorHAnsi" w:cstheme="minorHAnsi"/>
        </w:rPr>
        <w:t>aper seeks feedback on some</w:t>
      </w:r>
      <w:r w:rsidR="004F6071">
        <w:rPr>
          <w:rFonts w:asciiTheme="minorHAnsi" w:hAnsiTheme="minorHAnsi" w:cstheme="minorHAnsi"/>
        </w:rPr>
        <w:t xml:space="preserve"> possible</w:t>
      </w:r>
      <w:r>
        <w:rPr>
          <w:rFonts w:asciiTheme="minorHAnsi" w:hAnsiTheme="minorHAnsi" w:cstheme="minorHAnsi"/>
        </w:rPr>
        <w:t xml:space="preserve"> changes</w:t>
      </w:r>
      <w:r w:rsidR="001E540B">
        <w:rPr>
          <w:rFonts w:asciiTheme="minorHAnsi" w:hAnsiTheme="minorHAnsi" w:cstheme="minorHAnsi"/>
        </w:rPr>
        <w:t xml:space="preserve"> which </w:t>
      </w:r>
      <w:r w:rsidR="006A19B4">
        <w:rPr>
          <w:rFonts w:asciiTheme="minorHAnsi" w:hAnsiTheme="minorHAnsi" w:cstheme="minorHAnsi"/>
        </w:rPr>
        <w:t>may</w:t>
      </w:r>
      <w:r w:rsidR="001E540B">
        <w:rPr>
          <w:rFonts w:asciiTheme="minorHAnsi" w:hAnsiTheme="minorHAnsi" w:cstheme="minorHAnsi"/>
        </w:rPr>
        <w:t xml:space="preserve"> be considered when reviewing the LLNP Guidelines.  Any changes will </w:t>
      </w:r>
      <w:r w:rsidR="006A19B4">
        <w:rPr>
          <w:rFonts w:asciiTheme="minorHAnsi" w:hAnsiTheme="minorHAnsi" w:cstheme="minorHAnsi"/>
        </w:rPr>
        <w:t>be reflected in the next tender process and contract.</w:t>
      </w:r>
      <w:r w:rsidR="001E540B">
        <w:rPr>
          <w:rFonts w:asciiTheme="minorHAnsi" w:hAnsiTheme="minorHAnsi" w:cstheme="minorHAnsi"/>
        </w:rPr>
        <w:t xml:space="preserve"> </w:t>
      </w:r>
    </w:p>
    <w:p w14:paraId="59C0A52A" w14:textId="77777777" w:rsidR="001E540B" w:rsidRDefault="001E540B">
      <w:pPr>
        <w:rPr>
          <w:rFonts w:asciiTheme="minorHAnsi" w:hAnsiTheme="minorHAnsi" w:cstheme="minorHAnsi"/>
        </w:rPr>
      </w:pPr>
    </w:p>
    <w:p w14:paraId="59C0A52B" w14:textId="77777777" w:rsidR="001E540B" w:rsidRDefault="004F6071">
      <w:pPr>
        <w:rPr>
          <w:rFonts w:asciiTheme="minorHAnsi" w:hAnsiTheme="minorHAnsi" w:cstheme="minorHAnsi"/>
        </w:rPr>
      </w:pPr>
      <w:r>
        <w:rPr>
          <w:rFonts w:asciiTheme="minorHAnsi" w:hAnsiTheme="minorHAnsi" w:cstheme="minorHAnsi"/>
        </w:rPr>
        <w:t xml:space="preserve">The inclusion of possible </w:t>
      </w:r>
      <w:r w:rsidR="001E540B">
        <w:rPr>
          <w:rFonts w:asciiTheme="minorHAnsi" w:hAnsiTheme="minorHAnsi" w:cstheme="minorHAnsi"/>
        </w:rPr>
        <w:t>changes</w:t>
      </w:r>
      <w:r>
        <w:rPr>
          <w:rFonts w:asciiTheme="minorHAnsi" w:hAnsiTheme="minorHAnsi" w:cstheme="minorHAnsi"/>
        </w:rPr>
        <w:t xml:space="preserve"> in this Discussion Paper</w:t>
      </w:r>
      <w:r w:rsidR="001E540B">
        <w:rPr>
          <w:rFonts w:asciiTheme="minorHAnsi" w:hAnsiTheme="minorHAnsi" w:cstheme="minorHAnsi"/>
        </w:rPr>
        <w:t xml:space="preserve"> does not </w:t>
      </w:r>
      <w:r>
        <w:rPr>
          <w:rFonts w:asciiTheme="minorHAnsi" w:hAnsiTheme="minorHAnsi" w:cstheme="minorHAnsi"/>
        </w:rPr>
        <w:t xml:space="preserve">imply </w:t>
      </w:r>
      <w:r w:rsidR="001E540B">
        <w:rPr>
          <w:rFonts w:asciiTheme="minorHAnsi" w:hAnsiTheme="minorHAnsi" w:cstheme="minorHAnsi"/>
        </w:rPr>
        <w:t xml:space="preserve">that the changes </w:t>
      </w:r>
      <w:r>
        <w:rPr>
          <w:rFonts w:asciiTheme="minorHAnsi" w:hAnsiTheme="minorHAnsi" w:cstheme="minorHAnsi"/>
        </w:rPr>
        <w:t>will be implemented</w:t>
      </w:r>
      <w:r w:rsidR="001E540B">
        <w:rPr>
          <w:rFonts w:asciiTheme="minorHAnsi" w:hAnsiTheme="minorHAnsi" w:cstheme="minorHAnsi"/>
        </w:rPr>
        <w:t xml:space="preserve">.    </w:t>
      </w:r>
    </w:p>
    <w:p w14:paraId="59C0A52C" w14:textId="77777777" w:rsidR="006720DC" w:rsidRDefault="006720DC">
      <w:pPr>
        <w:rPr>
          <w:rFonts w:asciiTheme="minorHAnsi" w:hAnsiTheme="minorHAnsi" w:cstheme="minorHAnsi"/>
        </w:rPr>
      </w:pPr>
    </w:p>
    <w:p w14:paraId="59C0A52D" w14:textId="77777777" w:rsidR="007071B8" w:rsidRDefault="00D24B73" w:rsidP="003A64D3">
      <w:pPr>
        <w:pStyle w:val="Heading3"/>
      </w:pPr>
      <w:bookmarkStart w:id="4" w:name="_Toc330460455"/>
      <w:r w:rsidRPr="00D24B73">
        <w:t>Purpose of</w:t>
      </w:r>
      <w:r w:rsidR="00D5270D">
        <w:t xml:space="preserve"> the</w:t>
      </w:r>
      <w:r w:rsidRPr="00D24B73">
        <w:t xml:space="preserve"> </w:t>
      </w:r>
      <w:r w:rsidR="00D5270D">
        <w:t>LLNP</w:t>
      </w:r>
      <w:r w:rsidRPr="00D24B73">
        <w:t xml:space="preserve"> Review</w:t>
      </w:r>
      <w:bookmarkEnd w:id="4"/>
      <w:r w:rsidRPr="00D24B73">
        <w:t xml:space="preserve">  </w:t>
      </w:r>
    </w:p>
    <w:p w14:paraId="59C0A52E" w14:textId="77777777" w:rsidR="00F665FB" w:rsidRDefault="006A19B4">
      <w:pPr>
        <w:rPr>
          <w:rFonts w:asciiTheme="minorHAnsi" w:hAnsiTheme="minorHAnsi" w:cstheme="minorHAnsi"/>
        </w:rPr>
      </w:pPr>
      <w:r>
        <w:rPr>
          <w:rFonts w:asciiTheme="minorHAnsi" w:hAnsiTheme="minorHAnsi" w:cstheme="minorHAnsi"/>
        </w:rPr>
        <w:t>T</w:t>
      </w:r>
      <w:r w:rsidR="00F665FB">
        <w:rPr>
          <w:rFonts w:asciiTheme="minorHAnsi" w:hAnsiTheme="minorHAnsi" w:cstheme="minorHAnsi"/>
        </w:rPr>
        <w:t>he</w:t>
      </w:r>
      <w:r w:rsidR="0089524D">
        <w:rPr>
          <w:rFonts w:asciiTheme="minorHAnsi" w:hAnsiTheme="minorHAnsi" w:cstheme="minorHAnsi"/>
        </w:rPr>
        <w:t xml:space="preserve"> Australian</w:t>
      </w:r>
      <w:r w:rsidR="00F665FB">
        <w:rPr>
          <w:rFonts w:asciiTheme="minorHAnsi" w:hAnsiTheme="minorHAnsi" w:cstheme="minorHAnsi"/>
        </w:rPr>
        <w:t xml:space="preserve"> Government is planning to approach the open market for the next contract period </w:t>
      </w:r>
      <w:r w:rsidR="00E00821">
        <w:rPr>
          <w:rFonts w:asciiTheme="minorHAnsi" w:hAnsiTheme="minorHAnsi" w:cstheme="minorHAnsi"/>
        </w:rPr>
        <w:t xml:space="preserve">- </w:t>
      </w:r>
      <w:r w:rsidR="00F665FB">
        <w:rPr>
          <w:rFonts w:asciiTheme="minorHAnsi" w:hAnsiTheme="minorHAnsi" w:cstheme="minorHAnsi"/>
        </w:rPr>
        <w:t>2013-16 as well as offering contract extensions to</w:t>
      </w:r>
      <w:r>
        <w:rPr>
          <w:rFonts w:asciiTheme="minorHAnsi" w:hAnsiTheme="minorHAnsi" w:cstheme="minorHAnsi"/>
        </w:rPr>
        <w:t xml:space="preserve"> high performing</w:t>
      </w:r>
      <w:r w:rsidR="00F665FB">
        <w:rPr>
          <w:rFonts w:asciiTheme="minorHAnsi" w:hAnsiTheme="minorHAnsi" w:cstheme="minorHAnsi"/>
        </w:rPr>
        <w:t xml:space="preserve"> existing providers.  The details of the market delivery are outlined in more detail within Chapter 2 –</w:t>
      </w:r>
      <w:r w:rsidR="00463D25">
        <w:rPr>
          <w:rFonts w:asciiTheme="minorHAnsi" w:hAnsiTheme="minorHAnsi" w:cstheme="minorHAnsi"/>
        </w:rPr>
        <w:t> </w:t>
      </w:r>
      <w:r w:rsidR="00F665FB">
        <w:rPr>
          <w:rFonts w:asciiTheme="minorHAnsi" w:hAnsiTheme="minorHAnsi" w:cstheme="minorHAnsi"/>
        </w:rPr>
        <w:t xml:space="preserve"> Market Delivery in 2013-16.</w:t>
      </w:r>
    </w:p>
    <w:p w14:paraId="59C0A52F" w14:textId="77777777" w:rsidR="00F665FB" w:rsidRDefault="00F665FB">
      <w:pPr>
        <w:rPr>
          <w:rFonts w:asciiTheme="minorHAnsi" w:hAnsiTheme="minorHAnsi" w:cstheme="minorHAnsi"/>
        </w:rPr>
      </w:pPr>
    </w:p>
    <w:p w14:paraId="59C0A530" w14:textId="77777777" w:rsidR="00E10AF3" w:rsidRDefault="00E10AF3" w:rsidP="00E10AF3">
      <w:pPr>
        <w:spacing w:after="120"/>
        <w:rPr>
          <w:rFonts w:asciiTheme="minorHAnsi" w:hAnsiTheme="minorHAnsi" w:cstheme="minorHAnsi"/>
        </w:rPr>
      </w:pPr>
      <w:r w:rsidRPr="004350B4">
        <w:rPr>
          <w:rFonts w:asciiTheme="minorHAnsi" w:hAnsiTheme="minorHAnsi" w:cstheme="minorHAnsi"/>
        </w:rPr>
        <w:t xml:space="preserve">The Government is investing in a range of measures to ensure Australia is able to meet the skills challenge confronting the economy and </w:t>
      </w:r>
      <w:r>
        <w:rPr>
          <w:rFonts w:asciiTheme="minorHAnsi" w:hAnsiTheme="minorHAnsi" w:cstheme="minorHAnsi"/>
        </w:rPr>
        <w:t xml:space="preserve">to </w:t>
      </w:r>
      <w:r w:rsidRPr="004350B4">
        <w:rPr>
          <w:rFonts w:asciiTheme="minorHAnsi" w:hAnsiTheme="minorHAnsi" w:cstheme="minorHAnsi"/>
        </w:rPr>
        <w:t>share the benefits of economic growth with all Australians</w:t>
      </w:r>
      <w:r w:rsidR="007E7ADC">
        <w:rPr>
          <w:rFonts w:asciiTheme="minorHAnsi" w:hAnsiTheme="minorHAnsi" w:cstheme="minorHAnsi"/>
        </w:rPr>
        <w:t xml:space="preserve">.  </w:t>
      </w:r>
      <w:r w:rsidRPr="004350B4">
        <w:rPr>
          <w:rFonts w:asciiTheme="minorHAnsi" w:hAnsiTheme="minorHAnsi" w:cstheme="minorHAnsi"/>
        </w:rPr>
        <w:t>Australia faces the dual pressure of an ag</w:t>
      </w:r>
      <w:r w:rsidR="00463D25">
        <w:rPr>
          <w:rFonts w:asciiTheme="minorHAnsi" w:hAnsiTheme="minorHAnsi" w:cstheme="minorHAnsi"/>
        </w:rPr>
        <w:t>e</w:t>
      </w:r>
      <w:r w:rsidRPr="004350B4">
        <w:rPr>
          <w:rFonts w:asciiTheme="minorHAnsi" w:hAnsiTheme="minorHAnsi" w:cstheme="minorHAnsi"/>
        </w:rPr>
        <w:t xml:space="preserve">ing population and increasing demand for more highly skilled workers, which will </w:t>
      </w:r>
      <w:r w:rsidR="00055E5A">
        <w:rPr>
          <w:rFonts w:asciiTheme="minorHAnsi" w:hAnsiTheme="minorHAnsi" w:cstheme="minorHAnsi"/>
        </w:rPr>
        <w:t>deepen over the next 15 years</w:t>
      </w:r>
      <w:r w:rsidR="00C11EF8">
        <w:rPr>
          <w:rFonts w:asciiTheme="minorHAnsi" w:hAnsiTheme="minorHAnsi" w:cstheme="minorHAnsi"/>
        </w:rPr>
        <w:t xml:space="preserve">.  </w:t>
      </w:r>
      <w:r w:rsidRPr="004350B4">
        <w:rPr>
          <w:rFonts w:asciiTheme="minorHAnsi" w:hAnsiTheme="minorHAnsi" w:cstheme="minorHAnsi"/>
        </w:rPr>
        <w:t>Skill</w:t>
      </w:r>
      <w:r w:rsidR="00DC677B">
        <w:rPr>
          <w:rFonts w:asciiTheme="minorHAnsi" w:hAnsiTheme="minorHAnsi" w:cstheme="minorHAnsi"/>
        </w:rPr>
        <w:t>s</w:t>
      </w:r>
      <w:r w:rsidRPr="004350B4">
        <w:rPr>
          <w:rFonts w:asciiTheme="minorHAnsi" w:hAnsiTheme="minorHAnsi" w:cstheme="minorHAnsi"/>
        </w:rPr>
        <w:t xml:space="preserve"> shortages exist in certain industries, notably in skilled trade areas and in many engineering and health occupations. </w:t>
      </w:r>
    </w:p>
    <w:p w14:paraId="59C0A531" w14:textId="77777777" w:rsidR="00E10AF3" w:rsidRPr="004350B4" w:rsidRDefault="00E10AF3" w:rsidP="00E10AF3">
      <w:pPr>
        <w:spacing w:after="120"/>
        <w:rPr>
          <w:rFonts w:asciiTheme="minorHAnsi" w:hAnsiTheme="minorHAnsi" w:cstheme="minorHAnsi"/>
        </w:rPr>
      </w:pPr>
      <w:r w:rsidRPr="004350B4">
        <w:rPr>
          <w:rFonts w:asciiTheme="minorHAnsi" w:hAnsiTheme="minorHAnsi" w:cstheme="minorHAnsi"/>
        </w:rPr>
        <w:t>There are communities of significant employment disadvantage and individuals who, for a variety of complex reasons, remain outside or on the margins of the labour market.  These issues have consequences for Australia’s future prosperity –</w:t>
      </w:r>
      <w:r>
        <w:rPr>
          <w:rFonts w:asciiTheme="minorHAnsi" w:hAnsiTheme="minorHAnsi" w:cstheme="minorHAnsi"/>
        </w:rPr>
        <w:t xml:space="preserve"> </w:t>
      </w:r>
      <w:r w:rsidRPr="004350B4">
        <w:rPr>
          <w:rFonts w:asciiTheme="minorHAnsi" w:hAnsiTheme="minorHAnsi" w:cstheme="minorHAnsi"/>
        </w:rPr>
        <w:t xml:space="preserve">for disadvantaged individuals as well as for the nation as a whole.  </w:t>
      </w:r>
    </w:p>
    <w:p w14:paraId="59C0A532" w14:textId="77777777" w:rsidR="00DB1557" w:rsidRPr="009C0D66" w:rsidRDefault="0024314A" w:rsidP="00DB1557">
      <w:r w:rsidRPr="009C0D66">
        <w:t>In the 2011 Budget the Government announced it would invest an additional $182.8 million over four years to lift the foundation skills of adult Australians</w:t>
      </w:r>
      <w:r w:rsidR="00DB1557" w:rsidRPr="009C0D66">
        <w:t xml:space="preserve"> under an initiative entitled </w:t>
      </w:r>
      <w:r w:rsidR="00A32C4B" w:rsidRPr="00A32C4B">
        <w:rPr>
          <w:i/>
        </w:rPr>
        <w:t>Building Australia’s Future Workforc</w:t>
      </w:r>
      <w:r w:rsidR="00DC677B">
        <w:rPr>
          <w:i/>
        </w:rPr>
        <w:t xml:space="preserve">e </w:t>
      </w:r>
      <w:r w:rsidR="00D24B73" w:rsidRPr="00D24B73">
        <w:t>(BAFW)</w:t>
      </w:r>
      <w:r w:rsidR="00A35868">
        <w:t xml:space="preserve">.  </w:t>
      </w:r>
      <w:r w:rsidRPr="009C0D66">
        <w:t xml:space="preserve">This </w:t>
      </w:r>
      <w:r w:rsidR="00DB1557" w:rsidRPr="009C0D66">
        <w:t>has brought</w:t>
      </w:r>
      <w:r w:rsidRPr="009C0D66">
        <w:t xml:space="preserve"> the total Government investment in foundation skills training and strategic initiatives over the next four years to around $760 million</w:t>
      </w:r>
      <w:r w:rsidR="00A35868">
        <w:t xml:space="preserve">.  </w:t>
      </w:r>
      <w:r w:rsidRPr="009C0D66">
        <w:t xml:space="preserve">Of </w:t>
      </w:r>
      <w:r w:rsidR="00DB1557" w:rsidRPr="009C0D66">
        <w:t>the</w:t>
      </w:r>
      <w:r w:rsidRPr="009C0D66">
        <w:t xml:space="preserve"> additional investment, $143.1 million over four years </w:t>
      </w:r>
      <w:r w:rsidR="00DB1557" w:rsidRPr="009C0D66">
        <w:t>has been</w:t>
      </w:r>
      <w:r w:rsidRPr="009C0D66">
        <w:t xml:space="preserve"> allocated fo</w:t>
      </w:r>
      <w:r w:rsidR="00DB1557" w:rsidRPr="009C0D66">
        <w:t>r improved access to the LLNP</w:t>
      </w:r>
      <w:r w:rsidR="00A35868">
        <w:t xml:space="preserve">.  </w:t>
      </w:r>
      <w:r w:rsidR="0082173D" w:rsidRPr="009C0D66">
        <w:t xml:space="preserve">The additional funding was in recognition of the demand for the program and </w:t>
      </w:r>
      <w:r w:rsidRPr="009C0D66">
        <w:t xml:space="preserve">means that an additional 30,000 job seekers will have access to this program over the next four years, </w:t>
      </w:r>
      <w:r w:rsidR="00DB1557" w:rsidRPr="009C0D66">
        <w:t>which commenced</w:t>
      </w:r>
      <w:r w:rsidRPr="009C0D66">
        <w:t xml:space="preserve"> </w:t>
      </w:r>
      <w:r w:rsidR="00DB1557" w:rsidRPr="009C0D66">
        <w:t>on</w:t>
      </w:r>
      <w:r w:rsidRPr="009C0D66">
        <w:t xml:space="preserve"> 1 July 2011.</w:t>
      </w:r>
    </w:p>
    <w:p w14:paraId="59C0A533" w14:textId="77777777" w:rsidR="00E10AF3" w:rsidRDefault="00E10AF3" w:rsidP="00D1213F">
      <w:pPr>
        <w:rPr>
          <w:rFonts w:asciiTheme="minorHAnsi" w:hAnsiTheme="minorHAnsi" w:cstheme="minorHAnsi"/>
        </w:rPr>
      </w:pPr>
    </w:p>
    <w:p w14:paraId="59C0A534" w14:textId="77777777" w:rsidR="00E10AF3" w:rsidRDefault="00E10AF3" w:rsidP="00D1213F">
      <w:pPr>
        <w:rPr>
          <w:rFonts w:asciiTheme="minorHAnsi" w:hAnsiTheme="minorHAnsi" w:cstheme="minorHAnsi"/>
        </w:rPr>
      </w:pPr>
    </w:p>
    <w:p w14:paraId="59C0A535" w14:textId="77777777" w:rsidR="004F6071" w:rsidRDefault="004F6071" w:rsidP="004F6071">
      <w:pPr>
        <w:rPr>
          <w:rFonts w:asciiTheme="minorHAnsi" w:hAnsiTheme="minorHAnsi" w:cstheme="minorHAnsi"/>
        </w:rPr>
      </w:pPr>
      <w:r w:rsidRPr="00B160AF">
        <w:rPr>
          <w:rFonts w:asciiTheme="minorHAnsi" w:hAnsiTheme="minorHAnsi" w:cstheme="minorHAnsi"/>
        </w:rPr>
        <w:lastRenderedPageBreak/>
        <w:t>The expiry of the current contractual arrangements for the LLNP presents an opportunity to examine the policy and operation of the progra</w:t>
      </w:r>
      <w:r w:rsidR="004079EE">
        <w:rPr>
          <w:rFonts w:asciiTheme="minorHAnsi" w:hAnsiTheme="minorHAnsi" w:cstheme="minorHAnsi"/>
        </w:rPr>
        <w:t>m,</w:t>
      </w:r>
      <w:r w:rsidRPr="00B160AF">
        <w:rPr>
          <w:rFonts w:asciiTheme="minorHAnsi" w:hAnsiTheme="minorHAnsi" w:cstheme="minorHAnsi"/>
        </w:rPr>
        <w:t xml:space="preserve"> tak</w:t>
      </w:r>
      <w:r w:rsidR="004079EE">
        <w:rPr>
          <w:rFonts w:asciiTheme="minorHAnsi" w:hAnsiTheme="minorHAnsi" w:cstheme="minorHAnsi"/>
        </w:rPr>
        <w:t>ing</w:t>
      </w:r>
      <w:r w:rsidRPr="00B160AF">
        <w:rPr>
          <w:rFonts w:asciiTheme="minorHAnsi" w:hAnsiTheme="minorHAnsi" w:cstheme="minorHAnsi"/>
        </w:rPr>
        <w:t xml:space="preserve"> into account the Government</w:t>
      </w:r>
      <w:r>
        <w:rPr>
          <w:rFonts w:asciiTheme="minorHAnsi" w:hAnsiTheme="minorHAnsi" w:cstheme="minorHAnsi"/>
        </w:rPr>
        <w:t>’</w:t>
      </w:r>
      <w:r w:rsidRPr="00B160AF">
        <w:rPr>
          <w:rFonts w:asciiTheme="minorHAnsi" w:hAnsiTheme="minorHAnsi" w:cstheme="minorHAnsi"/>
        </w:rPr>
        <w:t xml:space="preserve">s increased focus on </w:t>
      </w:r>
      <w:r>
        <w:rPr>
          <w:rFonts w:asciiTheme="minorHAnsi" w:hAnsiTheme="minorHAnsi" w:cstheme="minorHAnsi"/>
        </w:rPr>
        <w:t xml:space="preserve">meeting the skills challenge.  </w:t>
      </w:r>
      <w:r w:rsidR="00784941">
        <w:rPr>
          <w:rFonts w:asciiTheme="minorHAnsi" w:hAnsiTheme="minorHAnsi" w:cstheme="minorHAnsi"/>
        </w:rPr>
        <w:t>Key criteria i</w:t>
      </w:r>
      <w:r>
        <w:rPr>
          <w:rFonts w:asciiTheme="minorHAnsi" w:hAnsiTheme="minorHAnsi" w:cstheme="minorHAnsi"/>
        </w:rPr>
        <w:t xml:space="preserve">n assessing the value of possible changes will be the extent to which the change will: </w:t>
      </w:r>
    </w:p>
    <w:p w14:paraId="59C0A536" w14:textId="77777777" w:rsidR="004F6071" w:rsidRPr="00B160AF" w:rsidRDefault="004F6071" w:rsidP="004F6071">
      <w:pPr>
        <w:rPr>
          <w:rFonts w:asciiTheme="minorHAnsi" w:hAnsiTheme="minorHAnsi" w:cstheme="minorHAnsi"/>
        </w:rPr>
      </w:pPr>
    </w:p>
    <w:p w14:paraId="59C0A537" w14:textId="77777777" w:rsidR="004F6071" w:rsidRDefault="004F6071" w:rsidP="009A4A3E">
      <w:pPr>
        <w:pStyle w:val="ListParagraph"/>
        <w:numPr>
          <w:ilvl w:val="0"/>
          <w:numId w:val="11"/>
        </w:numPr>
        <w:rPr>
          <w:rFonts w:asciiTheme="minorHAnsi" w:hAnsiTheme="minorHAnsi" w:cstheme="minorHAnsi"/>
        </w:rPr>
      </w:pPr>
      <w:r>
        <w:rPr>
          <w:rFonts w:asciiTheme="minorHAnsi" w:hAnsiTheme="minorHAnsi" w:cstheme="minorHAnsi"/>
        </w:rPr>
        <w:t>improve</w:t>
      </w:r>
      <w:r w:rsidRPr="00B160AF">
        <w:rPr>
          <w:rFonts w:asciiTheme="minorHAnsi" w:hAnsiTheme="minorHAnsi" w:cstheme="minorHAnsi"/>
        </w:rPr>
        <w:t xml:space="preserve"> efficiency by reducing administrative and compliance burdens; </w:t>
      </w:r>
    </w:p>
    <w:p w14:paraId="59C0A538" w14:textId="77777777" w:rsidR="004F6071" w:rsidRDefault="004F6071" w:rsidP="009A4A3E">
      <w:pPr>
        <w:pStyle w:val="ListParagraph"/>
        <w:numPr>
          <w:ilvl w:val="0"/>
          <w:numId w:val="11"/>
        </w:numPr>
        <w:rPr>
          <w:rFonts w:asciiTheme="minorHAnsi" w:hAnsiTheme="minorHAnsi" w:cstheme="minorHAnsi"/>
        </w:rPr>
      </w:pPr>
      <w:r>
        <w:rPr>
          <w:rFonts w:asciiTheme="minorHAnsi" w:hAnsiTheme="minorHAnsi" w:cstheme="minorHAnsi"/>
        </w:rPr>
        <w:t xml:space="preserve">enhance the capacity </w:t>
      </w:r>
      <w:r w:rsidRPr="00B160AF">
        <w:rPr>
          <w:rFonts w:asciiTheme="minorHAnsi" w:hAnsiTheme="minorHAnsi" w:cstheme="minorHAnsi"/>
        </w:rPr>
        <w:t>of the program to respond to change;</w:t>
      </w:r>
    </w:p>
    <w:p w14:paraId="59C0A539" w14:textId="77777777" w:rsidR="004F6071" w:rsidRDefault="004F6071" w:rsidP="009A4A3E">
      <w:pPr>
        <w:pStyle w:val="ListParagraph"/>
        <w:numPr>
          <w:ilvl w:val="0"/>
          <w:numId w:val="11"/>
        </w:numPr>
        <w:rPr>
          <w:rFonts w:asciiTheme="minorHAnsi" w:hAnsiTheme="minorHAnsi" w:cstheme="minorHAnsi"/>
        </w:rPr>
      </w:pPr>
      <w:r>
        <w:rPr>
          <w:rFonts w:asciiTheme="minorHAnsi" w:hAnsiTheme="minorHAnsi" w:cstheme="minorHAnsi"/>
        </w:rPr>
        <w:t>better articulate</w:t>
      </w:r>
      <w:r w:rsidRPr="00B160AF">
        <w:rPr>
          <w:rFonts w:asciiTheme="minorHAnsi" w:hAnsiTheme="minorHAnsi" w:cstheme="minorHAnsi"/>
        </w:rPr>
        <w:t xml:space="preserve"> the </w:t>
      </w:r>
      <w:r>
        <w:rPr>
          <w:rFonts w:asciiTheme="minorHAnsi" w:hAnsiTheme="minorHAnsi" w:cstheme="minorHAnsi"/>
        </w:rPr>
        <w:t>Government’</w:t>
      </w:r>
      <w:r w:rsidRPr="00B160AF">
        <w:rPr>
          <w:rFonts w:asciiTheme="minorHAnsi" w:hAnsiTheme="minorHAnsi" w:cstheme="minorHAnsi"/>
        </w:rPr>
        <w:t xml:space="preserve">s expectations </w:t>
      </w:r>
      <w:r w:rsidR="00784941">
        <w:rPr>
          <w:rFonts w:asciiTheme="minorHAnsi" w:hAnsiTheme="minorHAnsi" w:cstheme="minorHAnsi"/>
        </w:rPr>
        <w:t xml:space="preserve">for providers </w:t>
      </w:r>
      <w:r w:rsidRPr="00B160AF">
        <w:rPr>
          <w:rFonts w:asciiTheme="minorHAnsi" w:hAnsiTheme="minorHAnsi" w:cstheme="minorHAnsi"/>
        </w:rPr>
        <w:t xml:space="preserve">in relation to contractual requirements </w:t>
      </w:r>
      <w:r w:rsidR="006B09D6">
        <w:rPr>
          <w:rFonts w:asciiTheme="minorHAnsi" w:hAnsiTheme="minorHAnsi" w:cstheme="minorHAnsi"/>
        </w:rPr>
        <w:t>for the delivery of the program</w:t>
      </w:r>
      <w:r w:rsidRPr="00B160AF">
        <w:rPr>
          <w:rFonts w:asciiTheme="minorHAnsi" w:hAnsiTheme="minorHAnsi" w:cstheme="minorHAnsi"/>
        </w:rPr>
        <w:t xml:space="preserve">; </w:t>
      </w:r>
      <w:r>
        <w:rPr>
          <w:rFonts w:asciiTheme="minorHAnsi" w:hAnsiTheme="minorHAnsi" w:cstheme="minorHAnsi"/>
        </w:rPr>
        <w:t>and</w:t>
      </w:r>
    </w:p>
    <w:p w14:paraId="59C0A53A" w14:textId="77777777" w:rsidR="004F6071" w:rsidRDefault="004F6071" w:rsidP="009A4A3E">
      <w:pPr>
        <w:pStyle w:val="ListParagraph"/>
        <w:numPr>
          <w:ilvl w:val="0"/>
          <w:numId w:val="11"/>
        </w:numPr>
        <w:rPr>
          <w:rFonts w:asciiTheme="minorHAnsi" w:hAnsiTheme="minorHAnsi" w:cstheme="minorHAnsi"/>
        </w:rPr>
      </w:pPr>
      <w:r>
        <w:rPr>
          <w:rFonts w:asciiTheme="minorHAnsi" w:hAnsiTheme="minorHAnsi" w:cstheme="minorHAnsi"/>
        </w:rPr>
        <w:t>improve</w:t>
      </w:r>
      <w:r w:rsidRPr="00B160AF">
        <w:rPr>
          <w:rFonts w:asciiTheme="minorHAnsi" w:hAnsiTheme="minorHAnsi" w:cstheme="minorHAnsi"/>
        </w:rPr>
        <w:t xml:space="preserve"> the targeting of resources and measurements of outcomes to ensure the greatest benefits are achieved within the funding envelope. </w:t>
      </w:r>
    </w:p>
    <w:p w14:paraId="59C0A53B" w14:textId="77777777" w:rsidR="004F6071" w:rsidRDefault="004F6071" w:rsidP="00D1213F">
      <w:pPr>
        <w:rPr>
          <w:rFonts w:asciiTheme="minorHAnsi" w:hAnsiTheme="minorHAnsi" w:cstheme="minorHAnsi"/>
        </w:rPr>
      </w:pPr>
    </w:p>
    <w:p w14:paraId="59C0A53C" w14:textId="77777777" w:rsidR="001F2DBE" w:rsidRDefault="007B6335" w:rsidP="00D1213F">
      <w:pPr>
        <w:rPr>
          <w:rFonts w:asciiTheme="minorHAnsi" w:hAnsiTheme="minorHAnsi" w:cstheme="minorHAnsi"/>
        </w:rPr>
      </w:pPr>
      <w:r>
        <w:rPr>
          <w:rFonts w:asciiTheme="minorHAnsi" w:hAnsiTheme="minorHAnsi" w:cstheme="minorHAnsi"/>
        </w:rPr>
        <w:t>It is also an opportunity to consider</w:t>
      </w:r>
      <w:r w:rsidR="001F2DBE">
        <w:rPr>
          <w:rFonts w:asciiTheme="minorHAnsi" w:hAnsiTheme="minorHAnsi" w:cstheme="minorHAnsi"/>
        </w:rPr>
        <w:t xml:space="preserve"> possible </w:t>
      </w:r>
      <w:r w:rsidR="008F3F68">
        <w:rPr>
          <w:rFonts w:asciiTheme="minorHAnsi" w:hAnsiTheme="minorHAnsi" w:cstheme="minorHAnsi"/>
        </w:rPr>
        <w:t xml:space="preserve">changes that have been </w:t>
      </w:r>
      <w:r w:rsidR="001F2DBE">
        <w:rPr>
          <w:rFonts w:asciiTheme="minorHAnsi" w:hAnsiTheme="minorHAnsi" w:cstheme="minorHAnsi"/>
        </w:rPr>
        <w:t xml:space="preserve">put forward </w:t>
      </w:r>
      <w:r>
        <w:rPr>
          <w:rFonts w:asciiTheme="minorHAnsi" w:hAnsiTheme="minorHAnsi" w:cstheme="minorHAnsi"/>
        </w:rPr>
        <w:t>by existing LLNP providers delivering the program on behalf of the Government</w:t>
      </w:r>
      <w:r w:rsidR="00A35868">
        <w:rPr>
          <w:rFonts w:asciiTheme="minorHAnsi" w:hAnsiTheme="minorHAnsi" w:cstheme="minorHAnsi"/>
        </w:rPr>
        <w:t xml:space="preserve">. </w:t>
      </w:r>
    </w:p>
    <w:p w14:paraId="59C0A53D" w14:textId="77777777" w:rsidR="001F2DBE" w:rsidRDefault="001F2DBE" w:rsidP="00D1213F">
      <w:pPr>
        <w:rPr>
          <w:rFonts w:asciiTheme="minorHAnsi" w:hAnsiTheme="minorHAnsi" w:cstheme="minorHAnsi"/>
        </w:rPr>
      </w:pPr>
    </w:p>
    <w:p w14:paraId="59C0A53E" w14:textId="77777777" w:rsidR="007B6335" w:rsidRDefault="00CE4D57" w:rsidP="00D1213F">
      <w:pPr>
        <w:rPr>
          <w:rFonts w:asciiTheme="minorHAnsi" w:hAnsiTheme="minorHAnsi" w:cstheme="minorHAnsi"/>
        </w:rPr>
      </w:pPr>
      <w:r>
        <w:rPr>
          <w:rFonts w:asciiTheme="minorHAnsi" w:hAnsiTheme="minorHAnsi" w:cstheme="minorHAnsi"/>
        </w:rPr>
        <w:t>In reviewing the feedback received, the Government will consider the costs and resources available to implement any program changes</w:t>
      </w:r>
      <w:r w:rsidR="00084038">
        <w:rPr>
          <w:rFonts w:asciiTheme="minorHAnsi" w:hAnsiTheme="minorHAnsi" w:cstheme="minorHAnsi"/>
        </w:rPr>
        <w:t xml:space="preserve">.  </w:t>
      </w:r>
      <w:r>
        <w:rPr>
          <w:rFonts w:asciiTheme="minorHAnsi" w:hAnsiTheme="minorHAnsi" w:cstheme="minorHAnsi"/>
        </w:rPr>
        <w:t xml:space="preserve">This may mean that the implementation of some changes may need to be </w:t>
      </w:r>
      <w:r w:rsidR="001F2DBE">
        <w:rPr>
          <w:rFonts w:asciiTheme="minorHAnsi" w:hAnsiTheme="minorHAnsi" w:cstheme="minorHAnsi"/>
        </w:rPr>
        <w:t xml:space="preserve">via </w:t>
      </w:r>
      <w:r>
        <w:rPr>
          <w:rFonts w:asciiTheme="minorHAnsi" w:hAnsiTheme="minorHAnsi" w:cstheme="minorHAnsi"/>
        </w:rPr>
        <w:t xml:space="preserve">a staged approach. Therefore, it is important in your feedback that you </w:t>
      </w:r>
      <w:r w:rsidR="001F2DBE">
        <w:rPr>
          <w:rFonts w:asciiTheme="minorHAnsi" w:hAnsiTheme="minorHAnsi" w:cstheme="minorHAnsi"/>
        </w:rPr>
        <w:t>identify which changes you consider to</w:t>
      </w:r>
      <w:r>
        <w:rPr>
          <w:rFonts w:asciiTheme="minorHAnsi" w:hAnsiTheme="minorHAnsi" w:cstheme="minorHAnsi"/>
        </w:rPr>
        <w:t xml:space="preserve"> be critical</w:t>
      </w:r>
      <w:r w:rsidR="00877870">
        <w:rPr>
          <w:rFonts w:asciiTheme="minorHAnsi" w:hAnsiTheme="minorHAnsi" w:cstheme="minorHAnsi"/>
        </w:rPr>
        <w:t xml:space="preserve">. </w:t>
      </w:r>
    </w:p>
    <w:p w14:paraId="59C0A53F" w14:textId="77777777" w:rsidR="008F3F68" w:rsidRDefault="008F3F68" w:rsidP="00D1213F">
      <w:pPr>
        <w:rPr>
          <w:rFonts w:asciiTheme="minorHAnsi" w:hAnsiTheme="minorHAnsi" w:cstheme="minorHAnsi"/>
        </w:rPr>
      </w:pPr>
    </w:p>
    <w:p w14:paraId="59C0A540" w14:textId="77777777" w:rsidR="007071B8" w:rsidRDefault="00D24B73" w:rsidP="003A64D3">
      <w:pPr>
        <w:pStyle w:val="Heading3"/>
      </w:pPr>
      <w:bookmarkStart w:id="5" w:name="_Toc330460456"/>
      <w:r w:rsidRPr="00D24B73">
        <w:t>Background to the Language, Literacy and Numeracy Program</w:t>
      </w:r>
      <w:bookmarkEnd w:id="5"/>
      <w:r w:rsidRPr="00D24B73">
        <w:t xml:space="preserve"> </w:t>
      </w:r>
    </w:p>
    <w:p w14:paraId="59C0A541" w14:textId="77777777" w:rsidR="002F7157" w:rsidRDefault="002F7157" w:rsidP="00183F28">
      <w:pPr>
        <w:rPr>
          <w:rFonts w:asciiTheme="minorHAnsi" w:hAnsiTheme="minorHAnsi" w:cstheme="minorHAnsi"/>
        </w:rPr>
      </w:pPr>
      <w:r>
        <w:rPr>
          <w:rFonts w:asciiTheme="minorHAnsi" w:hAnsiTheme="minorHAnsi" w:cstheme="minorHAnsi"/>
        </w:rPr>
        <w:t xml:space="preserve">As mentioned earlier, the program has operated since 2002 when the Literacy and Numeracy Training Program and the Advanced English for Migrants program amalgamated to provide a more integrated management approach to addressing </w:t>
      </w:r>
      <w:r w:rsidR="00602DB1">
        <w:rPr>
          <w:rFonts w:asciiTheme="minorHAnsi" w:hAnsiTheme="minorHAnsi" w:cstheme="minorHAnsi"/>
        </w:rPr>
        <w:t>LLN</w:t>
      </w:r>
      <w:r>
        <w:rPr>
          <w:rFonts w:asciiTheme="minorHAnsi" w:hAnsiTheme="minorHAnsi" w:cstheme="minorHAnsi"/>
        </w:rPr>
        <w:t xml:space="preserve"> needs among job seekers at the national level.</w:t>
      </w:r>
    </w:p>
    <w:p w14:paraId="59C0A542" w14:textId="77777777" w:rsidR="002F7157" w:rsidRDefault="002F7157" w:rsidP="00183F28">
      <w:pPr>
        <w:rPr>
          <w:rFonts w:asciiTheme="minorHAnsi" w:hAnsiTheme="minorHAnsi" w:cstheme="minorHAnsi"/>
        </w:rPr>
      </w:pPr>
    </w:p>
    <w:p w14:paraId="59C0A543" w14:textId="77777777" w:rsidR="00352045" w:rsidRDefault="00352045" w:rsidP="00352045">
      <w:pPr>
        <w:rPr>
          <w:rFonts w:asciiTheme="minorHAnsi" w:hAnsiTheme="minorHAnsi" w:cstheme="minorHAnsi"/>
        </w:rPr>
      </w:pPr>
      <w:r w:rsidRPr="00A32C4B">
        <w:rPr>
          <w:rFonts w:asciiTheme="minorHAnsi" w:hAnsiTheme="minorHAnsi" w:cstheme="minorHAnsi"/>
        </w:rPr>
        <w:t xml:space="preserve">Eligible job seekers can be referred to this program by Centrelink or </w:t>
      </w:r>
      <w:r>
        <w:rPr>
          <w:rFonts w:asciiTheme="minorHAnsi" w:hAnsiTheme="minorHAnsi" w:cstheme="minorHAnsi"/>
        </w:rPr>
        <w:t>Employment Service providers</w:t>
      </w:r>
      <w:r w:rsidR="00E018B1">
        <w:rPr>
          <w:rFonts w:asciiTheme="minorHAnsi" w:hAnsiTheme="minorHAnsi" w:cstheme="minorHAnsi"/>
        </w:rPr>
        <w:t>,</w:t>
      </w:r>
      <w:r>
        <w:rPr>
          <w:rFonts w:asciiTheme="minorHAnsi" w:hAnsiTheme="minorHAnsi" w:cstheme="minorHAnsi"/>
        </w:rPr>
        <w:t xml:space="preserve"> that is</w:t>
      </w:r>
      <w:r w:rsidR="00E018B1">
        <w:rPr>
          <w:rFonts w:asciiTheme="minorHAnsi" w:hAnsiTheme="minorHAnsi" w:cstheme="minorHAnsi"/>
        </w:rPr>
        <w:t>,</w:t>
      </w:r>
      <w:r>
        <w:rPr>
          <w:rFonts w:asciiTheme="minorHAnsi" w:hAnsiTheme="minorHAnsi" w:cstheme="minorHAnsi"/>
        </w:rPr>
        <w:t xml:space="preserve"> both </w:t>
      </w:r>
      <w:r w:rsidRPr="00A32C4B">
        <w:rPr>
          <w:rFonts w:asciiTheme="minorHAnsi" w:hAnsiTheme="minorHAnsi" w:cstheme="minorHAnsi"/>
        </w:rPr>
        <w:t xml:space="preserve">Job Services Australia </w:t>
      </w:r>
      <w:r>
        <w:rPr>
          <w:rFonts w:asciiTheme="minorHAnsi" w:hAnsiTheme="minorHAnsi" w:cstheme="minorHAnsi"/>
        </w:rPr>
        <w:t xml:space="preserve">(JSA) and Disability Employment Service (DES) </w:t>
      </w:r>
      <w:r w:rsidRPr="00A32C4B">
        <w:rPr>
          <w:rFonts w:asciiTheme="minorHAnsi" w:hAnsiTheme="minorHAnsi" w:cstheme="minorHAnsi"/>
        </w:rPr>
        <w:t>providers.</w:t>
      </w:r>
      <w:r w:rsidRPr="00FB7256">
        <w:rPr>
          <w:rFonts w:asciiTheme="minorHAnsi" w:hAnsiTheme="minorHAnsi" w:cstheme="minorHAnsi"/>
        </w:rPr>
        <w:t xml:space="preserve"> </w:t>
      </w:r>
      <w:r w:rsidRPr="00A32C4B">
        <w:rPr>
          <w:rFonts w:asciiTheme="minorHAnsi" w:hAnsiTheme="minorHAnsi" w:cstheme="minorHAnsi"/>
        </w:rPr>
        <w:t xml:space="preserve">All eligible job seekers are entitled to up to 800 hours of free training that </w:t>
      </w:r>
      <w:r>
        <w:rPr>
          <w:rFonts w:asciiTheme="minorHAnsi" w:hAnsiTheme="minorHAnsi" w:cstheme="minorHAnsi"/>
        </w:rPr>
        <w:t xml:space="preserve">are delivered in </w:t>
      </w:r>
      <w:r w:rsidRPr="00A32C4B">
        <w:rPr>
          <w:rFonts w:asciiTheme="minorHAnsi" w:hAnsiTheme="minorHAnsi" w:cstheme="minorHAnsi"/>
        </w:rPr>
        <w:t xml:space="preserve">200 hour blocks of training.  Clients may undertake LLNP on a part-time basis (10 to 19 hours per week) or </w:t>
      </w:r>
      <w:r w:rsidR="00E018B1">
        <w:rPr>
          <w:rFonts w:asciiTheme="minorHAnsi" w:hAnsiTheme="minorHAnsi" w:cstheme="minorHAnsi"/>
        </w:rPr>
        <w:t xml:space="preserve">a </w:t>
      </w:r>
      <w:r w:rsidRPr="00A32C4B">
        <w:rPr>
          <w:rFonts w:asciiTheme="minorHAnsi" w:hAnsiTheme="minorHAnsi" w:cstheme="minorHAnsi"/>
        </w:rPr>
        <w:t>full-time basis (20 hours per week) for up to a maximum of 800</w:t>
      </w:r>
      <w:r w:rsidR="00E018B1">
        <w:rPr>
          <w:rFonts w:asciiTheme="minorHAnsi" w:hAnsiTheme="minorHAnsi" w:cstheme="minorHAnsi"/>
        </w:rPr>
        <w:t> </w:t>
      </w:r>
      <w:r w:rsidRPr="00A32C4B">
        <w:rPr>
          <w:rFonts w:asciiTheme="minorHAnsi" w:hAnsiTheme="minorHAnsi" w:cstheme="minorHAnsi"/>
        </w:rPr>
        <w:t>hours of training over a two year period.</w:t>
      </w:r>
    </w:p>
    <w:p w14:paraId="59C0A544" w14:textId="77777777" w:rsidR="00352045" w:rsidRDefault="00352045" w:rsidP="002831AB">
      <w:pPr>
        <w:rPr>
          <w:rFonts w:asciiTheme="minorHAnsi" w:hAnsiTheme="minorHAnsi" w:cstheme="minorHAnsi"/>
        </w:rPr>
      </w:pPr>
    </w:p>
    <w:p w14:paraId="59C0A545" w14:textId="77777777" w:rsidR="002831AB" w:rsidRDefault="002831AB" w:rsidP="002831AB">
      <w:pPr>
        <w:rPr>
          <w:rFonts w:asciiTheme="minorHAnsi" w:hAnsiTheme="minorHAnsi" w:cstheme="minorHAnsi"/>
        </w:rPr>
      </w:pPr>
      <w:r w:rsidRPr="00A32C4B">
        <w:rPr>
          <w:rFonts w:asciiTheme="minorHAnsi" w:hAnsiTheme="minorHAnsi" w:cstheme="minorHAnsi"/>
        </w:rPr>
        <w:t xml:space="preserve">The Department contracts with </w:t>
      </w:r>
      <w:r w:rsidR="00602DB1">
        <w:rPr>
          <w:rFonts w:asciiTheme="minorHAnsi" w:hAnsiTheme="minorHAnsi" w:cstheme="minorHAnsi"/>
        </w:rPr>
        <w:t>RTOs</w:t>
      </w:r>
      <w:r w:rsidRPr="00A32C4B">
        <w:rPr>
          <w:rFonts w:asciiTheme="minorHAnsi" w:hAnsiTheme="minorHAnsi" w:cstheme="minorHAnsi"/>
        </w:rPr>
        <w:t xml:space="preserve"> to provide accredited training based on approved curricula. All clients’ LLN needs are professionally assessed before they are considered for training by undertaking a Pre-Training Assessment (PTA). </w:t>
      </w:r>
    </w:p>
    <w:p w14:paraId="59C0A546" w14:textId="77777777" w:rsidR="002831AB" w:rsidRDefault="002831AB" w:rsidP="002831AB">
      <w:pPr>
        <w:rPr>
          <w:rFonts w:asciiTheme="minorHAnsi" w:hAnsiTheme="minorHAnsi" w:cstheme="minorHAnsi"/>
        </w:rPr>
      </w:pPr>
    </w:p>
    <w:p w14:paraId="59C0A547" w14:textId="77777777" w:rsidR="002831AB" w:rsidRDefault="002831AB" w:rsidP="002831AB">
      <w:pPr>
        <w:rPr>
          <w:rFonts w:cs="Arial"/>
          <w:szCs w:val="20"/>
        </w:rPr>
      </w:pPr>
      <w:r w:rsidRPr="00A32C4B">
        <w:rPr>
          <w:rFonts w:asciiTheme="minorHAnsi" w:hAnsiTheme="minorHAnsi" w:cstheme="minorHAnsi"/>
        </w:rPr>
        <w:t xml:space="preserve">Following the PTA, clients assessed as suitable are placed in Initial, Basic or Advanced language training or Basic or Advanced literacy and numeracy training.  An Individual Training Plan (ITP) is created for each client to </w:t>
      </w:r>
      <w:r>
        <w:rPr>
          <w:rFonts w:asciiTheme="minorHAnsi" w:hAnsiTheme="minorHAnsi" w:cstheme="minorHAnsi"/>
        </w:rPr>
        <w:t>guide their learning outcomes</w:t>
      </w:r>
      <w:r w:rsidRPr="00A32C4B">
        <w:rPr>
          <w:rFonts w:asciiTheme="minorHAnsi" w:hAnsiTheme="minorHAnsi" w:cstheme="minorHAnsi"/>
        </w:rPr>
        <w:t>.</w:t>
      </w:r>
    </w:p>
    <w:p w14:paraId="59C0A548" w14:textId="77777777" w:rsidR="001A5423" w:rsidRDefault="001A5423" w:rsidP="002831AB">
      <w:pPr>
        <w:shd w:val="clear" w:color="auto" w:fill="FFFFFF"/>
        <w:rPr>
          <w:rFonts w:asciiTheme="minorHAnsi" w:hAnsiTheme="minorHAnsi" w:cstheme="minorHAnsi"/>
          <w:b/>
          <w:color w:val="000000"/>
          <w:sz w:val="20"/>
          <w:szCs w:val="20"/>
        </w:rPr>
      </w:pPr>
    </w:p>
    <w:p w14:paraId="59C0A549" w14:textId="77777777" w:rsidR="00B82C40" w:rsidRPr="003405E0" w:rsidRDefault="00D24B73" w:rsidP="002831AB">
      <w:pPr>
        <w:shd w:val="clear" w:color="auto" w:fill="FFFFFF"/>
        <w:rPr>
          <w:rFonts w:asciiTheme="minorHAnsi" w:hAnsiTheme="minorHAnsi" w:cstheme="minorHAnsi"/>
          <w:b/>
          <w:color w:val="000000"/>
          <w:sz w:val="20"/>
          <w:szCs w:val="20"/>
        </w:rPr>
      </w:pPr>
      <w:r w:rsidRPr="00D24B73">
        <w:rPr>
          <w:rFonts w:asciiTheme="minorHAnsi" w:hAnsiTheme="minorHAnsi" w:cstheme="minorHAnsi"/>
          <w:b/>
          <w:color w:val="000000"/>
          <w:sz w:val="20"/>
          <w:szCs w:val="20"/>
        </w:rPr>
        <w:t>Table 1: LLNP Streams of Training</w:t>
      </w:r>
    </w:p>
    <w:tbl>
      <w:tblPr>
        <w:tblStyle w:val="TableGrid"/>
        <w:tblW w:w="8472" w:type="dxa"/>
        <w:tblLook w:val="04A0" w:firstRow="1" w:lastRow="0" w:firstColumn="1" w:lastColumn="0" w:noHBand="0" w:noVBand="1"/>
      </w:tblPr>
      <w:tblGrid>
        <w:gridCol w:w="2824"/>
        <w:gridCol w:w="2824"/>
        <w:gridCol w:w="2824"/>
      </w:tblGrid>
      <w:tr w:rsidR="002831AB" w14:paraId="59C0A54D" w14:textId="77777777" w:rsidTr="00250625">
        <w:tc>
          <w:tcPr>
            <w:tcW w:w="2824" w:type="dxa"/>
            <w:shd w:val="pct12" w:color="auto" w:fill="FFFFFF" w:themeFill="background1"/>
          </w:tcPr>
          <w:p w14:paraId="59C0A54A" w14:textId="77777777" w:rsidR="002831AB" w:rsidRPr="00D9764E" w:rsidRDefault="002831AB" w:rsidP="00250625">
            <w:pPr>
              <w:rPr>
                <w:rFonts w:asciiTheme="minorHAnsi" w:hAnsiTheme="minorHAnsi" w:cstheme="minorHAnsi"/>
                <w:b/>
                <w:color w:val="000000"/>
              </w:rPr>
            </w:pPr>
            <w:r>
              <w:rPr>
                <w:rFonts w:asciiTheme="minorHAnsi" w:hAnsiTheme="minorHAnsi" w:cstheme="minorHAnsi"/>
                <w:b/>
                <w:color w:val="000000"/>
              </w:rPr>
              <w:t xml:space="preserve">Training </w:t>
            </w:r>
            <w:r w:rsidRPr="00A32C4B">
              <w:rPr>
                <w:rFonts w:asciiTheme="minorHAnsi" w:hAnsiTheme="minorHAnsi" w:cstheme="minorHAnsi"/>
                <w:b/>
                <w:color w:val="000000"/>
              </w:rPr>
              <w:t>Streams</w:t>
            </w:r>
          </w:p>
        </w:tc>
        <w:tc>
          <w:tcPr>
            <w:tcW w:w="2824" w:type="dxa"/>
            <w:shd w:val="pct12" w:color="auto" w:fill="FFFFFF" w:themeFill="background1"/>
          </w:tcPr>
          <w:p w14:paraId="59C0A54B" w14:textId="77777777" w:rsidR="002831AB" w:rsidRPr="00D9764E" w:rsidRDefault="002831AB" w:rsidP="00250625">
            <w:pPr>
              <w:rPr>
                <w:rFonts w:asciiTheme="minorHAnsi" w:hAnsiTheme="minorHAnsi" w:cstheme="minorHAnsi"/>
                <w:b/>
                <w:color w:val="000000"/>
              </w:rPr>
            </w:pPr>
            <w:r w:rsidRPr="00A32C4B">
              <w:rPr>
                <w:rFonts w:asciiTheme="minorHAnsi" w:hAnsiTheme="minorHAnsi" w:cstheme="minorHAnsi"/>
                <w:b/>
                <w:color w:val="000000"/>
              </w:rPr>
              <w:t>Training Focus</w:t>
            </w:r>
          </w:p>
        </w:tc>
        <w:tc>
          <w:tcPr>
            <w:tcW w:w="2824" w:type="dxa"/>
            <w:shd w:val="pct12" w:color="auto" w:fill="FFFFFF" w:themeFill="background1"/>
          </w:tcPr>
          <w:p w14:paraId="59C0A54C" w14:textId="77777777" w:rsidR="002831AB" w:rsidRPr="00D9764E" w:rsidRDefault="002831AB" w:rsidP="00250625">
            <w:pPr>
              <w:rPr>
                <w:rFonts w:asciiTheme="minorHAnsi" w:hAnsiTheme="minorHAnsi" w:cstheme="minorHAnsi"/>
                <w:b/>
                <w:color w:val="000000"/>
              </w:rPr>
            </w:pPr>
            <w:r w:rsidRPr="00A32C4B">
              <w:rPr>
                <w:rFonts w:asciiTheme="minorHAnsi" w:hAnsiTheme="minorHAnsi" w:cstheme="minorHAnsi"/>
                <w:b/>
                <w:color w:val="000000"/>
              </w:rPr>
              <w:t>Blocks of Training Hours</w:t>
            </w:r>
          </w:p>
        </w:tc>
      </w:tr>
      <w:tr w:rsidR="002831AB" w14:paraId="59C0A552" w14:textId="77777777" w:rsidTr="00250625">
        <w:tc>
          <w:tcPr>
            <w:tcW w:w="2824" w:type="dxa"/>
          </w:tcPr>
          <w:p w14:paraId="59C0A54E" w14:textId="77777777" w:rsidR="002831AB" w:rsidRDefault="002831AB" w:rsidP="00250625">
            <w:pPr>
              <w:rPr>
                <w:rFonts w:asciiTheme="minorHAnsi" w:hAnsiTheme="minorHAnsi" w:cstheme="minorHAnsi"/>
                <w:color w:val="000000"/>
              </w:rPr>
            </w:pPr>
            <w:r>
              <w:rPr>
                <w:rFonts w:asciiTheme="minorHAnsi" w:hAnsiTheme="minorHAnsi" w:cstheme="minorHAnsi"/>
                <w:color w:val="000000"/>
              </w:rPr>
              <w:t xml:space="preserve">Initial </w:t>
            </w:r>
          </w:p>
        </w:tc>
        <w:tc>
          <w:tcPr>
            <w:tcW w:w="2824" w:type="dxa"/>
          </w:tcPr>
          <w:p w14:paraId="59C0A54F" w14:textId="77777777" w:rsidR="002831AB" w:rsidRDefault="002831AB" w:rsidP="00250625">
            <w:pPr>
              <w:rPr>
                <w:rFonts w:asciiTheme="minorHAnsi" w:hAnsiTheme="minorHAnsi" w:cstheme="minorHAnsi"/>
                <w:color w:val="000000"/>
              </w:rPr>
            </w:pPr>
            <w:r>
              <w:rPr>
                <w:rFonts w:asciiTheme="minorHAnsi" w:hAnsiTheme="minorHAnsi" w:cstheme="minorHAnsi"/>
                <w:color w:val="000000"/>
              </w:rPr>
              <w:t>Language</w:t>
            </w:r>
          </w:p>
        </w:tc>
        <w:tc>
          <w:tcPr>
            <w:tcW w:w="2824" w:type="dxa"/>
            <w:vMerge w:val="restart"/>
          </w:tcPr>
          <w:p w14:paraId="59C0A550" w14:textId="77777777" w:rsidR="002831AB" w:rsidRDefault="002831AB" w:rsidP="00250625">
            <w:pPr>
              <w:rPr>
                <w:rFonts w:asciiTheme="minorHAnsi" w:hAnsiTheme="minorHAnsi" w:cstheme="minorHAnsi"/>
                <w:color w:val="000000"/>
              </w:rPr>
            </w:pPr>
          </w:p>
          <w:p w14:paraId="59C0A551" w14:textId="77777777" w:rsidR="002831AB" w:rsidRDefault="002831AB" w:rsidP="00250625">
            <w:pPr>
              <w:rPr>
                <w:rFonts w:asciiTheme="minorHAnsi" w:hAnsiTheme="minorHAnsi" w:cstheme="minorHAnsi"/>
                <w:color w:val="000000"/>
              </w:rPr>
            </w:pPr>
            <w:r>
              <w:rPr>
                <w:rFonts w:asciiTheme="minorHAnsi" w:hAnsiTheme="minorHAnsi" w:cstheme="minorHAnsi"/>
                <w:color w:val="000000"/>
              </w:rPr>
              <w:t>200 hour training blocks (up to 4 maximum)</w:t>
            </w:r>
          </w:p>
        </w:tc>
      </w:tr>
      <w:tr w:rsidR="002831AB" w14:paraId="59C0A556" w14:textId="77777777" w:rsidTr="00250625">
        <w:tc>
          <w:tcPr>
            <w:tcW w:w="2824" w:type="dxa"/>
            <w:vMerge w:val="restart"/>
          </w:tcPr>
          <w:p w14:paraId="59C0A553" w14:textId="77777777" w:rsidR="002831AB" w:rsidRDefault="002831AB" w:rsidP="00250625">
            <w:pPr>
              <w:rPr>
                <w:rFonts w:asciiTheme="minorHAnsi" w:hAnsiTheme="minorHAnsi" w:cstheme="minorHAnsi"/>
                <w:color w:val="000000"/>
              </w:rPr>
            </w:pPr>
            <w:r>
              <w:rPr>
                <w:rFonts w:asciiTheme="minorHAnsi" w:hAnsiTheme="minorHAnsi" w:cstheme="minorHAnsi"/>
                <w:color w:val="000000"/>
              </w:rPr>
              <w:t>Basic</w:t>
            </w:r>
          </w:p>
        </w:tc>
        <w:tc>
          <w:tcPr>
            <w:tcW w:w="2824" w:type="dxa"/>
          </w:tcPr>
          <w:p w14:paraId="59C0A554" w14:textId="77777777" w:rsidR="002831AB" w:rsidRDefault="002831AB" w:rsidP="00250625">
            <w:pPr>
              <w:rPr>
                <w:rFonts w:asciiTheme="minorHAnsi" w:hAnsiTheme="minorHAnsi" w:cstheme="minorHAnsi"/>
                <w:color w:val="000000"/>
              </w:rPr>
            </w:pPr>
            <w:r>
              <w:rPr>
                <w:rFonts w:asciiTheme="minorHAnsi" w:hAnsiTheme="minorHAnsi" w:cstheme="minorHAnsi"/>
                <w:color w:val="000000"/>
              </w:rPr>
              <w:t>Language</w:t>
            </w:r>
          </w:p>
        </w:tc>
        <w:tc>
          <w:tcPr>
            <w:tcW w:w="2824" w:type="dxa"/>
            <w:vMerge/>
          </w:tcPr>
          <w:p w14:paraId="59C0A555" w14:textId="77777777" w:rsidR="002831AB" w:rsidRDefault="002831AB" w:rsidP="00250625">
            <w:pPr>
              <w:rPr>
                <w:rFonts w:asciiTheme="minorHAnsi" w:hAnsiTheme="minorHAnsi" w:cstheme="minorHAnsi"/>
                <w:color w:val="000000"/>
              </w:rPr>
            </w:pPr>
          </w:p>
        </w:tc>
      </w:tr>
      <w:tr w:rsidR="002831AB" w14:paraId="59C0A55A" w14:textId="77777777" w:rsidTr="00250625">
        <w:tc>
          <w:tcPr>
            <w:tcW w:w="2824" w:type="dxa"/>
            <w:vMerge/>
          </w:tcPr>
          <w:p w14:paraId="59C0A557" w14:textId="77777777" w:rsidR="002831AB" w:rsidRDefault="002831AB" w:rsidP="00250625">
            <w:pPr>
              <w:rPr>
                <w:rFonts w:asciiTheme="minorHAnsi" w:hAnsiTheme="minorHAnsi" w:cstheme="minorHAnsi"/>
                <w:color w:val="000000"/>
              </w:rPr>
            </w:pPr>
          </w:p>
        </w:tc>
        <w:tc>
          <w:tcPr>
            <w:tcW w:w="2824" w:type="dxa"/>
          </w:tcPr>
          <w:p w14:paraId="59C0A558" w14:textId="77777777" w:rsidR="002831AB" w:rsidRDefault="002831AB" w:rsidP="00250625">
            <w:pPr>
              <w:rPr>
                <w:rFonts w:asciiTheme="minorHAnsi" w:hAnsiTheme="minorHAnsi" w:cstheme="minorHAnsi"/>
                <w:color w:val="000000"/>
              </w:rPr>
            </w:pPr>
            <w:r>
              <w:rPr>
                <w:rFonts w:asciiTheme="minorHAnsi" w:hAnsiTheme="minorHAnsi" w:cstheme="minorHAnsi"/>
                <w:color w:val="000000"/>
              </w:rPr>
              <w:t>Literacy/Numeracy</w:t>
            </w:r>
          </w:p>
        </w:tc>
        <w:tc>
          <w:tcPr>
            <w:tcW w:w="2824" w:type="dxa"/>
            <w:vMerge/>
          </w:tcPr>
          <w:p w14:paraId="59C0A559" w14:textId="77777777" w:rsidR="002831AB" w:rsidRDefault="002831AB" w:rsidP="00250625">
            <w:pPr>
              <w:rPr>
                <w:rFonts w:asciiTheme="minorHAnsi" w:hAnsiTheme="minorHAnsi" w:cstheme="minorHAnsi"/>
                <w:color w:val="000000"/>
              </w:rPr>
            </w:pPr>
          </w:p>
        </w:tc>
      </w:tr>
      <w:tr w:rsidR="002831AB" w14:paraId="59C0A55E" w14:textId="77777777" w:rsidTr="00250625">
        <w:tc>
          <w:tcPr>
            <w:tcW w:w="2824" w:type="dxa"/>
            <w:vMerge w:val="restart"/>
          </w:tcPr>
          <w:p w14:paraId="59C0A55B" w14:textId="77777777" w:rsidR="002831AB" w:rsidRDefault="002831AB" w:rsidP="00250625">
            <w:pPr>
              <w:rPr>
                <w:rFonts w:asciiTheme="minorHAnsi" w:hAnsiTheme="minorHAnsi" w:cstheme="minorHAnsi"/>
                <w:color w:val="000000"/>
              </w:rPr>
            </w:pPr>
            <w:r>
              <w:rPr>
                <w:rFonts w:asciiTheme="minorHAnsi" w:hAnsiTheme="minorHAnsi" w:cstheme="minorHAnsi"/>
                <w:color w:val="000000"/>
              </w:rPr>
              <w:t>Advanced</w:t>
            </w:r>
          </w:p>
        </w:tc>
        <w:tc>
          <w:tcPr>
            <w:tcW w:w="2824" w:type="dxa"/>
          </w:tcPr>
          <w:p w14:paraId="59C0A55C" w14:textId="77777777" w:rsidR="002831AB" w:rsidRDefault="002831AB" w:rsidP="00250625">
            <w:pPr>
              <w:rPr>
                <w:rFonts w:asciiTheme="minorHAnsi" w:hAnsiTheme="minorHAnsi" w:cstheme="minorHAnsi"/>
                <w:color w:val="000000"/>
              </w:rPr>
            </w:pPr>
            <w:r>
              <w:rPr>
                <w:rFonts w:asciiTheme="minorHAnsi" w:hAnsiTheme="minorHAnsi" w:cstheme="minorHAnsi"/>
                <w:color w:val="000000"/>
              </w:rPr>
              <w:t>Language</w:t>
            </w:r>
          </w:p>
        </w:tc>
        <w:tc>
          <w:tcPr>
            <w:tcW w:w="2824" w:type="dxa"/>
            <w:vMerge/>
          </w:tcPr>
          <w:p w14:paraId="59C0A55D" w14:textId="77777777" w:rsidR="002831AB" w:rsidRDefault="002831AB" w:rsidP="00250625">
            <w:pPr>
              <w:rPr>
                <w:rFonts w:asciiTheme="minorHAnsi" w:hAnsiTheme="minorHAnsi" w:cstheme="minorHAnsi"/>
                <w:color w:val="000000"/>
              </w:rPr>
            </w:pPr>
          </w:p>
        </w:tc>
      </w:tr>
      <w:tr w:rsidR="002831AB" w14:paraId="59C0A562" w14:textId="77777777" w:rsidTr="00250625">
        <w:tc>
          <w:tcPr>
            <w:tcW w:w="2824" w:type="dxa"/>
            <w:vMerge/>
          </w:tcPr>
          <w:p w14:paraId="59C0A55F" w14:textId="77777777" w:rsidR="002831AB" w:rsidRDefault="002831AB" w:rsidP="00250625">
            <w:pPr>
              <w:rPr>
                <w:rFonts w:asciiTheme="minorHAnsi" w:hAnsiTheme="minorHAnsi" w:cstheme="minorHAnsi"/>
                <w:color w:val="000000"/>
              </w:rPr>
            </w:pPr>
          </w:p>
        </w:tc>
        <w:tc>
          <w:tcPr>
            <w:tcW w:w="2824" w:type="dxa"/>
          </w:tcPr>
          <w:p w14:paraId="59C0A560" w14:textId="77777777" w:rsidR="002831AB" w:rsidRDefault="002831AB" w:rsidP="00250625">
            <w:pPr>
              <w:rPr>
                <w:rFonts w:asciiTheme="minorHAnsi" w:hAnsiTheme="minorHAnsi" w:cstheme="minorHAnsi"/>
                <w:color w:val="000000"/>
              </w:rPr>
            </w:pPr>
            <w:r>
              <w:rPr>
                <w:rFonts w:asciiTheme="minorHAnsi" w:hAnsiTheme="minorHAnsi" w:cstheme="minorHAnsi"/>
                <w:color w:val="000000"/>
              </w:rPr>
              <w:t>Literacy/Numeracy</w:t>
            </w:r>
          </w:p>
        </w:tc>
        <w:tc>
          <w:tcPr>
            <w:tcW w:w="2824" w:type="dxa"/>
            <w:vMerge/>
          </w:tcPr>
          <w:p w14:paraId="59C0A561" w14:textId="77777777" w:rsidR="002831AB" w:rsidRDefault="002831AB" w:rsidP="00250625">
            <w:pPr>
              <w:rPr>
                <w:rFonts w:asciiTheme="minorHAnsi" w:hAnsiTheme="minorHAnsi" w:cstheme="minorHAnsi"/>
                <w:color w:val="000000"/>
              </w:rPr>
            </w:pPr>
          </w:p>
        </w:tc>
      </w:tr>
    </w:tbl>
    <w:p w14:paraId="59C0A563" w14:textId="77777777" w:rsidR="00183F28" w:rsidRPr="00183F28" w:rsidRDefault="00183F28" w:rsidP="00C5303E">
      <w:pPr>
        <w:rPr>
          <w:rFonts w:asciiTheme="minorHAnsi" w:hAnsiTheme="minorHAnsi" w:cstheme="minorHAnsi"/>
        </w:rPr>
      </w:pPr>
    </w:p>
    <w:p w14:paraId="59C0A564" w14:textId="77777777" w:rsidR="00A421A3" w:rsidRDefault="0044230C" w:rsidP="00A421A3">
      <w:pPr>
        <w:rPr>
          <w:rFonts w:asciiTheme="minorHAnsi" w:hAnsiTheme="minorHAnsi" w:cstheme="minorHAnsi"/>
        </w:rPr>
      </w:pPr>
      <w:r w:rsidRPr="00A421A3">
        <w:rPr>
          <w:rFonts w:asciiTheme="minorHAnsi" w:hAnsiTheme="minorHAnsi" w:cstheme="minorHAnsi"/>
        </w:rPr>
        <w:lastRenderedPageBreak/>
        <w:t>The LLNP</w:t>
      </w:r>
      <w:r w:rsidR="00A421A3" w:rsidRPr="00A421A3">
        <w:rPr>
          <w:rFonts w:asciiTheme="minorHAnsi" w:hAnsiTheme="minorHAnsi" w:cstheme="minorHAnsi"/>
        </w:rPr>
        <w:t xml:space="preserve"> currently</w:t>
      </w:r>
      <w:r w:rsidRPr="00A421A3">
        <w:rPr>
          <w:rFonts w:asciiTheme="minorHAnsi" w:hAnsiTheme="minorHAnsi" w:cstheme="minorHAnsi"/>
        </w:rPr>
        <w:t xml:space="preserve"> </w:t>
      </w:r>
      <w:r w:rsidR="00A421A3" w:rsidRPr="00A421A3">
        <w:rPr>
          <w:rFonts w:asciiTheme="minorHAnsi" w:hAnsiTheme="minorHAnsi" w:cstheme="minorHAnsi"/>
        </w:rPr>
        <w:t>offers S</w:t>
      </w:r>
      <w:r w:rsidRPr="00A421A3">
        <w:rPr>
          <w:rFonts w:asciiTheme="minorHAnsi" w:hAnsiTheme="minorHAnsi" w:cstheme="minorHAnsi"/>
        </w:rPr>
        <w:t>tandard</w:t>
      </w:r>
      <w:r w:rsidR="00A421A3" w:rsidRPr="00A421A3">
        <w:rPr>
          <w:rFonts w:asciiTheme="minorHAnsi" w:hAnsiTheme="minorHAnsi" w:cstheme="minorHAnsi"/>
        </w:rPr>
        <w:t xml:space="preserve"> Training as well as </w:t>
      </w:r>
      <w:r w:rsidR="00084013">
        <w:rPr>
          <w:rFonts w:asciiTheme="minorHAnsi" w:hAnsiTheme="minorHAnsi" w:cstheme="minorHAnsi"/>
        </w:rPr>
        <w:t>two</w:t>
      </w:r>
      <w:r w:rsidR="00A421A3" w:rsidRPr="00A421A3">
        <w:rPr>
          <w:rFonts w:asciiTheme="minorHAnsi" w:hAnsiTheme="minorHAnsi" w:cstheme="minorHAnsi"/>
        </w:rPr>
        <w:t xml:space="preserve"> optional training course</w:t>
      </w:r>
      <w:r w:rsidR="00A421A3">
        <w:rPr>
          <w:rFonts w:asciiTheme="minorHAnsi" w:hAnsiTheme="minorHAnsi" w:cstheme="minorHAnsi"/>
        </w:rPr>
        <w:t>s:</w:t>
      </w:r>
      <w:r w:rsidR="00A421A3" w:rsidRPr="00A421A3">
        <w:rPr>
          <w:rFonts w:asciiTheme="minorHAnsi" w:hAnsiTheme="minorHAnsi" w:cstheme="minorHAnsi"/>
        </w:rPr>
        <w:t xml:space="preserve"> Complementary Training (CT)</w:t>
      </w:r>
      <w:r w:rsidR="00084013">
        <w:rPr>
          <w:rFonts w:asciiTheme="minorHAnsi" w:hAnsiTheme="minorHAnsi" w:cstheme="minorHAnsi"/>
        </w:rPr>
        <w:t xml:space="preserve"> and</w:t>
      </w:r>
      <w:r w:rsidR="00A421A3">
        <w:rPr>
          <w:rFonts w:asciiTheme="minorHAnsi" w:hAnsiTheme="minorHAnsi" w:cstheme="minorHAnsi"/>
        </w:rPr>
        <w:t xml:space="preserve"> </w:t>
      </w:r>
      <w:r w:rsidR="00A421A3" w:rsidRPr="00A421A3">
        <w:rPr>
          <w:rFonts w:asciiTheme="minorHAnsi" w:hAnsiTheme="minorHAnsi" w:cstheme="minorHAnsi"/>
        </w:rPr>
        <w:t>Advanced Vocationally Oriented Courses (</w:t>
      </w:r>
      <w:r w:rsidRPr="00A421A3">
        <w:rPr>
          <w:rFonts w:asciiTheme="minorHAnsi" w:hAnsiTheme="minorHAnsi" w:cstheme="minorHAnsi"/>
        </w:rPr>
        <w:t>AVOC</w:t>
      </w:r>
      <w:r w:rsidR="00A421A3" w:rsidRPr="00A421A3">
        <w:rPr>
          <w:rFonts w:asciiTheme="minorHAnsi" w:hAnsiTheme="minorHAnsi" w:cstheme="minorHAnsi"/>
        </w:rPr>
        <w:t>)</w:t>
      </w:r>
      <w:r w:rsidR="00B97239">
        <w:rPr>
          <w:rFonts w:asciiTheme="minorHAnsi" w:hAnsiTheme="minorHAnsi" w:cstheme="minorHAnsi"/>
        </w:rPr>
        <w:t>.</w:t>
      </w:r>
      <w:r w:rsidRPr="00A421A3">
        <w:rPr>
          <w:rFonts w:asciiTheme="minorHAnsi" w:hAnsiTheme="minorHAnsi" w:cstheme="minorHAnsi"/>
        </w:rPr>
        <w:t xml:space="preserve"> </w:t>
      </w:r>
    </w:p>
    <w:p w14:paraId="59C0A565" w14:textId="77777777" w:rsidR="00E614E2" w:rsidRDefault="00E614E2" w:rsidP="00A421A3">
      <w:pPr>
        <w:rPr>
          <w:rFonts w:asciiTheme="minorHAnsi" w:hAnsiTheme="minorHAnsi" w:cstheme="minorHAnsi"/>
        </w:rPr>
      </w:pPr>
    </w:p>
    <w:p w14:paraId="59C0A566" w14:textId="77777777" w:rsidR="007071B8" w:rsidRDefault="00A421A3" w:rsidP="009A4A3E">
      <w:pPr>
        <w:pStyle w:val="ListParagraph"/>
        <w:numPr>
          <w:ilvl w:val="0"/>
          <w:numId w:val="11"/>
        </w:numPr>
        <w:rPr>
          <w:rFonts w:asciiTheme="minorHAnsi" w:hAnsiTheme="minorHAnsi" w:cstheme="minorHAnsi"/>
        </w:rPr>
      </w:pPr>
      <w:r w:rsidRPr="00A421A3">
        <w:rPr>
          <w:rFonts w:asciiTheme="minorHAnsi" w:hAnsiTheme="minorHAnsi" w:cstheme="minorHAnsi"/>
        </w:rPr>
        <w:t xml:space="preserve">CT </w:t>
      </w:r>
      <w:r w:rsidR="00D24B73" w:rsidRPr="00D24B73">
        <w:rPr>
          <w:rFonts w:asciiTheme="minorHAnsi" w:hAnsiTheme="minorHAnsi" w:cstheme="minorHAnsi"/>
        </w:rPr>
        <w:t xml:space="preserve">is intended to target the program’s most disadvantaged client groups and provides opportunities to develop contextualised training to enhance clients’ employability in local labour markets. </w:t>
      </w:r>
    </w:p>
    <w:p w14:paraId="59C0A567" w14:textId="77777777" w:rsidR="0031557C" w:rsidRDefault="00D24B73" w:rsidP="009A4A3E">
      <w:pPr>
        <w:pStyle w:val="ListParagraph"/>
        <w:numPr>
          <w:ilvl w:val="0"/>
          <w:numId w:val="11"/>
        </w:numPr>
        <w:rPr>
          <w:rFonts w:asciiTheme="minorHAnsi" w:hAnsiTheme="minorHAnsi" w:cstheme="minorHAnsi"/>
        </w:rPr>
      </w:pPr>
      <w:r w:rsidRPr="00D24B73">
        <w:rPr>
          <w:rFonts w:asciiTheme="minorHAnsi" w:hAnsiTheme="minorHAnsi" w:cstheme="minorHAnsi"/>
        </w:rPr>
        <w:t xml:space="preserve">AVOC is only available to Advanced stream clients and </w:t>
      </w:r>
      <w:r w:rsidR="00E018B1">
        <w:rPr>
          <w:rFonts w:asciiTheme="minorHAnsi" w:hAnsiTheme="minorHAnsi" w:cstheme="minorHAnsi"/>
        </w:rPr>
        <w:t xml:space="preserve">is </w:t>
      </w:r>
      <w:r w:rsidRPr="00D24B73">
        <w:rPr>
          <w:rFonts w:asciiTheme="minorHAnsi" w:hAnsiTheme="minorHAnsi" w:cstheme="minorHAnsi"/>
        </w:rPr>
        <w:t xml:space="preserve">offered in blocks of </w:t>
      </w:r>
    </w:p>
    <w:p w14:paraId="59C0A568" w14:textId="77777777" w:rsidR="007071B8" w:rsidRDefault="00D24B73" w:rsidP="0031557C">
      <w:pPr>
        <w:pStyle w:val="ListParagraph"/>
        <w:ind w:left="644"/>
        <w:rPr>
          <w:rFonts w:asciiTheme="minorHAnsi" w:hAnsiTheme="minorHAnsi" w:cstheme="minorHAnsi"/>
        </w:rPr>
      </w:pPr>
      <w:r w:rsidRPr="00D24B73">
        <w:rPr>
          <w:rFonts w:asciiTheme="minorHAnsi" w:hAnsiTheme="minorHAnsi" w:cstheme="minorHAnsi"/>
        </w:rPr>
        <w:t>400-450</w:t>
      </w:r>
      <w:r w:rsidR="00E018B1">
        <w:rPr>
          <w:rFonts w:asciiTheme="minorHAnsi" w:hAnsiTheme="minorHAnsi" w:cstheme="minorHAnsi"/>
        </w:rPr>
        <w:t> </w:t>
      </w:r>
      <w:r w:rsidRPr="00D24B73">
        <w:rPr>
          <w:rFonts w:asciiTheme="minorHAnsi" w:hAnsiTheme="minorHAnsi" w:cstheme="minorHAnsi"/>
        </w:rPr>
        <w:t>hours with set intake and set end dates.</w:t>
      </w:r>
    </w:p>
    <w:p w14:paraId="59C0A569" w14:textId="77777777" w:rsidR="00E17271" w:rsidRDefault="00E17271" w:rsidP="002831AB">
      <w:pPr>
        <w:rPr>
          <w:rFonts w:asciiTheme="minorHAnsi" w:hAnsiTheme="minorHAnsi" w:cstheme="minorHAnsi"/>
        </w:rPr>
      </w:pPr>
    </w:p>
    <w:p w14:paraId="59C0A56A" w14:textId="77777777" w:rsidR="00E17271" w:rsidRPr="00B97239" w:rsidRDefault="00B97239" w:rsidP="002831AB">
      <w:pPr>
        <w:rPr>
          <w:rFonts w:asciiTheme="minorHAnsi" w:hAnsiTheme="minorHAnsi" w:cstheme="minorHAnsi"/>
        </w:rPr>
      </w:pPr>
      <w:r w:rsidRPr="00B97239">
        <w:rPr>
          <w:rFonts w:asciiTheme="minorHAnsi" w:hAnsiTheme="minorHAnsi" w:cstheme="minorHAnsi"/>
        </w:rPr>
        <w:t>To ensure national geographic coverage, LLNP service delivery for each state/territory is divided into Business Regions (BR) which are further sub-divided into Business Service Areas (BSA</w:t>
      </w:r>
      <w:r w:rsidR="00E018B1">
        <w:rPr>
          <w:rFonts w:asciiTheme="minorHAnsi" w:hAnsiTheme="minorHAnsi" w:cstheme="minorHAnsi"/>
        </w:rPr>
        <w:t>s</w:t>
      </w:r>
      <w:r w:rsidRPr="00B97239">
        <w:rPr>
          <w:rFonts w:asciiTheme="minorHAnsi" w:hAnsiTheme="minorHAnsi" w:cstheme="minorHAnsi"/>
        </w:rPr>
        <w:t>)</w:t>
      </w:r>
      <w:r w:rsidR="00602DB1">
        <w:rPr>
          <w:rFonts w:asciiTheme="minorHAnsi" w:hAnsiTheme="minorHAnsi" w:cstheme="minorHAnsi"/>
        </w:rPr>
        <w:t xml:space="preserve">.  </w:t>
      </w:r>
      <w:r w:rsidRPr="00B97239">
        <w:rPr>
          <w:rFonts w:asciiTheme="minorHAnsi" w:hAnsiTheme="minorHAnsi" w:cstheme="minorHAnsi"/>
        </w:rPr>
        <w:t xml:space="preserve">The LLNP is delivered to 134 </w:t>
      </w:r>
      <w:r w:rsidR="000856C0">
        <w:rPr>
          <w:rFonts w:asciiTheme="minorHAnsi" w:hAnsiTheme="minorHAnsi" w:cstheme="minorHAnsi"/>
        </w:rPr>
        <w:t>BSAs</w:t>
      </w:r>
      <w:r w:rsidRPr="00B97239">
        <w:rPr>
          <w:rFonts w:asciiTheme="minorHAnsi" w:hAnsiTheme="minorHAnsi" w:cstheme="minorHAnsi"/>
        </w:rPr>
        <w:t>, which are geographically defined areas, nationally.</w:t>
      </w:r>
      <w:r>
        <w:rPr>
          <w:rFonts w:asciiTheme="minorHAnsi" w:hAnsiTheme="minorHAnsi" w:cstheme="minorHAnsi"/>
        </w:rPr>
        <w:t xml:space="preserve"> Of these 134 BSAs, 22 are identified as remote. </w:t>
      </w:r>
    </w:p>
    <w:p w14:paraId="59C0A56B" w14:textId="77777777" w:rsidR="00187147" w:rsidRPr="00B97239" w:rsidRDefault="00187147" w:rsidP="00187147">
      <w:pPr>
        <w:tabs>
          <w:tab w:val="left" w:pos="530"/>
        </w:tabs>
        <w:rPr>
          <w:rFonts w:asciiTheme="minorHAnsi" w:hAnsiTheme="minorHAnsi" w:cstheme="minorHAnsi"/>
        </w:rPr>
      </w:pPr>
      <w:r w:rsidRPr="00B97239">
        <w:rPr>
          <w:rFonts w:asciiTheme="minorHAnsi" w:hAnsiTheme="minorHAnsi" w:cstheme="minorHAnsi"/>
        </w:rPr>
        <w:tab/>
      </w:r>
    </w:p>
    <w:p w14:paraId="59C0A56C" w14:textId="77777777" w:rsidR="00187147" w:rsidRDefault="00187147" w:rsidP="00187147">
      <w:pPr>
        <w:rPr>
          <w:rFonts w:asciiTheme="minorHAnsi" w:hAnsiTheme="minorHAnsi" w:cstheme="minorHAnsi"/>
        </w:rPr>
      </w:pPr>
      <w:r w:rsidRPr="00B97239">
        <w:rPr>
          <w:rFonts w:asciiTheme="minorHAnsi" w:hAnsiTheme="minorHAnsi" w:cstheme="minorHAnsi"/>
        </w:rPr>
        <w:t xml:space="preserve">In 2009, the BSA maps were created to visually demonstrate geographic boundaries.  The BSA maps are a tool LLNP providers can use to better understand the geographic dimension of the area they service.  </w:t>
      </w:r>
    </w:p>
    <w:p w14:paraId="59C0A56D" w14:textId="77777777" w:rsidR="0063264F" w:rsidRDefault="0063264F" w:rsidP="00187147">
      <w:pPr>
        <w:rPr>
          <w:rFonts w:asciiTheme="minorHAnsi" w:hAnsiTheme="minorHAnsi" w:cstheme="minorHAnsi"/>
        </w:rPr>
      </w:pPr>
    </w:p>
    <w:p w14:paraId="59C0A56E" w14:textId="77777777" w:rsidR="0063264F" w:rsidRPr="00B97239" w:rsidRDefault="0063264F" w:rsidP="00187147">
      <w:pPr>
        <w:rPr>
          <w:rFonts w:asciiTheme="minorHAnsi" w:hAnsiTheme="minorHAnsi" w:cstheme="minorHAnsi"/>
        </w:rPr>
      </w:pPr>
    </w:p>
    <w:p w14:paraId="59C0A56F" w14:textId="77777777" w:rsidR="00CC68A8" w:rsidRDefault="00CC68A8">
      <w:pPr>
        <w:rPr>
          <w:rFonts w:asciiTheme="minorHAnsi" w:hAnsiTheme="minorHAnsi" w:cstheme="minorHAnsi"/>
          <w:color w:val="000000"/>
          <w:highlight w:val="yellow"/>
        </w:rPr>
      </w:pPr>
    </w:p>
    <w:p w14:paraId="59C0A570" w14:textId="77777777" w:rsidR="000856C0" w:rsidRDefault="000856C0">
      <w:pPr>
        <w:rPr>
          <w:rFonts w:asciiTheme="minorHAnsi" w:hAnsiTheme="minorHAnsi" w:cstheme="minorHAnsi"/>
          <w:b/>
          <w:color w:val="365F91" w:themeColor="accent1" w:themeShade="BF"/>
          <w:sz w:val="28"/>
          <w:szCs w:val="28"/>
        </w:rPr>
      </w:pPr>
      <w:r>
        <w:rPr>
          <w:rFonts w:asciiTheme="minorHAnsi" w:hAnsiTheme="minorHAnsi" w:cstheme="minorHAnsi"/>
          <w:b/>
          <w:color w:val="365F91" w:themeColor="accent1" w:themeShade="BF"/>
          <w:sz w:val="28"/>
          <w:szCs w:val="28"/>
        </w:rPr>
        <w:br w:type="page"/>
      </w:r>
    </w:p>
    <w:p w14:paraId="59C0A571" w14:textId="77777777" w:rsidR="007071B8" w:rsidRDefault="00FA4EBD" w:rsidP="0075673C">
      <w:pPr>
        <w:pStyle w:val="Heading1"/>
      </w:pPr>
      <w:bookmarkStart w:id="6" w:name="_Toc330460457"/>
      <w:r>
        <w:lastRenderedPageBreak/>
        <w:t xml:space="preserve">Chapter </w:t>
      </w:r>
      <w:r w:rsidR="00D24B73" w:rsidRPr="00D24B73">
        <w:t>2</w:t>
      </w:r>
      <w:r>
        <w:t xml:space="preserve"> </w:t>
      </w:r>
      <w:r w:rsidRPr="0015003D">
        <w:t xml:space="preserve">– </w:t>
      </w:r>
      <w:r w:rsidR="00D24B73" w:rsidRPr="00D24B73">
        <w:t>Market Delivery in 2013-16</w:t>
      </w:r>
      <w:bookmarkEnd w:id="6"/>
    </w:p>
    <w:p w14:paraId="59C0A572" w14:textId="77777777" w:rsidR="00E24987" w:rsidRDefault="00E24987" w:rsidP="00345405">
      <w:pPr>
        <w:rPr>
          <w:rFonts w:asciiTheme="minorHAnsi" w:hAnsiTheme="minorHAnsi" w:cstheme="minorHAnsi"/>
        </w:rPr>
      </w:pPr>
    </w:p>
    <w:p w14:paraId="59C0A573" w14:textId="77777777" w:rsidR="00C33A3B" w:rsidRDefault="00A32C4B" w:rsidP="00345405">
      <w:pPr>
        <w:rPr>
          <w:rFonts w:asciiTheme="minorHAnsi" w:hAnsiTheme="minorHAnsi" w:cstheme="minorHAnsi"/>
        </w:rPr>
      </w:pPr>
      <w:r w:rsidRPr="00A32C4B">
        <w:rPr>
          <w:rFonts w:asciiTheme="minorHAnsi" w:hAnsiTheme="minorHAnsi" w:cstheme="minorHAnsi"/>
        </w:rPr>
        <w:t xml:space="preserve">As part of the 2010-13 </w:t>
      </w:r>
      <w:r w:rsidR="004079EE">
        <w:rPr>
          <w:rFonts w:asciiTheme="minorHAnsi" w:hAnsiTheme="minorHAnsi" w:cstheme="minorHAnsi"/>
        </w:rPr>
        <w:t>t</w:t>
      </w:r>
      <w:r w:rsidRPr="00A32C4B">
        <w:rPr>
          <w:rFonts w:asciiTheme="minorHAnsi" w:hAnsiTheme="minorHAnsi" w:cstheme="minorHAnsi"/>
        </w:rPr>
        <w:t xml:space="preserve">ender process, the Government </w:t>
      </w:r>
      <w:r w:rsidR="00046A04">
        <w:rPr>
          <w:rFonts w:asciiTheme="minorHAnsi" w:hAnsiTheme="minorHAnsi" w:cstheme="minorHAnsi"/>
        </w:rPr>
        <w:t xml:space="preserve">provided </w:t>
      </w:r>
      <w:r w:rsidRPr="00A32C4B">
        <w:rPr>
          <w:rFonts w:asciiTheme="minorHAnsi" w:hAnsiTheme="minorHAnsi" w:cstheme="minorHAnsi"/>
        </w:rPr>
        <w:t xml:space="preserve">an option to extend the LLNP contracts for a further three years.  It is proposed that the extension option will be invoked </w:t>
      </w:r>
      <w:r w:rsidR="000856C0">
        <w:rPr>
          <w:rFonts w:asciiTheme="minorHAnsi" w:hAnsiTheme="minorHAnsi" w:cstheme="minorHAnsi"/>
        </w:rPr>
        <w:t xml:space="preserve">for </w:t>
      </w:r>
      <w:r w:rsidRPr="00A32C4B">
        <w:rPr>
          <w:rFonts w:asciiTheme="minorHAnsi" w:hAnsiTheme="minorHAnsi" w:cstheme="minorHAnsi"/>
        </w:rPr>
        <w:t>current</w:t>
      </w:r>
      <w:r w:rsidR="000856C0">
        <w:rPr>
          <w:rFonts w:asciiTheme="minorHAnsi" w:hAnsiTheme="minorHAnsi" w:cstheme="minorHAnsi"/>
        </w:rPr>
        <w:t xml:space="preserve"> high performing</w:t>
      </w:r>
      <w:r w:rsidRPr="00A32C4B">
        <w:rPr>
          <w:rFonts w:asciiTheme="minorHAnsi" w:hAnsiTheme="minorHAnsi" w:cstheme="minorHAnsi"/>
        </w:rPr>
        <w:t xml:space="preserve"> LLNP providers</w:t>
      </w:r>
      <w:r w:rsidR="000856C0">
        <w:rPr>
          <w:rFonts w:asciiTheme="minorHAnsi" w:hAnsiTheme="minorHAnsi" w:cstheme="minorHAnsi"/>
        </w:rPr>
        <w:t>. These providers</w:t>
      </w:r>
      <w:r w:rsidRPr="00A32C4B">
        <w:rPr>
          <w:rFonts w:asciiTheme="minorHAnsi" w:hAnsiTheme="minorHAnsi" w:cstheme="minorHAnsi"/>
        </w:rPr>
        <w:t xml:space="preserve"> will be offered the option to continue deliver</w:t>
      </w:r>
      <w:r w:rsidR="00E46680">
        <w:rPr>
          <w:rFonts w:asciiTheme="minorHAnsi" w:hAnsiTheme="minorHAnsi" w:cstheme="minorHAnsi"/>
        </w:rPr>
        <w:t>ing LLNP training</w:t>
      </w:r>
      <w:r w:rsidRPr="00A32C4B">
        <w:rPr>
          <w:rFonts w:asciiTheme="minorHAnsi" w:hAnsiTheme="minorHAnsi" w:cstheme="minorHAnsi"/>
        </w:rPr>
        <w:t>.</w:t>
      </w:r>
      <w:r w:rsidR="00CD56E9">
        <w:rPr>
          <w:rFonts w:asciiTheme="minorHAnsi" w:hAnsiTheme="minorHAnsi" w:cstheme="minorHAnsi"/>
        </w:rPr>
        <w:t xml:space="preserve"> </w:t>
      </w:r>
    </w:p>
    <w:p w14:paraId="59C0A574" w14:textId="77777777" w:rsidR="00C33A3B" w:rsidRDefault="00C33A3B" w:rsidP="00345405">
      <w:pPr>
        <w:rPr>
          <w:rFonts w:asciiTheme="minorHAnsi" w:hAnsiTheme="minorHAnsi" w:cstheme="minorHAnsi"/>
        </w:rPr>
      </w:pPr>
    </w:p>
    <w:p w14:paraId="59C0A575" w14:textId="77777777" w:rsidR="00345405" w:rsidRPr="00991687" w:rsidRDefault="00991687" w:rsidP="00345405">
      <w:pPr>
        <w:rPr>
          <w:rFonts w:asciiTheme="minorHAnsi" w:hAnsiTheme="minorHAnsi" w:cstheme="minorHAnsi"/>
        </w:rPr>
      </w:pPr>
      <w:r>
        <w:rPr>
          <w:rFonts w:asciiTheme="minorHAnsi" w:hAnsiTheme="minorHAnsi" w:cstheme="minorHAnsi"/>
        </w:rPr>
        <w:t xml:space="preserve">The offer of extending existing contracts is to </w:t>
      </w:r>
      <w:r w:rsidR="00A32C4B" w:rsidRPr="00A32C4B">
        <w:rPr>
          <w:rFonts w:asciiTheme="minorHAnsi" w:hAnsiTheme="minorHAnsi" w:cstheme="minorHAnsi"/>
        </w:rPr>
        <w:t xml:space="preserve">allow for continuity in service delivery. This extension option will not only give providers the certainty of continuing business, but also allow them to make necessary business decisions, such as employing trainers and arranging premises leases at </w:t>
      </w:r>
      <w:r w:rsidR="00A32C4B" w:rsidRPr="004E3AF8">
        <w:rPr>
          <w:rFonts w:asciiTheme="minorHAnsi" w:hAnsiTheme="minorHAnsi" w:cstheme="minorHAnsi"/>
        </w:rPr>
        <w:t xml:space="preserve">competitive rates. </w:t>
      </w:r>
      <w:r w:rsidR="00CD56E9" w:rsidRPr="004E3AF8">
        <w:rPr>
          <w:rFonts w:asciiTheme="minorHAnsi" w:hAnsiTheme="minorHAnsi" w:cstheme="minorHAnsi"/>
        </w:rPr>
        <w:t>The extended contract offered to providers will be varied to ensure consistency with any changes to the program outlined in the RFT documentation.</w:t>
      </w:r>
      <w:r w:rsidR="00CD56E9">
        <w:rPr>
          <w:rFonts w:asciiTheme="minorHAnsi" w:hAnsiTheme="minorHAnsi" w:cstheme="minorHAnsi"/>
        </w:rPr>
        <w:t xml:space="preserve"> </w:t>
      </w:r>
    </w:p>
    <w:p w14:paraId="59C0A576" w14:textId="77777777" w:rsidR="00345405" w:rsidRPr="00991687" w:rsidRDefault="00345405" w:rsidP="00345405">
      <w:pPr>
        <w:rPr>
          <w:rFonts w:asciiTheme="minorHAnsi" w:hAnsiTheme="minorHAnsi" w:cstheme="minorHAnsi"/>
        </w:rPr>
      </w:pPr>
    </w:p>
    <w:p w14:paraId="59C0A577" w14:textId="77777777" w:rsidR="009943C7" w:rsidRDefault="00A32C4B" w:rsidP="00345405">
      <w:pPr>
        <w:rPr>
          <w:rFonts w:asciiTheme="minorHAnsi" w:hAnsiTheme="minorHAnsi" w:cstheme="minorHAnsi"/>
        </w:rPr>
      </w:pPr>
      <w:r w:rsidRPr="00A32C4B">
        <w:rPr>
          <w:rFonts w:asciiTheme="minorHAnsi" w:hAnsiTheme="minorHAnsi" w:cstheme="minorHAnsi"/>
        </w:rPr>
        <w:t xml:space="preserve">The </w:t>
      </w:r>
      <w:r w:rsidR="00991687">
        <w:rPr>
          <w:rFonts w:asciiTheme="minorHAnsi" w:hAnsiTheme="minorHAnsi" w:cstheme="minorHAnsi"/>
        </w:rPr>
        <w:t>length of the extension offer</w:t>
      </w:r>
      <w:r w:rsidR="009943C7">
        <w:rPr>
          <w:rFonts w:asciiTheme="minorHAnsi" w:hAnsiTheme="minorHAnsi" w:cstheme="minorHAnsi"/>
        </w:rPr>
        <w:t>ed</w:t>
      </w:r>
      <w:r w:rsidR="00991687">
        <w:rPr>
          <w:rFonts w:asciiTheme="minorHAnsi" w:hAnsiTheme="minorHAnsi" w:cstheme="minorHAnsi"/>
        </w:rPr>
        <w:t xml:space="preserve"> </w:t>
      </w:r>
      <w:r w:rsidRPr="00A32C4B">
        <w:rPr>
          <w:rFonts w:asciiTheme="minorHAnsi" w:hAnsiTheme="minorHAnsi" w:cstheme="minorHAnsi"/>
        </w:rPr>
        <w:t xml:space="preserve">will be subject to provider performance over the </w:t>
      </w:r>
    </w:p>
    <w:p w14:paraId="59C0A578" w14:textId="77777777" w:rsidR="009943C7" w:rsidRDefault="00A32C4B" w:rsidP="00345405">
      <w:pPr>
        <w:rPr>
          <w:rFonts w:asciiTheme="minorHAnsi" w:hAnsiTheme="minorHAnsi" w:cstheme="minorHAnsi"/>
        </w:rPr>
      </w:pPr>
      <w:r w:rsidRPr="00A32C4B">
        <w:rPr>
          <w:rFonts w:asciiTheme="minorHAnsi" w:hAnsiTheme="minorHAnsi" w:cstheme="minorHAnsi"/>
        </w:rPr>
        <w:t xml:space="preserve">2010-13 contract period. </w:t>
      </w:r>
      <w:r w:rsidR="00991687">
        <w:rPr>
          <w:rFonts w:asciiTheme="minorHAnsi" w:hAnsiTheme="minorHAnsi" w:cstheme="minorHAnsi"/>
        </w:rPr>
        <w:t xml:space="preserve"> Aside from the Key Performance Indicator</w:t>
      </w:r>
      <w:r w:rsidR="00602DB1">
        <w:rPr>
          <w:rFonts w:asciiTheme="minorHAnsi" w:hAnsiTheme="minorHAnsi" w:cstheme="minorHAnsi"/>
        </w:rPr>
        <w:t>s (KPIs)</w:t>
      </w:r>
      <w:r w:rsidR="00991687">
        <w:rPr>
          <w:rFonts w:asciiTheme="minorHAnsi" w:hAnsiTheme="minorHAnsi" w:cstheme="minorHAnsi"/>
        </w:rPr>
        <w:t xml:space="preserve">, other factors of performance will be taken into consideration </w:t>
      </w:r>
      <w:r w:rsidR="008410BB">
        <w:rPr>
          <w:rFonts w:asciiTheme="minorHAnsi" w:hAnsiTheme="minorHAnsi" w:cstheme="minorHAnsi"/>
        </w:rPr>
        <w:t xml:space="preserve">when determining the length of the contract to be offered.  Those components will include but </w:t>
      </w:r>
      <w:r w:rsidR="00E018B1">
        <w:rPr>
          <w:rFonts w:asciiTheme="minorHAnsi" w:hAnsiTheme="minorHAnsi" w:cstheme="minorHAnsi"/>
        </w:rPr>
        <w:t xml:space="preserve">are </w:t>
      </w:r>
      <w:r w:rsidR="008410BB">
        <w:rPr>
          <w:rFonts w:asciiTheme="minorHAnsi" w:hAnsiTheme="minorHAnsi" w:cstheme="minorHAnsi"/>
        </w:rPr>
        <w:t>not limited to</w:t>
      </w:r>
      <w:r w:rsidR="009943C7">
        <w:rPr>
          <w:rFonts w:asciiTheme="minorHAnsi" w:hAnsiTheme="minorHAnsi" w:cstheme="minorHAnsi"/>
        </w:rPr>
        <w:t>:</w:t>
      </w:r>
    </w:p>
    <w:p w14:paraId="59C0A579" w14:textId="77777777" w:rsidR="009943C7" w:rsidRDefault="009943C7" w:rsidP="00345405">
      <w:pPr>
        <w:rPr>
          <w:rFonts w:asciiTheme="minorHAnsi" w:hAnsiTheme="minorHAnsi" w:cstheme="minorHAnsi"/>
        </w:rPr>
      </w:pPr>
    </w:p>
    <w:p w14:paraId="59C0A57A" w14:textId="77777777" w:rsidR="007071B8" w:rsidRDefault="009943C7" w:rsidP="009A4A3E">
      <w:pPr>
        <w:pStyle w:val="ListParagraph"/>
        <w:numPr>
          <w:ilvl w:val="0"/>
          <w:numId w:val="11"/>
        </w:numPr>
        <w:rPr>
          <w:rFonts w:asciiTheme="minorHAnsi" w:hAnsiTheme="minorHAnsi" w:cstheme="minorHAnsi"/>
        </w:rPr>
      </w:pPr>
      <w:r>
        <w:rPr>
          <w:rFonts w:asciiTheme="minorHAnsi" w:hAnsiTheme="minorHAnsi" w:cstheme="minorHAnsi"/>
        </w:rPr>
        <w:t>T</w:t>
      </w:r>
      <w:r w:rsidR="00A32C4B" w:rsidRPr="00A32C4B">
        <w:rPr>
          <w:rFonts w:asciiTheme="minorHAnsi" w:hAnsiTheme="minorHAnsi" w:cstheme="minorHAnsi"/>
        </w:rPr>
        <w:t xml:space="preserve">he </w:t>
      </w:r>
      <w:r w:rsidR="00E46680">
        <w:rPr>
          <w:rFonts w:asciiTheme="minorHAnsi" w:hAnsiTheme="minorHAnsi" w:cstheme="minorHAnsi"/>
        </w:rPr>
        <w:t>target cohort that the provider</w:t>
      </w:r>
      <w:r w:rsidR="004F6071">
        <w:rPr>
          <w:rFonts w:asciiTheme="minorHAnsi" w:hAnsiTheme="minorHAnsi" w:cstheme="minorHAnsi"/>
        </w:rPr>
        <w:t xml:space="preserve"> has</w:t>
      </w:r>
      <w:r w:rsidR="00E46680">
        <w:rPr>
          <w:rFonts w:asciiTheme="minorHAnsi" w:hAnsiTheme="minorHAnsi" w:cstheme="minorHAnsi"/>
        </w:rPr>
        <w:t xml:space="preserve"> been focussing on</w:t>
      </w:r>
      <w:r w:rsidR="00602DB1">
        <w:rPr>
          <w:rFonts w:asciiTheme="minorHAnsi" w:hAnsiTheme="minorHAnsi" w:cstheme="minorHAnsi"/>
        </w:rPr>
        <w:t>;</w:t>
      </w:r>
    </w:p>
    <w:p w14:paraId="59C0A57B" w14:textId="77777777" w:rsidR="007071B8" w:rsidRDefault="00A32C4B" w:rsidP="009A4A3E">
      <w:pPr>
        <w:pStyle w:val="ListParagraph"/>
        <w:numPr>
          <w:ilvl w:val="0"/>
          <w:numId w:val="11"/>
        </w:numPr>
        <w:rPr>
          <w:rFonts w:asciiTheme="minorHAnsi" w:hAnsiTheme="minorHAnsi" w:cstheme="minorHAnsi"/>
        </w:rPr>
      </w:pPr>
      <w:r w:rsidRPr="00A32C4B">
        <w:rPr>
          <w:rFonts w:asciiTheme="minorHAnsi" w:hAnsiTheme="minorHAnsi" w:cstheme="minorHAnsi"/>
        </w:rPr>
        <w:t xml:space="preserve">Whether the provider has been involved with any </w:t>
      </w:r>
      <w:r w:rsidR="009D61EE">
        <w:rPr>
          <w:rFonts w:asciiTheme="minorHAnsi" w:hAnsiTheme="minorHAnsi" w:cstheme="minorHAnsi"/>
        </w:rPr>
        <w:t>I</w:t>
      </w:r>
      <w:r w:rsidRPr="00A32C4B">
        <w:rPr>
          <w:rFonts w:asciiTheme="minorHAnsi" w:hAnsiTheme="minorHAnsi" w:cstheme="minorHAnsi"/>
        </w:rPr>
        <w:t>nnovative</w:t>
      </w:r>
      <w:r w:rsidR="009D61EE">
        <w:rPr>
          <w:rFonts w:asciiTheme="minorHAnsi" w:hAnsiTheme="minorHAnsi" w:cstheme="minorHAnsi"/>
        </w:rPr>
        <w:t xml:space="preserve"> and Research</w:t>
      </w:r>
      <w:r w:rsidRPr="00A32C4B">
        <w:rPr>
          <w:rFonts w:asciiTheme="minorHAnsi" w:hAnsiTheme="minorHAnsi" w:cstheme="minorHAnsi"/>
        </w:rPr>
        <w:t xml:space="preserve"> </w:t>
      </w:r>
      <w:r w:rsidR="009D61EE">
        <w:rPr>
          <w:rFonts w:asciiTheme="minorHAnsi" w:hAnsiTheme="minorHAnsi" w:cstheme="minorHAnsi"/>
        </w:rPr>
        <w:t>P</w:t>
      </w:r>
      <w:r w:rsidRPr="00A32C4B">
        <w:rPr>
          <w:rFonts w:asciiTheme="minorHAnsi" w:hAnsiTheme="minorHAnsi" w:cstheme="minorHAnsi"/>
        </w:rPr>
        <w:t>rojects</w:t>
      </w:r>
      <w:r w:rsidR="00602DB1">
        <w:rPr>
          <w:rFonts w:asciiTheme="minorHAnsi" w:hAnsiTheme="minorHAnsi" w:cstheme="minorHAnsi"/>
        </w:rPr>
        <w:t>;</w:t>
      </w:r>
    </w:p>
    <w:p w14:paraId="59C0A57C" w14:textId="77777777" w:rsidR="007071B8" w:rsidRDefault="009943C7" w:rsidP="009A4A3E">
      <w:pPr>
        <w:pStyle w:val="ListParagraph"/>
        <w:numPr>
          <w:ilvl w:val="0"/>
          <w:numId w:val="11"/>
        </w:numPr>
        <w:rPr>
          <w:rFonts w:asciiTheme="minorHAnsi" w:hAnsiTheme="minorHAnsi" w:cstheme="minorHAnsi"/>
        </w:rPr>
      </w:pPr>
      <w:r>
        <w:rPr>
          <w:rFonts w:asciiTheme="minorHAnsi" w:hAnsiTheme="minorHAnsi" w:cstheme="minorHAnsi"/>
        </w:rPr>
        <w:t>The ability of the provider to deliver on</w:t>
      </w:r>
      <w:r w:rsidR="00E46680">
        <w:rPr>
          <w:rFonts w:asciiTheme="minorHAnsi" w:hAnsiTheme="minorHAnsi" w:cstheme="minorHAnsi"/>
        </w:rPr>
        <w:t xml:space="preserve"> strategies outlined in their tender response</w:t>
      </w:r>
      <w:r w:rsidR="004F6071">
        <w:rPr>
          <w:rFonts w:asciiTheme="minorHAnsi" w:hAnsiTheme="minorHAnsi" w:cstheme="minorHAnsi"/>
        </w:rPr>
        <w:t xml:space="preserve"> and ensure</w:t>
      </w:r>
      <w:r>
        <w:rPr>
          <w:rFonts w:asciiTheme="minorHAnsi" w:hAnsiTheme="minorHAnsi" w:cstheme="minorHAnsi"/>
        </w:rPr>
        <w:t xml:space="preserve"> site operations are commenced within the stipulated timeframe</w:t>
      </w:r>
      <w:r w:rsidR="00602DB1">
        <w:rPr>
          <w:rFonts w:asciiTheme="minorHAnsi" w:hAnsiTheme="minorHAnsi" w:cstheme="minorHAnsi"/>
        </w:rPr>
        <w:t>; and</w:t>
      </w:r>
    </w:p>
    <w:p w14:paraId="59C0A57D" w14:textId="77777777" w:rsidR="007071B8" w:rsidRDefault="00A32C4B" w:rsidP="009A4A3E">
      <w:pPr>
        <w:pStyle w:val="ListParagraph"/>
        <w:numPr>
          <w:ilvl w:val="0"/>
          <w:numId w:val="11"/>
        </w:numPr>
        <w:rPr>
          <w:rFonts w:asciiTheme="minorHAnsi" w:hAnsiTheme="minorHAnsi" w:cstheme="minorHAnsi"/>
        </w:rPr>
      </w:pPr>
      <w:r w:rsidRPr="00A32C4B">
        <w:rPr>
          <w:rFonts w:asciiTheme="minorHAnsi" w:hAnsiTheme="minorHAnsi" w:cstheme="minorHAnsi"/>
        </w:rPr>
        <w:t>Linkages to the local community and</w:t>
      </w:r>
      <w:r w:rsidR="00E730E9">
        <w:rPr>
          <w:rFonts w:asciiTheme="minorHAnsi" w:hAnsiTheme="minorHAnsi" w:cstheme="minorHAnsi"/>
        </w:rPr>
        <w:t>/</w:t>
      </w:r>
      <w:r w:rsidRPr="00A32C4B">
        <w:rPr>
          <w:rFonts w:asciiTheme="minorHAnsi" w:hAnsiTheme="minorHAnsi" w:cstheme="minorHAnsi"/>
        </w:rPr>
        <w:t>or relationship</w:t>
      </w:r>
      <w:r w:rsidR="00E018B1">
        <w:rPr>
          <w:rFonts w:asciiTheme="minorHAnsi" w:hAnsiTheme="minorHAnsi" w:cstheme="minorHAnsi"/>
        </w:rPr>
        <w:t>s</w:t>
      </w:r>
      <w:r w:rsidRPr="00A32C4B">
        <w:rPr>
          <w:rFonts w:asciiTheme="minorHAnsi" w:hAnsiTheme="minorHAnsi" w:cstheme="minorHAnsi"/>
        </w:rPr>
        <w:t xml:space="preserve"> with local referring agencies</w:t>
      </w:r>
      <w:r w:rsidR="00602DB1">
        <w:rPr>
          <w:rFonts w:asciiTheme="minorHAnsi" w:hAnsiTheme="minorHAnsi" w:cstheme="minorHAnsi"/>
        </w:rPr>
        <w:t>.</w:t>
      </w:r>
      <w:r w:rsidR="00E46680">
        <w:rPr>
          <w:rFonts w:asciiTheme="minorHAnsi" w:hAnsiTheme="minorHAnsi" w:cstheme="minorHAnsi"/>
        </w:rPr>
        <w:t xml:space="preserve"> F</w:t>
      </w:r>
      <w:r w:rsidRPr="00A32C4B">
        <w:rPr>
          <w:rFonts w:asciiTheme="minorHAnsi" w:hAnsiTheme="minorHAnsi" w:cstheme="minorHAnsi"/>
        </w:rPr>
        <w:t xml:space="preserve">eedback on those relationships will be sought from the referring agencies.  </w:t>
      </w:r>
    </w:p>
    <w:p w14:paraId="59C0A57E" w14:textId="77777777" w:rsidR="001A1E4D" w:rsidRDefault="001A1E4D">
      <w:pPr>
        <w:pStyle w:val="ListParagraph"/>
        <w:ind w:left="758"/>
        <w:rPr>
          <w:rFonts w:asciiTheme="minorHAnsi" w:hAnsiTheme="minorHAnsi" w:cstheme="minorHAnsi"/>
        </w:rPr>
      </w:pPr>
    </w:p>
    <w:p w14:paraId="59C0A57F" w14:textId="77777777" w:rsidR="001A1E4D" w:rsidRDefault="00E46680">
      <w:pPr>
        <w:pStyle w:val="ListParagraph"/>
        <w:ind w:left="0"/>
        <w:rPr>
          <w:rFonts w:asciiTheme="minorHAnsi" w:hAnsiTheme="minorHAnsi" w:cstheme="minorHAnsi"/>
        </w:rPr>
      </w:pPr>
      <w:r>
        <w:rPr>
          <w:rFonts w:asciiTheme="minorHAnsi" w:hAnsiTheme="minorHAnsi" w:cstheme="minorHAnsi"/>
        </w:rPr>
        <w:t>P</w:t>
      </w:r>
      <w:r w:rsidR="00A32C4B" w:rsidRPr="00A32C4B">
        <w:rPr>
          <w:rFonts w:asciiTheme="minorHAnsi" w:hAnsiTheme="minorHAnsi" w:cstheme="minorHAnsi"/>
        </w:rPr>
        <w:t xml:space="preserve">erformance will also be </w:t>
      </w:r>
      <w:r w:rsidR="004F6071">
        <w:rPr>
          <w:rFonts w:asciiTheme="minorHAnsi" w:hAnsiTheme="minorHAnsi" w:cstheme="minorHAnsi"/>
        </w:rPr>
        <w:t>assessed</w:t>
      </w:r>
      <w:r w:rsidR="00A32C4B" w:rsidRPr="00A32C4B">
        <w:rPr>
          <w:rFonts w:asciiTheme="minorHAnsi" w:hAnsiTheme="minorHAnsi" w:cstheme="minorHAnsi"/>
        </w:rPr>
        <w:t xml:space="preserve"> from feedback from the </w:t>
      </w:r>
      <w:r w:rsidR="00602DB1">
        <w:rPr>
          <w:rFonts w:asciiTheme="minorHAnsi" w:hAnsiTheme="minorHAnsi" w:cstheme="minorHAnsi"/>
        </w:rPr>
        <w:t>D</w:t>
      </w:r>
      <w:r w:rsidR="00A32C4B" w:rsidRPr="00A32C4B">
        <w:rPr>
          <w:rFonts w:asciiTheme="minorHAnsi" w:hAnsiTheme="minorHAnsi" w:cstheme="minorHAnsi"/>
        </w:rPr>
        <w:t>epartment</w:t>
      </w:r>
      <w:r w:rsidR="000856C0">
        <w:rPr>
          <w:rFonts w:asciiTheme="minorHAnsi" w:hAnsiTheme="minorHAnsi" w:cstheme="minorHAnsi"/>
        </w:rPr>
        <w:t>’</w:t>
      </w:r>
      <w:r w:rsidR="00A32C4B" w:rsidRPr="00A32C4B">
        <w:rPr>
          <w:rFonts w:asciiTheme="minorHAnsi" w:hAnsiTheme="minorHAnsi" w:cstheme="minorHAnsi"/>
        </w:rPr>
        <w:t xml:space="preserve">s Contract Managers. </w:t>
      </w:r>
    </w:p>
    <w:p w14:paraId="59C0A580" w14:textId="77777777" w:rsidR="00991687" w:rsidRDefault="00991687" w:rsidP="00345405">
      <w:pPr>
        <w:rPr>
          <w:rFonts w:asciiTheme="minorHAnsi" w:hAnsiTheme="minorHAnsi" w:cstheme="minorHAnsi"/>
        </w:rPr>
      </w:pPr>
    </w:p>
    <w:p w14:paraId="59C0A581" w14:textId="77777777" w:rsidR="00E46680" w:rsidRDefault="00A32C4B" w:rsidP="00345405">
      <w:pPr>
        <w:rPr>
          <w:rFonts w:asciiTheme="minorHAnsi" w:hAnsiTheme="minorHAnsi" w:cstheme="minorHAnsi"/>
        </w:rPr>
      </w:pPr>
      <w:r w:rsidRPr="00A32C4B">
        <w:rPr>
          <w:rFonts w:asciiTheme="minorHAnsi" w:hAnsiTheme="minorHAnsi" w:cstheme="minorHAnsi"/>
        </w:rPr>
        <w:t xml:space="preserve">In conjunction with the </w:t>
      </w:r>
      <w:r w:rsidR="00991687">
        <w:rPr>
          <w:rFonts w:asciiTheme="minorHAnsi" w:hAnsiTheme="minorHAnsi" w:cstheme="minorHAnsi"/>
        </w:rPr>
        <w:t>contract extensions</w:t>
      </w:r>
      <w:r w:rsidRPr="00A32C4B">
        <w:rPr>
          <w:rFonts w:asciiTheme="minorHAnsi" w:hAnsiTheme="minorHAnsi" w:cstheme="minorHAnsi"/>
        </w:rPr>
        <w:t xml:space="preserve">, the Government is </w:t>
      </w:r>
      <w:r w:rsidR="00E46680">
        <w:rPr>
          <w:rFonts w:asciiTheme="minorHAnsi" w:hAnsiTheme="minorHAnsi" w:cstheme="minorHAnsi"/>
        </w:rPr>
        <w:t xml:space="preserve">also </w:t>
      </w:r>
      <w:r w:rsidRPr="00A32C4B">
        <w:rPr>
          <w:rFonts w:asciiTheme="minorHAnsi" w:hAnsiTheme="minorHAnsi" w:cstheme="minorHAnsi"/>
        </w:rPr>
        <w:t>proposing to</w:t>
      </w:r>
      <w:r w:rsidR="00991687">
        <w:rPr>
          <w:rFonts w:asciiTheme="minorHAnsi" w:hAnsiTheme="minorHAnsi" w:cstheme="minorHAnsi"/>
        </w:rPr>
        <w:t xml:space="preserve"> approach the market to fill </w:t>
      </w:r>
      <w:r w:rsidR="00C33A3B">
        <w:rPr>
          <w:rFonts w:asciiTheme="minorHAnsi" w:hAnsiTheme="minorHAnsi" w:cstheme="minorHAnsi"/>
        </w:rPr>
        <w:t xml:space="preserve">current and future </w:t>
      </w:r>
      <w:r w:rsidR="00991687">
        <w:rPr>
          <w:rFonts w:asciiTheme="minorHAnsi" w:hAnsiTheme="minorHAnsi" w:cstheme="minorHAnsi"/>
        </w:rPr>
        <w:t>service</w:t>
      </w:r>
      <w:r w:rsidR="00C33A3B">
        <w:rPr>
          <w:rFonts w:asciiTheme="minorHAnsi" w:hAnsiTheme="minorHAnsi" w:cstheme="minorHAnsi"/>
        </w:rPr>
        <w:t xml:space="preserve"> delivery</w:t>
      </w:r>
      <w:r w:rsidR="00991687">
        <w:rPr>
          <w:rFonts w:asciiTheme="minorHAnsi" w:hAnsiTheme="minorHAnsi" w:cstheme="minorHAnsi"/>
        </w:rPr>
        <w:t xml:space="preserve"> gap</w:t>
      </w:r>
      <w:r w:rsidR="00C33A3B">
        <w:rPr>
          <w:rFonts w:asciiTheme="minorHAnsi" w:hAnsiTheme="minorHAnsi" w:cstheme="minorHAnsi"/>
        </w:rPr>
        <w:t>s</w:t>
      </w:r>
      <w:r w:rsidR="00084013">
        <w:rPr>
          <w:rFonts w:asciiTheme="minorHAnsi" w:hAnsiTheme="minorHAnsi" w:cstheme="minorHAnsi"/>
        </w:rPr>
        <w:t>,</w:t>
      </w:r>
      <w:r w:rsidR="00C33A3B">
        <w:rPr>
          <w:rFonts w:asciiTheme="minorHAnsi" w:hAnsiTheme="minorHAnsi" w:cstheme="minorHAnsi"/>
        </w:rPr>
        <w:t xml:space="preserve"> </w:t>
      </w:r>
      <w:r w:rsidR="00084013">
        <w:rPr>
          <w:rFonts w:asciiTheme="minorHAnsi" w:hAnsiTheme="minorHAnsi" w:cstheme="minorHAnsi"/>
        </w:rPr>
        <w:t>f</w:t>
      </w:r>
      <w:r w:rsidR="00C33A3B">
        <w:rPr>
          <w:rFonts w:asciiTheme="minorHAnsi" w:hAnsiTheme="minorHAnsi" w:cstheme="minorHAnsi"/>
        </w:rPr>
        <w:t>or instance</w:t>
      </w:r>
      <w:r w:rsidR="00342D7B">
        <w:rPr>
          <w:rFonts w:asciiTheme="minorHAnsi" w:hAnsiTheme="minorHAnsi" w:cstheme="minorHAnsi"/>
        </w:rPr>
        <w:t>,</w:t>
      </w:r>
      <w:r w:rsidR="00C33A3B">
        <w:rPr>
          <w:rFonts w:asciiTheme="minorHAnsi" w:hAnsiTheme="minorHAnsi" w:cstheme="minorHAnsi"/>
        </w:rPr>
        <w:t xml:space="preserve"> where an existing </w:t>
      </w:r>
      <w:r w:rsidR="00991687">
        <w:rPr>
          <w:rFonts w:asciiTheme="minorHAnsi" w:hAnsiTheme="minorHAnsi" w:cstheme="minorHAnsi"/>
        </w:rPr>
        <w:t>provider choose</w:t>
      </w:r>
      <w:r w:rsidR="00382908">
        <w:rPr>
          <w:rFonts w:asciiTheme="minorHAnsi" w:hAnsiTheme="minorHAnsi" w:cstheme="minorHAnsi"/>
        </w:rPr>
        <w:t>s</w:t>
      </w:r>
      <w:r w:rsidR="00991687">
        <w:rPr>
          <w:rFonts w:asciiTheme="minorHAnsi" w:hAnsiTheme="minorHAnsi" w:cstheme="minorHAnsi"/>
        </w:rPr>
        <w:t xml:space="preserve"> to decline the contract extension</w:t>
      </w:r>
      <w:r w:rsidR="00C33A3B">
        <w:rPr>
          <w:rFonts w:asciiTheme="minorHAnsi" w:hAnsiTheme="minorHAnsi" w:cstheme="minorHAnsi"/>
        </w:rPr>
        <w:t xml:space="preserve"> and/or where there is no face-to</w:t>
      </w:r>
      <w:r w:rsidR="00342D7B">
        <w:rPr>
          <w:rFonts w:asciiTheme="minorHAnsi" w:hAnsiTheme="minorHAnsi" w:cstheme="minorHAnsi"/>
        </w:rPr>
        <w:t>-</w:t>
      </w:r>
      <w:r w:rsidR="00C33A3B">
        <w:rPr>
          <w:rFonts w:asciiTheme="minorHAnsi" w:hAnsiTheme="minorHAnsi" w:cstheme="minorHAnsi"/>
        </w:rPr>
        <w:t>face provider</w:t>
      </w:r>
      <w:r w:rsidR="00E46680">
        <w:rPr>
          <w:rFonts w:asciiTheme="minorHAnsi" w:hAnsiTheme="minorHAnsi" w:cstheme="minorHAnsi"/>
        </w:rPr>
        <w:t>.</w:t>
      </w:r>
    </w:p>
    <w:p w14:paraId="59C0A582" w14:textId="77777777" w:rsidR="00991687" w:rsidRDefault="00E46680" w:rsidP="00345405">
      <w:pPr>
        <w:rPr>
          <w:rFonts w:asciiTheme="minorHAnsi" w:hAnsiTheme="minorHAnsi" w:cstheme="minorHAnsi"/>
        </w:rPr>
      </w:pPr>
      <w:r w:rsidDel="00E46680">
        <w:rPr>
          <w:rFonts w:asciiTheme="minorHAnsi" w:hAnsiTheme="minorHAnsi" w:cstheme="minorHAnsi"/>
        </w:rPr>
        <w:t xml:space="preserve"> </w:t>
      </w:r>
    </w:p>
    <w:p w14:paraId="59C0A583" w14:textId="77777777" w:rsidR="005C2654" w:rsidRDefault="005C2654" w:rsidP="005C2654">
      <w:pPr>
        <w:rPr>
          <w:rFonts w:asciiTheme="minorHAnsi" w:hAnsiTheme="minorHAnsi" w:cstheme="minorHAnsi"/>
        </w:rPr>
      </w:pPr>
      <w:r>
        <w:rPr>
          <w:rFonts w:asciiTheme="minorHAnsi" w:hAnsiTheme="minorHAnsi" w:cstheme="minorHAnsi"/>
        </w:rPr>
        <w:t>Aside from filling service delivery gaps</w:t>
      </w:r>
      <w:r w:rsidR="003A01CD">
        <w:rPr>
          <w:rFonts w:asciiTheme="minorHAnsi" w:hAnsiTheme="minorHAnsi" w:cstheme="minorHAnsi"/>
        </w:rPr>
        <w:t>,</w:t>
      </w:r>
      <w:r>
        <w:rPr>
          <w:rFonts w:asciiTheme="minorHAnsi" w:hAnsiTheme="minorHAnsi" w:cstheme="minorHAnsi"/>
        </w:rPr>
        <w:t xml:space="preserve"> there is a need to introduce other RTOs into the LLNP market as the program has expanded since the previous tender process.  </w:t>
      </w:r>
      <w:r w:rsidR="004F6071">
        <w:rPr>
          <w:rFonts w:asciiTheme="minorHAnsi" w:hAnsiTheme="minorHAnsi" w:cstheme="minorHAnsi"/>
        </w:rPr>
        <w:t>T</w:t>
      </w:r>
      <w:r w:rsidR="0089736F">
        <w:rPr>
          <w:rFonts w:asciiTheme="minorHAnsi" w:hAnsiTheme="minorHAnsi" w:cstheme="minorHAnsi"/>
        </w:rPr>
        <w:t xml:space="preserve">he </w:t>
      </w:r>
      <w:r w:rsidR="00A32C4B" w:rsidRPr="00A32C4B">
        <w:rPr>
          <w:rFonts w:asciiTheme="minorHAnsi" w:hAnsiTheme="minorHAnsi" w:cstheme="minorHAnsi"/>
        </w:rPr>
        <w:t xml:space="preserve">program </w:t>
      </w:r>
      <w:r w:rsidR="00E46680">
        <w:rPr>
          <w:rFonts w:asciiTheme="minorHAnsi" w:hAnsiTheme="minorHAnsi" w:cstheme="minorHAnsi"/>
        </w:rPr>
        <w:t>will</w:t>
      </w:r>
      <w:r w:rsidR="00A32C4B" w:rsidRPr="00A32C4B">
        <w:rPr>
          <w:rFonts w:asciiTheme="minorHAnsi" w:hAnsiTheme="minorHAnsi" w:cstheme="minorHAnsi"/>
        </w:rPr>
        <w:t xml:space="preserve"> </w:t>
      </w:r>
      <w:r w:rsidR="00E46680">
        <w:rPr>
          <w:rFonts w:asciiTheme="minorHAnsi" w:hAnsiTheme="minorHAnsi" w:cstheme="minorHAnsi"/>
        </w:rPr>
        <w:t>almost</w:t>
      </w:r>
      <w:r w:rsidR="00A32C4B" w:rsidRPr="00A32C4B">
        <w:rPr>
          <w:rFonts w:asciiTheme="minorHAnsi" w:hAnsiTheme="minorHAnsi" w:cstheme="minorHAnsi"/>
        </w:rPr>
        <w:t xml:space="preserve"> double </w:t>
      </w:r>
      <w:r w:rsidR="002E09BB">
        <w:rPr>
          <w:rFonts w:asciiTheme="minorHAnsi" w:hAnsiTheme="minorHAnsi" w:cstheme="minorHAnsi"/>
        </w:rPr>
        <w:t xml:space="preserve">in size </w:t>
      </w:r>
      <w:r w:rsidR="00E46680">
        <w:rPr>
          <w:rFonts w:asciiTheme="minorHAnsi" w:hAnsiTheme="minorHAnsi" w:cstheme="minorHAnsi"/>
        </w:rPr>
        <w:t>from</w:t>
      </w:r>
      <w:r w:rsidR="00A32C4B" w:rsidRPr="00A32C4B">
        <w:rPr>
          <w:rFonts w:asciiTheme="minorHAnsi" w:hAnsiTheme="minorHAnsi" w:cstheme="minorHAnsi"/>
        </w:rPr>
        <w:t xml:space="preserve"> the previous tender</w:t>
      </w:r>
      <w:r w:rsidR="002E09BB">
        <w:rPr>
          <w:rFonts w:asciiTheme="minorHAnsi" w:hAnsiTheme="minorHAnsi" w:cstheme="minorHAnsi"/>
        </w:rPr>
        <w:t>:</w:t>
      </w:r>
      <w:r w:rsidR="00A32C4B" w:rsidRPr="00A32C4B">
        <w:rPr>
          <w:rFonts w:asciiTheme="minorHAnsi" w:hAnsiTheme="minorHAnsi" w:cstheme="minorHAnsi"/>
        </w:rPr>
        <w:t xml:space="preserve"> from around 17,000 commencements </w:t>
      </w:r>
      <w:r w:rsidR="00BB41A1">
        <w:rPr>
          <w:rFonts w:asciiTheme="minorHAnsi" w:hAnsiTheme="minorHAnsi" w:cstheme="minorHAnsi"/>
        </w:rPr>
        <w:t xml:space="preserve">per annum </w:t>
      </w:r>
      <w:r w:rsidR="00A32C4B" w:rsidRPr="00A32C4B">
        <w:rPr>
          <w:rFonts w:asciiTheme="minorHAnsi" w:hAnsiTheme="minorHAnsi" w:cstheme="minorHAnsi"/>
        </w:rPr>
        <w:t xml:space="preserve">to 30,000 commencements </w:t>
      </w:r>
      <w:r w:rsidR="00AA7035">
        <w:rPr>
          <w:rFonts w:asciiTheme="minorHAnsi" w:hAnsiTheme="minorHAnsi" w:cstheme="minorHAnsi"/>
        </w:rPr>
        <w:t xml:space="preserve">per annum </w:t>
      </w:r>
      <w:r w:rsidR="00A32C4B" w:rsidRPr="00A32C4B">
        <w:rPr>
          <w:rFonts w:asciiTheme="minorHAnsi" w:hAnsiTheme="minorHAnsi" w:cstheme="minorHAnsi"/>
        </w:rPr>
        <w:t xml:space="preserve">by 2014-15.  </w:t>
      </w:r>
    </w:p>
    <w:p w14:paraId="59C0A584" w14:textId="77777777" w:rsidR="005C2654" w:rsidRDefault="005C2654" w:rsidP="005C2654">
      <w:pPr>
        <w:rPr>
          <w:rFonts w:asciiTheme="minorHAnsi" w:hAnsiTheme="minorHAnsi" w:cstheme="minorHAnsi"/>
        </w:rPr>
      </w:pPr>
    </w:p>
    <w:p w14:paraId="59C0A585" w14:textId="77777777" w:rsidR="00E17271" w:rsidRDefault="00E17271" w:rsidP="005C2654">
      <w:pPr>
        <w:rPr>
          <w:rFonts w:asciiTheme="minorHAnsi" w:hAnsiTheme="minorHAnsi" w:cstheme="minorHAnsi"/>
        </w:rPr>
      </w:pPr>
      <w:r>
        <w:rPr>
          <w:rFonts w:asciiTheme="minorHAnsi" w:hAnsiTheme="minorHAnsi" w:cstheme="minorHAnsi"/>
        </w:rPr>
        <w:t xml:space="preserve">Potentially, as the number of LLNP providers increases so will </w:t>
      </w:r>
      <w:r w:rsidR="000856C0">
        <w:rPr>
          <w:rFonts w:asciiTheme="minorHAnsi" w:hAnsiTheme="minorHAnsi" w:cstheme="minorHAnsi"/>
        </w:rPr>
        <w:t xml:space="preserve">the </w:t>
      </w:r>
      <w:r w:rsidR="0095145C">
        <w:rPr>
          <w:rFonts w:asciiTheme="minorHAnsi" w:hAnsiTheme="minorHAnsi" w:cstheme="minorHAnsi"/>
        </w:rPr>
        <w:t>number of providers delivering services</w:t>
      </w:r>
      <w:r w:rsidR="000856C0">
        <w:rPr>
          <w:rFonts w:asciiTheme="minorHAnsi" w:hAnsiTheme="minorHAnsi" w:cstheme="minorHAnsi"/>
        </w:rPr>
        <w:t xml:space="preserve"> in each</w:t>
      </w:r>
      <w:r w:rsidR="0095145C">
        <w:rPr>
          <w:rFonts w:asciiTheme="minorHAnsi" w:hAnsiTheme="minorHAnsi" w:cstheme="minorHAnsi"/>
        </w:rPr>
        <w:t xml:space="preserve"> </w:t>
      </w:r>
      <w:r w:rsidR="003A01CD">
        <w:rPr>
          <w:rFonts w:asciiTheme="minorHAnsi" w:hAnsiTheme="minorHAnsi" w:cstheme="minorHAnsi"/>
        </w:rPr>
        <w:t>BSA</w:t>
      </w:r>
      <w:r>
        <w:rPr>
          <w:rFonts w:asciiTheme="minorHAnsi" w:hAnsiTheme="minorHAnsi" w:cstheme="minorHAnsi"/>
        </w:rPr>
        <w:t xml:space="preserve">.  </w:t>
      </w:r>
    </w:p>
    <w:p w14:paraId="59C0A586" w14:textId="77777777" w:rsidR="00E17271" w:rsidRDefault="00E17271" w:rsidP="005C2654">
      <w:pPr>
        <w:rPr>
          <w:rFonts w:asciiTheme="minorHAnsi" w:hAnsiTheme="minorHAnsi" w:cstheme="minorHAnsi"/>
        </w:rPr>
      </w:pPr>
    </w:p>
    <w:p w14:paraId="59C0A587" w14:textId="77777777" w:rsidR="001A1E4D" w:rsidRPr="0095145C" w:rsidRDefault="00C035F7" w:rsidP="0095145C">
      <w:pPr>
        <w:rPr>
          <w:rFonts w:asciiTheme="minorHAnsi" w:hAnsiTheme="minorHAnsi" w:cstheme="minorHAnsi"/>
        </w:rPr>
      </w:pPr>
      <w:r>
        <w:rPr>
          <w:rFonts w:asciiTheme="minorHAnsi" w:hAnsiTheme="minorHAnsi" w:cstheme="minorHAnsi"/>
        </w:rPr>
        <w:t>The Government is also considering the introduction of an LLNP</w:t>
      </w:r>
      <w:r w:rsidR="00A32C4B" w:rsidRPr="0095145C">
        <w:rPr>
          <w:rFonts w:asciiTheme="minorHAnsi" w:hAnsiTheme="minorHAnsi" w:cstheme="minorHAnsi"/>
        </w:rPr>
        <w:t xml:space="preserve"> panel of providers. This is a new concept that aims to increase the program’s </w:t>
      </w:r>
      <w:r w:rsidR="001A419D" w:rsidRPr="0095145C">
        <w:rPr>
          <w:rFonts w:asciiTheme="minorHAnsi" w:hAnsiTheme="minorHAnsi" w:cstheme="minorHAnsi"/>
        </w:rPr>
        <w:t>flexibility</w:t>
      </w:r>
      <w:r w:rsidR="00A32C4B" w:rsidRPr="0095145C">
        <w:rPr>
          <w:rFonts w:asciiTheme="minorHAnsi" w:hAnsiTheme="minorHAnsi" w:cstheme="minorHAnsi"/>
        </w:rPr>
        <w:t xml:space="preserve"> to respond to the changing needs of the </w:t>
      </w:r>
      <w:r w:rsidR="00A32C4B" w:rsidRPr="004E3AF8">
        <w:rPr>
          <w:rFonts w:asciiTheme="minorHAnsi" w:hAnsiTheme="minorHAnsi" w:cstheme="minorHAnsi"/>
        </w:rPr>
        <w:t xml:space="preserve">Australian economy and industry.  A more detailed outline of the panel and </w:t>
      </w:r>
      <w:r w:rsidR="009A52AE" w:rsidRPr="004E3AF8">
        <w:rPr>
          <w:rFonts w:asciiTheme="minorHAnsi" w:hAnsiTheme="minorHAnsi" w:cstheme="minorHAnsi"/>
        </w:rPr>
        <w:t>its</w:t>
      </w:r>
      <w:r w:rsidR="00A32C4B" w:rsidRPr="004E3AF8">
        <w:rPr>
          <w:rFonts w:asciiTheme="minorHAnsi" w:hAnsiTheme="minorHAnsi" w:cstheme="minorHAnsi"/>
        </w:rPr>
        <w:t xml:space="preserve"> purpose is provided </w:t>
      </w:r>
      <w:r w:rsidR="00E24987" w:rsidRPr="004E3AF8">
        <w:rPr>
          <w:rFonts w:asciiTheme="minorHAnsi" w:hAnsiTheme="minorHAnsi" w:cstheme="minorHAnsi"/>
        </w:rPr>
        <w:t xml:space="preserve">on </w:t>
      </w:r>
      <w:r w:rsidR="00E24987" w:rsidRPr="003015A5">
        <w:rPr>
          <w:rFonts w:asciiTheme="minorHAnsi" w:hAnsiTheme="minorHAnsi" w:cstheme="minorHAnsi"/>
        </w:rPr>
        <w:t>page</w:t>
      </w:r>
      <w:r w:rsidR="00AA7035" w:rsidRPr="003015A5">
        <w:rPr>
          <w:rFonts w:asciiTheme="minorHAnsi" w:hAnsiTheme="minorHAnsi" w:cstheme="minorHAnsi"/>
        </w:rPr>
        <w:t xml:space="preserve"> 1</w:t>
      </w:r>
      <w:r w:rsidR="003015A5" w:rsidRPr="003015A5">
        <w:rPr>
          <w:rFonts w:asciiTheme="minorHAnsi" w:hAnsiTheme="minorHAnsi" w:cstheme="minorHAnsi"/>
        </w:rPr>
        <w:t>0</w:t>
      </w:r>
      <w:r w:rsidRPr="003015A5">
        <w:rPr>
          <w:rFonts w:asciiTheme="minorHAnsi" w:hAnsiTheme="minorHAnsi" w:cstheme="minorHAnsi"/>
        </w:rPr>
        <w:t>.</w:t>
      </w:r>
    </w:p>
    <w:p w14:paraId="59C0A588" w14:textId="77777777" w:rsidR="00B72649" w:rsidRDefault="00B72649" w:rsidP="00CC68A8"/>
    <w:p w14:paraId="59C0A589" w14:textId="77777777" w:rsidR="00E24987" w:rsidRDefault="00E93B80" w:rsidP="00E93B80">
      <w:pPr>
        <w:rPr>
          <w:rFonts w:ascii="Century Gothic" w:hAnsi="Century Gothic" w:cstheme="minorHAnsi"/>
          <w:color w:val="365F91" w:themeColor="accent1" w:themeShade="BF"/>
          <w:sz w:val="28"/>
          <w:szCs w:val="28"/>
        </w:rPr>
      </w:pPr>
      <w:r>
        <w:rPr>
          <w:rFonts w:ascii="Century Gothic" w:hAnsi="Century Gothic" w:cstheme="minorHAnsi"/>
          <w:color w:val="365F91" w:themeColor="accent1" w:themeShade="BF"/>
          <w:sz w:val="28"/>
          <w:szCs w:val="28"/>
        </w:rPr>
        <w:br w:type="page"/>
      </w:r>
    </w:p>
    <w:p w14:paraId="59C0A58A" w14:textId="77777777" w:rsidR="00B72649" w:rsidRPr="00072478" w:rsidRDefault="00E24987" w:rsidP="003A64D3">
      <w:pPr>
        <w:pStyle w:val="Heading3"/>
        <w:rPr>
          <w:b/>
        </w:rPr>
      </w:pPr>
      <w:bookmarkStart w:id="7" w:name="_Toc330460458"/>
      <w:r>
        <w:lastRenderedPageBreak/>
        <w:t>Mu</w:t>
      </w:r>
      <w:r w:rsidR="00D24B73" w:rsidRPr="00D24B73">
        <w:t>lti- provider service delivery model</w:t>
      </w:r>
      <w:bookmarkEnd w:id="7"/>
    </w:p>
    <w:p w14:paraId="59C0A58B" w14:textId="77777777" w:rsidR="00637E17" w:rsidRDefault="00CD56E9" w:rsidP="00B72649">
      <w:r>
        <w:t>Under current arrangements e</w:t>
      </w:r>
      <w:r w:rsidR="00B72649" w:rsidRPr="002F5F9A">
        <w:t>ach</w:t>
      </w:r>
      <w:r>
        <w:t xml:space="preserve"> contracted LLNP Provider</w:t>
      </w:r>
      <w:r w:rsidR="00B72649" w:rsidRPr="002F5F9A">
        <w:t xml:space="preserve"> is contracted to deliver services for three years within a BSA. </w:t>
      </w:r>
      <w:r w:rsidR="00637E17">
        <w:t xml:space="preserve">In the majority of instances there is only one LLNP provider delivering service in the BSA, the exception </w:t>
      </w:r>
      <w:r w:rsidR="006B09D6">
        <w:t>being</w:t>
      </w:r>
      <w:r w:rsidR="00637E17">
        <w:t xml:space="preserve"> some larger populated areas such as metropolitan areas</w:t>
      </w:r>
      <w:r w:rsidR="002E09BB">
        <w:t>,</w:t>
      </w:r>
      <w:r w:rsidR="00637E17">
        <w:t xml:space="preserve"> but not all.  </w:t>
      </w:r>
    </w:p>
    <w:p w14:paraId="59C0A58C" w14:textId="77777777" w:rsidR="00CD56E9" w:rsidRDefault="00CD56E9" w:rsidP="00B72649"/>
    <w:p w14:paraId="59C0A58D" w14:textId="77777777" w:rsidR="00290D15" w:rsidRDefault="00637E17" w:rsidP="00B72649">
      <w:r>
        <w:t>During the 2010-13 Contract period the Department experienced instances where</w:t>
      </w:r>
      <w:r w:rsidR="002E09BB">
        <w:t>,</w:t>
      </w:r>
      <w:r>
        <w:t xml:space="preserve"> due to a number of factors</w:t>
      </w:r>
      <w:r w:rsidR="000856C0">
        <w:t>,</w:t>
      </w:r>
      <w:r>
        <w:t xml:space="preserve"> the LLNP </w:t>
      </w:r>
      <w:r w:rsidR="000B6A90">
        <w:t>p</w:t>
      </w:r>
      <w:r>
        <w:t xml:space="preserve">rovider in </w:t>
      </w:r>
      <w:r w:rsidR="000856C0">
        <w:t>a</w:t>
      </w:r>
      <w:r>
        <w:t xml:space="preserve"> BSA was not able to meet </w:t>
      </w:r>
      <w:r w:rsidR="000856C0">
        <w:t>local</w:t>
      </w:r>
      <w:r>
        <w:t xml:space="preserve"> demands.  </w:t>
      </w:r>
      <w:r w:rsidR="00B72649">
        <w:t>Th</w:t>
      </w:r>
      <w:r>
        <w:t>is current delivery model appears to be limit</w:t>
      </w:r>
      <w:r w:rsidR="005659CF">
        <w:t>ing</w:t>
      </w:r>
      <w:r>
        <w:t xml:space="preserve"> the</w:t>
      </w:r>
      <w:r w:rsidR="000856C0">
        <w:t xml:space="preserve"> capacity</w:t>
      </w:r>
      <w:r>
        <w:t xml:space="preserve"> </w:t>
      </w:r>
      <w:r w:rsidR="00CD56E9">
        <w:t>to respond to local demands or to the</w:t>
      </w:r>
      <w:r>
        <w:t xml:space="preserve"> rapid expansion of the program.  </w:t>
      </w:r>
      <w:r w:rsidR="00CD56E9">
        <w:t>As the size of the LLNP will grow over the next few years, t</w:t>
      </w:r>
      <w:r w:rsidR="00B72649" w:rsidRPr="00725D8A">
        <w:t xml:space="preserve">here is a need to </w:t>
      </w:r>
      <w:r w:rsidR="00290D15">
        <w:t xml:space="preserve">consider a multi-provider service delivery </w:t>
      </w:r>
      <w:r w:rsidR="005659CF">
        <w:t>within a BSA</w:t>
      </w:r>
      <w:r w:rsidR="00290D15">
        <w:t xml:space="preserve">.  </w:t>
      </w:r>
    </w:p>
    <w:p w14:paraId="59C0A58E" w14:textId="77777777" w:rsidR="00290D15" w:rsidRDefault="00290D15" w:rsidP="00B72649"/>
    <w:p w14:paraId="59C0A58F" w14:textId="77777777" w:rsidR="00B72649" w:rsidRDefault="00290D15" w:rsidP="00B72649">
      <w:r>
        <w:t xml:space="preserve">Having more than one LLNP provider </w:t>
      </w:r>
      <w:r w:rsidR="00B72649" w:rsidRPr="00725D8A">
        <w:t xml:space="preserve">within a geographic area </w:t>
      </w:r>
      <w:r>
        <w:t xml:space="preserve">should </w:t>
      </w:r>
      <w:r w:rsidR="00B72649" w:rsidRPr="00725D8A">
        <w:t>allow for faster engagement with clients and</w:t>
      </w:r>
      <w:r w:rsidR="00B72649">
        <w:t xml:space="preserve"> </w:t>
      </w:r>
      <w:r>
        <w:t xml:space="preserve">also </w:t>
      </w:r>
      <w:r w:rsidR="00B72649">
        <w:t>provide more</w:t>
      </w:r>
      <w:r w:rsidR="00B72649" w:rsidRPr="00725D8A">
        <w:t xml:space="preserve"> choice</w:t>
      </w:r>
      <w:r w:rsidR="00B72649">
        <w:t xml:space="preserve"> for clients</w:t>
      </w:r>
      <w:r w:rsidR="00B72649" w:rsidRPr="00725D8A">
        <w:t xml:space="preserve">.  </w:t>
      </w:r>
      <w:r>
        <w:t xml:space="preserve">The multi-provider model also aligns with other Government contracted service delivery models such as the Employment Service model where there are a number of </w:t>
      </w:r>
      <w:r w:rsidR="00811468">
        <w:t>JSA and DES</w:t>
      </w:r>
      <w:r>
        <w:t xml:space="preserve"> providers within an Employment Service Area</w:t>
      </w:r>
      <w:r w:rsidR="00811468">
        <w:t xml:space="preserve"> (ESA)</w:t>
      </w:r>
      <w:r>
        <w:t xml:space="preserve">.  </w:t>
      </w:r>
    </w:p>
    <w:p w14:paraId="59C0A590" w14:textId="77777777" w:rsidR="00385180" w:rsidRDefault="00385180" w:rsidP="00B72649"/>
    <w:p w14:paraId="59C0A591" w14:textId="77777777" w:rsidR="00637E17" w:rsidRDefault="00290D15" w:rsidP="00B72649">
      <w:r>
        <w:t>While there</w:t>
      </w:r>
      <w:r w:rsidR="00CD56E9">
        <w:t xml:space="preserve"> </w:t>
      </w:r>
      <w:r w:rsidR="002E09BB">
        <w:t xml:space="preserve">is </w:t>
      </w:r>
      <w:r w:rsidR="00CD56E9">
        <w:t>consideration of</w:t>
      </w:r>
      <w:r>
        <w:t xml:space="preserve"> expanding the multi-provider model beyond metropolitan areas, the financial capping of the program will also be a factor the Government will be considering when offering future business.</w:t>
      </w:r>
    </w:p>
    <w:p w14:paraId="59C0A592" w14:textId="77777777" w:rsidR="00637E17" w:rsidRDefault="00637E17" w:rsidP="00B72649"/>
    <w:p w14:paraId="59C0A593" w14:textId="77777777" w:rsidR="0074504E" w:rsidRDefault="00A32C4B">
      <w:r w:rsidRPr="00A32C4B">
        <w:t>Sitting alongside the expansion of the multi-provider option</w:t>
      </w:r>
      <w:r w:rsidR="002E09BB">
        <w:t>,</w:t>
      </w:r>
      <w:r w:rsidRPr="00A32C4B">
        <w:t xml:space="preserve"> the Government is </w:t>
      </w:r>
      <w:r w:rsidR="002E09BB">
        <w:t xml:space="preserve">also </w:t>
      </w:r>
      <w:r w:rsidRPr="00A32C4B">
        <w:t xml:space="preserve">looking to introduce panel arrangements for the delivery of LLNP.  The panel will assist the </w:t>
      </w:r>
      <w:r w:rsidR="00811468">
        <w:t>G</w:t>
      </w:r>
      <w:r w:rsidRPr="00A32C4B">
        <w:t>overnment in better targeting demand for LLNP services where existing contracted providers are unable to provide services.</w:t>
      </w:r>
      <w:r w:rsidR="00CC68A8">
        <w:t xml:space="preserve">  </w:t>
      </w:r>
    </w:p>
    <w:p w14:paraId="59C0A594" w14:textId="77777777" w:rsidR="0074504E" w:rsidRDefault="0074504E">
      <w:pPr>
        <w:rPr>
          <w:rFonts w:ascii="Century Gothic" w:hAnsi="Century Gothic" w:cstheme="minorHAnsi"/>
          <w:color w:val="365F91" w:themeColor="accent1" w:themeShade="BF"/>
          <w:sz w:val="28"/>
          <w:szCs w:val="28"/>
        </w:rPr>
      </w:pPr>
    </w:p>
    <w:p w14:paraId="59C0A595" w14:textId="77777777" w:rsidR="0074504E" w:rsidRDefault="00D24B73" w:rsidP="003A64D3">
      <w:pPr>
        <w:pStyle w:val="Heading3"/>
      </w:pPr>
      <w:bookmarkStart w:id="8" w:name="_Toc330460459"/>
      <w:r w:rsidRPr="00D24B73">
        <w:t>Introduction of a Panel Model</w:t>
      </w:r>
      <w:bookmarkEnd w:id="8"/>
    </w:p>
    <w:p w14:paraId="59C0A596" w14:textId="77777777" w:rsidR="00160A95" w:rsidRDefault="00CD56E9" w:rsidP="00CC68A8">
      <w:r>
        <w:t xml:space="preserve">During the 2010-13 contract period the Department experienced a number of instances where a service </w:t>
      </w:r>
      <w:r w:rsidRPr="004E3AF8">
        <w:t>gap eventuated.</w:t>
      </w:r>
      <w:r w:rsidR="009C7021">
        <w:t xml:space="preserve">  </w:t>
      </w:r>
      <w:r w:rsidR="009C7021" w:rsidRPr="004E3AF8">
        <w:t>A timely response was often difficult due to the need to undertake a separate procurement exercise in order to fill that gap.</w:t>
      </w:r>
      <w:r w:rsidR="009C7021">
        <w:t xml:space="preserve"> Under current arrangements, even where existing providers have undertaken the procurement process and been successful as part of that process, they are currently still required to re-tender to fill any gap. </w:t>
      </w:r>
      <w:r w:rsidRPr="004E3AF8">
        <w:t xml:space="preserve"> </w:t>
      </w:r>
      <w:r w:rsidR="00CC68A8" w:rsidRPr="004E3AF8">
        <w:t xml:space="preserve">The </w:t>
      </w:r>
      <w:r w:rsidRPr="004E3AF8">
        <w:t>purpose</w:t>
      </w:r>
      <w:r w:rsidR="009B7712" w:rsidRPr="004E3AF8">
        <w:t xml:space="preserve"> of </w:t>
      </w:r>
      <w:r w:rsidRPr="004E3AF8">
        <w:t>a</w:t>
      </w:r>
      <w:r w:rsidR="009B7712" w:rsidRPr="004E3AF8">
        <w:t xml:space="preserve"> panel </w:t>
      </w:r>
      <w:r w:rsidRPr="004E3AF8">
        <w:t xml:space="preserve">model </w:t>
      </w:r>
      <w:r w:rsidR="009B7712" w:rsidRPr="004E3AF8">
        <w:t xml:space="preserve">is to </w:t>
      </w:r>
      <w:r w:rsidRPr="004E3AF8">
        <w:t>increase our capacity to respond quickly to changes within the BSA</w:t>
      </w:r>
      <w:r w:rsidR="00160A95" w:rsidRPr="004E3AF8">
        <w:t>.</w:t>
      </w:r>
      <w:r w:rsidR="009B7712" w:rsidRPr="004E3AF8">
        <w:t xml:space="preserve"> </w:t>
      </w:r>
    </w:p>
    <w:p w14:paraId="59C0A597" w14:textId="77777777" w:rsidR="00160A95" w:rsidRDefault="00160A95" w:rsidP="00CC68A8"/>
    <w:p w14:paraId="59C0A598" w14:textId="77777777" w:rsidR="00E65FF8" w:rsidRDefault="00E65FF8" w:rsidP="00E65FF8">
      <w:r w:rsidRPr="008745CC">
        <w:t xml:space="preserve">Under </w:t>
      </w:r>
      <w:r>
        <w:t>a panel</w:t>
      </w:r>
      <w:r w:rsidRPr="008745CC">
        <w:t xml:space="preserve"> model, one or more providers would be contracted to </w:t>
      </w:r>
      <w:r>
        <w:t xml:space="preserve">deliver </w:t>
      </w:r>
      <w:r w:rsidRPr="008745CC">
        <w:t xml:space="preserve">training in each BSA, as </w:t>
      </w:r>
      <w:r>
        <w:t xml:space="preserve">is current practice in some BSAs.  </w:t>
      </w:r>
      <w:r w:rsidRPr="008745CC">
        <w:t xml:space="preserve">However, other viable tenderers would also be invited to join a non-exclusive panel of potential providers.  These providers </w:t>
      </w:r>
      <w:r>
        <w:t xml:space="preserve">would not be offered business immediately but </w:t>
      </w:r>
      <w:r w:rsidRPr="008745CC">
        <w:t>could be called upon to deliver training as required – for example, to offer additional services in response to client demand or to</w:t>
      </w:r>
      <w:r>
        <w:t xml:space="preserve"> </w:t>
      </w:r>
      <w:r w:rsidRPr="008745CC">
        <w:t>replace an under-performing provider.</w:t>
      </w:r>
      <w:r>
        <w:t xml:space="preserve"> </w:t>
      </w:r>
      <w:r w:rsidR="009C7021">
        <w:t>P</w:t>
      </w:r>
      <w:r w:rsidRPr="009C7021">
        <w:t>anels may also be established to offer distance-mode delivery and Independent Verification (IV) services.</w:t>
      </w:r>
    </w:p>
    <w:p w14:paraId="59C0A599" w14:textId="77777777" w:rsidR="00385180" w:rsidRDefault="00385180" w:rsidP="00CC68A8"/>
    <w:p w14:paraId="59C0A59A" w14:textId="77777777" w:rsidR="00385180" w:rsidRDefault="00E43610" w:rsidP="00CC68A8">
      <w:r>
        <w:t xml:space="preserve">Business </w:t>
      </w:r>
      <w:r w:rsidR="00811468">
        <w:t>would not be</w:t>
      </w:r>
      <w:r>
        <w:t xml:space="preserve"> guaranteed for any LLNP panel member but they </w:t>
      </w:r>
      <w:r w:rsidR="00811468">
        <w:t xml:space="preserve">would </w:t>
      </w:r>
      <w:r>
        <w:t>have opportunities to apply for Innovati</w:t>
      </w:r>
      <w:r w:rsidR="00811468">
        <w:t>ve and Research Project</w:t>
      </w:r>
      <w:r>
        <w:t xml:space="preserve"> funding annually to undertake pilot programs, research or other proposals that will improve the delivery of the LLNP.</w:t>
      </w:r>
    </w:p>
    <w:p w14:paraId="59C0A59B" w14:textId="77777777" w:rsidR="00C31F45" w:rsidRDefault="00C31F45" w:rsidP="00CC68A8"/>
    <w:p w14:paraId="59C0A59C" w14:textId="77777777" w:rsidR="00C31F45" w:rsidRDefault="000856C0" w:rsidP="00CC68A8">
      <w:r>
        <w:t>V</w:t>
      </w:r>
      <w:r w:rsidR="00E43610">
        <w:t>arious scenarios using the pan</w:t>
      </w:r>
      <w:r w:rsidR="007A3808">
        <w:t xml:space="preserve">el </w:t>
      </w:r>
      <w:r w:rsidR="002E09BB">
        <w:t xml:space="preserve">model </w:t>
      </w:r>
      <w:r w:rsidR="008E6BD8">
        <w:t>are</w:t>
      </w:r>
      <w:r w:rsidR="007A3808">
        <w:t xml:space="preserve"> outlined in </w:t>
      </w:r>
      <w:r w:rsidR="002E35D4">
        <w:t>the following table</w:t>
      </w:r>
      <w:r w:rsidR="00E43610">
        <w:t xml:space="preserve">.  </w:t>
      </w:r>
    </w:p>
    <w:p w14:paraId="59C0A59D" w14:textId="77777777" w:rsidR="005645C4" w:rsidRDefault="00E93B80" w:rsidP="00CC68A8">
      <w:pPr>
        <w:rPr>
          <w:b/>
          <w:sz w:val="20"/>
          <w:szCs w:val="20"/>
        </w:rPr>
      </w:pPr>
      <w:r>
        <w:rPr>
          <w:b/>
          <w:sz w:val="20"/>
          <w:szCs w:val="20"/>
        </w:rPr>
        <w:br w:type="page"/>
      </w:r>
    </w:p>
    <w:p w14:paraId="59C0A59E" w14:textId="77777777" w:rsidR="00B82C40" w:rsidRPr="003405E0" w:rsidRDefault="00D24B73" w:rsidP="00CC68A8">
      <w:pPr>
        <w:rPr>
          <w:b/>
          <w:sz w:val="20"/>
          <w:szCs w:val="20"/>
        </w:rPr>
      </w:pPr>
      <w:r w:rsidRPr="00D24B73">
        <w:rPr>
          <w:b/>
          <w:sz w:val="20"/>
          <w:szCs w:val="20"/>
        </w:rPr>
        <w:lastRenderedPageBreak/>
        <w:t xml:space="preserve">Table 2: LLNP Panel Scenarios about when to </w:t>
      </w:r>
      <w:r w:rsidR="004275D4">
        <w:rPr>
          <w:b/>
          <w:sz w:val="20"/>
          <w:szCs w:val="20"/>
        </w:rPr>
        <w:t>A</w:t>
      </w:r>
      <w:r w:rsidRPr="00D24B73">
        <w:rPr>
          <w:b/>
          <w:sz w:val="20"/>
          <w:szCs w:val="20"/>
        </w:rPr>
        <w:t xml:space="preserve">pproach a </w:t>
      </w:r>
      <w:r w:rsidR="004275D4">
        <w:rPr>
          <w:b/>
          <w:sz w:val="20"/>
          <w:szCs w:val="20"/>
        </w:rPr>
        <w:t>P</w:t>
      </w:r>
      <w:r w:rsidRPr="00D24B73">
        <w:rPr>
          <w:b/>
          <w:sz w:val="20"/>
          <w:szCs w:val="20"/>
        </w:rPr>
        <w:t xml:space="preserve">anel </w:t>
      </w:r>
      <w:r w:rsidR="004275D4">
        <w:rPr>
          <w:b/>
          <w:sz w:val="20"/>
          <w:szCs w:val="20"/>
        </w:rPr>
        <w:t>M</w:t>
      </w:r>
      <w:r w:rsidRPr="00D24B73">
        <w:rPr>
          <w:b/>
          <w:sz w:val="20"/>
          <w:szCs w:val="20"/>
        </w:rPr>
        <w:t>ember</w:t>
      </w:r>
    </w:p>
    <w:tbl>
      <w:tblPr>
        <w:tblStyle w:val="TableGrid"/>
        <w:tblW w:w="0" w:type="auto"/>
        <w:tblLook w:val="04A0" w:firstRow="1" w:lastRow="0" w:firstColumn="1" w:lastColumn="0" w:noHBand="0" w:noVBand="1"/>
      </w:tblPr>
      <w:tblGrid>
        <w:gridCol w:w="2840"/>
        <w:gridCol w:w="2841"/>
        <w:gridCol w:w="2841"/>
      </w:tblGrid>
      <w:tr w:rsidR="00C31F45" w:rsidRPr="00E43610" w14:paraId="59C0A5A2" w14:textId="77777777" w:rsidTr="003559C3">
        <w:tc>
          <w:tcPr>
            <w:tcW w:w="2840" w:type="dxa"/>
            <w:shd w:val="pct12" w:color="auto" w:fill="auto"/>
          </w:tcPr>
          <w:p w14:paraId="59C0A59F" w14:textId="77777777" w:rsidR="00C31F45" w:rsidRPr="00E43610" w:rsidRDefault="00A32C4B" w:rsidP="00E614E2">
            <w:pPr>
              <w:rPr>
                <w:b/>
              </w:rPr>
            </w:pPr>
            <w:r w:rsidRPr="00E43610">
              <w:rPr>
                <w:b/>
              </w:rPr>
              <w:t>Scenario</w:t>
            </w:r>
          </w:p>
        </w:tc>
        <w:tc>
          <w:tcPr>
            <w:tcW w:w="2841" w:type="dxa"/>
            <w:shd w:val="pct12" w:color="auto" w:fill="auto"/>
          </w:tcPr>
          <w:p w14:paraId="59C0A5A0" w14:textId="77777777" w:rsidR="00C31F45" w:rsidRPr="00E43610" w:rsidRDefault="00A32C4B" w:rsidP="00E614E2">
            <w:pPr>
              <w:rPr>
                <w:b/>
              </w:rPr>
            </w:pPr>
            <w:r w:rsidRPr="00E43610">
              <w:rPr>
                <w:b/>
              </w:rPr>
              <w:t>Options</w:t>
            </w:r>
          </w:p>
        </w:tc>
        <w:tc>
          <w:tcPr>
            <w:tcW w:w="2841" w:type="dxa"/>
            <w:shd w:val="pct12" w:color="auto" w:fill="auto"/>
          </w:tcPr>
          <w:p w14:paraId="59C0A5A1" w14:textId="77777777" w:rsidR="00C31F45" w:rsidRPr="00E43610" w:rsidRDefault="00A32C4B" w:rsidP="00E614E2">
            <w:pPr>
              <w:rPr>
                <w:b/>
              </w:rPr>
            </w:pPr>
            <w:r w:rsidRPr="00E43610">
              <w:rPr>
                <w:b/>
              </w:rPr>
              <w:t xml:space="preserve">Panel </w:t>
            </w:r>
            <w:r w:rsidR="004275D4">
              <w:rPr>
                <w:b/>
              </w:rPr>
              <w:t>M</w:t>
            </w:r>
            <w:r w:rsidRPr="00E43610">
              <w:rPr>
                <w:b/>
              </w:rPr>
              <w:t>ember</w:t>
            </w:r>
          </w:p>
        </w:tc>
      </w:tr>
      <w:tr w:rsidR="003559C3" w14:paraId="59C0A5A9" w14:textId="77777777" w:rsidTr="00BA5D87">
        <w:tc>
          <w:tcPr>
            <w:tcW w:w="2840" w:type="dxa"/>
            <w:vMerge w:val="restart"/>
          </w:tcPr>
          <w:p w14:paraId="59C0A5A3" w14:textId="77777777" w:rsidR="003559C3" w:rsidRDefault="008E6BD8" w:rsidP="00DD31BC">
            <w:r>
              <w:t>Unmet d</w:t>
            </w:r>
            <w:r w:rsidR="003559C3">
              <w:t>emand in local area</w:t>
            </w:r>
            <w:r w:rsidR="004275D4">
              <w:t>.</w:t>
            </w:r>
            <w:r w:rsidR="003559C3">
              <w:t xml:space="preserve"> </w:t>
            </w:r>
          </w:p>
        </w:tc>
        <w:tc>
          <w:tcPr>
            <w:tcW w:w="5682" w:type="dxa"/>
            <w:gridSpan w:val="2"/>
          </w:tcPr>
          <w:p w14:paraId="59C0A5A4" w14:textId="77777777" w:rsidR="003559C3" w:rsidRPr="00FC02D5" w:rsidRDefault="003559C3" w:rsidP="009A4A3E">
            <w:pPr>
              <w:pStyle w:val="ListParagraph"/>
              <w:numPr>
                <w:ilvl w:val="0"/>
                <w:numId w:val="13"/>
              </w:numPr>
            </w:pPr>
            <w:r>
              <w:t>Discuss with existing provider regarding</w:t>
            </w:r>
            <w:r w:rsidR="00CB6D7C">
              <w:t xml:space="preserve"> their</w:t>
            </w:r>
            <w:r>
              <w:t xml:space="preserve"> </w:t>
            </w:r>
            <w:r w:rsidR="000856C0">
              <w:t xml:space="preserve">capacity to </w:t>
            </w:r>
            <w:r w:rsidR="00CD0BB5">
              <w:t xml:space="preserve">meet </w:t>
            </w:r>
            <w:r>
              <w:t>demand</w:t>
            </w:r>
            <w:r w:rsidR="004275D4">
              <w:t>.</w:t>
            </w:r>
          </w:p>
          <w:p w14:paraId="59C0A5A5" w14:textId="77777777" w:rsidR="003559C3" w:rsidRDefault="003559C3" w:rsidP="00CC68A8"/>
          <w:p w14:paraId="59C0A5A6" w14:textId="77777777" w:rsidR="003559C3" w:rsidRDefault="003559C3" w:rsidP="00CC68A8"/>
          <w:p w14:paraId="59C0A5A7" w14:textId="77777777" w:rsidR="003559C3" w:rsidRDefault="003559C3" w:rsidP="00CC68A8"/>
          <w:p w14:paraId="59C0A5A8" w14:textId="77777777" w:rsidR="003559C3" w:rsidRPr="00FC02D5" w:rsidRDefault="003559C3" w:rsidP="00CC68A8"/>
        </w:tc>
      </w:tr>
      <w:tr w:rsidR="003559C3" w14:paraId="59C0A5AD" w14:textId="77777777" w:rsidTr="00C31F45">
        <w:tc>
          <w:tcPr>
            <w:tcW w:w="2840" w:type="dxa"/>
            <w:vMerge/>
          </w:tcPr>
          <w:p w14:paraId="59C0A5AA" w14:textId="77777777" w:rsidR="003559C3" w:rsidRDefault="003559C3" w:rsidP="00CC68A8"/>
        </w:tc>
        <w:tc>
          <w:tcPr>
            <w:tcW w:w="2841" w:type="dxa"/>
          </w:tcPr>
          <w:p w14:paraId="59C0A5AB" w14:textId="77777777" w:rsidR="003559C3" w:rsidRDefault="003559C3">
            <w:r>
              <w:t>(YES) Provider accepts offer – no need to approach Panel member</w:t>
            </w:r>
            <w:r w:rsidR="004275D4">
              <w:t>.</w:t>
            </w:r>
          </w:p>
        </w:tc>
        <w:tc>
          <w:tcPr>
            <w:tcW w:w="2841" w:type="dxa"/>
          </w:tcPr>
          <w:p w14:paraId="59C0A5AC" w14:textId="77777777" w:rsidR="003559C3" w:rsidRDefault="003559C3" w:rsidP="00CC68A8">
            <w:r>
              <w:t>(NO) Provider is unable to service new area of demand – the panel member is approached</w:t>
            </w:r>
            <w:r w:rsidR="004275D4">
              <w:t>.</w:t>
            </w:r>
          </w:p>
        </w:tc>
      </w:tr>
      <w:tr w:rsidR="003559C3" w14:paraId="59C0A5B3" w14:textId="77777777" w:rsidTr="00BA5D87">
        <w:tc>
          <w:tcPr>
            <w:tcW w:w="2840" w:type="dxa"/>
            <w:vMerge w:val="restart"/>
          </w:tcPr>
          <w:p w14:paraId="59C0A5AE" w14:textId="77777777" w:rsidR="003559C3" w:rsidRDefault="003559C3" w:rsidP="00CC68A8">
            <w:r>
              <w:t>Geographic coverage too large / remote</w:t>
            </w:r>
            <w:r w:rsidR="004275D4">
              <w:t>.</w:t>
            </w:r>
          </w:p>
          <w:p w14:paraId="59C0A5AF" w14:textId="77777777" w:rsidR="003559C3" w:rsidRDefault="003559C3" w:rsidP="00CC68A8"/>
          <w:p w14:paraId="59C0A5B0" w14:textId="77777777" w:rsidR="003559C3" w:rsidRDefault="003559C3" w:rsidP="00CC68A8"/>
        </w:tc>
        <w:tc>
          <w:tcPr>
            <w:tcW w:w="5682" w:type="dxa"/>
            <w:gridSpan w:val="2"/>
          </w:tcPr>
          <w:p w14:paraId="59C0A5B1" w14:textId="77777777" w:rsidR="003559C3" w:rsidRPr="009A3134" w:rsidRDefault="003559C3" w:rsidP="009A4A3E">
            <w:pPr>
              <w:pStyle w:val="ListParagraph"/>
              <w:numPr>
                <w:ilvl w:val="0"/>
                <w:numId w:val="13"/>
              </w:numPr>
              <w:rPr>
                <w:rFonts w:eastAsia="Times New Roman"/>
                <w:lang w:eastAsia="en-AU"/>
              </w:rPr>
            </w:pPr>
            <w:r>
              <w:t>Discuss with existing provider whether</w:t>
            </w:r>
            <w:r w:rsidR="00CB6D7C">
              <w:t xml:space="preserve"> they are</w:t>
            </w:r>
            <w:r>
              <w:t xml:space="preserve"> able to service </w:t>
            </w:r>
            <w:r w:rsidR="00CB6D7C">
              <w:t xml:space="preserve">a </w:t>
            </w:r>
            <w:r>
              <w:t>wider area</w:t>
            </w:r>
            <w:r w:rsidR="004275D4">
              <w:t>.</w:t>
            </w:r>
          </w:p>
          <w:p w14:paraId="59C0A5B2" w14:textId="77777777" w:rsidR="003559C3" w:rsidRDefault="003559C3" w:rsidP="009A3134">
            <w:pPr>
              <w:pStyle w:val="ListParagraph"/>
              <w:rPr>
                <w:rFonts w:eastAsia="Times New Roman"/>
                <w:lang w:eastAsia="en-AU"/>
              </w:rPr>
            </w:pPr>
          </w:p>
        </w:tc>
      </w:tr>
      <w:tr w:rsidR="003559C3" w14:paraId="59C0A5B7" w14:textId="77777777" w:rsidTr="00C31F45">
        <w:tc>
          <w:tcPr>
            <w:tcW w:w="2840" w:type="dxa"/>
            <w:vMerge/>
          </w:tcPr>
          <w:p w14:paraId="59C0A5B4" w14:textId="77777777" w:rsidR="003559C3" w:rsidRDefault="003559C3" w:rsidP="00CC68A8"/>
        </w:tc>
        <w:tc>
          <w:tcPr>
            <w:tcW w:w="2841" w:type="dxa"/>
          </w:tcPr>
          <w:p w14:paraId="59C0A5B5" w14:textId="77777777" w:rsidR="003559C3" w:rsidRDefault="003559C3" w:rsidP="00CC68A8">
            <w:r>
              <w:t xml:space="preserve">(YES) </w:t>
            </w:r>
            <w:r w:rsidR="00CB6D7C">
              <w:t>P</w:t>
            </w:r>
            <w:r>
              <w:t>rovider is able to expand within geographic area in a timely manner</w:t>
            </w:r>
            <w:r w:rsidR="004275D4">
              <w:t>.</w:t>
            </w:r>
          </w:p>
        </w:tc>
        <w:tc>
          <w:tcPr>
            <w:tcW w:w="2841" w:type="dxa"/>
          </w:tcPr>
          <w:p w14:paraId="59C0A5B6" w14:textId="77777777" w:rsidR="003559C3" w:rsidRDefault="003559C3" w:rsidP="00CC68A8">
            <w:r>
              <w:t>(NO) Provider is unable to service new area of demand – the panel member is approached</w:t>
            </w:r>
          </w:p>
        </w:tc>
      </w:tr>
      <w:tr w:rsidR="003559C3" w14:paraId="59C0A5BD" w14:textId="77777777" w:rsidTr="00BA5D87">
        <w:tc>
          <w:tcPr>
            <w:tcW w:w="2840" w:type="dxa"/>
            <w:vMerge w:val="restart"/>
          </w:tcPr>
          <w:p w14:paraId="59C0A5B8" w14:textId="77777777" w:rsidR="003559C3" w:rsidRDefault="008E6BD8" w:rsidP="00CC68A8">
            <w:r>
              <w:t xml:space="preserve">Poor </w:t>
            </w:r>
            <w:r w:rsidR="00CB6D7C">
              <w:t>p</w:t>
            </w:r>
            <w:r w:rsidR="003559C3">
              <w:t>erformance</w:t>
            </w:r>
            <w:r>
              <w:t xml:space="preserve"> by existing provider</w:t>
            </w:r>
            <w:r w:rsidR="004275D4">
              <w:t>.</w:t>
            </w:r>
          </w:p>
          <w:p w14:paraId="59C0A5B9" w14:textId="77777777" w:rsidR="003559C3" w:rsidRDefault="003559C3" w:rsidP="00CC68A8"/>
          <w:p w14:paraId="59C0A5BA" w14:textId="77777777" w:rsidR="003559C3" w:rsidRDefault="003559C3" w:rsidP="00CC68A8"/>
        </w:tc>
        <w:tc>
          <w:tcPr>
            <w:tcW w:w="5682" w:type="dxa"/>
            <w:gridSpan w:val="2"/>
          </w:tcPr>
          <w:p w14:paraId="59C0A5BB" w14:textId="77777777" w:rsidR="003559C3" w:rsidRPr="009A3134" w:rsidRDefault="003559C3" w:rsidP="009A4A3E">
            <w:pPr>
              <w:pStyle w:val="ListParagraph"/>
              <w:numPr>
                <w:ilvl w:val="0"/>
                <w:numId w:val="13"/>
              </w:numPr>
              <w:rPr>
                <w:rFonts w:eastAsia="Times New Roman"/>
                <w:lang w:eastAsia="en-AU"/>
              </w:rPr>
            </w:pPr>
            <w:r>
              <w:t>Department notifies existing provider of performance improvement requirements</w:t>
            </w:r>
            <w:r w:rsidR="004275D4">
              <w:t>.</w:t>
            </w:r>
          </w:p>
          <w:p w14:paraId="59C0A5BC" w14:textId="77777777" w:rsidR="003559C3" w:rsidRDefault="003559C3" w:rsidP="009A3134">
            <w:pPr>
              <w:pStyle w:val="ListParagraph"/>
              <w:rPr>
                <w:rFonts w:eastAsia="Times New Roman"/>
                <w:lang w:eastAsia="en-AU"/>
              </w:rPr>
            </w:pPr>
          </w:p>
        </w:tc>
      </w:tr>
      <w:tr w:rsidR="003559C3" w14:paraId="59C0A5C1" w14:textId="77777777" w:rsidTr="00C31F45">
        <w:tc>
          <w:tcPr>
            <w:tcW w:w="2840" w:type="dxa"/>
            <w:vMerge/>
          </w:tcPr>
          <w:p w14:paraId="59C0A5BE" w14:textId="77777777" w:rsidR="003559C3" w:rsidRDefault="003559C3" w:rsidP="00CC68A8"/>
        </w:tc>
        <w:tc>
          <w:tcPr>
            <w:tcW w:w="2841" w:type="dxa"/>
          </w:tcPr>
          <w:p w14:paraId="59C0A5BF" w14:textId="77777777" w:rsidR="003559C3" w:rsidRDefault="003559C3">
            <w:pPr>
              <w:rPr>
                <w:rFonts w:eastAsia="Times New Roman"/>
                <w:lang w:eastAsia="en-AU"/>
              </w:rPr>
            </w:pPr>
            <w:r>
              <w:t xml:space="preserve">(YES) </w:t>
            </w:r>
            <w:r w:rsidR="00CB6D7C">
              <w:t>P</w:t>
            </w:r>
            <w:r>
              <w:t>rovider improves performance within the required timeframe- panel member not approached</w:t>
            </w:r>
            <w:r w:rsidR="004275D4">
              <w:t>.</w:t>
            </w:r>
          </w:p>
        </w:tc>
        <w:tc>
          <w:tcPr>
            <w:tcW w:w="2841" w:type="dxa"/>
          </w:tcPr>
          <w:p w14:paraId="59C0A5C0" w14:textId="77777777" w:rsidR="003559C3" w:rsidRDefault="003559C3">
            <w:pPr>
              <w:rPr>
                <w:rFonts w:eastAsia="Times New Roman"/>
                <w:lang w:eastAsia="en-AU"/>
              </w:rPr>
            </w:pPr>
            <w:r>
              <w:t xml:space="preserve">(NO) </w:t>
            </w:r>
            <w:r w:rsidR="00CB6D7C">
              <w:t>P</w:t>
            </w:r>
            <w:r>
              <w:t>rovider does not improve performance within the required timeframe – department process</w:t>
            </w:r>
            <w:r w:rsidR="004275D4">
              <w:t>.</w:t>
            </w:r>
          </w:p>
        </w:tc>
      </w:tr>
      <w:tr w:rsidR="003559C3" w14:paraId="59C0A5C6" w14:textId="77777777" w:rsidTr="00C31F45">
        <w:tc>
          <w:tcPr>
            <w:tcW w:w="2840" w:type="dxa"/>
            <w:vMerge/>
          </w:tcPr>
          <w:p w14:paraId="59C0A5C2" w14:textId="77777777" w:rsidR="003559C3" w:rsidRDefault="003559C3" w:rsidP="00CC68A8"/>
        </w:tc>
        <w:tc>
          <w:tcPr>
            <w:tcW w:w="2841" w:type="dxa"/>
          </w:tcPr>
          <w:p w14:paraId="59C0A5C3" w14:textId="77777777" w:rsidR="003559C3" w:rsidRDefault="003559C3" w:rsidP="00CC68A8">
            <w:r>
              <w:t xml:space="preserve">(YES) </w:t>
            </w:r>
            <w:r w:rsidR="00CB6D7C">
              <w:t>W</w:t>
            </w:r>
            <w:r>
              <w:t>ritten warning given – improvement seen within the timeframe – panel member not approached</w:t>
            </w:r>
            <w:r w:rsidR="004275D4">
              <w:t>.</w:t>
            </w:r>
          </w:p>
        </w:tc>
        <w:tc>
          <w:tcPr>
            <w:tcW w:w="2841" w:type="dxa"/>
          </w:tcPr>
          <w:p w14:paraId="59C0A5C4" w14:textId="77777777" w:rsidR="003559C3" w:rsidRDefault="003559C3" w:rsidP="00CC68A8">
            <w:r>
              <w:t>(NO) Written warning given – without improvement – panel approached</w:t>
            </w:r>
            <w:r w:rsidR="004275D4">
              <w:t>.</w:t>
            </w:r>
          </w:p>
          <w:p w14:paraId="59C0A5C5" w14:textId="77777777" w:rsidR="003559C3" w:rsidRDefault="003559C3" w:rsidP="00CC68A8"/>
        </w:tc>
      </w:tr>
    </w:tbl>
    <w:p w14:paraId="59C0A5C7" w14:textId="77777777" w:rsidR="00D505A3" w:rsidRDefault="00D505A3" w:rsidP="00CC68A8">
      <w:pPr>
        <w:pStyle w:val="ListParagraph"/>
        <w:spacing w:after="60"/>
        <w:ind w:left="0"/>
      </w:pPr>
    </w:p>
    <w:p w14:paraId="59C0A5C8" w14:textId="77777777" w:rsidR="002D0BCA" w:rsidRDefault="00BF064B" w:rsidP="00CC68A8">
      <w:pPr>
        <w:pStyle w:val="ListParagraph"/>
        <w:spacing w:after="60"/>
        <w:ind w:left="0"/>
      </w:pPr>
      <w:r>
        <w:t>The Government anticipates that expanding the multi-provider service delivery model and the introduction of a panel</w:t>
      </w:r>
      <w:r w:rsidR="005645C4">
        <w:t xml:space="preserve"> has the potential to</w:t>
      </w:r>
      <w:r w:rsidR="002D0BCA">
        <w:t>:</w:t>
      </w:r>
    </w:p>
    <w:p w14:paraId="59C0A5C9" w14:textId="77777777" w:rsidR="002D0BCA" w:rsidRDefault="002D0BCA" w:rsidP="00CC68A8">
      <w:pPr>
        <w:pStyle w:val="ListParagraph"/>
        <w:spacing w:after="60"/>
        <w:ind w:left="0"/>
      </w:pPr>
    </w:p>
    <w:p w14:paraId="59C0A5CA" w14:textId="77777777" w:rsidR="007071B8" w:rsidRDefault="00D24B73" w:rsidP="009A4A3E">
      <w:pPr>
        <w:pStyle w:val="ListParagraph"/>
        <w:numPr>
          <w:ilvl w:val="0"/>
          <w:numId w:val="11"/>
        </w:numPr>
        <w:rPr>
          <w:rFonts w:asciiTheme="minorHAnsi" w:hAnsiTheme="minorHAnsi" w:cstheme="minorHAnsi"/>
        </w:rPr>
      </w:pPr>
      <w:r w:rsidRPr="00D24B73">
        <w:rPr>
          <w:rFonts w:asciiTheme="minorHAnsi" w:hAnsiTheme="minorHAnsi" w:cstheme="minorHAnsi"/>
        </w:rPr>
        <w:t>greatly improve the program</w:t>
      </w:r>
      <w:r w:rsidR="004275D4">
        <w:rPr>
          <w:rFonts w:asciiTheme="minorHAnsi" w:hAnsiTheme="minorHAnsi" w:cstheme="minorHAnsi"/>
        </w:rPr>
        <w:t>’</w:t>
      </w:r>
      <w:r w:rsidRPr="00D24B73">
        <w:rPr>
          <w:rFonts w:asciiTheme="minorHAnsi" w:hAnsiTheme="minorHAnsi" w:cstheme="minorHAnsi"/>
        </w:rPr>
        <w:t xml:space="preserve">s ability to grow in future years; </w:t>
      </w:r>
    </w:p>
    <w:p w14:paraId="59C0A5CB" w14:textId="77777777" w:rsidR="007071B8" w:rsidRDefault="005645C4" w:rsidP="009A4A3E">
      <w:pPr>
        <w:pStyle w:val="ListParagraph"/>
        <w:numPr>
          <w:ilvl w:val="0"/>
          <w:numId w:val="11"/>
        </w:numPr>
        <w:rPr>
          <w:rFonts w:asciiTheme="minorHAnsi" w:hAnsiTheme="minorHAnsi" w:cstheme="minorHAnsi"/>
        </w:rPr>
      </w:pPr>
      <w:r>
        <w:rPr>
          <w:rFonts w:asciiTheme="minorHAnsi" w:hAnsiTheme="minorHAnsi" w:cstheme="minorHAnsi"/>
        </w:rPr>
        <w:t>increase our capacity to respond</w:t>
      </w:r>
      <w:r w:rsidR="00D24B73" w:rsidRPr="00D24B73">
        <w:rPr>
          <w:rFonts w:asciiTheme="minorHAnsi" w:hAnsiTheme="minorHAnsi" w:cstheme="minorHAnsi"/>
        </w:rPr>
        <w:t xml:space="preserve"> where  demand is </w:t>
      </w:r>
      <w:r w:rsidR="004275D4">
        <w:rPr>
          <w:rFonts w:asciiTheme="minorHAnsi" w:hAnsiTheme="minorHAnsi" w:cstheme="minorHAnsi"/>
        </w:rPr>
        <w:t>identified</w:t>
      </w:r>
      <w:r w:rsidR="00D24B73" w:rsidRPr="00D24B73">
        <w:rPr>
          <w:rFonts w:asciiTheme="minorHAnsi" w:hAnsiTheme="minorHAnsi" w:cstheme="minorHAnsi"/>
        </w:rPr>
        <w:t>;</w:t>
      </w:r>
    </w:p>
    <w:p w14:paraId="59C0A5CC" w14:textId="77777777" w:rsidR="007071B8" w:rsidRDefault="00D24B73" w:rsidP="009A4A3E">
      <w:pPr>
        <w:pStyle w:val="ListParagraph"/>
        <w:numPr>
          <w:ilvl w:val="0"/>
          <w:numId w:val="11"/>
        </w:numPr>
        <w:rPr>
          <w:rFonts w:asciiTheme="minorHAnsi" w:hAnsiTheme="minorHAnsi" w:cstheme="minorHAnsi"/>
        </w:rPr>
      </w:pPr>
      <w:r w:rsidRPr="00D24B73">
        <w:rPr>
          <w:rFonts w:asciiTheme="minorHAnsi" w:hAnsiTheme="minorHAnsi" w:cstheme="minorHAnsi"/>
        </w:rPr>
        <w:t>provide genuine client choice; and</w:t>
      </w:r>
    </w:p>
    <w:p w14:paraId="59C0A5CD" w14:textId="77777777" w:rsidR="007071B8" w:rsidRDefault="00D24B73" w:rsidP="009A4A3E">
      <w:pPr>
        <w:pStyle w:val="ListParagraph"/>
        <w:numPr>
          <w:ilvl w:val="0"/>
          <w:numId w:val="11"/>
        </w:numPr>
        <w:rPr>
          <w:rFonts w:asciiTheme="minorHAnsi" w:hAnsiTheme="minorHAnsi" w:cstheme="minorHAnsi"/>
        </w:rPr>
      </w:pPr>
      <w:r w:rsidRPr="00D24B73">
        <w:rPr>
          <w:rFonts w:asciiTheme="minorHAnsi" w:hAnsiTheme="minorHAnsi" w:cstheme="minorHAnsi"/>
        </w:rPr>
        <w:t>improve the quality of the training being delivered.</w:t>
      </w:r>
    </w:p>
    <w:p w14:paraId="59C0A5CE" w14:textId="77777777" w:rsidR="008E6BD8" w:rsidRDefault="008E6BD8">
      <w:pPr>
        <w:pStyle w:val="ListParagraph"/>
        <w:spacing w:after="60"/>
        <w:ind w:left="0"/>
        <w:rPr>
          <w:b/>
        </w:rPr>
      </w:pPr>
    </w:p>
    <w:p w14:paraId="59C0A5CF" w14:textId="77777777" w:rsidR="007071B8" w:rsidRDefault="00D24B73">
      <w:pPr>
        <w:pStyle w:val="ListParagraph"/>
        <w:spacing w:after="60"/>
        <w:ind w:left="0"/>
        <w:rPr>
          <w:b/>
        </w:rPr>
      </w:pPr>
      <w:r w:rsidRPr="00D24B73">
        <w:rPr>
          <w:b/>
        </w:rPr>
        <w:t>For consideration in your response:</w:t>
      </w:r>
    </w:p>
    <w:p w14:paraId="59C0A5D0" w14:textId="77777777" w:rsidR="0074504E" w:rsidRDefault="005D3060" w:rsidP="009A4A3E">
      <w:pPr>
        <w:pStyle w:val="ListParagraph"/>
        <w:numPr>
          <w:ilvl w:val="0"/>
          <w:numId w:val="18"/>
        </w:numPr>
        <w:ind w:left="709" w:hanging="709"/>
        <w:rPr>
          <w:i/>
          <w:sz w:val="20"/>
          <w:szCs w:val="20"/>
        </w:rPr>
      </w:pPr>
      <w:r>
        <w:rPr>
          <w:i/>
          <w:sz w:val="20"/>
          <w:szCs w:val="20"/>
        </w:rPr>
        <w:t>What do you consider to be a reasonable period of time to rectify any performance issues before another provider on the panel is called on to commence LLNP service delivery?</w:t>
      </w:r>
    </w:p>
    <w:p w14:paraId="59C0A5D1" w14:textId="77777777" w:rsidR="007071B8" w:rsidRDefault="00D24B73" w:rsidP="009A4A3E">
      <w:pPr>
        <w:pStyle w:val="ListParagraph"/>
        <w:numPr>
          <w:ilvl w:val="0"/>
          <w:numId w:val="18"/>
        </w:numPr>
        <w:ind w:left="709" w:hanging="709"/>
        <w:rPr>
          <w:i/>
          <w:sz w:val="20"/>
          <w:szCs w:val="20"/>
        </w:rPr>
      </w:pPr>
      <w:r w:rsidRPr="00D24B73">
        <w:rPr>
          <w:i/>
          <w:sz w:val="20"/>
          <w:szCs w:val="20"/>
        </w:rPr>
        <w:t>What do you consider to be a reasonable timeframe to commence LLNP service delivery if you are called on from the panel?</w:t>
      </w:r>
    </w:p>
    <w:p w14:paraId="59C0A5D2" w14:textId="77777777" w:rsidR="00BF064B" w:rsidRDefault="00BF064B" w:rsidP="00CC68A8">
      <w:pPr>
        <w:pStyle w:val="ListParagraph"/>
        <w:spacing w:after="60"/>
        <w:ind w:left="0"/>
      </w:pPr>
    </w:p>
    <w:p w14:paraId="59C0A5D3" w14:textId="77777777" w:rsidR="00CC68A8" w:rsidRDefault="00CC68A8" w:rsidP="00CC68A8">
      <w:pPr>
        <w:rPr>
          <w:rFonts w:asciiTheme="minorHAnsi" w:hAnsiTheme="minorHAnsi" w:cstheme="minorHAnsi"/>
          <w:b/>
          <w:i/>
        </w:rPr>
      </w:pPr>
    </w:p>
    <w:p w14:paraId="59C0A5D4" w14:textId="77777777" w:rsidR="00CC68A8" w:rsidRDefault="00CC68A8" w:rsidP="00CC68A8">
      <w:pPr>
        <w:rPr>
          <w:rFonts w:asciiTheme="minorHAnsi" w:hAnsiTheme="minorHAnsi" w:cstheme="minorHAnsi"/>
          <w:b/>
          <w:i/>
        </w:rPr>
      </w:pPr>
    </w:p>
    <w:p w14:paraId="59C0A5D5" w14:textId="77777777" w:rsidR="00CC68A8" w:rsidRDefault="00CC68A8" w:rsidP="00CC68A8">
      <w:pPr>
        <w:rPr>
          <w:rFonts w:asciiTheme="minorHAnsi" w:hAnsiTheme="minorHAnsi" w:cstheme="minorHAnsi"/>
          <w:b/>
          <w:i/>
        </w:rPr>
      </w:pPr>
    </w:p>
    <w:p w14:paraId="59C0A5D6" w14:textId="77777777" w:rsidR="00CC68A8" w:rsidRDefault="00CC68A8">
      <w:pPr>
        <w:rPr>
          <w:rFonts w:asciiTheme="minorHAnsi" w:hAnsiTheme="minorHAnsi" w:cstheme="minorHAnsi"/>
          <w:color w:val="000000"/>
        </w:rPr>
      </w:pPr>
      <w:r>
        <w:rPr>
          <w:rFonts w:asciiTheme="minorHAnsi" w:hAnsiTheme="minorHAnsi" w:cstheme="minorHAnsi"/>
          <w:color w:val="000000"/>
        </w:rPr>
        <w:br w:type="page"/>
      </w:r>
    </w:p>
    <w:p w14:paraId="59C0A5D7" w14:textId="77777777" w:rsidR="007071B8" w:rsidRDefault="00D24B73" w:rsidP="0075673C">
      <w:pPr>
        <w:pStyle w:val="Heading1"/>
      </w:pPr>
      <w:bookmarkStart w:id="9" w:name="_Toc330460460"/>
      <w:r w:rsidRPr="00D24B73">
        <w:lastRenderedPageBreak/>
        <w:t>Chapter 3 – Changes for Consideration</w:t>
      </w:r>
      <w:bookmarkEnd w:id="9"/>
    </w:p>
    <w:p w14:paraId="59C0A5D8" w14:textId="77777777" w:rsidR="002C4784" w:rsidRDefault="002C4784" w:rsidP="00B62758">
      <w:pPr>
        <w:rPr>
          <w:rFonts w:asciiTheme="minorHAnsi" w:hAnsiTheme="minorHAnsi" w:cstheme="minorHAnsi"/>
        </w:rPr>
      </w:pPr>
    </w:p>
    <w:p w14:paraId="59C0A5D9" w14:textId="77777777" w:rsidR="007D2D23" w:rsidRDefault="007D2D23" w:rsidP="007D2D23">
      <w:pPr>
        <w:rPr>
          <w:rFonts w:asciiTheme="minorHAnsi" w:hAnsiTheme="minorHAnsi" w:cstheme="minorHAnsi"/>
        </w:rPr>
      </w:pPr>
      <w:r>
        <w:rPr>
          <w:rFonts w:asciiTheme="minorHAnsi" w:hAnsiTheme="minorHAnsi" w:cstheme="minorHAnsi"/>
        </w:rPr>
        <w:t xml:space="preserve">This chapter outlines some of the possible changes being considered for the program.  Each topic considers the issues raised with the Government and offers possible changes.  In assessing possible changes, the Government will take into consideration available resources and the complexity of the change.  </w:t>
      </w:r>
    </w:p>
    <w:p w14:paraId="59C0A5DA" w14:textId="77777777" w:rsidR="007D2D23" w:rsidRDefault="007D2D23" w:rsidP="007D2D23">
      <w:pPr>
        <w:rPr>
          <w:rFonts w:ascii="Century Gothic" w:hAnsi="Century Gothic" w:cstheme="minorHAnsi"/>
          <w:color w:val="365F91" w:themeColor="accent1" w:themeShade="BF"/>
        </w:rPr>
      </w:pPr>
    </w:p>
    <w:p w14:paraId="59C0A5DB" w14:textId="77777777" w:rsidR="007D2D23" w:rsidRDefault="007D2D23" w:rsidP="003A64D3">
      <w:pPr>
        <w:pStyle w:val="Heading3"/>
        <w:rPr>
          <w:rFonts w:asciiTheme="minorHAnsi" w:hAnsiTheme="minorHAnsi"/>
          <w:color w:val="7030A0"/>
        </w:rPr>
      </w:pPr>
      <w:bookmarkStart w:id="10" w:name="_Toc330460461"/>
      <w:r>
        <w:t xml:space="preserve">3.1 </w:t>
      </w:r>
      <w:r w:rsidRPr="00D24B73">
        <w:t>Teacher and Assessor Qualifications</w:t>
      </w:r>
      <w:bookmarkEnd w:id="10"/>
    </w:p>
    <w:p w14:paraId="59C0A5DC" w14:textId="77777777" w:rsidR="000036DA" w:rsidRDefault="007D2D23" w:rsidP="007D2D23">
      <w:pPr>
        <w:rPr>
          <w:szCs w:val="28"/>
        </w:rPr>
      </w:pPr>
      <w:r w:rsidRPr="004707A0">
        <w:t>The Government seeks to up-skill and</w:t>
      </w:r>
      <w:r>
        <w:t xml:space="preserve"> to</w:t>
      </w:r>
      <w:r w:rsidRPr="004707A0">
        <w:t xml:space="preserve"> ex</w:t>
      </w:r>
      <w:r>
        <w:t xml:space="preserve">pand the LLN training workforce in order to </w:t>
      </w:r>
      <w:r w:rsidRPr="004707A0">
        <w:t>enhance the quality and supply of LLN training</w:t>
      </w:r>
      <w:r>
        <w:t xml:space="preserve">. The existing LLN workforce </w:t>
      </w:r>
      <w:r w:rsidRPr="004707A0">
        <w:rPr>
          <w:szCs w:val="28"/>
        </w:rPr>
        <w:t>is currently experiencing a short</w:t>
      </w:r>
      <w:r>
        <w:rPr>
          <w:szCs w:val="28"/>
        </w:rPr>
        <w:t xml:space="preserve">age of qualified practitioners </w:t>
      </w:r>
      <w:r w:rsidRPr="004707A0">
        <w:rPr>
          <w:szCs w:val="28"/>
        </w:rPr>
        <w:t xml:space="preserve">and faces significant losses in the next </w:t>
      </w:r>
    </w:p>
    <w:p w14:paraId="59C0A5DD" w14:textId="77777777" w:rsidR="007D2D23" w:rsidRDefault="007D2D23" w:rsidP="007D2D23">
      <w:pPr>
        <w:rPr>
          <w:szCs w:val="28"/>
        </w:rPr>
      </w:pPr>
      <w:r w:rsidRPr="004707A0">
        <w:rPr>
          <w:szCs w:val="28"/>
        </w:rPr>
        <w:t>5</w:t>
      </w:r>
      <w:r w:rsidR="000036DA">
        <w:rPr>
          <w:szCs w:val="28"/>
        </w:rPr>
        <w:t>-</w:t>
      </w:r>
      <w:r w:rsidRPr="004707A0">
        <w:rPr>
          <w:szCs w:val="28"/>
        </w:rPr>
        <w:t>10</w:t>
      </w:r>
      <w:r w:rsidR="004275D4">
        <w:rPr>
          <w:szCs w:val="28"/>
        </w:rPr>
        <w:t> </w:t>
      </w:r>
      <w:r w:rsidRPr="004707A0">
        <w:rPr>
          <w:szCs w:val="28"/>
        </w:rPr>
        <w:t xml:space="preserve">years due to retirement.  </w:t>
      </w:r>
      <w:r>
        <w:rPr>
          <w:szCs w:val="28"/>
        </w:rPr>
        <w:t>T</w:t>
      </w:r>
      <w:r w:rsidRPr="007040AB">
        <w:rPr>
          <w:szCs w:val="28"/>
        </w:rPr>
        <w:t>his is particularly problematic g</w:t>
      </w:r>
      <w:r>
        <w:rPr>
          <w:szCs w:val="28"/>
        </w:rPr>
        <w:t>iven the number</w:t>
      </w:r>
      <w:r w:rsidRPr="007040AB">
        <w:rPr>
          <w:szCs w:val="28"/>
        </w:rPr>
        <w:t xml:space="preserve"> of Australian adults with low LLN skills</w:t>
      </w:r>
      <w:r w:rsidR="004C144C">
        <w:rPr>
          <w:szCs w:val="28"/>
        </w:rPr>
        <w:t xml:space="preserve"> needing assistance.</w:t>
      </w:r>
    </w:p>
    <w:p w14:paraId="59C0A5DE" w14:textId="77777777" w:rsidR="007D2D23" w:rsidRPr="004707A0" w:rsidRDefault="007D2D23" w:rsidP="007D2D23">
      <w:pPr>
        <w:autoSpaceDE w:val="0"/>
        <w:autoSpaceDN w:val="0"/>
        <w:adjustRightInd w:val="0"/>
        <w:ind w:right="-431"/>
        <w:rPr>
          <w:szCs w:val="28"/>
        </w:rPr>
      </w:pPr>
    </w:p>
    <w:p w14:paraId="59C0A5DF" w14:textId="77777777" w:rsidR="007D2D23" w:rsidRDefault="007D2D23" w:rsidP="007D2D23">
      <w:pPr>
        <w:rPr>
          <w:rFonts w:asciiTheme="minorHAnsi" w:hAnsiTheme="minorHAnsi" w:cstheme="minorHAnsi"/>
        </w:rPr>
      </w:pPr>
      <w:r w:rsidRPr="004707A0">
        <w:rPr>
          <w:szCs w:val="28"/>
        </w:rPr>
        <w:t>One of the most significant challenges in implementing wide‐ranging strategies to address literacy and numeracy issues is the availability of high quality, well‐trained adult LLN practitioners who can operate effectively in a diverse range of environments to support a diverse clientele.</w:t>
      </w:r>
      <w:r>
        <w:rPr>
          <w:rFonts w:asciiTheme="minorHAnsi" w:hAnsiTheme="minorHAnsi" w:cstheme="minorHAnsi"/>
        </w:rPr>
        <w:t xml:space="preserve">  </w:t>
      </w:r>
    </w:p>
    <w:p w14:paraId="59C0A5E0" w14:textId="77777777" w:rsidR="007D2D23" w:rsidRDefault="007D2D23" w:rsidP="007D2D23">
      <w:pPr>
        <w:rPr>
          <w:rFonts w:asciiTheme="minorHAnsi" w:hAnsiTheme="minorHAnsi" w:cstheme="minorHAnsi"/>
        </w:rPr>
      </w:pPr>
    </w:p>
    <w:p w14:paraId="59C0A5E1" w14:textId="77777777" w:rsidR="00A2028C" w:rsidRDefault="007D2D23" w:rsidP="007D2D23">
      <w:pPr>
        <w:rPr>
          <w:rFonts w:asciiTheme="minorHAnsi" w:hAnsiTheme="minorHAnsi" w:cstheme="minorHAnsi"/>
        </w:rPr>
      </w:pPr>
      <w:r>
        <w:rPr>
          <w:rFonts w:asciiTheme="minorHAnsi" w:hAnsiTheme="minorHAnsi" w:cstheme="minorHAnsi"/>
        </w:rPr>
        <w:t>Q</w:t>
      </w:r>
      <w:r w:rsidRPr="00434638">
        <w:rPr>
          <w:rFonts w:asciiTheme="minorHAnsi" w:hAnsiTheme="minorHAnsi" w:cstheme="minorHAnsi"/>
        </w:rPr>
        <w:t>ualification requirements assist in maximising quality outcomes for clients by ensuring that highly-qualified and highly-skilled teachers are delivering the program</w:t>
      </w:r>
      <w:r>
        <w:rPr>
          <w:rFonts w:asciiTheme="minorHAnsi" w:hAnsiTheme="minorHAnsi" w:cstheme="minorHAnsi"/>
        </w:rPr>
        <w:t xml:space="preserve">.  </w:t>
      </w:r>
      <w:r w:rsidR="00A2028C">
        <w:rPr>
          <w:rFonts w:asciiTheme="minorHAnsi" w:hAnsiTheme="minorHAnsi" w:cstheme="minorHAnsi"/>
        </w:rPr>
        <w:t>The Australian</w:t>
      </w:r>
      <w:r w:rsidR="004275D4">
        <w:rPr>
          <w:rFonts w:asciiTheme="minorHAnsi" w:hAnsiTheme="minorHAnsi" w:cstheme="minorHAnsi"/>
        </w:rPr>
        <w:t> </w:t>
      </w:r>
      <w:r w:rsidR="00A2028C">
        <w:rPr>
          <w:rFonts w:asciiTheme="minorHAnsi" w:hAnsiTheme="minorHAnsi" w:cstheme="minorHAnsi"/>
        </w:rPr>
        <w:t>Quality Framework (AQTF) is the national set of standards which assures nationally consistent, high-quality training and assessment services for the clients of Australian vocational education and training (VET) systems.</w:t>
      </w:r>
    </w:p>
    <w:p w14:paraId="59C0A5E2" w14:textId="77777777" w:rsidR="00A2028C" w:rsidRDefault="00A2028C" w:rsidP="007D2D23">
      <w:pPr>
        <w:rPr>
          <w:rFonts w:asciiTheme="minorHAnsi" w:hAnsiTheme="minorHAnsi" w:cstheme="minorHAnsi"/>
        </w:rPr>
      </w:pPr>
    </w:p>
    <w:p w14:paraId="59C0A5E3" w14:textId="77777777" w:rsidR="00D1480D" w:rsidRDefault="00D1480D" w:rsidP="007D2D23">
      <w:pPr>
        <w:rPr>
          <w:rFonts w:asciiTheme="minorHAnsi" w:hAnsiTheme="minorHAnsi" w:cstheme="minorHAnsi"/>
        </w:rPr>
      </w:pPr>
      <w:r>
        <w:rPr>
          <w:rFonts w:asciiTheme="minorHAnsi" w:hAnsiTheme="minorHAnsi" w:cstheme="minorHAnsi"/>
        </w:rPr>
        <w:t>Australian Registered Training Organisations (RTO</w:t>
      </w:r>
      <w:r w:rsidR="000036DA">
        <w:rPr>
          <w:rFonts w:asciiTheme="minorHAnsi" w:hAnsiTheme="minorHAnsi" w:cstheme="minorHAnsi"/>
        </w:rPr>
        <w:t>s</w:t>
      </w:r>
      <w:r>
        <w:rPr>
          <w:rFonts w:asciiTheme="minorHAnsi" w:hAnsiTheme="minorHAnsi" w:cstheme="minorHAnsi"/>
        </w:rPr>
        <w:t>) must maintain a number of conditions and standards to maintain their RTO status.  Aside from the conditions of registration that must be maintained</w:t>
      </w:r>
      <w:r w:rsidR="00F743A4">
        <w:rPr>
          <w:rFonts w:asciiTheme="minorHAnsi" w:hAnsiTheme="minorHAnsi" w:cstheme="minorHAnsi"/>
        </w:rPr>
        <w:t>,</w:t>
      </w:r>
      <w:r>
        <w:rPr>
          <w:rFonts w:asciiTheme="minorHAnsi" w:hAnsiTheme="minorHAnsi" w:cstheme="minorHAnsi"/>
        </w:rPr>
        <w:t xml:space="preserve"> each RTO must have qualified teaching staff to deliver courses within their scope of registration.</w:t>
      </w:r>
      <w:r w:rsidR="00F743A4">
        <w:rPr>
          <w:rFonts w:asciiTheme="minorHAnsi" w:hAnsiTheme="minorHAnsi" w:cstheme="minorHAnsi"/>
        </w:rPr>
        <w:t xml:space="preserve"> The relevant standards have been extracted below:</w:t>
      </w:r>
    </w:p>
    <w:p w14:paraId="59C0A5E4" w14:textId="77777777" w:rsidR="00F743A4" w:rsidRDefault="00F743A4" w:rsidP="007D2D23">
      <w:pPr>
        <w:rPr>
          <w:rFonts w:asciiTheme="minorHAnsi" w:hAnsiTheme="minorHAnsi" w:cstheme="minorHAnsi"/>
        </w:rPr>
      </w:pPr>
    </w:p>
    <w:p w14:paraId="59C0A5E5" w14:textId="77777777" w:rsidR="00D1480D" w:rsidRPr="004F74D6" w:rsidRDefault="00D1480D" w:rsidP="00E93B80">
      <w:pPr>
        <w:rPr>
          <w:rFonts w:asciiTheme="minorHAnsi" w:hAnsiTheme="minorHAnsi" w:cstheme="minorHAnsi"/>
          <w:i/>
        </w:rPr>
      </w:pPr>
      <w:r w:rsidRPr="004F74D6">
        <w:rPr>
          <w:rFonts w:asciiTheme="minorHAnsi" w:hAnsiTheme="minorHAnsi" w:cstheme="minorHAnsi"/>
          <w:i/>
        </w:rPr>
        <w:t>1.4</w:t>
      </w:r>
      <w:r w:rsidR="00FB269D">
        <w:rPr>
          <w:rStyle w:val="FootnoteReference"/>
          <w:rFonts w:asciiTheme="minorHAnsi" w:hAnsiTheme="minorHAnsi" w:cstheme="minorHAnsi"/>
          <w:i/>
        </w:rPr>
        <w:footnoteReference w:id="1"/>
      </w:r>
      <w:r w:rsidRPr="004F74D6">
        <w:rPr>
          <w:rFonts w:asciiTheme="minorHAnsi" w:hAnsiTheme="minorHAnsi" w:cstheme="minorHAnsi"/>
          <w:i/>
        </w:rPr>
        <w:t xml:space="preserve"> Training and assessment is delivered by trainers and assessors who:</w:t>
      </w:r>
    </w:p>
    <w:p w14:paraId="59C0A5E6" w14:textId="77777777" w:rsidR="00E93B80" w:rsidRDefault="00D1480D" w:rsidP="009A4A3E">
      <w:pPr>
        <w:pStyle w:val="ListParagraph"/>
        <w:numPr>
          <w:ilvl w:val="0"/>
          <w:numId w:val="20"/>
        </w:numPr>
        <w:rPr>
          <w:rFonts w:asciiTheme="minorHAnsi" w:hAnsiTheme="minorHAnsi" w:cstheme="minorHAnsi"/>
          <w:i/>
        </w:rPr>
      </w:pPr>
      <w:r>
        <w:rPr>
          <w:rFonts w:asciiTheme="minorHAnsi" w:hAnsiTheme="minorHAnsi" w:cstheme="minorHAnsi"/>
          <w:i/>
        </w:rPr>
        <w:t>Have the necessary training and assessment competencies as determined by the National Quality Council or its successor, and</w:t>
      </w:r>
    </w:p>
    <w:p w14:paraId="59C0A5E7" w14:textId="77777777" w:rsidR="00E93B80" w:rsidRDefault="00D1480D" w:rsidP="009A4A3E">
      <w:pPr>
        <w:pStyle w:val="ListParagraph"/>
        <w:numPr>
          <w:ilvl w:val="0"/>
          <w:numId w:val="20"/>
        </w:numPr>
        <w:rPr>
          <w:rFonts w:asciiTheme="minorHAnsi" w:hAnsiTheme="minorHAnsi" w:cstheme="minorHAnsi"/>
          <w:i/>
        </w:rPr>
      </w:pPr>
      <w:r w:rsidRPr="00E93B80">
        <w:rPr>
          <w:rFonts w:asciiTheme="minorHAnsi" w:hAnsiTheme="minorHAnsi" w:cstheme="minorHAnsi"/>
          <w:i/>
        </w:rPr>
        <w:t xml:space="preserve">Have the relevant vocational competencies at least to the level being delivered or assessed, and </w:t>
      </w:r>
    </w:p>
    <w:p w14:paraId="59C0A5E8" w14:textId="77777777" w:rsidR="00E93B80" w:rsidRDefault="00D1480D" w:rsidP="009A4A3E">
      <w:pPr>
        <w:pStyle w:val="ListParagraph"/>
        <w:numPr>
          <w:ilvl w:val="0"/>
          <w:numId w:val="20"/>
        </w:numPr>
        <w:rPr>
          <w:rFonts w:asciiTheme="minorHAnsi" w:hAnsiTheme="minorHAnsi" w:cstheme="minorHAnsi"/>
          <w:i/>
        </w:rPr>
      </w:pPr>
      <w:r w:rsidRPr="00E93B80">
        <w:rPr>
          <w:rFonts w:asciiTheme="minorHAnsi" w:hAnsiTheme="minorHAnsi" w:cstheme="minorHAnsi"/>
          <w:i/>
        </w:rPr>
        <w:t>Can demonstrate current industry skills directly relevant to the training/assessment being undertaken, and</w:t>
      </w:r>
    </w:p>
    <w:p w14:paraId="59C0A5E9" w14:textId="77777777" w:rsidR="00D1480D" w:rsidRPr="00E93B80" w:rsidRDefault="002352F7" w:rsidP="009A4A3E">
      <w:pPr>
        <w:pStyle w:val="ListParagraph"/>
        <w:numPr>
          <w:ilvl w:val="0"/>
          <w:numId w:val="20"/>
        </w:numPr>
        <w:rPr>
          <w:rFonts w:asciiTheme="minorHAnsi" w:hAnsiTheme="minorHAnsi" w:cstheme="minorHAnsi"/>
          <w:i/>
        </w:rPr>
      </w:pPr>
      <w:r w:rsidRPr="00E93B80">
        <w:rPr>
          <w:rFonts w:asciiTheme="minorHAnsi" w:hAnsiTheme="minorHAnsi" w:cstheme="minorHAnsi"/>
          <w:i/>
        </w:rPr>
        <w:t>continue to develop their Vocational Education and Training (VET) knowledge and skills as well as their industry currency and training/assessor competence.</w:t>
      </w:r>
    </w:p>
    <w:p w14:paraId="59C0A5EA" w14:textId="77777777" w:rsidR="00A2028C" w:rsidRDefault="00A2028C" w:rsidP="007D2D23">
      <w:pPr>
        <w:rPr>
          <w:rFonts w:asciiTheme="minorHAnsi" w:hAnsiTheme="minorHAnsi" w:cstheme="minorHAnsi"/>
        </w:rPr>
      </w:pPr>
    </w:p>
    <w:p w14:paraId="59C0A5EB" w14:textId="77777777" w:rsidR="004F74D6" w:rsidRPr="00FB269D" w:rsidRDefault="00FB269D" w:rsidP="007D2D23">
      <w:pPr>
        <w:rPr>
          <w:rFonts w:asciiTheme="minorHAnsi" w:hAnsiTheme="minorHAnsi" w:cstheme="minorHAnsi"/>
          <w:i/>
        </w:rPr>
      </w:pPr>
      <w:r w:rsidRPr="00FB269D">
        <w:rPr>
          <w:rFonts w:asciiTheme="minorHAnsi" w:hAnsiTheme="minorHAnsi" w:cstheme="minorHAnsi"/>
          <w:i/>
        </w:rPr>
        <w:t>7.</w:t>
      </w:r>
      <w:r>
        <w:rPr>
          <w:rFonts w:asciiTheme="minorHAnsi" w:hAnsiTheme="minorHAnsi" w:cstheme="minorHAnsi"/>
          <w:i/>
        </w:rPr>
        <w:t>4</w:t>
      </w:r>
      <w:r>
        <w:rPr>
          <w:rStyle w:val="FootnoteReference"/>
          <w:rFonts w:asciiTheme="minorHAnsi" w:hAnsiTheme="minorHAnsi" w:cstheme="minorHAnsi"/>
          <w:i/>
        </w:rPr>
        <w:footnoteReference w:id="2"/>
      </w:r>
      <w:r w:rsidRPr="00FB269D">
        <w:rPr>
          <w:rFonts w:asciiTheme="minorHAnsi" w:hAnsiTheme="minorHAnsi" w:cstheme="minorHAnsi"/>
          <w:i/>
        </w:rPr>
        <w:t xml:space="preserve"> The RTO must ensure that training is delivered by a person who</w:t>
      </w:r>
      <w:r w:rsidR="004F74D6" w:rsidRPr="00FB269D">
        <w:rPr>
          <w:rFonts w:asciiTheme="minorHAnsi" w:hAnsiTheme="minorHAnsi" w:cstheme="minorHAnsi"/>
          <w:i/>
        </w:rPr>
        <w:t>:</w:t>
      </w:r>
    </w:p>
    <w:p w14:paraId="59C0A5EC" w14:textId="77777777" w:rsidR="00770060" w:rsidRPr="00FB269D" w:rsidRDefault="000036DA" w:rsidP="009A4A3E">
      <w:pPr>
        <w:pStyle w:val="ListParagraph"/>
        <w:numPr>
          <w:ilvl w:val="0"/>
          <w:numId w:val="21"/>
        </w:numPr>
        <w:rPr>
          <w:i/>
        </w:rPr>
      </w:pPr>
      <w:r>
        <w:rPr>
          <w:i/>
        </w:rPr>
        <w:t>H</w:t>
      </w:r>
      <w:r w:rsidR="00770060" w:rsidRPr="00FB269D">
        <w:rPr>
          <w:i/>
        </w:rPr>
        <w:t>olds the Certificate IV in Training and Assessment from the Training and Assessment Training Package or is able to demon</w:t>
      </w:r>
      <w:r w:rsidR="00FB269D" w:rsidRPr="00FB269D">
        <w:rPr>
          <w:i/>
        </w:rPr>
        <w:t xml:space="preserve">strate equivalent competencies </w:t>
      </w:r>
      <w:r w:rsidR="00770060" w:rsidRPr="00FB269D">
        <w:rPr>
          <w:i/>
        </w:rPr>
        <w:t>or</w:t>
      </w:r>
    </w:p>
    <w:p w14:paraId="59C0A5ED" w14:textId="77777777" w:rsidR="00770060" w:rsidRPr="00FB269D" w:rsidRDefault="000036DA" w:rsidP="009A4A3E">
      <w:pPr>
        <w:pStyle w:val="ListParagraph"/>
        <w:numPr>
          <w:ilvl w:val="0"/>
          <w:numId w:val="21"/>
        </w:numPr>
        <w:rPr>
          <w:i/>
        </w:rPr>
      </w:pPr>
      <w:r>
        <w:rPr>
          <w:i/>
        </w:rPr>
        <w:t>I</w:t>
      </w:r>
      <w:r w:rsidR="00770060" w:rsidRPr="00FB269D">
        <w:rPr>
          <w:i/>
        </w:rPr>
        <w:t>s under the direct supervision of a person who has the competenc</w:t>
      </w:r>
      <w:r w:rsidR="00FB269D" w:rsidRPr="00FB269D">
        <w:rPr>
          <w:i/>
        </w:rPr>
        <w:t>ies specified in standard 7.4 i</w:t>
      </w:r>
      <w:r w:rsidR="00B1396B" w:rsidRPr="00FB269D">
        <w:rPr>
          <w:i/>
        </w:rPr>
        <w:t xml:space="preserve"> </w:t>
      </w:r>
      <w:r w:rsidR="00770060" w:rsidRPr="00FB269D">
        <w:rPr>
          <w:i/>
        </w:rPr>
        <w:t>and</w:t>
      </w:r>
    </w:p>
    <w:p w14:paraId="59C0A5EE" w14:textId="77777777" w:rsidR="00770060" w:rsidRPr="00FB269D" w:rsidRDefault="000036DA" w:rsidP="009A4A3E">
      <w:pPr>
        <w:pStyle w:val="ListParagraph"/>
        <w:numPr>
          <w:ilvl w:val="0"/>
          <w:numId w:val="21"/>
        </w:numPr>
        <w:rPr>
          <w:i/>
        </w:rPr>
      </w:pPr>
      <w:r>
        <w:rPr>
          <w:i/>
        </w:rPr>
        <w:t>I</w:t>
      </w:r>
      <w:r w:rsidR="00770060" w:rsidRPr="00FB269D">
        <w:rPr>
          <w:i/>
        </w:rPr>
        <w:t>s able to demonstrate vocational competencies, at least to the level of those being delivered.</w:t>
      </w:r>
    </w:p>
    <w:p w14:paraId="59C0A5EF" w14:textId="77777777" w:rsidR="004F74D6" w:rsidRDefault="004F74D6" w:rsidP="007D2D23">
      <w:pPr>
        <w:rPr>
          <w:rFonts w:asciiTheme="minorHAnsi" w:hAnsiTheme="minorHAnsi" w:cstheme="minorHAnsi"/>
        </w:rPr>
      </w:pPr>
    </w:p>
    <w:p w14:paraId="59C0A5F0" w14:textId="77777777" w:rsidR="007D2D23" w:rsidRPr="004F4C90" w:rsidRDefault="007D2D23" w:rsidP="007D2D23">
      <w:pPr>
        <w:rPr>
          <w:rFonts w:asciiTheme="minorHAnsi" w:hAnsiTheme="minorHAnsi" w:cstheme="minorHAnsi"/>
        </w:rPr>
      </w:pPr>
      <w:r w:rsidRPr="002F5F9A">
        <w:rPr>
          <w:rFonts w:asciiTheme="minorHAnsi" w:hAnsiTheme="minorHAnsi" w:cstheme="minorHAnsi"/>
        </w:rPr>
        <w:lastRenderedPageBreak/>
        <w:t>Under the LLNP</w:t>
      </w:r>
      <w:r>
        <w:rPr>
          <w:rFonts w:asciiTheme="minorHAnsi" w:hAnsiTheme="minorHAnsi" w:cstheme="minorHAnsi"/>
        </w:rPr>
        <w:t xml:space="preserve"> 2010-13</w:t>
      </w:r>
      <w:r w:rsidRPr="002F5F9A">
        <w:rPr>
          <w:rFonts w:asciiTheme="minorHAnsi" w:hAnsiTheme="minorHAnsi" w:cstheme="minorHAnsi"/>
        </w:rPr>
        <w:t xml:space="preserve"> </w:t>
      </w:r>
      <w:r>
        <w:rPr>
          <w:rFonts w:asciiTheme="minorHAnsi" w:hAnsiTheme="minorHAnsi" w:cstheme="minorHAnsi"/>
        </w:rPr>
        <w:t xml:space="preserve">Program </w:t>
      </w:r>
      <w:r w:rsidRPr="002F5F9A">
        <w:rPr>
          <w:rFonts w:asciiTheme="minorHAnsi" w:hAnsiTheme="minorHAnsi" w:cstheme="minorHAnsi"/>
        </w:rPr>
        <w:t>Guidelines, teach</w:t>
      </w:r>
      <w:r>
        <w:rPr>
          <w:rFonts w:asciiTheme="minorHAnsi" w:hAnsiTheme="minorHAnsi" w:cstheme="minorHAnsi"/>
        </w:rPr>
        <w:t xml:space="preserve">ers and assessors must have the following </w:t>
      </w:r>
      <w:r w:rsidRPr="002F5F9A">
        <w:rPr>
          <w:rFonts w:asciiTheme="minorHAnsi" w:hAnsiTheme="minorHAnsi" w:cstheme="minorHAnsi"/>
        </w:rPr>
        <w:t>qualifications and experience</w:t>
      </w:r>
      <w:r>
        <w:rPr>
          <w:rFonts w:asciiTheme="minorHAnsi" w:hAnsiTheme="minorHAnsi" w:cstheme="minorHAnsi"/>
        </w:rPr>
        <w:t>:</w:t>
      </w:r>
    </w:p>
    <w:p w14:paraId="59C0A5F1" w14:textId="77777777" w:rsidR="007D2D23" w:rsidRDefault="007D2D23" w:rsidP="007D2D23">
      <w:pPr>
        <w:rPr>
          <w:rFonts w:asciiTheme="minorHAnsi" w:hAnsiTheme="minorHAnsi" w:cstheme="minorHAnsi"/>
        </w:rPr>
      </w:pPr>
    </w:p>
    <w:p w14:paraId="59C0A5F2" w14:textId="77777777" w:rsidR="007D2D23" w:rsidRPr="003405E0" w:rsidRDefault="007D2D23" w:rsidP="007D2D23">
      <w:pPr>
        <w:rPr>
          <w:rFonts w:asciiTheme="minorHAnsi" w:hAnsiTheme="minorHAnsi" w:cstheme="minorHAnsi"/>
          <w:b/>
          <w:sz w:val="20"/>
          <w:szCs w:val="20"/>
        </w:rPr>
      </w:pPr>
      <w:r w:rsidRPr="00D24B73">
        <w:rPr>
          <w:rFonts w:asciiTheme="minorHAnsi" w:hAnsiTheme="minorHAnsi" w:cstheme="minorHAnsi"/>
          <w:b/>
          <w:sz w:val="20"/>
          <w:szCs w:val="20"/>
        </w:rPr>
        <w:t>Table 3: 2010-13 Teacher and Assessor Qualification 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1"/>
        <w:gridCol w:w="4011"/>
      </w:tblGrid>
      <w:tr w:rsidR="007D2D23" w14:paraId="59C0A5F5" w14:textId="77777777" w:rsidTr="00E93B80">
        <w:tc>
          <w:tcPr>
            <w:tcW w:w="4011" w:type="dxa"/>
            <w:shd w:val="pct12" w:color="auto" w:fill="auto"/>
            <w:tcMar>
              <w:top w:w="0" w:type="dxa"/>
              <w:left w:w="108" w:type="dxa"/>
              <w:bottom w:w="0" w:type="dxa"/>
              <w:right w:w="108" w:type="dxa"/>
            </w:tcMar>
            <w:hideMark/>
          </w:tcPr>
          <w:p w14:paraId="59C0A5F3" w14:textId="77777777" w:rsidR="007D2D23" w:rsidRDefault="007D2D23" w:rsidP="00E93B80">
            <w:pPr>
              <w:spacing w:line="276" w:lineRule="auto"/>
              <w:rPr>
                <w:rFonts w:eastAsiaTheme="minorHAnsi"/>
                <w:b/>
                <w:bCs/>
                <w:sz w:val="24"/>
                <w:szCs w:val="24"/>
              </w:rPr>
            </w:pPr>
            <w:r>
              <w:rPr>
                <w:b/>
                <w:bCs/>
              </w:rPr>
              <w:t xml:space="preserve">Teacher </w:t>
            </w:r>
          </w:p>
        </w:tc>
        <w:tc>
          <w:tcPr>
            <w:tcW w:w="4011" w:type="dxa"/>
            <w:shd w:val="pct12" w:color="auto" w:fill="auto"/>
            <w:tcMar>
              <w:top w:w="0" w:type="dxa"/>
              <w:left w:w="108" w:type="dxa"/>
              <w:bottom w:w="0" w:type="dxa"/>
              <w:right w:w="108" w:type="dxa"/>
            </w:tcMar>
            <w:hideMark/>
          </w:tcPr>
          <w:p w14:paraId="59C0A5F4" w14:textId="77777777" w:rsidR="007D2D23" w:rsidRDefault="007D2D23" w:rsidP="00E93B80">
            <w:pPr>
              <w:spacing w:line="276" w:lineRule="auto"/>
              <w:rPr>
                <w:rFonts w:eastAsiaTheme="minorHAnsi"/>
                <w:b/>
                <w:bCs/>
                <w:sz w:val="24"/>
                <w:szCs w:val="24"/>
              </w:rPr>
            </w:pPr>
            <w:r>
              <w:rPr>
                <w:b/>
                <w:bCs/>
              </w:rPr>
              <w:t>Assessor</w:t>
            </w:r>
          </w:p>
        </w:tc>
      </w:tr>
      <w:tr w:rsidR="007D2D23" w14:paraId="59C0A5F9" w14:textId="77777777" w:rsidTr="00E93B80">
        <w:tc>
          <w:tcPr>
            <w:tcW w:w="4011" w:type="dxa"/>
            <w:tcMar>
              <w:top w:w="0" w:type="dxa"/>
              <w:left w:w="108" w:type="dxa"/>
              <w:bottom w:w="0" w:type="dxa"/>
              <w:right w:w="108" w:type="dxa"/>
            </w:tcMar>
            <w:hideMark/>
          </w:tcPr>
          <w:p w14:paraId="59C0A5F6" w14:textId="77777777" w:rsidR="007D2D23" w:rsidRDefault="007D2D23" w:rsidP="00E93B80">
            <w:r>
              <w:t>A</w:t>
            </w:r>
            <w:r w:rsidRPr="00DB1EB5">
              <w:t>n undergraduate degree of at least three years duration</w:t>
            </w:r>
            <w:r>
              <w:t xml:space="preserve">; and </w:t>
            </w:r>
          </w:p>
          <w:p w14:paraId="59C0A5F7" w14:textId="77777777" w:rsidR="007D2D23" w:rsidRDefault="007D2D23" w:rsidP="00E93B80">
            <w:pPr>
              <w:rPr>
                <w:rFonts w:eastAsiaTheme="minorHAnsi"/>
                <w:sz w:val="24"/>
                <w:szCs w:val="24"/>
              </w:rPr>
            </w:pPr>
          </w:p>
        </w:tc>
        <w:tc>
          <w:tcPr>
            <w:tcW w:w="4011" w:type="dxa"/>
            <w:tcMar>
              <w:top w:w="0" w:type="dxa"/>
              <w:left w:w="108" w:type="dxa"/>
              <w:bottom w:w="0" w:type="dxa"/>
              <w:right w:w="108" w:type="dxa"/>
            </w:tcMar>
            <w:hideMark/>
          </w:tcPr>
          <w:p w14:paraId="59C0A5F8" w14:textId="77777777" w:rsidR="007D2D23" w:rsidRDefault="007D2D23" w:rsidP="00084013">
            <w:r>
              <w:t>A</w:t>
            </w:r>
            <w:r w:rsidRPr="002F1295">
              <w:t xml:space="preserve"> formal pre-service teaching qualification (that is, Diploma of</w:t>
            </w:r>
            <w:r>
              <w:t xml:space="preserve"> </w:t>
            </w:r>
            <w:r w:rsidRPr="002F1295">
              <w:t>Teaching; Bachelors degree plus Teacher’s Certificate; Bachelor of</w:t>
            </w:r>
            <w:r>
              <w:t xml:space="preserve"> </w:t>
            </w:r>
            <w:r w:rsidRPr="002F1295">
              <w:t>Education; Bachelors degree plus Diploma of Education; or</w:t>
            </w:r>
            <w:r>
              <w:t xml:space="preserve"> </w:t>
            </w:r>
            <w:r w:rsidRPr="002F1295">
              <w:t>Bachelors degree plus Diploma in Educational Studie</w:t>
            </w:r>
            <w:r>
              <w:t>s/</w:t>
            </w:r>
            <w:r>
              <w:rPr>
                <w:rFonts w:asciiTheme="minorHAnsi" w:hAnsiTheme="minorHAnsi" w:cstheme="minorHAnsi"/>
              </w:rPr>
              <w:t xml:space="preserve"> Teaching English to Speakers of Other Languages</w:t>
            </w:r>
            <w:r>
              <w:t xml:space="preserve"> </w:t>
            </w:r>
            <w:r w:rsidR="00084013">
              <w:t>[</w:t>
            </w:r>
            <w:r w:rsidRPr="002F1295">
              <w:t>TESOL</w:t>
            </w:r>
            <w:r w:rsidR="00084013">
              <w:t>]</w:t>
            </w:r>
            <w:r>
              <w:t>); and</w:t>
            </w:r>
          </w:p>
        </w:tc>
      </w:tr>
      <w:tr w:rsidR="007D2D23" w14:paraId="59C0A5FC" w14:textId="77777777" w:rsidTr="00E93B80">
        <w:tc>
          <w:tcPr>
            <w:tcW w:w="4011" w:type="dxa"/>
            <w:tcMar>
              <w:top w:w="0" w:type="dxa"/>
              <w:left w:w="108" w:type="dxa"/>
              <w:bottom w:w="0" w:type="dxa"/>
              <w:right w:w="108" w:type="dxa"/>
            </w:tcMar>
            <w:hideMark/>
          </w:tcPr>
          <w:p w14:paraId="59C0A5FA" w14:textId="77777777" w:rsidR="007D2D23" w:rsidRPr="00B82C40" w:rsidRDefault="007D2D23" w:rsidP="00E93B80">
            <w:r>
              <w:t>A recognised qualification in TESOL or Adult Literacy; and</w:t>
            </w:r>
          </w:p>
        </w:tc>
        <w:tc>
          <w:tcPr>
            <w:tcW w:w="4011" w:type="dxa"/>
            <w:tcMar>
              <w:top w:w="0" w:type="dxa"/>
              <w:left w:w="108" w:type="dxa"/>
              <w:bottom w:w="0" w:type="dxa"/>
              <w:right w:w="108" w:type="dxa"/>
            </w:tcMar>
            <w:hideMark/>
          </w:tcPr>
          <w:p w14:paraId="59C0A5FB" w14:textId="77777777" w:rsidR="007D2D23" w:rsidRPr="00256187" w:rsidRDefault="007D2D23" w:rsidP="00E93B80">
            <w:r>
              <w:t xml:space="preserve">A postgraduate qualification in TESOL or Adult Literacy; and </w:t>
            </w:r>
          </w:p>
        </w:tc>
      </w:tr>
      <w:tr w:rsidR="007D2D23" w14:paraId="59C0A5FF" w14:textId="77777777" w:rsidTr="00E93B80">
        <w:tc>
          <w:tcPr>
            <w:tcW w:w="4011" w:type="dxa"/>
            <w:tcMar>
              <w:top w:w="0" w:type="dxa"/>
              <w:left w:w="108" w:type="dxa"/>
              <w:bottom w:w="0" w:type="dxa"/>
              <w:right w:w="108" w:type="dxa"/>
            </w:tcMar>
            <w:hideMark/>
          </w:tcPr>
          <w:p w14:paraId="59C0A5FD" w14:textId="77777777" w:rsidR="007D2D23" w:rsidRDefault="007D2D23" w:rsidP="00E93B80">
            <w:r>
              <w:t>A</w:t>
            </w:r>
            <w:r w:rsidRPr="00DB1EB5">
              <w:t>t least 100 hours teaching English as a Second Language (ESL)</w:t>
            </w:r>
            <w:r>
              <w:t xml:space="preserve"> </w:t>
            </w:r>
            <w:r w:rsidRPr="00DB1EB5">
              <w:t>or Adult Literacy/ Numeracy in the last three years.</w:t>
            </w:r>
          </w:p>
        </w:tc>
        <w:tc>
          <w:tcPr>
            <w:tcW w:w="4011" w:type="dxa"/>
            <w:tcMar>
              <w:top w:w="0" w:type="dxa"/>
              <w:left w:w="108" w:type="dxa"/>
              <w:bottom w:w="0" w:type="dxa"/>
              <w:right w:w="108" w:type="dxa"/>
            </w:tcMar>
            <w:hideMark/>
          </w:tcPr>
          <w:p w14:paraId="59C0A5FE" w14:textId="77777777" w:rsidR="007D2D23" w:rsidRDefault="007D2D23" w:rsidP="00E93B80">
            <w:r>
              <w:t>A</w:t>
            </w:r>
            <w:r w:rsidRPr="00B810AE">
              <w:t xml:space="preserve">t least three years full-time </w:t>
            </w:r>
            <w:r w:rsidR="007D3B5A">
              <w:t xml:space="preserve">or </w:t>
            </w:r>
            <w:r w:rsidRPr="00B810AE">
              <w:t>equivalent experience in teaching in</w:t>
            </w:r>
            <w:r>
              <w:t xml:space="preserve"> </w:t>
            </w:r>
            <w:r w:rsidRPr="00B810AE">
              <w:t xml:space="preserve">TESOL or Literacy Programs at </w:t>
            </w:r>
            <w:r w:rsidR="007D3B5A">
              <w:t xml:space="preserve">an </w:t>
            </w:r>
            <w:r w:rsidRPr="00B810AE">
              <w:t>adult, secondary or pre-tertiary</w:t>
            </w:r>
            <w:r>
              <w:t xml:space="preserve"> </w:t>
            </w:r>
            <w:r w:rsidRPr="00B810AE">
              <w:t>level.</w:t>
            </w:r>
          </w:p>
        </w:tc>
      </w:tr>
    </w:tbl>
    <w:p w14:paraId="59C0A600" w14:textId="77777777" w:rsidR="007D2D23" w:rsidRDefault="007D2D23" w:rsidP="007D2D23">
      <w:pPr>
        <w:rPr>
          <w:rFonts w:asciiTheme="minorHAnsi" w:hAnsiTheme="minorHAnsi" w:cstheme="minorHAnsi"/>
        </w:rPr>
      </w:pPr>
    </w:p>
    <w:p w14:paraId="59C0A601" w14:textId="77777777" w:rsidR="00DE0923" w:rsidRDefault="00DE0923" w:rsidP="007D2D23">
      <w:pPr>
        <w:rPr>
          <w:rFonts w:asciiTheme="minorHAnsi" w:hAnsiTheme="minorHAnsi" w:cstheme="minorHAnsi"/>
        </w:rPr>
      </w:pPr>
    </w:p>
    <w:p w14:paraId="59C0A602" w14:textId="77777777" w:rsidR="007D2D23" w:rsidRDefault="007D2D23" w:rsidP="007D2D23">
      <w:pPr>
        <w:rPr>
          <w:rFonts w:asciiTheme="minorHAnsi" w:hAnsiTheme="minorHAnsi" w:cstheme="minorHAnsi"/>
        </w:rPr>
      </w:pPr>
      <w:r>
        <w:rPr>
          <w:rFonts w:asciiTheme="minorHAnsi" w:hAnsiTheme="minorHAnsi" w:cstheme="minorHAnsi"/>
        </w:rPr>
        <w:t xml:space="preserve">In 2012 </w:t>
      </w:r>
      <w:r w:rsidRPr="0057100F">
        <w:rPr>
          <w:rFonts w:asciiTheme="minorHAnsi" w:hAnsiTheme="minorHAnsi" w:cstheme="minorHAnsi"/>
        </w:rPr>
        <w:t>the National Skills Standards Council</w:t>
      </w:r>
      <w:r>
        <w:rPr>
          <w:rFonts w:asciiTheme="minorHAnsi" w:hAnsiTheme="minorHAnsi" w:cstheme="minorHAnsi"/>
        </w:rPr>
        <w:t xml:space="preserve"> (NSSC)</w:t>
      </w:r>
      <w:r w:rsidRPr="0057100F">
        <w:rPr>
          <w:rFonts w:asciiTheme="minorHAnsi" w:hAnsiTheme="minorHAnsi" w:cstheme="minorHAnsi"/>
        </w:rPr>
        <w:t xml:space="preserve"> is undertaking a comprehensive review of the national standards for the regulation of VET to address concerns around confidence in the quality assurance of VET from industry and employers, particularly in the quality and consistency of assessment and the qualificat</w:t>
      </w:r>
      <w:r>
        <w:rPr>
          <w:rFonts w:asciiTheme="minorHAnsi" w:hAnsiTheme="minorHAnsi" w:cstheme="minorHAnsi"/>
        </w:rPr>
        <w:t xml:space="preserve">ions of trainers and assessors. </w:t>
      </w:r>
      <w:r w:rsidRPr="0057100F">
        <w:rPr>
          <w:rFonts w:asciiTheme="minorHAnsi" w:hAnsiTheme="minorHAnsi" w:cstheme="minorHAnsi"/>
        </w:rPr>
        <w:t>The review will</w:t>
      </w:r>
      <w:r>
        <w:rPr>
          <w:rFonts w:asciiTheme="minorHAnsi" w:hAnsiTheme="minorHAnsi" w:cstheme="minorHAnsi"/>
        </w:rPr>
        <w:t xml:space="preserve"> </w:t>
      </w:r>
      <w:r w:rsidRPr="0057100F">
        <w:rPr>
          <w:rFonts w:asciiTheme="minorHAnsi" w:hAnsiTheme="minorHAnsi" w:cstheme="minorHAnsi"/>
        </w:rPr>
        <w:t xml:space="preserve">have a strong focus on the teaching and assessment standards to ensure that the standards are reflective of a central focus on quality management of assessment.  This will include a focus on teaching and learning, </w:t>
      </w:r>
      <w:r w:rsidR="0031557C">
        <w:rPr>
          <w:rFonts w:asciiTheme="minorHAnsi" w:hAnsiTheme="minorHAnsi" w:cstheme="minorHAnsi"/>
        </w:rPr>
        <w:t>in particular</w:t>
      </w:r>
      <w:r w:rsidR="007D3B5A">
        <w:rPr>
          <w:rFonts w:asciiTheme="minorHAnsi" w:hAnsiTheme="minorHAnsi" w:cstheme="minorHAnsi"/>
        </w:rPr>
        <w:t>,</w:t>
      </w:r>
      <w:r w:rsidRPr="0057100F">
        <w:rPr>
          <w:rFonts w:asciiTheme="minorHAnsi" w:hAnsiTheme="minorHAnsi" w:cstheme="minorHAnsi"/>
        </w:rPr>
        <w:t xml:space="preserve"> the competency requirements, the qualifications and the ongoing professional development needs for VET trainers and assessors.</w:t>
      </w:r>
    </w:p>
    <w:p w14:paraId="59C0A603" w14:textId="77777777" w:rsidR="007D2D23" w:rsidRDefault="007D2D23" w:rsidP="007D2D23">
      <w:pPr>
        <w:rPr>
          <w:rFonts w:asciiTheme="minorHAnsi" w:hAnsiTheme="minorHAnsi" w:cstheme="minorHAnsi"/>
        </w:rPr>
      </w:pPr>
    </w:p>
    <w:p w14:paraId="59C0A604" w14:textId="77777777" w:rsidR="007D2D23" w:rsidRDefault="007D2D23" w:rsidP="007D2D23">
      <w:pPr>
        <w:rPr>
          <w:rFonts w:asciiTheme="minorHAnsi" w:hAnsiTheme="minorHAnsi" w:cstheme="minorHAnsi"/>
        </w:rPr>
      </w:pPr>
      <w:r>
        <w:rPr>
          <w:rFonts w:asciiTheme="minorHAnsi" w:hAnsiTheme="minorHAnsi" w:cstheme="minorHAnsi"/>
        </w:rPr>
        <w:t xml:space="preserve">The Government has commissioned </w:t>
      </w:r>
      <w:r w:rsidRPr="002F2B85">
        <w:rPr>
          <w:szCs w:val="28"/>
        </w:rPr>
        <w:t xml:space="preserve">Innovation and Business Skills Australia (IBSA) to </w:t>
      </w:r>
      <w:r>
        <w:rPr>
          <w:szCs w:val="28"/>
        </w:rPr>
        <w:t xml:space="preserve">develop new graduate LLN qualifications and to explore options </w:t>
      </w:r>
      <w:r w:rsidRPr="00915F44">
        <w:rPr>
          <w:szCs w:val="28"/>
        </w:rPr>
        <w:t xml:space="preserve">for increasing the capacity of the VET workforce in supporting VET learners in LLN.  An extensive research and consultation process has led IBSA to conclude that the best approach is </w:t>
      </w:r>
      <w:r>
        <w:rPr>
          <w:szCs w:val="28"/>
        </w:rPr>
        <w:t xml:space="preserve">to require all new and existing VET practitioners </w:t>
      </w:r>
      <w:r w:rsidR="007D3B5A">
        <w:rPr>
          <w:szCs w:val="28"/>
        </w:rPr>
        <w:t xml:space="preserve">to </w:t>
      </w:r>
      <w:r>
        <w:rPr>
          <w:szCs w:val="28"/>
        </w:rPr>
        <w:t>undertake set units in LLN as part of their initial Training and Education qualification or as part of their professional development.</w:t>
      </w:r>
    </w:p>
    <w:p w14:paraId="59C0A605" w14:textId="77777777" w:rsidR="007D2D23" w:rsidRDefault="007D2D23" w:rsidP="007D2D23">
      <w:pPr>
        <w:rPr>
          <w:rFonts w:asciiTheme="minorHAnsi" w:hAnsiTheme="minorHAnsi" w:cstheme="minorHAnsi"/>
        </w:rPr>
      </w:pPr>
    </w:p>
    <w:p w14:paraId="59C0A606" w14:textId="77777777" w:rsidR="006E765A" w:rsidRDefault="004F74D6" w:rsidP="006E765A">
      <w:pPr>
        <w:rPr>
          <w:rFonts w:asciiTheme="minorHAnsi" w:hAnsiTheme="minorHAnsi" w:cstheme="minorHAnsi"/>
        </w:rPr>
      </w:pPr>
      <w:r>
        <w:rPr>
          <w:rFonts w:asciiTheme="minorHAnsi" w:hAnsiTheme="minorHAnsi" w:cstheme="minorHAnsi"/>
        </w:rPr>
        <w:t xml:space="preserve">The current program requirements are higher than the requirements under the AQTF to maintain RTO status and deliver training in scope.  </w:t>
      </w:r>
      <w:r w:rsidR="007D2D23">
        <w:rPr>
          <w:rFonts w:asciiTheme="minorHAnsi" w:hAnsiTheme="minorHAnsi" w:cstheme="minorHAnsi"/>
        </w:rPr>
        <w:t xml:space="preserve">Some LLNP providers have advised that they find that the current teacher qualifications for the LLNP are overly prescriptive and create a barrier to attracting practitioners to the sector.  In particular, it can be difficult in rural and remote areas </w:t>
      </w:r>
      <w:r w:rsidR="007D3B5A">
        <w:rPr>
          <w:rFonts w:asciiTheme="minorHAnsi" w:hAnsiTheme="minorHAnsi" w:cstheme="minorHAnsi"/>
        </w:rPr>
        <w:t>to</w:t>
      </w:r>
      <w:r w:rsidR="007D2D23">
        <w:rPr>
          <w:rFonts w:asciiTheme="minorHAnsi" w:hAnsiTheme="minorHAnsi" w:cstheme="minorHAnsi"/>
        </w:rPr>
        <w:t xml:space="preserve"> attract staff who meet the current </w:t>
      </w:r>
      <w:r w:rsidR="006E765A">
        <w:rPr>
          <w:rFonts w:asciiTheme="minorHAnsi" w:hAnsiTheme="minorHAnsi" w:cstheme="minorHAnsi"/>
        </w:rPr>
        <w:t xml:space="preserve">program </w:t>
      </w:r>
      <w:r w:rsidR="007D2D23">
        <w:rPr>
          <w:rFonts w:asciiTheme="minorHAnsi" w:hAnsiTheme="minorHAnsi" w:cstheme="minorHAnsi"/>
        </w:rPr>
        <w:t>requirements</w:t>
      </w:r>
      <w:r>
        <w:rPr>
          <w:rFonts w:asciiTheme="minorHAnsi" w:hAnsiTheme="minorHAnsi" w:cstheme="minorHAnsi"/>
        </w:rPr>
        <w:t xml:space="preserve">. </w:t>
      </w:r>
    </w:p>
    <w:p w14:paraId="59C0A607" w14:textId="77777777" w:rsidR="006E765A" w:rsidRDefault="006E765A" w:rsidP="006E765A">
      <w:pPr>
        <w:rPr>
          <w:rFonts w:asciiTheme="minorHAnsi" w:hAnsiTheme="minorHAnsi" w:cstheme="minorHAnsi"/>
        </w:rPr>
      </w:pPr>
    </w:p>
    <w:p w14:paraId="59C0A608" w14:textId="77777777" w:rsidR="007D2D23" w:rsidRDefault="006E765A" w:rsidP="006E765A">
      <w:pPr>
        <w:rPr>
          <w:rFonts w:asciiTheme="minorHAnsi" w:hAnsiTheme="minorHAnsi" w:cstheme="minorHAnsi"/>
        </w:rPr>
      </w:pPr>
      <w:r>
        <w:rPr>
          <w:rFonts w:asciiTheme="minorHAnsi" w:hAnsiTheme="minorHAnsi" w:cstheme="minorHAnsi"/>
        </w:rPr>
        <w:t xml:space="preserve">Balancing this argument is that there are other </w:t>
      </w:r>
      <w:r w:rsidR="00DE0923">
        <w:rPr>
          <w:rFonts w:asciiTheme="minorHAnsi" w:hAnsiTheme="minorHAnsi" w:cstheme="minorHAnsi"/>
        </w:rPr>
        <w:t>Government</w:t>
      </w:r>
      <w:r>
        <w:rPr>
          <w:rFonts w:asciiTheme="minorHAnsi" w:hAnsiTheme="minorHAnsi" w:cstheme="minorHAnsi"/>
        </w:rPr>
        <w:t xml:space="preserve"> programs that also seek very similar teacher qualifications to </w:t>
      </w:r>
      <w:r w:rsidR="007D3B5A">
        <w:rPr>
          <w:rFonts w:asciiTheme="minorHAnsi" w:hAnsiTheme="minorHAnsi" w:cstheme="minorHAnsi"/>
        </w:rPr>
        <w:t xml:space="preserve">the </w:t>
      </w:r>
      <w:r>
        <w:rPr>
          <w:rFonts w:asciiTheme="minorHAnsi" w:hAnsiTheme="minorHAnsi" w:cstheme="minorHAnsi"/>
        </w:rPr>
        <w:t>LLNP</w:t>
      </w:r>
      <w:r w:rsidR="007D3B5A">
        <w:rPr>
          <w:rFonts w:asciiTheme="minorHAnsi" w:hAnsiTheme="minorHAnsi" w:cstheme="minorHAnsi"/>
        </w:rPr>
        <w:t>,</w:t>
      </w:r>
      <w:r>
        <w:rPr>
          <w:rFonts w:asciiTheme="minorHAnsi" w:hAnsiTheme="minorHAnsi" w:cstheme="minorHAnsi"/>
        </w:rPr>
        <w:t xml:space="preserve"> </w:t>
      </w:r>
      <w:r w:rsidR="007D3B5A">
        <w:rPr>
          <w:rFonts w:asciiTheme="minorHAnsi" w:hAnsiTheme="minorHAnsi" w:cstheme="minorHAnsi"/>
        </w:rPr>
        <w:t>and</w:t>
      </w:r>
      <w:r>
        <w:rPr>
          <w:rFonts w:asciiTheme="minorHAnsi" w:hAnsiTheme="minorHAnsi" w:cstheme="minorHAnsi"/>
        </w:rPr>
        <w:t xml:space="preserve"> do not appear to be causing the same level of anxiety</w:t>
      </w:r>
      <w:r w:rsidR="00DE0923">
        <w:rPr>
          <w:rFonts w:asciiTheme="minorHAnsi" w:hAnsiTheme="minorHAnsi" w:cstheme="minorHAnsi"/>
        </w:rPr>
        <w:t xml:space="preserve"> to </w:t>
      </w:r>
      <w:r w:rsidR="007D3B5A">
        <w:rPr>
          <w:rFonts w:asciiTheme="minorHAnsi" w:hAnsiTheme="minorHAnsi" w:cstheme="minorHAnsi"/>
        </w:rPr>
        <w:t>the</w:t>
      </w:r>
      <w:r w:rsidR="00DE0923">
        <w:rPr>
          <w:rFonts w:asciiTheme="minorHAnsi" w:hAnsiTheme="minorHAnsi" w:cstheme="minorHAnsi"/>
        </w:rPr>
        <w:t xml:space="preserve"> organisations delivering those services</w:t>
      </w:r>
      <w:r>
        <w:rPr>
          <w:rFonts w:asciiTheme="minorHAnsi" w:hAnsiTheme="minorHAnsi" w:cstheme="minorHAnsi"/>
        </w:rPr>
        <w:t>. For example</w:t>
      </w:r>
      <w:r w:rsidR="007D3B5A">
        <w:rPr>
          <w:rFonts w:asciiTheme="minorHAnsi" w:hAnsiTheme="minorHAnsi" w:cstheme="minorHAnsi"/>
        </w:rPr>
        <w:t>,</w:t>
      </w:r>
      <w:r>
        <w:rPr>
          <w:rFonts w:asciiTheme="minorHAnsi" w:hAnsiTheme="minorHAnsi" w:cstheme="minorHAnsi"/>
        </w:rPr>
        <w:t xml:space="preserve"> </w:t>
      </w:r>
      <w:r w:rsidR="007D2D23">
        <w:rPr>
          <w:rFonts w:asciiTheme="minorHAnsi" w:hAnsiTheme="minorHAnsi" w:cstheme="minorHAnsi"/>
        </w:rPr>
        <w:t>in the Adult Migrant English Program</w:t>
      </w:r>
      <w:r w:rsidR="007D3B5A">
        <w:rPr>
          <w:rFonts w:asciiTheme="minorHAnsi" w:hAnsiTheme="minorHAnsi" w:cstheme="minorHAnsi"/>
        </w:rPr>
        <w:t>,</w:t>
      </w:r>
      <w:r w:rsidR="007D2D23">
        <w:rPr>
          <w:rFonts w:asciiTheme="minorHAnsi" w:hAnsiTheme="minorHAnsi" w:cstheme="minorHAnsi"/>
        </w:rPr>
        <w:t xml:space="preserve"> teachers must possess the following qualifications:</w:t>
      </w:r>
    </w:p>
    <w:p w14:paraId="59C0A609" w14:textId="77777777" w:rsidR="00E93B80" w:rsidRDefault="00E93B80" w:rsidP="006E765A">
      <w:pPr>
        <w:rPr>
          <w:rFonts w:asciiTheme="minorHAnsi" w:hAnsiTheme="minorHAnsi" w:cstheme="minorHAnsi"/>
        </w:rPr>
      </w:pPr>
      <w:r>
        <w:rPr>
          <w:rFonts w:asciiTheme="minorHAnsi" w:hAnsiTheme="minorHAnsi" w:cstheme="minorHAnsi"/>
        </w:rPr>
        <w:br w:type="page"/>
      </w:r>
    </w:p>
    <w:p w14:paraId="59C0A60A" w14:textId="77777777" w:rsidR="007D2D23" w:rsidRDefault="007D2D23" w:rsidP="009A4A3E">
      <w:pPr>
        <w:pStyle w:val="ListParagraph"/>
        <w:numPr>
          <w:ilvl w:val="2"/>
          <w:numId w:val="11"/>
        </w:numPr>
        <w:rPr>
          <w:rFonts w:asciiTheme="minorHAnsi" w:hAnsiTheme="minorHAnsi" w:cstheme="minorHAnsi"/>
        </w:rPr>
      </w:pPr>
      <w:r w:rsidRPr="0013131C">
        <w:rPr>
          <w:rFonts w:asciiTheme="minorHAnsi" w:hAnsiTheme="minorHAnsi" w:cstheme="minorHAnsi"/>
        </w:rPr>
        <w:lastRenderedPageBreak/>
        <w:t>A recognised Bachelor Degree (at least three years in length) and a recognised postgraduate</w:t>
      </w:r>
      <w:r>
        <w:rPr>
          <w:rFonts w:asciiTheme="minorHAnsi" w:hAnsiTheme="minorHAnsi" w:cstheme="minorHAnsi"/>
        </w:rPr>
        <w:t xml:space="preserve"> </w:t>
      </w:r>
      <w:r w:rsidRPr="0013131C">
        <w:rPr>
          <w:rFonts w:asciiTheme="minorHAnsi" w:hAnsiTheme="minorHAnsi" w:cstheme="minorHAnsi"/>
        </w:rPr>
        <w:t>TESOL</w:t>
      </w:r>
      <w:r>
        <w:rPr>
          <w:rFonts w:asciiTheme="minorHAnsi" w:hAnsiTheme="minorHAnsi" w:cstheme="minorHAnsi"/>
        </w:rPr>
        <w:t xml:space="preserve"> </w:t>
      </w:r>
      <w:r w:rsidRPr="0013131C">
        <w:rPr>
          <w:rFonts w:asciiTheme="minorHAnsi" w:hAnsiTheme="minorHAnsi" w:cstheme="minorHAnsi"/>
        </w:rPr>
        <w:t>qualification</w:t>
      </w:r>
      <w:r>
        <w:rPr>
          <w:rFonts w:asciiTheme="minorHAnsi" w:hAnsiTheme="minorHAnsi" w:cstheme="minorHAnsi"/>
        </w:rPr>
        <w:t xml:space="preserve">; </w:t>
      </w:r>
      <w:r w:rsidRPr="00DB1EB5">
        <w:rPr>
          <w:rFonts w:asciiTheme="minorHAnsi" w:hAnsiTheme="minorHAnsi" w:cstheme="minorHAnsi"/>
        </w:rPr>
        <w:t xml:space="preserve">or  </w:t>
      </w:r>
    </w:p>
    <w:p w14:paraId="59C0A60B" w14:textId="77777777" w:rsidR="007D2D23" w:rsidRDefault="007D2D23" w:rsidP="009A4A3E">
      <w:pPr>
        <w:pStyle w:val="ListParagraph"/>
        <w:numPr>
          <w:ilvl w:val="2"/>
          <w:numId w:val="11"/>
        </w:numPr>
        <w:rPr>
          <w:rFonts w:asciiTheme="minorHAnsi" w:hAnsiTheme="minorHAnsi" w:cstheme="minorHAnsi"/>
        </w:rPr>
      </w:pPr>
      <w:r w:rsidRPr="00462630">
        <w:rPr>
          <w:rFonts w:asciiTheme="minorHAnsi" w:hAnsiTheme="minorHAnsi" w:cstheme="minorHAnsi"/>
        </w:rPr>
        <w:t>A Bachelor of Education with a TESOL major or equivalent which includes a practicum (at least 60 hours)</w:t>
      </w:r>
      <w:r>
        <w:rPr>
          <w:rFonts w:asciiTheme="minorHAnsi" w:hAnsiTheme="minorHAnsi" w:cstheme="minorHAnsi"/>
        </w:rPr>
        <w:t xml:space="preserve">; </w:t>
      </w:r>
      <w:r w:rsidRPr="00462630">
        <w:rPr>
          <w:rFonts w:asciiTheme="minorHAnsi" w:hAnsiTheme="minorHAnsi" w:cstheme="minorHAnsi"/>
        </w:rPr>
        <w:t xml:space="preserve">and </w:t>
      </w:r>
    </w:p>
    <w:p w14:paraId="59C0A60C" w14:textId="77777777" w:rsidR="007D2D23" w:rsidRDefault="007D2D23" w:rsidP="009A4A3E">
      <w:pPr>
        <w:pStyle w:val="ListParagraph"/>
        <w:numPr>
          <w:ilvl w:val="2"/>
          <w:numId w:val="11"/>
        </w:numPr>
        <w:rPr>
          <w:rFonts w:asciiTheme="minorHAnsi" w:hAnsiTheme="minorHAnsi" w:cstheme="minorHAnsi"/>
        </w:rPr>
      </w:pPr>
      <w:r w:rsidRPr="00434213">
        <w:rPr>
          <w:rFonts w:asciiTheme="minorHAnsi" w:hAnsiTheme="minorHAnsi" w:cstheme="minorHAnsi"/>
        </w:rPr>
        <w:t>A Certificate IV in Training and Assessment (up to June 2012 TAA04</w:t>
      </w:r>
      <w:r>
        <w:rPr>
          <w:rStyle w:val="FootnoteReference"/>
          <w:rFonts w:asciiTheme="minorHAnsi" w:hAnsiTheme="minorHAnsi" w:cstheme="minorHAnsi"/>
        </w:rPr>
        <w:footnoteReference w:id="3"/>
      </w:r>
      <w:r w:rsidRPr="00434213">
        <w:rPr>
          <w:rFonts w:asciiTheme="minorHAnsi" w:hAnsiTheme="minorHAnsi" w:cstheme="minorHAnsi"/>
        </w:rPr>
        <w:t>, from 30 June 2012 TAE40110</w:t>
      </w:r>
      <w:r>
        <w:rPr>
          <w:rStyle w:val="FootnoteReference"/>
          <w:rFonts w:asciiTheme="minorHAnsi" w:hAnsiTheme="minorHAnsi" w:cstheme="minorHAnsi"/>
        </w:rPr>
        <w:footnoteReference w:id="4"/>
      </w:r>
      <w:r w:rsidRPr="00434213">
        <w:rPr>
          <w:rFonts w:asciiTheme="minorHAnsi" w:hAnsiTheme="minorHAnsi" w:cstheme="minorHAnsi"/>
        </w:rPr>
        <w:t>) or equivalent</w:t>
      </w:r>
      <w:r>
        <w:rPr>
          <w:rFonts w:asciiTheme="minorHAnsi" w:hAnsiTheme="minorHAnsi" w:cstheme="minorHAnsi"/>
        </w:rPr>
        <w:t>.</w:t>
      </w:r>
    </w:p>
    <w:p w14:paraId="59C0A60D" w14:textId="77777777" w:rsidR="007D2D23" w:rsidRDefault="007D2D23" w:rsidP="007D2D23">
      <w:pPr>
        <w:rPr>
          <w:rFonts w:asciiTheme="minorHAnsi" w:hAnsiTheme="minorHAnsi" w:cstheme="minorHAnsi"/>
        </w:rPr>
      </w:pPr>
    </w:p>
    <w:p w14:paraId="59C0A60E" w14:textId="77777777" w:rsidR="00D16D1A" w:rsidRDefault="00760C63" w:rsidP="00D16D1A">
      <w:pPr>
        <w:rPr>
          <w:rFonts w:asciiTheme="minorHAnsi" w:hAnsiTheme="minorHAnsi" w:cstheme="minorHAnsi"/>
        </w:rPr>
      </w:pPr>
      <w:r>
        <w:rPr>
          <w:rFonts w:asciiTheme="minorHAnsi" w:hAnsiTheme="minorHAnsi" w:cstheme="minorHAnsi"/>
        </w:rPr>
        <w:t>Maintaining high quality teaching and assessment services is a priority for the Government</w:t>
      </w:r>
      <w:r w:rsidR="00F27161">
        <w:rPr>
          <w:rFonts w:asciiTheme="minorHAnsi" w:hAnsiTheme="minorHAnsi" w:cstheme="minorHAnsi"/>
        </w:rPr>
        <w:t xml:space="preserve">.  This priority </w:t>
      </w:r>
      <w:r w:rsidR="00D16D1A">
        <w:rPr>
          <w:rFonts w:asciiTheme="minorHAnsi" w:hAnsiTheme="minorHAnsi" w:cstheme="minorHAnsi"/>
        </w:rPr>
        <w:t xml:space="preserve">has been demonstrated </w:t>
      </w:r>
      <w:r w:rsidR="00F27161">
        <w:rPr>
          <w:rFonts w:asciiTheme="minorHAnsi" w:hAnsiTheme="minorHAnsi" w:cstheme="minorHAnsi"/>
        </w:rPr>
        <w:t xml:space="preserve">through the </w:t>
      </w:r>
      <w:r>
        <w:rPr>
          <w:rFonts w:asciiTheme="minorHAnsi" w:hAnsiTheme="minorHAnsi" w:cstheme="minorHAnsi"/>
        </w:rPr>
        <w:t>significant work being undertaken</w:t>
      </w:r>
      <w:r w:rsidR="00F27161">
        <w:rPr>
          <w:rFonts w:asciiTheme="minorHAnsi" w:hAnsiTheme="minorHAnsi" w:cstheme="minorHAnsi"/>
        </w:rPr>
        <w:t>, and planned in the future,</w:t>
      </w:r>
      <w:r>
        <w:rPr>
          <w:rFonts w:asciiTheme="minorHAnsi" w:hAnsiTheme="minorHAnsi" w:cstheme="minorHAnsi"/>
        </w:rPr>
        <w:t xml:space="preserve"> in the VET sector that </w:t>
      </w:r>
      <w:r w:rsidR="00D16D1A">
        <w:rPr>
          <w:rFonts w:asciiTheme="minorHAnsi" w:hAnsiTheme="minorHAnsi" w:cstheme="minorHAnsi"/>
        </w:rPr>
        <w:t xml:space="preserve">will </w:t>
      </w:r>
      <w:r>
        <w:rPr>
          <w:rFonts w:asciiTheme="minorHAnsi" w:hAnsiTheme="minorHAnsi" w:cstheme="minorHAnsi"/>
        </w:rPr>
        <w:t xml:space="preserve">assist in standardising qualification requirements in the sector.  </w:t>
      </w:r>
      <w:r w:rsidR="00D16D1A">
        <w:rPr>
          <w:rFonts w:asciiTheme="minorHAnsi" w:hAnsiTheme="minorHAnsi" w:cstheme="minorHAnsi"/>
        </w:rPr>
        <w:t xml:space="preserve">The questions being considered by the department in administering the LLNP </w:t>
      </w:r>
      <w:r w:rsidR="00F900C0">
        <w:rPr>
          <w:rFonts w:asciiTheme="minorHAnsi" w:hAnsiTheme="minorHAnsi" w:cstheme="minorHAnsi"/>
        </w:rPr>
        <w:t xml:space="preserve">are related to </w:t>
      </w:r>
      <w:r w:rsidR="00D16D1A">
        <w:rPr>
          <w:rFonts w:asciiTheme="minorHAnsi" w:hAnsiTheme="minorHAnsi" w:cstheme="minorHAnsi"/>
        </w:rPr>
        <w:t xml:space="preserve">determining the balance of </w:t>
      </w:r>
      <w:r w:rsidR="00F27161">
        <w:rPr>
          <w:rFonts w:asciiTheme="minorHAnsi" w:hAnsiTheme="minorHAnsi" w:cstheme="minorHAnsi"/>
        </w:rPr>
        <w:t xml:space="preserve">qualification requirements against the need to </w:t>
      </w:r>
      <w:r w:rsidR="00D16D1A">
        <w:rPr>
          <w:rFonts w:asciiTheme="minorHAnsi" w:hAnsiTheme="minorHAnsi" w:cstheme="minorHAnsi"/>
        </w:rPr>
        <w:t>grow</w:t>
      </w:r>
      <w:r w:rsidR="009541E0">
        <w:rPr>
          <w:rFonts w:asciiTheme="minorHAnsi" w:hAnsiTheme="minorHAnsi" w:cstheme="minorHAnsi"/>
        </w:rPr>
        <w:t xml:space="preserve"> and up-skill</w:t>
      </w:r>
      <w:r w:rsidR="00D16D1A">
        <w:rPr>
          <w:rFonts w:asciiTheme="minorHAnsi" w:hAnsiTheme="minorHAnsi" w:cstheme="minorHAnsi"/>
        </w:rPr>
        <w:t xml:space="preserve"> the workforce in this sector.</w:t>
      </w:r>
    </w:p>
    <w:p w14:paraId="59C0A60F" w14:textId="77777777" w:rsidR="00D96680" w:rsidRDefault="00D96680" w:rsidP="007D2D23">
      <w:pPr>
        <w:rPr>
          <w:rFonts w:asciiTheme="minorHAnsi" w:hAnsiTheme="minorHAnsi" w:cstheme="minorHAnsi"/>
        </w:rPr>
      </w:pPr>
    </w:p>
    <w:p w14:paraId="59C0A610" w14:textId="77777777" w:rsidR="0058349C" w:rsidRPr="00FB536C" w:rsidRDefault="0058349C" w:rsidP="0058349C">
      <w:pPr>
        <w:pStyle w:val="ListParagraph"/>
        <w:spacing w:after="60"/>
        <w:ind w:left="0"/>
        <w:rPr>
          <w:b/>
        </w:rPr>
      </w:pPr>
      <w:r w:rsidRPr="00FB536C">
        <w:rPr>
          <w:b/>
        </w:rPr>
        <w:t>For consideration in your response:</w:t>
      </w:r>
    </w:p>
    <w:p w14:paraId="59C0A611" w14:textId="77777777" w:rsidR="007071B8" w:rsidRDefault="000951DF" w:rsidP="009A4A3E">
      <w:pPr>
        <w:pStyle w:val="ListParagraph"/>
        <w:numPr>
          <w:ilvl w:val="0"/>
          <w:numId w:val="18"/>
        </w:numPr>
        <w:ind w:left="709" w:hanging="709"/>
        <w:rPr>
          <w:i/>
          <w:sz w:val="20"/>
          <w:szCs w:val="20"/>
        </w:rPr>
      </w:pPr>
      <w:r>
        <w:rPr>
          <w:i/>
          <w:sz w:val="20"/>
          <w:szCs w:val="20"/>
        </w:rPr>
        <w:t>Do you consider the current LLNP qualification requirements</w:t>
      </w:r>
      <w:r w:rsidR="00AB1206">
        <w:rPr>
          <w:i/>
          <w:sz w:val="20"/>
          <w:szCs w:val="20"/>
        </w:rPr>
        <w:t xml:space="preserve"> to be</w:t>
      </w:r>
      <w:r>
        <w:rPr>
          <w:i/>
          <w:sz w:val="20"/>
          <w:szCs w:val="20"/>
        </w:rPr>
        <w:t xml:space="preserve"> too rigid? Why/why not?</w:t>
      </w:r>
    </w:p>
    <w:p w14:paraId="59C0A612" w14:textId="77777777" w:rsidR="00D809D2" w:rsidRPr="00D37DB5" w:rsidRDefault="000951DF" w:rsidP="009A4A3E">
      <w:pPr>
        <w:pStyle w:val="ListParagraph"/>
        <w:numPr>
          <w:ilvl w:val="0"/>
          <w:numId w:val="18"/>
        </w:numPr>
        <w:ind w:left="709" w:hanging="709"/>
        <w:rPr>
          <w:i/>
          <w:sz w:val="20"/>
          <w:szCs w:val="20"/>
        </w:rPr>
      </w:pPr>
      <w:r>
        <w:rPr>
          <w:i/>
          <w:sz w:val="20"/>
          <w:szCs w:val="20"/>
        </w:rPr>
        <w:t>If so, what do you think the LLNP qualification requirements should be?</w:t>
      </w:r>
    </w:p>
    <w:p w14:paraId="59C0A613" w14:textId="77777777" w:rsidR="007071B8" w:rsidRDefault="007071B8">
      <w:pPr>
        <w:pStyle w:val="ListParagraph"/>
        <w:spacing w:after="60"/>
        <w:ind w:left="360"/>
        <w:rPr>
          <w:sz w:val="20"/>
          <w:szCs w:val="20"/>
          <w:highlight w:val="yellow"/>
        </w:rPr>
      </w:pPr>
    </w:p>
    <w:p w14:paraId="59C0A614" w14:textId="77777777" w:rsidR="004C144C" w:rsidRDefault="004C144C">
      <w:pPr>
        <w:pStyle w:val="ListParagraph"/>
        <w:spacing w:after="60"/>
        <w:ind w:left="360"/>
        <w:rPr>
          <w:sz w:val="20"/>
          <w:szCs w:val="20"/>
          <w:highlight w:val="yellow"/>
        </w:rPr>
      </w:pPr>
    </w:p>
    <w:p w14:paraId="59C0A615" w14:textId="77777777" w:rsidR="007071B8" w:rsidRDefault="00D24B73" w:rsidP="003A64D3">
      <w:pPr>
        <w:pStyle w:val="Heading3"/>
      </w:pPr>
      <w:bookmarkStart w:id="11" w:name="_Toc330460462"/>
      <w:r w:rsidRPr="00D24B73">
        <w:t>3.2 Complementary Training and Advanced Vocationally Oriented Courses</w:t>
      </w:r>
      <w:bookmarkEnd w:id="11"/>
      <w:r w:rsidRPr="00D24B73">
        <w:tab/>
      </w:r>
    </w:p>
    <w:p w14:paraId="59C0A616" w14:textId="77777777" w:rsidR="007071B8" w:rsidRDefault="00C87F69">
      <w:pPr>
        <w:spacing w:after="60"/>
        <w:rPr>
          <w:rFonts w:asciiTheme="minorHAnsi" w:hAnsiTheme="minorHAnsi" w:cstheme="minorHAnsi"/>
          <w:color w:val="000000"/>
        </w:rPr>
      </w:pPr>
      <w:r w:rsidRPr="00224CBA">
        <w:rPr>
          <w:rFonts w:asciiTheme="minorHAnsi" w:hAnsiTheme="minorHAnsi" w:cstheme="minorHAnsi"/>
          <w:color w:val="000000"/>
        </w:rPr>
        <w:t xml:space="preserve">Complementary Training (CT) and Advanced Vocationally Oriented Course (AVOC) </w:t>
      </w:r>
      <w:r w:rsidR="00CD685A">
        <w:rPr>
          <w:rFonts w:asciiTheme="minorHAnsi" w:hAnsiTheme="minorHAnsi" w:cstheme="minorHAnsi"/>
          <w:color w:val="000000"/>
        </w:rPr>
        <w:t xml:space="preserve">are </w:t>
      </w:r>
      <w:r w:rsidR="008F6177">
        <w:rPr>
          <w:rFonts w:asciiTheme="minorHAnsi" w:hAnsiTheme="minorHAnsi" w:cstheme="minorHAnsi"/>
          <w:color w:val="000000"/>
        </w:rPr>
        <w:t xml:space="preserve">offered </w:t>
      </w:r>
      <w:r w:rsidR="00CD685A">
        <w:rPr>
          <w:rFonts w:asciiTheme="minorHAnsi" w:hAnsiTheme="minorHAnsi" w:cstheme="minorHAnsi"/>
          <w:color w:val="000000"/>
        </w:rPr>
        <w:t xml:space="preserve">as part of </w:t>
      </w:r>
      <w:r w:rsidR="00F900C0">
        <w:rPr>
          <w:rFonts w:asciiTheme="minorHAnsi" w:hAnsiTheme="minorHAnsi" w:cstheme="minorHAnsi"/>
          <w:color w:val="000000"/>
        </w:rPr>
        <w:t xml:space="preserve">the </w:t>
      </w:r>
      <w:r w:rsidR="00CD685A">
        <w:rPr>
          <w:rFonts w:asciiTheme="minorHAnsi" w:hAnsiTheme="minorHAnsi" w:cstheme="minorHAnsi"/>
          <w:color w:val="000000"/>
        </w:rPr>
        <w:t>LLNP</w:t>
      </w:r>
      <w:r w:rsidR="002E349F">
        <w:rPr>
          <w:rFonts w:asciiTheme="minorHAnsi" w:hAnsiTheme="minorHAnsi" w:cstheme="minorHAnsi"/>
          <w:color w:val="000000"/>
        </w:rPr>
        <w:t xml:space="preserve">.  </w:t>
      </w:r>
      <w:r w:rsidR="00CD685A">
        <w:rPr>
          <w:rFonts w:asciiTheme="minorHAnsi" w:hAnsiTheme="minorHAnsi" w:cstheme="minorHAnsi"/>
          <w:color w:val="000000"/>
        </w:rPr>
        <w:t>LLNP providers need to have tendered and be</w:t>
      </w:r>
      <w:r w:rsidR="00F900C0">
        <w:rPr>
          <w:rFonts w:asciiTheme="minorHAnsi" w:hAnsiTheme="minorHAnsi" w:cstheme="minorHAnsi"/>
          <w:color w:val="000000"/>
        </w:rPr>
        <w:t>en</w:t>
      </w:r>
      <w:r w:rsidR="00CD685A">
        <w:rPr>
          <w:rFonts w:asciiTheme="minorHAnsi" w:hAnsiTheme="minorHAnsi" w:cstheme="minorHAnsi"/>
          <w:color w:val="000000"/>
        </w:rPr>
        <w:t xml:space="preserve"> successful in that tender process to be allowed to deliver the two training courses in addition to </w:t>
      </w:r>
      <w:r w:rsidR="00E43142">
        <w:rPr>
          <w:rFonts w:asciiTheme="minorHAnsi" w:hAnsiTheme="minorHAnsi" w:cstheme="minorHAnsi"/>
          <w:color w:val="000000"/>
        </w:rPr>
        <w:t>S</w:t>
      </w:r>
      <w:r w:rsidRPr="00224CBA">
        <w:rPr>
          <w:rFonts w:asciiTheme="minorHAnsi" w:hAnsiTheme="minorHAnsi" w:cstheme="minorHAnsi"/>
          <w:color w:val="000000"/>
        </w:rPr>
        <w:t xml:space="preserve">tandard </w:t>
      </w:r>
      <w:r w:rsidR="00E43142">
        <w:rPr>
          <w:rFonts w:asciiTheme="minorHAnsi" w:hAnsiTheme="minorHAnsi" w:cstheme="minorHAnsi"/>
          <w:color w:val="000000"/>
        </w:rPr>
        <w:t>T</w:t>
      </w:r>
      <w:r w:rsidRPr="00224CBA">
        <w:rPr>
          <w:rFonts w:asciiTheme="minorHAnsi" w:hAnsiTheme="minorHAnsi" w:cstheme="minorHAnsi"/>
          <w:color w:val="000000"/>
        </w:rPr>
        <w:t xml:space="preserve">raining. </w:t>
      </w:r>
    </w:p>
    <w:p w14:paraId="59C0A617" w14:textId="77777777" w:rsidR="007071B8" w:rsidRDefault="007071B8">
      <w:pPr>
        <w:spacing w:after="60"/>
        <w:rPr>
          <w:rFonts w:asciiTheme="minorHAnsi" w:hAnsiTheme="minorHAnsi" w:cstheme="minorHAnsi"/>
          <w:color w:val="000000"/>
        </w:rPr>
      </w:pPr>
    </w:p>
    <w:p w14:paraId="59C0A618" w14:textId="77777777" w:rsidR="007071B8" w:rsidRDefault="00D24B73" w:rsidP="009A4A3E">
      <w:pPr>
        <w:pStyle w:val="ListParagraph"/>
        <w:numPr>
          <w:ilvl w:val="0"/>
          <w:numId w:val="11"/>
        </w:numPr>
        <w:rPr>
          <w:rFonts w:asciiTheme="minorHAnsi" w:hAnsiTheme="minorHAnsi" w:cstheme="minorHAnsi"/>
        </w:rPr>
      </w:pPr>
      <w:r w:rsidRPr="00D24B73">
        <w:rPr>
          <w:rFonts w:asciiTheme="minorHAnsi" w:hAnsiTheme="minorHAnsi" w:cstheme="minorHAnsi"/>
        </w:rPr>
        <w:t xml:space="preserve">CT focuses on disadvantaged groups and runs parallel to Standard Training available at all levels and streams.  </w:t>
      </w:r>
    </w:p>
    <w:p w14:paraId="59C0A619" w14:textId="77777777" w:rsidR="007071B8" w:rsidRDefault="00D24B73" w:rsidP="009A4A3E">
      <w:pPr>
        <w:pStyle w:val="ListParagraph"/>
        <w:numPr>
          <w:ilvl w:val="0"/>
          <w:numId w:val="11"/>
        </w:numPr>
        <w:rPr>
          <w:rFonts w:asciiTheme="minorHAnsi" w:hAnsiTheme="minorHAnsi" w:cstheme="minorHAnsi"/>
        </w:rPr>
      </w:pPr>
      <w:r w:rsidRPr="00D24B73">
        <w:rPr>
          <w:rFonts w:asciiTheme="minorHAnsi" w:hAnsiTheme="minorHAnsi" w:cstheme="minorHAnsi"/>
        </w:rPr>
        <w:t xml:space="preserve">AVOC, offered to advanced level Language and Literacy/Numeracy clients only, contains the potential for work experience and has an industry focus. </w:t>
      </w:r>
    </w:p>
    <w:p w14:paraId="59C0A61A" w14:textId="77777777" w:rsidR="00C87F69" w:rsidRPr="00224CBA" w:rsidRDefault="00C87F69" w:rsidP="00C87F69">
      <w:pPr>
        <w:rPr>
          <w:rFonts w:asciiTheme="minorHAnsi" w:hAnsiTheme="minorHAnsi" w:cstheme="minorHAnsi"/>
          <w:color w:val="000000"/>
        </w:rPr>
      </w:pPr>
    </w:p>
    <w:p w14:paraId="59C0A61B" w14:textId="77777777" w:rsidR="00E41A3A" w:rsidRDefault="00E41A3A" w:rsidP="00E41A3A">
      <w:pPr>
        <w:rPr>
          <w:rFonts w:asciiTheme="minorHAnsi" w:hAnsiTheme="minorHAnsi" w:cstheme="minorHAnsi"/>
          <w:color w:val="000000"/>
        </w:rPr>
      </w:pPr>
      <w:r>
        <w:rPr>
          <w:rFonts w:asciiTheme="minorHAnsi" w:hAnsiTheme="minorHAnsi" w:cstheme="minorHAnsi"/>
          <w:color w:val="000000"/>
        </w:rPr>
        <w:t xml:space="preserve">Prior to </w:t>
      </w:r>
      <w:r w:rsidRPr="00224CBA">
        <w:rPr>
          <w:rFonts w:asciiTheme="minorHAnsi" w:hAnsiTheme="minorHAnsi" w:cstheme="minorHAnsi"/>
          <w:color w:val="000000"/>
        </w:rPr>
        <w:t xml:space="preserve">the current contracts, </w:t>
      </w:r>
      <w:r>
        <w:rPr>
          <w:rFonts w:asciiTheme="minorHAnsi" w:hAnsiTheme="minorHAnsi" w:cstheme="minorHAnsi"/>
          <w:color w:val="000000"/>
        </w:rPr>
        <w:t>LLNP providers</w:t>
      </w:r>
      <w:r w:rsidRPr="00224CBA">
        <w:rPr>
          <w:rFonts w:asciiTheme="minorHAnsi" w:hAnsiTheme="minorHAnsi" w:cstheme="minorHAnsi"/>
          <w:color w:val="000000"/>
        </w:rPr>
        <w:t xml:space="preserve"> were required to tender for the delivery of CT and AVOC</w:t>
      </w:r>
      <w:r w:rsidR="009F7FC2">
        <w:rPr>
          <w:rFonts w:asciiTheme="minorHAnsi" w:hAnsiTheme="minorHAnsi" w:cstheme="minorHAnsi"/>
          <w:color w:val="000000"/>
        </w:rPr>
        <w:t xml:space="preserve"> </w:t>
      </w:r>
      <w:r w:rsidR="00DF58D3">
        <w:rPr>
          <w:rFonts w:asciiTheme="minorHAnsi" w:hAnsiTheme="minorHAnsi" w:cstheme="minorHAnsi"/>
          <w:color w:val="000000"/>
        </w:rPr>
        <w:t>separately</w:t>
      </w:r>
      <w:r w:rsidR="002E349F">
        <w:rPr>
          <w:rFonts w:asciiTheme="minorHAnsi" w:hAnsiTheme="minorHAnsi" w:cstheme="minorHAnsi"/>
          <w:color w:val="000000"/>
        </w:rPr>
        <w:t xml:space="preserve">.  </w:t>
      </w:r>
      <w:r>
        <w:rPr>
          <w:rFonts w:asciiTheme="minorHAnsi" w:hAnsiTheme="minorHAnsi" w:cstheme="minorHAnsi"/>
          <w:color w:val="000000"/>
        </w:rPr>
        <w:t>LLNP providers</w:t>
      </w:r>
      <w:r w:rsidRPr="00224CBA">
        <w:rPr>
          <w:rFonts w:asciiTheme="minorHAnsi" w:hAnsiTheme="minorHAnsi" w:cstheme="minorHAnsi"/>
          <w:color w:val="000000"/>
        </w:rPr>
        <w:t xml:space="preserve"> who did not tender for </w:t>
      </w:r>
      <w:r>
        <w:rPr>
          <w:rFonts w:asciiTheme="minorHAnsi" w:hAnsiTheme="minorHAnsi" w:cstheme="minorHAnsi"/>
          <w:color w:val="000000"/>
        </w:rPr>
        <w:t>these courses were</w:t>
      </w:r>
      <w:r w:rsidRPr="00224CBA">
        <w:rPr>
          <w:rFonts w:asciiTheme="minorHAnsi" w:hAnsiTheme="minorHAnsi" w:cstheme="minorHAnsi"/>
          <w:color w:val="000000"/>
        </w:rPr>
        <w:t xml:space="preserve"> unable to offer the</w:t>
      </w:r>
      <w:r>
        <w:rPr>
          <w:rFonts w:asciiTheme="minorHAnsi" w:hAnsiTheme="minorHAnsi" w:cstheme="minorHAnsi"/>
          <w:color w:val="000000"/>
        </w:rPr>
        <w:t xml:space="preserve">m </w:t>
      </w:r>
      <w:r w:rsidRPr="00224CBA">
        <w:rPr>
          <w:rFonts w:asciiTheme="minorHAnsi" w:hAnsiTheme="minorHAnsi" w:cstheme="minorHAnsi"/>
          <w:color w:val="000000"/>
        </w:rPr>
        <w:t>throu</w:t>
      </w:r>
      <w:r>
        <w:rPr>
          <w:rFonts w:asciiTheme="minorHAnsi" w:hAnsiTheme="minorHAnsi" w:cstheme="minorHAnsi"/>
          <w:color w:val="000000"/>
        </w:rPr>
        <w:t xml:space="preserve">ghout the life of the contract, </w:t>
      </w:r>
      <w:r w:rsidR="009F7FC2">
        <w:rPr>
          <w:rFonts w:asciiTheme="minorHAnsi" w:hAnsiTheme="minorHAnsi" w:cstheme="minorHAnsi"/>
          <w:color w:val="000000"/>
        </w:rPr>
        <w:t xml:space="preserve">and </w:t>
      </w:r>
      <w:r w:rsidR="00E43142">
        <w:rPr>
          <w:rFonts w:asciiTheme="minorHAnsi" w:hAnsiTheme="minorHAnsi" w:cstheme="minorHAnsi"/>
          <w:color w:val="000000"/>
        </w:rPr>
        <w:t xml:space="preserve">were </w:t>
      </w:r>
      <w:r>
        <w:rPr>
          <w:rFonts w:asciiTheme="minorHAnsi" w:hAnsiTheme="minorHAnsi" w:cstheme="minorHAnsi"/>
          <w:color w:val="000000"/>
        </w:rPr>
        <w:t xml:space="preserve">therefore limited to delivering </w:t>
      </w:r>
      <w:r w:rsidR="00E43142">
        <w:rPr>
          <w:rFonts w:asciiTheme="minorHAnsi" w:hAnsiTheme="minorHAnsi" w:cstheme="minorHAnsi"/>
          <w:color w:val="000000"/>
        </w:rPr>
        <w:t>S</w:t>
      </w:r>
      <w:r>
        <w:rPr>
          <w:rFonts w:asciiTheme="minorHAnsi" w:hAnsiTheme="minorHAnsi" w:cstheme="minorHAnsi"/>
          <w:color w:val="000000"/>
        </w:rPr>
        <w:t xml:space="preserve">tandard </w:t>
      </w:r>
      <w:r w:rsidR="00E43142">
        <w:rPr>
          <w:rFonts w:asciiTheme="minorHAnsi" w:hAnsiTheme="minorHAnsi" w:cstheme="minorHAnsi"/>
          <w:color w:val="000000"/>
        </w:rPr>
        <w:t>T</w:t>
      </w:r>
      <w:r>
        <w:rPr>
          <w:rFonts w:asciiTheme="minorHAnsi" w:hAnsiTheme="minorHAnsi" w:cstheme="minorHAnsi"/>
          <w:color w:val="000000"/>
        </w:rPr>
        <w:t>raining only.</w:t>
      </w:r>
    </w:p>
    <w:p w14:paraId="59C0A61C" w14:textId="77777777" w:rsidR="00E41A3A" w:rsidRPr="00224CBA" w:rsidRDefault="00E41A3A" w:rsidP="00E41A3A">
      <w:pPr>
        <w:rPr>
          <w:rFonts w:asciiTheme="minorHAnsi" w:hAnsiTheme="minorHAnsi" w:cstheme="minorHAnsi"/>
          <w:color w:val="000000"/>
        </w:rPr>
      </w:pPr>
    </w:p>
    <w:p w14:paraId="59C0A61D" w14:textId="77777777" w:rsidR="00434213" w:rsidRDefault="00A1611D" w:rsidP="00A1611D">
      <w:pPr>
        <w:rPr>
          <w:rFonts w:asciiTheme="minorHAnsi" w:hAnsiTheme="minorHAnsi" w:cstheme="minorHAnsi"/>
          <w:color w:val="000000"/>
        </w:rPr>
      </w:pPr>
      <w:r>
        <w:rPr>
          <w:rFonts w:asciiTheme="minorHAnsi" w:hAnsiTheme="minorHAnsi" w:cstheme="minorHAnsi"/>
          <w:color w:val="000000"/>
        </w:rPr>
        <w:t xml:space="preserve">As all LLNP courses can now include work experience, and each one </w:t>
      </w:r>
      <w:r w:rsidR="009F7FC2">
        <w:rPr>
          <w:rFonts w:asciiTheme="minorHAnsi" w:hAnsiTheme="minorHAnsi" w:cstheme="minorHAnsi"/>
          <w:color w:val="000000"/>
        </w:rPr>
        <w:t>should be</w:t>
      </w:r>
      <w:r w:rsidR="009F7FC2" w:rsidRPr="00224CBA">
        <w:rPr>
          <w:rFonts w:asciiTheme="minorHAnsi" w:hAnsiTheme="minorHAnsi" w:cstheme="minorHAnsi"/>
          <w:color w:val="000000"/>
        </w:rPr>
        <w:t xml:space="preserve"> </w:t>
      </w:r>
      <w:r w:rsidRPr="00224CBA">
        <w:rPr>
          <w:rFonts w:asciiTheme="minorHAnsi" w:hAnsiTheme="minorHAnsi" w:cstheme="minorHAnsi"/>
          <w:color w:val="000000"/>
        </w:rPr>
        <w:t>contextualised to meet client and industry needs</w:t>
      </w:r>
      <w:r>
        <w:rPr>
          <w:rFonts w:asciiTheme="minorHAnsi" w:hAnsiTheme="minorHAnsi" w:cstheme="minorHAnsi"/>
          <w:color w:val="000000"/>
        </w:rPr>
        <w:t xml:space="preserve">, these additional courses </w:t>
      </w:r>
      <w:r w:rsidR="00E627A2">
        <w:rPr>
          <w:rFonts w:asciiTheme="minorHAnsi" w:hAnsiTheme="minorHAnsi" w:cstheme="minorHAnsi"/>
          <w:color w:val="000000"/>
        </w:rPr>
        <w:t xml:space="preserve">may be </w:t>
      </w:r>
      <w:r>
        <w:rPr>
          <w:rFonts w:asciiTheme="minorHAnsi" w:hAnsiTheme="minorHAnsi" w:cstheme="minorHAnsi"/>
          <w:color w:val="000000"/>
        </w:rPr>
        <w:t>redundant</w:t>
      </w:r>
      <w:r w:rsidR="002E349F">
        <w:rPr>
          <w:rFonts w:asciiTheme="minorHAnsi" w:hAnsiTheme="minorHAnsi" w:cstheme="minorHAnsi"/>
          <w:color w:val="000000"/>
        </w:rPr>
        <w:t xml:space="preserve">.  </w:t>
      </w:r>
      <w:r>
        <w:rPr>
          <w:rFonts w:asciiTheme="minorHAnsi" w:hAnsiTheme="minorHAnsi" w:cstheme="minorHAnsi"/>
          <w:color w:val="000000"/>
        </w:rPr>
        <w:t>R</w:t>
      </w:r>
      <w:r w:rsidRPr="00224CBA">
        <w:rPr>
          <w:rFonts w:asciiTheme="minorHAnsi" w:hAnsiTheme="minorHAnsi" w:cstheme="minorHAnsi"/>
          <w:color w:val="000000"/>
        </w:rPr>
        <w:t>emov</w:t>
      </w:r>
      <w:r>
        <w:rPr>
          <w:rFonts w:asciiTheme="minorHAnsi" w:hAnsiTheme="minorHAnsi" w:cstheme="minorHAnsi"/>
          <w:color w:val="000000"/>
        </w:rPr>
        <w:t>ing</w:t>
      </w:r>
      <w:r w:rsidRPr="00224CBA">
        <w:rPr>
          <w:rFonts w:asciiTheme="minorHAnsi" w:hAnsiTheme="minorHAnsi" w:cstheme="minorHAnsi"/>
          <w:color w:val="000000"/>
        </w:rPr>
        <w:t xml:space="preserve"> </w:t>
      </w:r>
      <w:r>
        <w:rPr>
          <w:rFonts w:asciiTheme="minorHAnsi" w:hAnsiTheme="minorHAnsi" w:cstheme="minorHAnsi"/>
          <w:color w:val="000000"/>
        </w:rPr>
        <w:t>CT and AVOC</w:t>
      </w:r>
      <w:r w:rsidRPr="00224CBA">
        <w:rPr>
          <w:rFonts w:asciiTheme="minorHAnsi" w:hAnsiTheme="minorHAnsi" w:cstheme="minorHAnsi"/>
          <w:color w:val="000000"/>
        </w:rPr>
        <w:t xml:space="preserve"> will reduce administrative requirements for both the </w:t>
      </w:r>
      <w:r w:rsidR="0013131C">
        <w:rPr>
          <w:rFonts w:asciiTheme="minorHAnsi" w:hAnsiTheme="minorHAnsi" w:cstheme="minorHAnsi"/>
          <w:color w:val="000000"/>
        </w:rPr>
        <w:t>Government</w:t>
      </w:r>
      <w:r w:rsidRPr="00224CBA">
        <w:rPr>
          <w:rFonts w:asciiTheme="minorHAnsi" w:hAnsiTheme="minorHAnsi" w:cstheme="minorHAnsi"/>
          <w:color w:val="000000"/>
        </w:rPr>
        <w:t xml:space="preserve"> and for providers</w:t>
      </w:r>
      <w:r w:rsidR="00E627A2">
        <w:rPr>
          <w:rFonts w:asciiTheme="minorHAnsi" w:hAnsiTheme="minorHAnsi" w:cstheme="minorHAnsi"/>
          <w:color w:val="000000"/>
        </w:rPr>
        <w:t>.</w:t>
      </w:r>
      <w:r w:rsidRPr="00224CBA">
        <w:rPr>
          <w:rFonts w:asciiTheme="minorHAnsi" w:hAnsiTheme="minorHAnsi" w:cstheme="minorHAnsi"/>
          <w:color w:val="000000"/>
        </w:rPr>
        <w:t xml:space="preserve"> </w:t>
      </w:r>
    </w:p>
    <w:p w14:paraId="59C0A61E" w14:textId="77777777" w:rsidR="00B63A48" w:rsidRDefault="00B63A48" w:rsidP="00EB6401">
      <w:pPr>
        <w:pStyle w:val="ListParagraph"/>
        <w:spacing w:after="60"/>
        <w:ind w:left="0"/>
        <w:rPr>
          <w:b/>
        </w:rPr>
      </w:pPr>
    </w:p>
    <w:p w14:paraId="59C0A61F" w14:textId="77777777" w:rsidR="00EB6401" w:rsidRPr="00FB536C" w:rsidRDefault="00EB6401" w:rsidP="00EB6401">
      <w:pPr>
        <w:pStyle w:val="ListParagraph"/>
        <w:spacing w:after="60"/>
        <w:ind w:left="0"/>
        <w:rPr>
          <w:b/>
        </w:rPr>
      </w:pPr>
      <w:r w:rsidRPr="00FB536C">
        <w:rPr>
          <w:b/>
        </w:rPr>
        <w:t>For consideration in your response:</w:t>
      </w:r>
    </w:p>
    <w:p w14:paraId="59C0A620" w14:textId="77777777" w:rsidR="007071B8" w:rsidRPr="00FF4F4A" w:rsidRDefault="00EB6401" w:rsidP="009A4A3E">
      <w:pPr>
        <w:pStyle w:val="ListParagraph"/>
        <w:numPr>
          <w:ilvl w:val="0"/>
          <w:numId w:val="18"/>
        </w:numPr>
        <w:ind w:left="709" w:hanging="709"/>
        <w:rPr>
          <w:i/>
          <w:sz w:val="20"/>
          <w:szCs w:val="20"/>
        </w:rPr>
      </w:pPr>
      <w:r w:rsidRPr="00FF4F4A">
        <w:rPr>
          <w:i/>
          <w:sz w:val="20"/>
          <w:szCs w:val="20"/>
        </w:rPr>
        <w:t>What impact do you think the removal of specific CT and AVOC will have on the outcomes to the program and quality of service delivery?</w:t>
      </w:r>
    </w:p>
    <w:p w14:paraId="59C0A621" w14:textId="77777777" w:rsidR="007071B8" w:rsidRPr="00FF4F4A" w:rsidRDefault="005534A6" w:rsidP="009A4A3E">
      <w:pPr>
        <w:pStyle w:val="ListParagraph"/>
        <w:numPr>
          <w:ilvl w:val="0"/>
          <w:numId w:val="18"/>
        </w:numPr>
        <w:ind w:left="709" w:hanging="709"/>
        <w:rPr>
          <w:i/>
          <w:sz w:val="20"/>
          <w:szCs w:val="20"/>
        </w:rPr>
      </w:pPr>
      <w:r w:rsidRPr="005534A6">
        <w:rPr>
          <w:i/>
          <w:sz w:val="20"/>
          <w:szCs w:val="20"/>
        </w:rPr>
        <w:t>Are there any other issues relating to CT and/or AVOC the Government should take into consideration?</w:t>
      </w:r>
    </w:p>
    <w:p w14:paraId="59C0A622" w14:textId="77777777" w:rsidR="005914F0" w:rsidRDefault="00B1392D" w:rsidP="00A1611D">
      <w:pPr>
        <w:rPr>
          <w:rFonts w:asciiTheme="minorHAnsi" w:hAnsiTheme="minorHAnsi" w:cstheme="minorHAnsi"/>
          <w:color w:val="000000"/>
        </w:rPr>
      </w:pPr>
      <w:r>
        <w:rPr>
          <w:rFonts w:asciiTheme="minorHAnsi" w:hAnsiTheme="minorHAnsi" w:cstheme="minorHAnsi"/>
          <w:color w:val="000000"/>
        </w:rPr>
        <w:br w:type="page"/>
      </w:r>
    </w:p>
    <w:p w14:paraId="59C0A623" w14:textId="77777777" w:rsidR="007071B8" w:rsidRDefault="00D24B73" w:rsidP="003A64D3">
      <w:pPr>
        <w:pStyle w:val="Heading3"/>
      </w:pPr>
      <w:bookmarkStart w:id="12" w:name="_Toc330460463"/>
      <w:r w:rsidRPr="00D24B73">
        <w:lastRenderedPageBreak/>
        <w:t>3.3 Work Experience</w:t>
      </w:r>
      <w:bookmarkEnd w:id="12"/>
      <w:r w:rsidRPr="00D24B73">
        <w:tab/>
      </w:r>
    </w:p>
    <w:p w14:paraId="59C0A624" w14:textId="77777777" w:rsidR="0058632D" w:rsidRDefault="00553208" w:rsidP="00553208">
      <w:r>
        <w:t xml:space="preserve">Work experience and observation are essential components in LLNP as they provide clients </w:t>
      </w:r>
      <w:r w:rsidR="00FD2FCD">
        <w:t xml:space="preserve">with </w:t>
      </w:r>
      <w:r>
        <w:t>an opportunity to consolidate their learning and gain practical experience in a workplace environment</w:t>
      </w:r>
      <w:r w:rsidR="00613B29">
        <w:t xml:space="preserve">.  </w:t>
      </w:r>
      <w:r w:rsidR="00443FD9">
        <w:t>Work experience is also a key</w:t>
      </w:r>
      <w:r w:rsidR="00D27987">
        <w:t xml:space="preserve"> </w:t>
      </w:r>
      <w:r>
        <w:t xml:space="preserve">part of the </w:t>
      </w:r>
      <w:r w:rsidR="00292B3D">
        <w:t>BAFW</w:t>
      </w:r>
      <w:r w:rsidR="00FD2FCD">
        <w:t xml:space="preserve"> </w:t>
      </w:r>
      <w:r>
        <w:t>package announced in the 2011 Budget</w:t>
      </w:r>
      <w:r w:rsidR="00613B29">
        <w:t xml:space="preserve">.  </w:t>
      </w:r>
    </w:p>
    <w:p w14:paraId="59C0A625" w14:textId="77777777" w:rsidR="00DD31BC" w:rsidRDefault="00DD31BC" w:rsidP="00553208"/>
    <w:p w14:paraId="59C0A626" w14:textId="77777777" w:rsidR="00F03625" w:rsidRDefault="00F03625" w:rsidP="00553208">
      <w:r>
        <w:t>The current process for arranging</w:t>
      </w:r>
      <w:r w:rsidR="002C666D">
        <w:t xml:space="preserve"> and </w:t>
      </w:r>
      <w:r w:rsidR="008605E0">
        <w:t>managing</w:t>
      </w:r>
      <w:r>
        <w:t xml:space="preserve"> an LLNP work experience and observation</w:t>
      </w:r>
      <w:r w:rsidR="00CE596B">
        <w:t xml:space="preserve"> placement</w:t>
      </w:r>
      <w:r>
        <w:t xml:space="preserve"> involves:</w:t>
      </w:r>
    </w:p>
    <w:p w14:paraId="59C0A627" w14:textId="77777777" w:rsidR="00035E9C" w:rsidRDefault="00035E9C" w:rsidP="00553208"/>
    <w:p w14:paraId="59C0A628" w14:textId="77777777" w:rsidR="00797A1C" w:rsidRDefault="000B2B27" w:rsidP="009A4A3E">
      <w:pPr>
        <w:pStyle w:val="ListParagraph"/>
        <w:numPr>
          <w:ilvl w:val="0"/>
          <w:numId w:val="10"/>
        </w:numPr>
      </w:pPr>
      <w:r>
        <w:t xml:space="preserve">The </w:t>
      </w:r>
      <w:r w:rsidR="00797A1C">
        <w:t>LLNP provider s</w:t>
      </w:r>
      <w:r w:rsidR="00F03625">
        <w:t>eek</w:t>
      </w:r>
      <w:r>
        <w:t xml:space="preserve">ing prior approval from the </w:t>
      </w:r>
      <w:r w:rsidR="00035E9C">
        <w:t>D</w:t>
      </w:r>
      <w:r w:rsidR="00F03625">
        <w:t xml:space="preserve">epartment </w:t>
      </w:r>
      <w:r w:rsidR="00797A1C">
        <w:t>for</w:t>
      </w:r>
      <w:r w:rsidR="00F03625">
        <w:t xml:space="preserve"> each placement</w:t>
      </w:r>
      <w:r w:rsidR="00A05B6C">
        <w:t>;</w:t>
      </w:r>
      <w:r w:rsidR="002B4CDD">
        <w:t xml:space="preserve"> </w:t>
      </w:r>
    </w:p>
    <w:p w14:paraId="59C0A629" w14:textId="77777777" w:rsidR="000B2B27" w:rsidRDefault="00D33C34" w:rsidP="009A4A3E">
      <w:pPr>
        <w:pStyle w:val="ListParagraph"/>
        <w:numPr>
          <w:ilvl w:val="0"/>
          <w:numId w:val="10"/>
        </w:numPr>
      </w:pPr>
      <w:r>
        <w:t xml:space="preserve">The LLNP provider documenting the </w:t>
      </w:r>
      <w:r w:rsidR="002B4CDD">
        <w:t xml:space="preserve">learning objectives </w:t>
      </w:r>
      <w:r w:rsidR="00797A1C">
        <w:t>and how they</w:t>
      </w:r>
      <w:r w:rsidR="002B4CDD">
        <w:t xml:space="preserve"> contribute to </w:t>
      </w:r>
      <w:r w:rsidR="00035E9C">
        <w:t xml:space="preserve">the Australian Core Skills Framework (ACSF) </w:t>
      </w:r>
      <w:r w:rsidR="002B4CDD">
        <w:t xml:space="preserve">indicators outlined in the client’s </w:t>
      </w:r>
      <w:r w:rsidR="00797A1C">
        <w:t>I</w:t>
      </w:r>
      <w:r w:rsidR="002B4CDD">
        <w:t>TP</w:t>
      </w:r>
      <w:r w:rsidR="00035E9C">
        <w:t>;</w:t>
      </w:r>
    </w:p>
    <w:p w14:paraId="59C0A62A" w14:textId="77777777" w:rsidR="001A1E4D" w:rsidRDefault="00797A1C" w:rsidP="009A4A3E">
      <w:pPr>
        <w:pStyle w:val="ListParagraph"/>
        <w:numPr>
          <w:ilvl w:val="0"/>
          <w:numId w:val="10"/>
        </w:numPr>
      </w:pPr>
      <w:r>
        <w:t xml:space="preserve">A </w:t>
      </w:r>
      <w:r w:rsidR="00F847F0">
        <w:t>formal agreement</w:t>
      </w:r>
      <w:r w:rsidR="009D40F6">
        <w:t xml:space="preserve"> (</w:t>
      </w:r>
      <w:r w:rsidR="00035E9C">
        <w:t>i.e.</w:t>
      </w:r>
      <w:r w:rsidR="009D40F6">
        <w:t xml:space="preserve"> contract)</w:t>
      </w:r>
      <w:r w:rsidR="00F847F0">
        <w:t xml:space="preserve"> </w:t>
      </w:r>
      <w:r w:rsidR="00035E9C">
        <w:t>being</w:t>
      </w:r>
      <w:r>
        <w:t xml:space="preserve"> developed </w:t>
      </w:r>
      <w:r w:rsidR="00F847F0">
        <w:t xml:space="preserve">between </w:t>
      </w:r>
      <w:r>
        <w:t xml:space="preserve">LLNP providers and </w:t>
      </w:r>
      <w:r w:rsidR="00F847F0">
        <w:t>host</w:t>
      </w:r>
      <w:r>
        <w:t xml:space="preserve"> employers</w:t>
      </w:r>
      <w:r w:rsidR="00A05B6C">
        <w:t>; and</w:t>
      </w:r>
      <w:r w:rsidR="00F847F0">
        <w:t xml:space="preserve"> </w:t>
      </w:r>
    </w:p>
    <w:p w14:paraId="59C0A62B" w14:textId="77777777" w:rsidR="00A05B6C" w:rsidRDefault="008605E0" w:rsidP="009A4A3E">
      <w:pPr>
        <w:numPr>
          <w:ilvl w:val="0"/>
          <w:numId w:val="10"/>
        </w:numPr>
      </w:pPr>
      <w:r w:rsidRPr="00C33C01">
        <w:t xml:space="preserve">Bi-weekly on-site monitoring visits </w:t>
      </w:r>
      <w:r>
        <w:t>of work experience clients</w:t>
      </w:r>
      <w:r w:rsidR="00AC4E5F">
        <w:t>.</w:t>
      </w:r>
      <w:r w:rsidR="009D40F6">
        <w:t xml:space="preserve"> </w:t>
      </w:r>
    </w:p>
    <w:p w14:paraId="59C0A62C" w14:textId="77777777" w:rsidR="00A05B6C" w:rsidRDefault="00A05B6C" w:rsidP="00A05B6C"/>
    <w:p w14:paraId="59C0A62D" w14:textId="77777777" w:rsidR="00553208" w:rsidRDefault="00EC0594" w:rsidP="00553208">
      <w:r>
        <w:t>The Government recognises the complexity and time take</w:t>
      </w:r>
      <w:r w:rsidR="00A05B6C">
        <w:t>n</w:t>
      </w:r>
      <w:r>
        <w:t xml:space="preserve"> to arrange work experience for </w:t>
      </w:r>
      <w:r w:rsidR="00A05B6C">
        <w:t>LLNP participants</w:t>
      </w:r>
      <w:r w:rsidR="002E349F">
        <w:t xml:space="preserve">.  </w:t>
      </w:r>
      <w:r w:rsidR="00A05B6C">
        <w:t>F</w:t>
      </w:r>
      <w:r>
        <w:t xml:space="preserve">eedback </w:t>
      </w:r>
      <w:r w:rsidR="00A05B6C">
        <w:t xml:space="preserve">from providers and Department </w:t>
      </w:r>
      <w:r w:rsidR="00084013">
        <w:t>C</w:t>
      </w:r>
      <w:r w:rsidR="00A05B6C">
        <w:t xml:space="preserve">ontract </w:t>
      </w:r>
      <w:r w:rsidR="00084013">
        <w:t>M</w:t>
      </w:r>
      <w:r w:rsidR="00A05B6C">
        <w:t xml:space="preserve">anagers </w:t>
      </w:r>
      <w:r>
        <w:t>indicate</w:t>
      </w:r>
      <w:r w:rsidR="00A05B6C">
        <w:t xml:space="preserve">s </w:t>
      </w:r>
      <w:r>
        <w:t xml:space="preserve">that some administrative changes </w:t>
      </w:r>
      <w:r w:rsidR="0058632D">
        <w:t>would help</w:t>
      </w:r>
      <w:r>
        <w:t xml:space="preserve"> to make work experience and observation a</w:t>
      </w:r>
      <w:r w:rsidR="0058632D">
        <w:t xml:space="preserve"> more</w:t>
      </w:r>
      <w:r>
        <w:t xml:space="preserve"> viable and accessible component </w:t>
      </w:r>
      <w:r w:rsidR="009F7FC2">
        <w:t xml:space="preserve">of </w:t>
      </w:r>
      <w:r>
        <w:t xml:space="preserve">LLNP </w:t>
      </w:r>
      <w:r w:rsidR="009F7FC2">
        <w:t>training</w:t>
      </w:r>
      <w:r w:rsidR="002E349F">
        <w:t xml:space="preserve">.  </w:t>
      </w:r>
      <w:r w:rsidR="003749B6">
        <w:t>Possible changes</w:t>
      </w:r>
      <w:r w:rsidR="00553208">
        <w:t xml:space="preserve"> to assist provider</w:t>
      </w:r>
      <w:r w:rsidR="00443FD9">
        <w:t>s</w:t>
      </w:r>
      <w:r w:rsidR="00553208">
        <w:t xml:space="preserve"> in the preparation and management of work experience activities</w:t>
      </w:r>
      <w:r w:rsidR="000C4FC0">
        <w:t xml:space="preserve"> </w:t>
      </w:r>
      <w:r w:rsidR="003749B6">
        <w:t>include</w:t>
      </w:r>
      <w:r w:rsidR="000C4FC0">
        <w:t>:</w:t>
      </w:r>
    </w:p>
    <w:p w14:paraId="59C0A62E" w14:textId="77777777" w:rsidR="00035E9C" w:rsidRDefault="00035E9C" w:rsidP="00553208"/>
    <w:p w14:paraId="59C0A62F" w14:textId="77777777" w:rsidR="0080168E" w:rsidRPr="007D7D96" w:rsidRDefault="00A32C4B" w:rsidP="009A4A3E">
      <w:pPr>
        <w:numPr>
          <w:ilvl w:val="0"/>
          <w:numId w:val="8"/>
        </w:numPr>
      </w:pPr>
      <w:r w:rsidRPr="00A32C4B">
        <w:t>Remov</w:t>
      </w:r>
      <w:r w:rsidR="000C4FC0">
        <w:t>ing</w:t>
      </w:r>
      <w:r w:rsidRPr="00A32C4B">
        <w:t xml:space="preserve"> </w:t>
      </w:r>
      <w:r w:rsidR="007D7D96">
        <w:t xml:space="preserve">the requirement for </w:t>
      </w:r>
      <w:r w:rsidRPr="00A32C4B">
        <w:t>departmental approval for work experience</w:t>
      </w:r>
      <w:r w:rsidR="008C0B18">
        <w:t xml:space="preserve">; </w:t>
      </w:r>
      <w:r w:rsidR="001125E0">
        <w:t xml:space="preserve"> </w:t>
      </w:r>
    </w:p>
    <w:p w14:paraId="59C0A630" w14:textId="77777777" w:rsidR="001F7AF0" w:rsidRPr="007D7D96" w:rsidRDefault="000C4FC0" w:rsidP="009A4A3E">
      <w:pPr>
        <w:numPr>
          <w:ilvl w:val="0"/>
          <w:numId w:val="8"/>
        </w:numPr>
      </w:pPr>
      <w:r>
        <w:t xml:space="preserve">Allowing the LLNP provider to </w:t>
      </w:r>
      <w:r w:rsidR="007D7D96">
        <w:t>claim work experience</w:t>
      </w:r>
      <w:r>
        <w:t xml:space="preserve"> hours</w:t>
      </w:r>
      <w:r w:rsidR="007D7D96">
        <w:t xml:space="preserve"> if the placement has been identified by another party (i.e. a referring agency</w:t>
      </w:r>
      <w:r>
        <w:t xml:space="preserve"> or the host organisation themselves</w:t>
      </w:r>
      <w:r w:rsidR="007D7D96">
        <w:t>)</w:t>
      </w:r>
      <w:r w:rsidR="008C0B18">
        <w:t>;</w:t>
      </w:r>
    </w:p>
    <w:p w14:paraId="59C0A631" w14:textId="77777777" w:rsidR="00BB3148" w:rsidRDefault="00FA2FE2" w:rsidP="009A4A3E">
      <w:pPr>
        <w:numPr>
          <w:ilvl w:val="0"/>
          <w:numId w:val="8"/>
        </w:numPr>
      </w:pPr>
      <w:r>
        <w:t>M</w:t>
      </w:r>
      <w:r w:rsidR="00A32C4B" w:rsidRPr="00A32C4B">
        <w:t xml:space="preserve">onitoring </w:t>
      </w:r>
      <w:r>
        <w:t>of work experience</w:t>
      </w:r>
      <w:r w:rsidR="00D33C34">
        <w:t xml:space="preserve"> by the provider</w:t>
      </w:r>
      <w:r>
        <w:t xml:space="preserve"> to be based on </w:t>
      </w:r>
      <w:r w:rsidR="003749B6">
        <w:t xml:space="preserve">a risk assessment undertaken by the Departmental </w:t>
      </w:r>
      <w:r>
        <w:t>Contract Manager</w:t>
      </w:r>
      <w:r w:rsidR="008C0B18">
        <w:t>; and</w:t>
      </w:r>
    </w:p>
    <w:p w14:paraId="59C0A632" w14:textId="77777777" w:rsidR="0074504E" w:rsidRDefault="009F497C" w:rsidP="009A4A3E">
      <w:pPr>
        <w:numPr>
          <w:ilvl w:val="0"/>
          <w:numId w:val="8"/>
        </w:numPr>
      </w:pPr>
      <w:r>
        <w:t>Clarifying LLNP providers’ obligations with regards to insurance liabilities and specifying an amount in the 2013-16 Contract.</w:t>
      </w:r>
    </w:p>
    <w:p w14:paraId="59C0A633" w14:textId="77777777" w:rsidR="003749B6" w:rsidRDefault="003749B6"/>
    <w:p w14:paraId="59C0A634" w14:textId="77777777" w:rsidR="007071B8" w:rsidRDefault="003749B6">
      <w:r>
        <w:t>LLNP providers would</w:t>
      </w:r>
      <w:r w:rsidR="00BB3148">
        <w:t xml:space="preserve"> continue to </w:t>
      </w:r>
      <w:r>
        <w:t xml:space="preserve">be required to </w:t>
      </w:r>
      <w:r w:rsidR="00BB3148">
        <w:t>clearly document and link learning outcomes to work experience placements</w:t>
      </w:r>
      <w:r>
        <w:t>. It</w:t>
      </w:r>
      <w:r w:rsidR="00BB3148">
        <w:t xml:space="preserve"> is proposed that the Independent Verifier (IV) review these claims as part of their independent verification activities. </w:t>
      </w:r>
    </w:p>
    <w:p w14:paraId="59C0A635" w14:textId="77777777" w:rsidR="001A1E4D" w:rsidRDefault="001A1E4D">
      <w:pPr>
        <w:ind w:left="360"/>
      </w:pPr>
    </w:p>
    <w:p w14:paraId="59C0A636" w14:textId="77777777" w:rsidR="00D80A36" w:rsidRPr="00FB536C" w:rsidRDefault="00D80A36" w:rsidP="00D80A36">
      <w:pPr>
        <w:pStyle w:val="ListParagraph"/>
        <w:spacing w:after="60"/>
        <w:ind w:left="0"/>
        <w:rPr>
          <w:b/>
        </w:rPr>
      </w:pPr>
      <w:r w:rsidRPr="00FB536C">
        <w:rPr>
          <w:b/>
        </w:rPr>
        <w:t>For consideration in your response:</w:t>
      </w:r>
    </w:p>
    <w:p w14:paraId="59C0A637" w14:textId="77777777" w:rsidR="007071B8" w:rsidRDefault="00D80A36" w:rsidP="009A4A3E">
      <w:pPr>
        <w:pStyle w:val="ListParagraph"/>
        <w:numPr>
          <w:ilvl w:val="0"/>
          <w:numId w:val="18"/>
        </w:numPr>
        <w:ind w:left="709" w:hanging="709"/>
        <w:rPr>
          <w:i/>
          <w:sz w:val="20"/>
          <w:szCs w:val="20"/>
        </w:rPr>
      </w:pPr>
      <w:r>
        <w:rPr>
          <w:i/>
          <w:sz w:val="20"/>
          <w:szCs w:val="20"/>
        </w:rPr>
        <w:t>What would you consider to be a balanced approach to monitor</w:t>
      </w:r>
      <w:r w:rsidR="00BE04CD">
        <w:rPr>
          <w:i/>
          <w:sz w:val="20"/>
          <w:szCs w:val="20"/>
        </w:rPr>
        <w:t>ing</w:t>
      </w:r>
      <w:r w:rsidR="005C75B6">
        <w:rPr>
          <w:i/>
          <w:sz w:val="20"/>
          <w:szCs w:val="20"/>
        </w:rPr>
        <w:t xml:space="preserve"> work experience placements</w:t>
      </w:r>
      <w:r>
        <w:rPr>
          <w:i/>
          <w:sz w:val="20"/>
          <w:szCs w:val="20"/>
        </w:rPr>
        <w:t>?</w:t>
      </w:r>
    </w:p>
    <w:p w14:paraId="59C0A638" w14:textId="77777777" w:rsidR="007071B8" w:rsidRDefault="007C45A9" w:rsidP="009A4A3E">
      <w:pPr>
        <w:pStyle w:val="ListParagraph"/>
        <w:numPr>
          <w:ilvl w:val="0"/>
          <w:numId w:val="18"/>
        </w:numPr>
        <w:ind w:left="709" w:hanging="709"/>
        <w:rPr>
          <w:i/>
          <w:sz w:val="20"/>
          <w:szCs w:val="20"/>
        </w:rPr>
      </w:pPr>
      <w:r>
        <w:rPr>
          <w:i/>
          <w:sz w:val="20"/>
          <w:szCs w:val="20"/>
        </w:rPr>
        <w:t>What would be the impact of removing the requirement for</w:t>
      </w:r>
      <w:r w:rsidR="00D80A36" w:rsidRPr="00A32C4B">
        <w:rPr>
          <w:i/>
          <w:sz w:val="20"/>
          <w:szCs w:val="20"/>
        </w:rPr>
        <w:t xml:space="preserve"> departmental approval for work experience and observation?</w:t>
      </w:r>
    </w:p>
    <w:p w14:paraId="59C0A639" w14:textId="77777777" w:rsidR="007071B8" w:rsidRDefault="00D80A36" w:rsidP="009A4A3E">
      <w:pPr>
        <w:pStyle w:val="ListParagraph"/>
        <w:numPr>
          <w:ilvl w:val="0"/>
          <w:numId w:val="18"/>
        </w:numPr>
        <w:ind w:left="709" w:hanging="709"/>
        <w:rPr>
          <w:i/>
          <w:sz w:val="20"/>
          <w:szCs w:val="20"/>
        </w:rPr>
      </w:pPr>
      <w:r w:rsidRPr="00D80A36">
        <w:rPr>
          <w:i/>
          <w:sz w:val="20"/>
          <w:szCs w:val="20"/>
        </w:rPr>
        <w:t xml:space="preserve">What would </w:t>
      </w:r>
      <w:r w:rsidR="007C45A9">
        <w:rPr>
          <w:i/>
          <w:sz w:val="20"/>
          <w:szCs w:val="20"/>
        </w:rPr>
        <w:t xml:space="preserve">assist </w:t>
      </w:r>
      <w:r w:rsidRPr="00D80A36">
        <w:rPr>
          <w:i/>
          <w:sz w:val="20"/>
          <w:szCs w:val="20"/>
        </w:rPr>
        <w:t>you to make work experience placements a part of your</w:t>
      </w:r>
      <w:r w:rsidR="00B930E0">
        <w:rPr>
          <w:i/>
          <w:sz w:val="20"/>
          <w:szCs w:val="20"/>
        </w:rPr>
        <w:t xml:space="preserve"> Standard </w:t>
      </w:r>
      <w:r w:rsidRPr="00D80A36">
        <w:rPr>
          <w:i/>
          <w:sz w:val="20"/>
          <w:szCs w:val="20"/>
        </w:rPr>
        <w:t>Training?</w:t>
      </w:r>
    </w:p>
    <w:p w14:paraId="59C0A63A" w14:textId="77777777" w:rsidR="007071B8" w:rsidRDefault="007071B8">
      <w:pPr>
        <w:pStyle w:val="ListParagraph"/>
        <w:ind w:left="426"/>
        <w:rPr>
          <w:i/>
        </w:rPr>
      </w:pPr>
    </w:p>
    <w:p w14:paraId="59C0A63B" w14:textId="77777777" w:rsidR="008E136C" w:rsidRPr="000D3B11" w:rsidRDefault="00D24B73" w:rsidP="003A64D3">
      <w:pPr>
        <w:pStyle w:val="Heading3"/>
      </w:pPr>
      <w:bookmarkStart w:id="13" w:name="_Toc330460464"/>
      <w:r w:rsidRPr="00D24B73">
        <w:t>3.4 Extended Period to Undertake a Pre-Training Assessment</w:t>
      </w:r>
      <w:bookmarkEnd w:id="13"/>
    </w:p>
    <w:p w14:paraId="59C0A63C" w14:textId="77777777" w:rsidR="00612241" w:rsidRDefault="00612241" w:rsidP="00612241">
      <w:r>
        <w:t>A P</w:t>
      </w:r>
      <w:r w:rsidR="005C75B6">
        <w:t>re-</w:t>
      </w:r>
      <w:r>
        <w:t>T</w:t>
      </w:r>
      <w:r w:rsidR="007C45A9">
        <w:t xml:space="preserve">raining </w:t>
      </w:r>
      <w:r>
        <w:t>A</w:t>
      </w:r>
      <w:r w:rsidR="007C45A9">
        <w:t>ssessment (PTA)</w:t>
      </w:r>
      <w:r>
        <w:t xml:space="preserve"> is an assessment that documents an individual’s competencies in LLN and assists in determining the stream of training appropriate to the</w:t>
      </w:r>
      <w:r w:rsidR="005C75B6">
        <w:t>ir</w:t>
      </w:r>
      <w:r>
        <w:t xml:space="preserve"> needs.  All LLNP assessments, including the PTA, are reported against the ACSF.</w:t>
      </w:r>
      <w:r w:rsidR="00BD0E22">
        <w:t xml:space="preserve"> The PTA also help</w:t>
      </w:r>
      <w:r w:rsidR="007C45A9">
        <w:t>s</w:t>
      </w:r>
      <w:r w:rsidR="00BD0E22">
        <w:t xml:space="preserve"> the provider determine if the client is suitable for training. </w:t>
      </w:r>
      <w:r w:rsidR="007C45A9">
        <w:t>Currently, all PTAs must be completed prior to the client commencing training.</w:t>
      </w:r>
    </w:p>
    <w:p w14:paraId="59C0A63D" w14:textId="77777777" w:rsidR="00612241" w:rsidRDefault="00612241" w:rsidP="00612241"/>
    <w:p w14:paraId="59C0A63E" w14:textId="77777777" w:rsidR="00612241" w:rsidRDefault="00612241" w:rsidP="00612241">
      <w:r>
        <w:lastRenderedPageBreak/>
        <w:t xml:space="preserve">For cohorts that have </w:t>
      </w:r>
      <w:r w:rsidR="0047217F">
        <w:t xml:space="preserve">had </w:t>
      </w:r>
      <w:r>
        <w:t xml:space="preserve">previous negative experiences in a formal learning environment such as school, a PTA can be a daunting introduction to the program. </w:t>
      </w:r>
      <w:r w:rsidRPr="0071026F">
        <w:t>The current length of time to undertake a one-off interview for a PTA can discourage s</w:t>
      </w:r>
      <w:r w:rsidR="005C75B6">
        <w:t xml:space="preserve">ome more vulnerable </w:t>
      </w:r>
      <w:r>
        <w:t>jo</w:t>
      </w:r>
      <w:r w:rsidR="007C45A9">
        <w:t>b seekers and this in turn can</w:t>
      </w:r>
      <w:r>
        <w:t xml:space="preserve"> affect the provider’s ability to engage and retain these clients in those first few weeks. </w:t>
      </w:r>
      <w:r w:rsidR="007C45A9">
        <w:t>An alternative approach would be to allow</w:t>
      </w:r>
      <w:r w:rsidRPr="0071026F">
        <w:t xml:space="preserve"> providers to undertake PTAs while the client is in training over a period of two weeks</w:t>
      </w:r>
      <w:r w:rsidR="009D7C46">
        <w:t>. This would allow</w:t>
      </w:r>
      <w:r w:rsidRPr="0071026F">
        <w:t xml:space="preserve"> clients </w:t>
      </w:r>
      <w:r w:rsidR="009D7C46">
        <w:t xml:space="preserve">to </w:t>
      </w:r>
      <w:r w:rsidRPr="0071026F">
        <w:t>be assessed without the</w:t>
      </w:r>
      <w:r>
        <w:t xml:space="preserve"> need for a</w:t>
      </w:r>
      <w:r w:rsidRPr="0071026F">
        <w:t xml:space="preserve"> formal interview process</w:t>
      </w:r>
      <w:r>
        <w:t xml:space="preserve">. This </w:t>
      </w:r>
      <w:r w:rsidR="009D7C46">
        <w:t>could better</w:t>
      </w:r>
      <w:r>
        <w:t xml:space="preserve"> ease the client into the LLNP class, thus increasing their chance of retention and achievement.  </w:t>
      </w:r>
      <w:r w:rsidRPr="0071026F">
        <w:t xml:space="preserve">   </w:t>
      </w:r>
    </w:p>
    <w:p w14:paraId="59C0A63F" w14:textId="77777777" w:rsidR="00D80A36" w:rsidRDefault="00D80A36" w:rsidP="00BF09A2"/>
    <w:p w14:paraId="59C0A640" w14:textId="77777777" w:rsidR="00D80A36" w:rsidRPr="00FB536C" w:rsidRDefault="00D80A36" w:rsidP="00D80A36">
      <w:pPr>
        <w:pStyle w:val="ListParagraph"/>
        <w:spacing w:after="60"/>
        <w:ind w:left="0"/>
        <w:rPr>
          <w:b/>
        </w:rPr>
      </w:pPr>
      <w:r w:rsidRPr="00FB536C">
        <w:rPr>
          <w:b/>
        </w:rPr>
        <w:t>For consideration in your response:</w:t>
      </w:r>
    </w:p>
    <w:p w14:paraId="59C0A641" w14:textId="77777777" w:rsidR="007071B8" w:rsidRPr="00586428" w:rsidRDefault="00D24B73" w:rsidP="009A4A3E">
      <w:pPr>
        <w:pStyle w:val="ListParagraph"/>
        <w:numPr>
          <w:ilvl w:val="0"/>
          <w:numId w:val="18"/>
        </w:numPr>
        <w:ind w:left="709" w:hanging="709"/>
        <w:rPr>
          <w:i/>
          <w:sz w:val="20"/>
          <w:szCs w:val="20"/>
        </w:rPr>
      </w:pPr>
      <w:r w:rsidRPr="00D24B73">
        <w:rPr>
          <w:i/>
          <w:sz w:val="20"/>
          <w:szCs w:val="20"/>
        </w:rPr>
        <w:t>Do you think that extending the period in which to complete</w:t>
      </w:r>
      <w:r w:rsidR="00094103">
        <w:rPr>
          <w:i/>
          <w:sz w:val="20"/>
          <w:szCs w:val="20"/>
        </w:rPr>
        <w:t xml:space="preserve"> a PTA will assist in retaining</w:t>
      </w:r>
      <w:r w:rsidR="00BE04CD">
        <w:rPr>
          <w:i/>
          <w:sz w:val="20"/>
          <w:szCs w:val="20"/>
        </w:rPr>
        <w:t xml:space="preserve"> </w:t>
      </w:r>
      <w:r w:rsidR="00586428">
        <w:rPr>
          <w:i/>
          <w:sz w:val="20"/>
          <w:szCs w:val="20"/>
        </w:rPr>
        <w:t xml:space="preserve">clients? </w:t>
      </w:r>
      <w:r w:rsidRPr="00D24B73">
        <w:rPr>
          <w:i/>
          <w:sz w:val="20"/>
          <w:szCs w:val="20"/>
        </w:rPr>
        <w:t>Why/why not?</w:t>
      </w:r>
    </w:p>
    <w:p w14:paraId="59C0A642" w14:textId="77777777" w:rsidR="007071B8" w:rsidRDefault="007071B8">
      <w:pPr>
        <w:rPr>
          <w:rFonts w:ascii="Century Gothic" w:hAnsi="Century Gothic" w:cstheme="minorHAnsi"/>
          <w:color w:val="365F91" w:themeColor="accent1" w:themeShade="BF"/>
          <w:sz w:val="28"/>
          <w:szCs w:val="28"/>
        </w:rPr>
      </w:pPr>
    </w:p>
    <w:p w14:paraId="59C0A643" w14:textId="77777777" w:rsidR="007071B8" w:rsidRDefault="00D24B73" w:rsidP="003A64D3">
      <w:pPr>
        <w:pStyle w:val="Heading3"/>
      </w:pPr>
      <w:bookmarkStart w:id="14" w:name="_Toc330460465"/>
      <w:r w:rsidRPr="00D24B73">
        <w:t>3.5 Suitability for Training</w:t>
      </w:r>
      <w:bookmarkEnd w:id="14"/>
      <w:r w:rsidRPr="00D24B73">
        <w:tab/>
      </w:r>
    </w:p>
    <w:p w14:paraId="59C0A644" w14:textId="77777777" w:rsidR="00AC4E5F" w:rsidRDefault="00AC4E5F" w:rsidP="00393D2C">
      <w:r>
        <w:t>Chapter 3.12 of the LLNP Guidelines outlin</w:t>
      </w:r>
      <w:r w:rsidR="005C75B6">
        <w:t>es the definition of ‘suitable</w:t>
      </w:r>
      <w:r>
        <w:t xml:space="preserve"> for training</w:t>
      </w:r>
      <w:r w:rsidR="005C75B6">
        <w:t>’ as assessed at the PTA</w:t>
      </w:r>
      <w:r w:rsidR="00486850">
        <w:t xml:space="preserve"> interview</w:t>
      </w:r>
      <w:r w:rsidR="005C75B6">
        <w:t xml:space="preserve">.  </w:t>
      </w:r>
      <w:r>
        <w:t>Potential clients are assessed as suitable for training if a provider considers they are:</w:t>
      </w:r>
    </w:p>
    <w:p w14:paraId="59C0A645" w14:textId="77777777" w:rsidR="00B31AD6" w:rsidRDefault="00B31AD6" w:rsidP="00393D2C"/>
    <w:p w14:paraId="59C0A646" w14:textId="77777777" w:rsidR="00AC4E5F" w:rsidRPr="00AC4E5F" w:rsidRDefault="00AC4E5F" w:rsidP="009A4A3E">
      <w:pPr>
        <w:pStyle w:val="ListParagraph"/>
        <w:numPr>
          <w:ilvl w:val="0"/>
          <w:numId w:val="10"/>
        </w:numPr>
      </w:pPr>
      <w:r w:rsidRPr="00AC4E5F">
        <w:t xml:space="preserve">in need of a particular stream of training under the </w:t>
      </w:r>
      <w:r w:rsidR="00B31AD6">
        <w:t>p</w:t>
      </w:r>
      <w:r w:rsidRPr="00AC4E5F">
        <w:t>rogram;</w:t>
      </w:r>
    </w:p>
    <w:p w14:paraId="59C0A647" w14:textId="77777777" w:rsidR="00AC4E5F" w:rsidRPr="00AC4E5F" w:rsidRDefault="00AC4E5F" w:rsidP="009A4A3E">
      <w:pPr>
        <w:pStyle w:val="ListParagraph"/>
        <w:numPr>
          <w:ilvl w:val="0"/>
          <w:numId w:val="10"/>
        </w:numPr>
      </w:pPr>
      <w:r w:rsidRPr="00AC4E5F">
        <w:t>able to measurably improve their LLN competencies by</w:t>
      </w:r>
      <w:r>
        <w:t xml:space="preserve"> participating in the</w:t>
      </w:r>
      <w:r w:rsidR="00995267">
        <w:t xml:space="preserve"> </w:t>
      </w:r>
      <w:r w:rsidR="001557FA">
        <w:t xml:space="preserve">      </w:t>
      </w:r>
      <w:r w:rsidR="00B31AD6">
        <w:t>p</w:t>
      </w:r>
      <w:r>
        <w:t>rogram; a</w:t>
      </w:r>
      <w:r w:rsidRPr="00AC4E5F">
        <w:t>nd</w:t>
      </w:r>
    </w:p>
    <w:p w14:paraId="59C0A648" w14:textId="77777777" w:rsidR="00AC4E5F" w:rsidRPr="00AC4E5F" w:rsidRDefault="002D70D7" w:rsidP="009A4A3E">
      <w:pPr>
        <w:pStyle w:val="ListParagraph"/>
        <w:numPr>
          <w:ilvl w:val="0"/>
          <w:numId w:val="10"/>
        </w:numPr>
      </w:pPr>
      <w:r>
        <w:t xml:space="preserve">able to learn and have </w:t>
      </w:r>
      <w:r w:rsidR="00AC4E5F" w:rsidRPr="00AC4E5F">
        <w:t>no potential barriers (such as homelessness, substance abuse</w:t>
      </w:r>
      <w:r w:rsidR="00E7134E">
        <w:t xml:space="preserve"> </w:t>
      </w:r>
      <w:r w:rsidR="00AC4E5F" w:rsidRPr="00AC4E5F">
        <w:t>or prolonged attendance difficulties) which could inhibit the clients’</w:t>
      </w:r>
      <w:r w:rsidR="00E7134E">
        <w:t xml:space="preserve"> </w:t>
      </w:r>
      <w:r w:rsidR="00AC4E5F" w:rsidRPr="00AC4E5F">
        <w:t xml:space="preserve">capacity </w:t>
      </w:r>
      <w:r w:rsidR="00DA6AAB">
        <w:t>to measurably improve their LLN.</w:t>
      </w:r>
    </w:p>
    <w:p w14:paraId="59C0A649" w14:textId="77777777" w:rsidR="00393D2C" w:rsidRDefault="00393D2C" w:rsidP="00612241"/>
    <w:p w14:paraId="59C0A64A" w14:textId="77777777" w:rsidR="00DA6AAB" w:rsidRDefault="008B0BF9" w:rsidP="00612241">
      <w:r>
        <w:t>The Government is</w:t>
      </w:r>
      <w:r w:rsidR="00597D0F">
        <w:t xml:space="preserve"> </w:t>
      </w:r>
      <w:r>
        <w:t xml:space="preserve">interested in </w:t>
      </w:r>
      <w:r w:rsidR="005C75B6">
        <w:t>examining</w:t>
      </w:r>
      <w:r w:rsidR="00D36EBD">
        <w:t xml:space="preserve"> the</w:t>
      </w:r>
      <w:r>
        <w:t xml:space="preserve"> </w:t>
      </w:r>
      <w:r w:rsidR="00393D2C">
        <w:t xml:space="preserve">factors that </w:t>
      </w:r>
      <w:r w:rsidR="005C75B6">
        <w:t>should be</w:t>
      </w:r>
      <w:r>
        <w:t xml:space="preserve"> </w:t>
      </w:r>
      <w:r w:rsidR="00393D2C">
        <w:t>taken into consideration</w:t>
      </w:r>
      <w:r w:rsidR="005C75B6">
        <w:t xml:space="preserve"> by providers</w:t>
      </w:r>
      <w:r>
        <w:t xml:space="preserve"> to </w:t>
      </w:r>
      <w:r w:rsidR="009D7C46">
        <w:t xml:space="preserve">ensure </w:t>
      </w:r>
      <w:r>
        <w:t xml:space="preserve">that there are no </w:t>
      </w:r>
      <w:r w:rsidR="009D7C46">
        <w:t>unnecessary</w:t>
      </w:r>
      <w:r>
        <w:t xml:space="preserve"> barriers</w:t>
      </w:r>
      <w:r w:rsidR="009D7C46">
        <w:t xml:space="preserve"> to disadvantaged clients </w:t>
      </w:r>
      <w:r w:rsidR="005C75B6">
        <w:t>participating</w:t>
      </w:r>
      <w:r w:rsidR="009D7C46">
        <w:t xml:space="preserve"> in the program</w:t>
      </w:r>
      <w:r w:rsidR="00393D2C">
        <w:t>.  For example</w:t>
      </w:r>
      <w:r>
        <w:t>,</w:t>
      </w:r>
      <w:r w:rsidR="009D7C46">
        <w:t xml:space="preserve"> homeless clients should not automatically be excluded</w:t>
      </w:r>
      <w:r w:rsidR="00393D2C">
        <w:t xml:space="preserve"> </w:t>
      </w:r>
      <w:r w:rsidR="0047217F">
        <w:t xml:space="preserve">as </w:t>
      </w:r>
      <w:r w:rsidR="005C75B6">
        <w:t>they</w:t>
      </w:r>
      <w:r w:rsidR="00457462">
        <w:t xml:space="preserve"> may still be able to benefit from training</w:t>
      </w:r>
      <w:r w:rsidR="00393D2C">
        <w:t xml:space="preserve">.  </w:t>
      </w:r>
    </w:p>
    <w:p w14:paraId="59C0A64B" w14:textId="77777777" w:rsidR="005C75B6" w:rsidRDefault="005C75B6" w:rsidP="00B535AC">
      <w:pPr>
        <w:pStyle w:val="ListParagraph"/>
        <w:spacing w:after="60"/>
        <w:ind w:left="0"/>
        <w:rPr>
          <w:b/>
        </w:rPr>
      </w:pPr>
    </w:p>
    <w:p w14:paraId="59C0A64C" w14:textId="77777777" w:rsidR="00B535AC" w:rsidRPr="00FB536C" w:rsidRDefault="00B535AC" w:rsidP="00B535AC">
      <w:pPr>
        <w:pStyle w:val="ListParagraph"/>
        <w:spacing w:after="60"/>
        <w:ind w:left="0"/>
        <w:rPr>
          <w:b/>
        </w:rPr>
      </w:pPr>
      <w:r w:rsidRPr="00FB536C">
        <w:rPr>
          <w:b/>
        </w:rPr>
        <w:t>For consideration in your response:</w:t>
      </w:r>
    </w:p>
    <w:p w14:paraId="59C0A64D" w14:textId="77777777" w:rsidR="007071B8" w:rsidRDefault="00B535AC" w:rsidP="009A4A3E">
      <w:pPr>
        <w:pStyle w:val="ListParagraph"/>
        <w:numPr>
          <w:ilvl w:val="0"/>
          <w:numId w:val="18"/>
        </w:numPr>
        <w:ind w:left="709" w:hanging="709"/>
        <w:rPr>
          <w:i/>
          <w:sz w:val="20"/>
          <w:szCs w:val="20"/>
        </w:rPr>
      </w:pPr>
      <w:r>
        <w:rPr>
          <w:i/>
          <w:sz w:val="20"/>
          <w:szCs w:val="20"/>
        </w:rPr>
        <w:t xml:space="preserve">What </w:t>
      </w:r>
      <w:r w:rsidRPr="00B535AC">
        <w:rPr>
          <w:i/>
          <w:sz w:val="20"/>
          <w:szCs w:val="20"/>
        </w:rPr>
        <w:t xml:space="preserve">factors/ triggers </w:t>
      </w:r>
      <w:r w:rsidR="009D7C46">
        <w:rPr>
          <w:i/>
          <w:sz w:val="20"/>
          <w:szCs w:val="20"/>
        </w:rPr>
        <w:t>should be used to</w:t>
      </w:r>
      <w:r w:rsidRPr="00B535AC">
        <w:rPr>
          <w:i/>
          <w:sz w:val="20"/>
          <w:szCs w:val="20"/>
        </w:rPr>
        <w:t xml:space="preserve"> determine a job seeker’s suitability for training?</w:t>
      </w:r>
    </w:p>
    <w:p w14:paraId="59C0A64E" w14:textId="77777777" w:rsidR="00B535AC" w:rsidRDefault="00B535AC" w:rsidP="00612241"/>
    <w:p w14:paraId="59C0A64F" w14:textId="77777777" w:rsidR="007071B8" w:rsidRDefault="00D24B73" w:rsidP="003A64D3">
      <w:pPr>
        <w:pStyle w:val="Heading3"/>
        <w:rPr>
          <w:rFonts w:asciiTheme="minorHAnsi" w:hAnsiTheme="minorHAnsi"/>
          <w:color w:val="7030A0"/>
        </w:rPr>
      </w:pPr>
      <w:bookmarkStart w:id="15" w:name="_Toc330460466"/>
      <w:r w:rsidRPr="00D24B73">
        <w:t>3.6 Service Delivery</w:t>
      </w:r>
      <w:bookmarkEnd w:id="15"/>
      <w:r w:rsidRPr="00D24B73">
        <w:t xml:space="preserve"> </w:t>
      </w:r>
      <w:r w:rsidRPr="00D24B73">
        <w:tab/>
      </w:r>
    </w:p>
    <w:p w14:paraId="59C0A650" w14:textId="77777777" w:rsidR="000B2B27" w:rsidRDefault="00186591" w:rsidP="00186591">
      <w:r>
        <w:t xml:space="preserve">Feedback from </w:t>
      </w:r>
      <w:r w:rsidR="00E06BFF">
        <w:t xml:space="preserve">LLNP </w:t>
      </w:r>
      <w:r>
        <w:t>and Employment Service Providers is that</w:t>
      </w:r>
      <w:r w:rsidR="009D7C46">
        <w:t xml:space="preserve"> some aspects of the LLNP are</w:t>
      </w:r>
      <w:r>
        <w:t xml:space="preserve"> limiting </w:t>
      </w:r>
      <w:r w:rsidR="00E06BFF">
        <w:t>the delivery of</w:t>
      </w:r>
      <w:r>
        <w:t xml:space="preserve"> flexible training that can be coupled with other training courses.</w:t>
      </w:r>
    </w:p>
    <w:p w14:paraId="59C0A651" w14:textId="77777777" w:rsidR="000B2B27" w:rsidRDefault="000B2B27" w:rsidP="00186591"/>
    <w:p w14:paraId="59C0A652" w14:textId="77777777" w:rsidR="00291790" w:rsidRPr="003B2F81" w:rsidRDefault="00D24B73" w:rsidP="00B36C38">
      <w:pPr>
        <w:pStyle w:val="CommentText"/>
        <w:rPr>
          <w:rFonts w:ascii="Century Gothic" w:hAnsi="Century Gothic"/>
          <w:color w:val="365F91" w:themeColor="accent1" w:themeShade="BF"/>
          <w:sz w:val="22"/>
          <w:szCs w:val="22"/>
        </w:rPr>
      </w:pPr>
      <w:r w:rsidRPr="00D24B73">
        <w:rPr>
          <w:rFonts w:ascii="Century Gothic" w:hAnsi="Century Gothic"/>
          <w:color w:val="365F91" w:themeColor="accent1" w:themeShade="BF"/>
          <w:sz w:val="22"/>
          <w:szCs w:val="22"/>
        </w:rPr>
        <w:t>Modes of Delivery</w:t>
      </w:r>
    </w:p>
    <w:p w14:paraId="59C0A653" w14:textId="77777777" w:rsidR="00B36C38" w:rsidRDefault="001A4DCA" w:rsidP="00B36C38">
      <w:pPr>
        <w:pStyle w:val="CommentText"/>
        <w:rPr>
          <w:sz w:val="22"/>
          <w:szCs w:val="22"/>
        </w:rPr>
      </w:pPr>
      <w:r>
        <w:rPr>
          <w:sz w:val="22"/>
          <w:szCs w:val="22"/>
        </w:rPr>
        <w:t xml:space="preserve">The </w:t>
      </w:r>
      <w:r w:rsidR="00B36C38">
        <w:rPr>
          <w:sz w:val="22"/>
          <w:szCs w:val="22"/>
        </w:rPr>
        <w:t>LLNP</w:t>
      </w:r>
      <w:r w:rsidR="00A84876">
        <w:rPr>
          <w:sz w:val="22"/>
          <w:szCs w:val="22"/>
        </w:rPr>
        <w:t>’</w:t>
      </w:r>
      <w:r w:rsidR="00B36C38">
        <w:rPr>
          <w:sz w:val="22"/>
          <w:szCs w:val="22"/>
        </w:rPr>
        <w:t>s approved modes of delivery are face-to-face, distance</w:t>
      </w:r>
      <w:r w:rsidR="00E20C64">
        <w:rPr>
          <w:sz w:val="22"/>
          <w:szCs w:val="22"/>
        </w:rPr>
        <w:t xml:space="preserve">-mode </w:t>
      </w:r>
      <w:r w:rsidR="00B36C38">
        <w:rPr>
          <w:sz w:val="22"/>
          <w:szCs w:val="22"/>
        </w:rPr>
        <w:t>and mixed-mode</w:t>
      </w:r>
      <w:r w:rsidR="0047217F">
        <w:rPr>
          <w:sz w:val="22"/>
          <w:szCs w:val="22"/>
        </w:rPr>
        <w:t xml:space="preserve"> delivery</w:t>
      </w:r>
      <w:r w:rsidR="00B36C38">
        <w:rPr>
          <w:sz w:val="22"/>
          <w:szCs w:val="22"/>
        </w:rPr>
        <w:t xml:space="preserve">. Face-to-face continues to be the </w:t>
      </w:r>
      <w:r w:rsidR="0013131C">
        <w:rPr>
          <w:sz w:val="22"/>
          <w:szCs w:val="22"/>
        </w:rPr>
        <w:t>Government</w:t>
      </w:r>
      <w:r w:rsidR="00B36C38">
        <w:rPr>
          <w:sz w:val="22"/>
          <w:szCs w:val="22"/>
        </w:rPr>
        <w:t xml:space="preserve">’s preferred mode of delivery. </w:t>
      </w:r>
      <w:r>
        <w:rPr>
          <w:sz w:val="22"/>
          <w:szCs w:val="22"/>
        </w:rPr>
        <w:t xml:space="preserve">  </w:t>
      </w:r>
      <w:r w:rsidR="00B36C38">
        <w:rPr>
          <w:sz w:val="22"/>
          <w:szCs w:val="22"/>
        </w:rPr>
        <w:t>Distance</w:t>
      </w:r>
      <w:r w:rsidR="00E20C64">
        <w:rPr>
          <w:sz w:val="22"/>
          <w:szCs w:val="22"/>
        </w:rPr>
        <w:t xml:space="preserve">-mode delivery </w:t>
      </w:r>
      <w:r w:rsidR="00B36C38">
        <w:rPr>
          <w:sz w:val="22"/>
          <w:szCs w:val="22"/>
        </w:rPr>
        <w:t>is intended to service clients in rural and remote areas who cannot easily access a face-to-face provider</w:t>
      </w:r>
      <w:r w:rsidR="006B0E41">
        <w:rPr>
          <w:sz w:val="22"/>
          <w:szCs w:val="22"/>
        </w:rPr>
        <w:t xml:space="preserve"> and</w:t>
      </w:r>
      <w:r w:rsidR="00472FA7">
        <w:rPr>
          <w:sz w:val="22"/>
          <w:szCs w:val="22"/>
        </w:rPr>
        <w:t xml:space="preserve"> is </w:t>
      </w:r>
      <w:r w:rsidR="00B36C38">
        <w:rPr>
          <w:sz w:val="22"/>
          <w:szCs w:val="22"/>
        </w:rPr>
        <w:t>delivered by a national distance provider.</w:t>
      </w:r>
      <w:r>
        <w:rPr>
          <w:sz w:val="22"/>
          <w:szCs w:val="22"/>
        </w:rPr>
        <w:t xml:space="preserve">  </w:t>
      </w:r>
      <w:r w:rsidR="00B36C38">
        <w:rPr>
          <w:sz w:val="22"/>
          <w:szCs w:val="22"/>
        </w:rPr>
        <w:t xml:space="preserve"> Mixed-mode </w:t>
      </w:r>
      <w:r w:rsidR="00472FA7">
        <w:rPr>
          <w:sz w:val="22"/>
          <w:szCs w:val="22"/>
        </w:rPr>
        <w:t xml:space="preserve">allows for </w:t>
      </w:r>
      <w:r w:rsidR="00B36C38">
        <w:rPr>
          <w:sz w:val="22"/>
          <w:szCs w:val="22"/>
        </w:rPr>
        <w:t>a mixture of face-to-face training and distance education (with the distance component delivered by the face-to-face provi</w:t>
      </w:r>
      <w:r w:rsidR="00B36C38" w:rsidRPr="00906FE3">
        <w:rPr>
          <w:sz w:val="22"/>
          <w:szCs w:val="22"/>
        </w:rPr>
        <w:t>der</w:t>
      </w:r>
      <w:r w:rsidR="001F7AF0">
        <w:rPr>
          <w:sz w:val="22"/>
          <w:szCs w:val="22"/>
        </w:rPr>
        <w:t>)</w:t>
      </w:r>
      <w:r w:rsidR="00654A94">
        <w:rPr>
          <w:sz w:val="22"/>
          <w:szCs w:val="22"/>
        </w:rPr>
        <w:t xml:space="preserve">.  </w:t>
      </w:r>
      <w:r w:rsidR="001F7AF0">
        <w:rPr>
          <w:sz w:val="22"/>
          <w:szCs w:val="22"/>
        </w:rPr>
        <w:t>In the current contract</w:t>
      </w:r>
      <w:r w:rsidR="00B36C38" w:rsidRPr="00906FE3">
        <w:rPr>
          <w:sz w:val="22"/>
          <w:szCs w:val="22"/>
        </w:rPr>
        <w:t xml:space="preserve">, </w:t>
      </w:r>
      <w:r w:rsidR="006B0E41">
        <w:rPr>
          <w:sz w:val="22"/>
          <w:szCs w:val="22"/>
        </w:rPr>
        <w:t xml:space="preserve">it is </w:t>
      </w:r>
      <w:r w:rsidR="00B36C38" w:rsidRPr="00906FE3">
        <w:rPr>
          <w:sz w:val="22"/>
          <w:szCs w:val="22"/>
        </w:rPr>
        <w:t>primarily designed to increase the participation and retention of clients who live in rural and remote locations,</w:t>
      </w:r>
      <w:r w:rsidR="00BD0E22">
        <w:rPr>
          <w:sz w:val="22"/>
          <w:szCs w:val="22"/>
        </w:rPr>
        <w:t xml:space="preserve"> those with transport difficulties</w:t>
      </w:r>
      <w:r w:rsidR="00B36C38" w:rsidRPr="00906FE3">
        <w:rPr>
          <w:sz w:val="22"/>
          <w:szCs w:val="22"/>
        </w:rPr>
        <w:t xml:space="preserve"> or who have difficulty attending classes during school holidays.</w:t>
      </w:r>
    </w:p>
    <w:p w14:paraId="59C0A654" w14:textId="77777777" w:rsidR="00B36C38" w:rsidRDefault="00B36C38" w:rsidP="00B36C38">
      <w:pPr>
        <w:pStyle w:val="CommentText"/>
        <w:rPr>
          <w:sz w:val="22"/>
          <w:szCs w:val="22"/>
        </w:rPr>
      </w:pPr>
    </w:p>
    <w:p w14:paraId="59C0A655" w14:textId="77777777" w:rsidR="00674AB6" w:rsidRDefault="00674AB6" w:rsidP="00B36C38">
      <w:pPr>
        <w:pStyle w:val="CommentText"/>
        <w:rPr>
          <w:sz w:val="22"/>
          <w:szCs w:val="22"/>
        </w:rPr>
      </w:pPr>
    </w:p>
    <w:p w14:paraId="59C0A656" w14:textId="77777777" w:rsidR="00674AB6" w:rsidRDefault="00674AB6" w:rsidP="00674AB6">
      <w:r>
        <w:br w:type="page"/>
      </w:r>
    </w:p>
    <w:p w14:paraId="59C0A657" w14:textId="77777777" w:rsidR="00291790" w:rsidRPr="003B2F81" w:rsidRDefault="00D24B73" w:rsidP="00B36C38">
      <w:pPr>
        <w:pStyle w:val="CommentText"/>
        <w:rPr>
          <w:rFonts w:ascii="Century Gothic" w:hAnsi="Century Gothic"/>
          <w:color w:val="365F91" w:themeColor="accent1" w:themeShade="BF"/>
          <w:sz w:val="22"/>
          <w:szCs w:val="22"/>
        </w:rPr>
      </w:pPr>
      <w:r w:rsidRPr="00D24B73">
        <w:rPr>
          <w:rFonts w:ascii="Century Gothic" w:hAnsi="Century Gothic"/>
          <w:color w:val="365F91" w:themeColor="accent1" w:themeShade="BF"/>
          <w:sz w:val="22"/>
          <w:szCs w:val="22"/>
        </w:rPr>
        <w:lastRenderedPageBreak/>
        <w:t xml:space="preserve">Training Delivery Stream </w:t>
      </w:r>
    </w:p>
    <w:p w14:paraId="59C0A658" w14:textId="77777777" w:rsidR="00B36C38" w:rsidRPr="00DB3840" w:rsidRDefault="00291790" w:rsidP="00B36C38">
      <w:pPr>
        <w:pStyle w:val="CommentText"/>
        <w:rPr>
          <w:sz w:val="22"/>
          <w:szCs w:val="22"/>
        </w:rPr>
      </w:pPr>
      <w:r>
        <w:rPr>
          <w:bCs/>
          <w:sz w:val="22"/>
          <w:szCs w:val="22"/>
        </w:rPr>
        <w:t>T</w:t>
      </w:r>
      <w:r w:rsidR="00B36C38" w:rsidRPr="00CF42E3">
        <w:rPr>
          <w:bCs/>
          <w:sz w:val="22"/>
          <w:szCs w:val="22"/>
        </w:rPr>
        <w:t>he</w:t>
      </w:r>
      <w:r w:rsidR="002F3185">
        <w:rPr>
          <w:bCs/>
          <w:sz w:val="22"/>
          <w:szCs w:val="22"/>
        </w:rPr>
        <w:t xml:space="preserve"> 20</w:t>
      </w:r>
      <w:r w:rsidR="001506A5">
        <w:rPr>
          <w:bCs/>
          <w:sz w:val="22"/>
          <w:szCs w:val="22"/>
        </w:rPr>
        <w:t>10</w:t>
      </w:r>
      <w:r w:rsidR="00B36C38" w:rsidRPr="00CF42E3">
        <w:rPr>
          <w:bCs/>
          <w:sz w:val="22"/>
          <w:szCs w:val="22"/>
        </w:rPr>
        <w:t xml:space="preserve"> Request for Tender </w:t>
      </w:r>
      <w:r w:rsidR="00472FA7">
        <w:rPr>
          <w:bCs/>
          <w:sz w:val="22"/>
          <w:szCs w:val="22"/>
        </w:rPr>
        <w:t xml:space="preserve">(RFT) allowed potential providers to tender </w:t>
      </w:r>
      <w:r w:rsidR="00B36C38" w:rsidRPr="00CF42E3">
        <w:rPr>
          <w:bCs/>
          <w:sz w:val="22"/>
          <w:szCs w:val="22"/>
        </w:rPr>
        <w:t>for either full or partial service delivery</w:t>
      </w:r>
      <w:r w:rsidR="00654A94">
        <w:rPr>
          <w:bCs/>
          <w:sz w:val="22"/>
          <w:szCs w:val="22"/>
        </w:rPr>
        <w:t xml:space="preserve">.  </w:t>
      </w:r>
      <w:r w:rsidR="00B36C38" w:rsidRPr="00CF42E3">
        <w:rPr>
          <w:bCs/>
          <w:sz w:val="22"/>
          <w:szCs w:val="22"/>
        </w:rPr>
        <w:t xml:space="preserve">Full </w:t>
      </w:r>
      <w:r w:rsidR="00C636D0">
        <w:rPr>
          <w:bCs/>
          <w:sz w:val="22"/>
          <w:szCs w:val="22"/>
        </w:rPr>
        <w:t>S</w:t>
      </w:r>
      <w:r w:rsidR="00B36C38" w:rsidRPr="00CF42E3">
        <w:rPr>
          <w:bCs/>
          <w:sz w:val="22"/>
          <w:szCs w:val="22"/>
        </w:rPr>
        <w:t xml:space="preserve">ervice </w:t>
      </w:r>
      <w:r w:rsidR="00C636D0">
        <w:rPr>
          <w:bCs/>
          <w:sz w:val="22"/>
          <w:szCs w:val="22"/>
        </w:rPr>
        <w:t>D</w:t>
      </w:r>
      <w:r w:rsidR="00B36C38" w:rsidRPr="00CF42E3">
        <w:rPr>
          <w:bCs/>
          <w:sz w:val="22"/>
          <w:szCs w:val="22"/>
        </w:rPr>
        <w:t>elivery</w:t>
      </w:r>
      <w:r w:rsidR="00C636D0">
        <w:rPr>
          <w:bCs/>
          <w:sz w:val="22"/>
          <w:szCs w:val="22"/>
        </w:rPr>
        <w:t xml:space="preserve"> (FSD)</w:t>
      </w:r>
      <w:r w:rsidR="00B36C38" w:rsidRPr="00CF42E3">
        <w:rPr>
          <w:bCs/>
          <w:sz w:val="22"/>
          <w:szCs w:val="22"/>
        </w:rPr>
        <w:t xml:space="preserve"> includes </w:t>
      </w:r>
      <w:r w:rsidR="00C636D0">
        <w:rPr>
          <w:bCs/>
          <w:sz w:val="22"/>
          <w:szCs w:val="22"/>
        </w:rPr>
        <w:t>offering clients training in both the</w:t>
      </w:r>
      <w:r w:rsidR="00B36C38" w:rsidRPr="00CF42E3">
        <w:rPr>
          <w:bCs/>
          <w:sz w:val="22"/>
          <w:szCs w:val="22"/>
        </w:rPr>
        <w:t xml:space="preserve"> Language</w:t>
      </w:r>
      <w:r w:rsidR="00084013">
        <w:rPr>
          <w:bCs/>
          <w:sz w:val="22"/>
          <w:szCs w:val="22"/>
        </w:rPr>
        <w:t xml:space="preserve"> and Literacy/</w:t>
      </w:r>
      <w:r w:rsidR="00B36C38" w:rsidRPr="00CF42E3">
        <w:rPr>
          <w:bCs/>
          <w:sz w:val="22"/>
          <w:szCs w:val="22"/>
        </w:rPr>
        <w:t>Numeracy streams</w:t>
      </w:r>
      <w:r w:rsidR="00654A94">
        <w:rPr>
          <w:bCs/>
          <w:sz w:val="22"/>
          <w:szCs w:val="22"/>
        </w:rPr>
        <w:t xml:space="preserve">.  </w:t>
      </w:r>
      <w:r w:rsidR="00B36C38" w:rsidRPr="00CF42E3">
        <w:rPr>
          <w:bCs/>
          <w:sz w:val="22"/>
          <w:szCs w:val="22"/>
        </w:rPr>
        <w:t xml:space="preserve">Partial service delivery </w:t>
      </w:r>
      <w:r w:rsidR="00C636D0">
        <w:rPr>
          <w:bCs/>
          <w:sz w:val="22"/>
          <w:szCs w:val="22"/>
        </w:rPr>
        <w:t xml:space="preserve">is limited to either </w:t>
      </w:r>
      <w:r w:rsidR="0047217F">
        <w:rPr>
          <w:bCs/>
          <w:sz w:val="22"/>
          <w:szCs w:val="22"/>
        </w:rPr>
        <w:t>L</w:t>
      </w:r>
      <w:r w:rsidR="00472FA7">
        <w:rPr>
          <w:bCs/>
          <w:sz w:val="22"/>
          <w:szCs w:val="22"/>
        </w:rPr>
        <w:t xml:space="preserve">anguage training </w:t>
      </w:r>
      <w:r w:rsidR="00C636D0">
        <w:rPr>
          <w:bCs/>
          <w:sz w:val="22"/>
          <w:szCs w:val="22"/>
        </w:rPr>
        <w:t xml:space="preserve">only </w:t>
      </w:r>
      <w:r w:rsidR="00472FA7">
        <w:rPr>
          <w:bCs/>
          <w:sz w:val="22"/>
          <w:szCs w:val="22"/>
        </w:rPr>
        <w:t xml:space="preserve">or </w:t>
      </w:r>
      <w:r w:rsidR="0047217F">
        <w:rPr>
          <w:bCs/>
          <w:sz w:val="22"/>
          <w:szCs w:val="22"/>
        </w:rPr>
        <w:t>L</w:t>
      </w:r>
      <w:r w:rsidR="00B36C38" w:rsidRPr="00CF42E3">
        <w:rPr>
          <w:bCs/>
          <w:sz w:val="22"/>
          <w:szCs w:val="22"/>
        </w:rPr>
        <w:t xml:space="preserve">iteracy and </w:t>
      </w:r>
      <w:r w:rsidR="0047217F">
        <w:rPr>
          <w:bCs/>
          <w:sz w:val="22"/>
          <w:szCs w:val="22"/>
        </w:rPr>
        <w:t>N</w:t>
      </w:r>
      <w:r w:rsidR="00B36C38" w:rsidRPr="00CF42E3">
        <w:rPr>
          <w:bCs/>
          <w:sz w:val="22"/>
          <w:szCs w:val="22"/>
        </w:rPr>
        <w:t>umeracy</w:t>
      </w:r>
      <w:r w:rsidR="00C636D0">
        <w:rPr>
          <w:bCs/>
          <w:sz w:val="22"/>
          <w:szCs w:val="22"/>
        </w:rPr>
        <w:t xml:space="preserve"> </w:t>
      </w:r>
      <w:r w:rsidR="00472FA7">
        <w:rPr>
          <w:bCs/>
          <w:sz w:val="22"/>
          <w:szCs w:val="22"/>
        </w:rPr>
        <w:t>training only</w:t>
      </w:r>
      <w:r w:rsidR="00B36C38" w:rsidRPr="00CF42E3">
        <w:rPr>
          <w:b/>
          <w:bCs/>
          <w:sz w:val="22"/>
          <w:szCs w:val="22"/>
        </w:rPr>
        <w:t xml:space="preserve">. </w:t>
      </w:r>
    </w:p>
    <w:p w14:paraId="59C0A659" w14:textId="77777777" w:rsidR="00B36C38" w:rsidRPr="00102EB9" w:rsidRDefault="00B36C38" w:rsidP="00B36C38">
      <w:pPr>
        <w:pStyle w:val="CommentText"/>
        <w:ind w:left="720"/>
        <w:rPr>
          <w:b/>
          <w:sz w:val="22"/>
          <w:szCs w:val="22"/>
        </w:rPr>
      </w:pPr>
    </w:p>
    <w:p w14:paraId="59C0A65A" w14:textId="77777777" w:rsidR="009D7C46" w:rsidRDefault="002F3185" w:rsidP="00853C46">
      <w:pPr>
        <w:pStyle w:val="CommentText"/>
        <w:rPr>
          <w:sz w:val="22"/>
          <w:szCs w:val="22"/>
        </w:rPr>
      </w:pPr>
      <w:r>
        <w:rPr>
          <w:sz w:val="22"/>
          <w:szCs w:val="22"/>
        </w:rPr>
        <w:t>Under the</w:t>
      </w:r>
      <w:r w:rsidR="00B36C38">
        <w:rPr>
          <w:sz w:val="22"/>
          <w:szCs w:val="22"/>
        </w:rPr>
        <w:t xml:space="preserve"> Commonwealth Procurement Guidelines, a provider cannot tender for one training stream (full or partial)</w:t>
      </w:r>
      <w:r w:rsidR="00C636D0">
        <w:rPr>
          <w:sz w:val="22"/>
          <w:szCs w:val="22"/>
        </w:rPr>
        <w:t>, then</w:t>
      </w:r>
      <w:r w:rsidR="00B36C38">
        <w:rPr>
          <w:sz w:val="22"/>
          <w:szCs w:val="22"/>
        </w:rPr>
        <w:t xml:space="preserve"> </w:t>
      </w:r>
      <w:r w:rsidR="005C75B6">
        <w:rPr>
          <w:sz w:val="22"/>
          <w:szCs w:val="22"/>
        </w:rPr>
        <w:t>seek</w:t>
      </w:r>
      <w:r w:rsidR="00B36C38">
        <w:rPr>
          <w:sz w:val="22"/>
          <w:szCs w:val="22"/>
        </w:rPr>
        <w:t xml:space="preserve"> </w:t>
      </w:r>
      <w:r w:rsidR="00C636D0">
        <w:rPr>
          <w:sz w:val="22"/>
          <w:szCs w:val="22"/>
        </w:rPr>
        <w:t xml:space="preserve">to switch to the alternate training stream delivery </w:t>
      </w:r>
      <w:r w:rsidR="00B36C38">
        <w:rPr>
          <w:sz w:val="22"/>
          <w:szCs w:val="22"/>
        </w:rPr>
        <w:t>during the contract period</w:t>
      </w:r>
      <w:r w:rsidR="00654A94">
        <w:rPr>
          <w:sz w:val="22"/>
          <w:szCs w:val="22"/>
        </w:rPr>
        <w:t xml:space="preserve">.  </w:t>
      </w:r>
      <w:r w:rsidR="009D7C46">
        <w:rPr>
          <w:sz w:val="22"/>
          <w:szCs w:val="22"/>
        </w:rPr>
        <w:t>This can limit providers</w:t>
      </w:r>
      <w:r w:rsidR="005C75B6">
        <w:rPr>
          <w:sz w:val="22"/>
          <w:szCs w:val="22"/>
        </w:rPr>
        <w:t>’</w:t>
      </w:r>
      <w:r w:rsidR="009D7C46">
        <w:rPr>
          <w:sz w:val="22"/>
          <w:szCs w:val="22"/>
        </w:rPr>
        <w:t xml:space="preserve"> capacity to respond to the needs of program participants in their areas. </w:t>
      </w:r>
    </w:p>
    <w:p w14:paraId="59C0A65B" w14:textId="77777777" w:rsidR="009D7C46" w:rsidRDefault="009D7C46" w:rsidP="00853C46">
      <w:pPr>
        <w:pStyle w:val="CommentText"/>
        <w:rPr>
          <w:sz w:val="22"/>
          <w:szCs w:val="22"/>
        </w:rPr>
      </w:pPr>
    </w:p>
    <w:p w14:paraId="59C0A65C" w14:textId="77777777" w:rsidR="007A3808" w:rsidRDefault="009D7C46" w:rsidP="00853C46">
      <w:pPr>
        <w:pStyle w:val="CommentText"/>
        <w:rPr>
          <w:sz w:val="22"/>
          <w:szCs w:val="22"/>
        </w:rPr>
      </w:pPr>
      <w:r>
        <w:rPr>
          <w:sz w:val="22"/>
          <w:szCs w:val="22"/>
        </w:rPr>
        <w:t xml:space="preserve">Removing the requirement to tender for full or partial delivery and instead making full service delivery the standard approach would remove this inflexibility. </w:t>
      </w:r>
      <w:r w:rsidR="00C636D0">
        <w:rPr>
          <w:sz w:val="22"/>
          <w:szCs w:val="22"/>
        </w:rPr>
        <w:t>By contracting with RTOs for FSD</w:t>
      </w:r>
      <w:r w:rsidR="006B0E41">
        <w:rPr>
          <w:sz w:val="22"/>
          <w:szCs w:val="22"/>
        </w:rPr>
        <w:t>-</w:t>
      </w:r>
      <w:r w:rsidR="00B36C38">
        <w:rPr>
          <w:sz w:val="22"/>
          <w:szCs w:val="22"/>
        </w:rPr>
        <w:t>only</w:t>
      </w:r>
      <w:r w:rsidR="005C75B6">
        <w:rPr>
          <w:sz w:val="22"/>
          <w:szCs w:val="22"/>
        </w:rPr>
        <w:t>,</w:t>
      </w:r>
      <w:r w:rsidR="00B36C38">
        <w:rPr>
          <w:sz w:val="22"/>
          <w:szCs w:val="22"/>
        </w:rPr>
        <w:t xml:space="preserve"> the full stream of services </w:t>
      </w:r>
      <w:r>
        <w:rPr>
          <w:sz w:val="22"/>
          <w:szCs w:val="22"/>
        </w:rPr>
        <w:t xml:space="preserve">will be </w:t>
      </w:r>
      <w:r w:rsidR="00C636D0">
        <w:rPr>
          <w:sz w:val="22"/>
          <w:szCs w:val="22"/>
        </w:rPr>
        <w:t xml:space="preserve">available to clients </w:t>
      </w:r>
      <w:r w:rsidR="00B36C38">
        <w:rPr>
          <w:sz w:val="22"/>
          <w:szCs w:val="22"/>
        </w:rPr>
        <w:t xml:space="preserve">in all areas.  </w:t>
      </w:r>
    </w:p>
    <w:p w14:paraId="59C0A65D" w14:textId="77777777" w:rsidR="002F37FD" w:rsidRDefault="002F37FD" w:rsidP="002F37FD">
      <w:pPr>
        <w:rPr>
          <w:b/>
          <w:i/>
        </w:rPr>
      </w:pPr>
    </w:p>
    <w:p w14:paraId="59C0A65E" w14:textId="77777777" w:rsidR="00291790" w:rsidRPr="003B2F81" w:rsidRDefault="00D24B73">
      <w:pPr>
        <w:rPr>
          <w:rFonts w:ascii="Century Gothic" w:hAnsi="Century Gothic"/>
          <w:color w:val="365F91" w:themeColor="accent1" w:themeShade="BF"/>
        </w:rPr>
      </w:pPr>
      <w:r w:rsidRPr="00D24B73">
        <w:rPr>
          <w:rFonts w:ascii="Century Gothic" w:hAnsi="Century Gothic"/>
          <w:color w:val="365F91" w:themeColor="accent1" w:themeShade="BF"/>
        </w:rPr>
        <w:t>200 hour training blocks</w:t>
      </w:r>
    </w:p>
    <w:p w14:paraId="59C0A65F" w14:textId="77777777" w:rsidR="001A1E4D" w:rsidRDefault="002F37FD">
      <w:r>
        <w:t xml:space="preserve">Eligible job seekers are entitled to </w:t>
      </w:r>
      <w:r w:rsidR="00AB348C">
        <w:t>access a total of 800 hours of training within a two year period (from the date of first commencement)</w:t>
      </w:r>
      <w:r w:rsidR="00654A94">
        <w:t xml:space="preserve">.  </w:t>
      </w:r>
      <w:r w:rsidR="00AB348C">
        <w:t>Clients may continue in the LLNP until they have used all their 800 hour allocation</w:t>
      </w:r>
      <w:r w:rsidR="00DF58D3">
        <w:t>, subject to their capacity to benefit</w:t>
      </w:r>
      <w:r w:rsidR="002E6A72">
        <w:t>.</w:t>
      </w:r>
      <w:r>
        <w:t xml:space="preserve">  </w:t>
      </w:r>
    </w:p>
    <w:p w14:paraId="59C0A660" w14:textId="77777777" w:rsidR="001A1E4D" w:rsidRDefault="001A1E4D"/>
    <w:p w14:paraId="59C0A661" w14:textId="77777777" w:rsidR="00C12A04" w:rsidRDefault="00AB348C">
      <w:r>
        <w:t>The total 800</w:t>
      </w:r>
      <w:r w:rsidR="002E6A72">
        <w:t xml:space="preserve"> </w:t>
      </w:r>
      <w:r>
        <w:t>hour allocation is</w:t>
      </w:r>
      <w:r w:rsidR="00DF58D3">
        <w:t xml:space="preserve"> currently</w:t>
      </w:r>
      <w:r>
        <w:t xml:space="preserve"> divided in</w:t>
      </w:r>
      <w:r w:rsidR="005C75B6">
        <w:t>to 200 hour blocks of training.  R</w:t>
      </w:r>
      <w:r w:rsidR="002F37FD">
        <w:t>emov</w:t>
      </w:r>
      <w:r w:rsidR="005C75B6">
        <w:t>ing</w:t>
      </w:r>
      <w:r>
        <w:t xml:space="preserve"> the </w:t>
      </w:r>
      <w:r w:rsidR="002F37FD">
        <w:t>200 hour block</w:t>
      </w:r>
      <w:r w:rsidR="005C75B6">
        <w:t xml:space="preserve"> structure would </w:t>
      </w:r>
      <w:r w:rsidR="00FE4752">
        <w:t xml:space="preserve">enable </w:t>
      </w:r>
      <w:r w:rsidR="002F37FD">
        <w:t>providers to deliver courses according to the required length</w:t>
      </w:r>
      <w:r w:rsidR="009D7C46">
        <w:t xml:space="preserve"> of</w:t>
      </w:r>
      <w:r w:rsidR="002F37FD">
        <w:t xml:space="preserve"> the course curriculum or based on the individual</w:t>
      </w:r>
      <w:r w:rsidR="009D7C46">
        <w:t>’</w:t>
      </w:r>
      <w:r w:rsidR="002F37FD">
        <w:t>s need</w:t>
      </w:r>
      <w:r w:rsidR="00654A94">
        <w:t xml:space="preserve">.  </w:t>
      </w:r>
      <w:r w:rsidR="005C75B6">
        <w:t>This would increase the</w:t>
      </w:r>
      <w:r w:rsidR="00BD0E22">
        <w:t xml:space="preserve"> focus on attainment/achievement in the program rather than</w:t>
      </w:r>
      <w:r w:rsidR="002E6A72">
        <w:t xml:space="preserve"> the</w:t>
      </w:r>
      <w:r w:rsidR="00BD0E22">
        <w:t xml:space="preserve"> hours of training</w:t>
      </w:r>
      <w:r w:rsidR="005C75B6">
        <w:t>.</w:t>
      </w:r>
      <w:r w:rsidR="002F37FD">
        <w:t xml:space="preserve"> </w:t>
      </w:r>
    </w:p>
    <w:p w14:paraId="59C0A662" w14:textId="77777777" w:rsidR="003E2C6E" w:rsidRDefault="003E2C6E"/>
    <w:p w14:paraId="59C0A663" w14:textId="77777777" w:rsidR="007A3808" w:rsidRDefault="005C75B6">
      <w:r>
        <w:t>T</w:t>
      </w:r>
      <w:r w:rsidR="002F37FD">
        <w:t>he requirement for regular assessment would</w:t>
      </w:r>
      <w:r>
        <w:t xml:space="preserve"> need to</w:t>
      </w:r>
      <w:r w:rsidR="002F37FD">
        <w:t xml:space="preserve"> continue to ensure clients are gaining from the training delivered</w:t>
      </w:r>
      <w:r w:rsidR="00DF58D3">
        <w:t xml:space="preserve">. </w:t>
      </w:r>
    </w:p>
    <w:p w14:paraId="59C0A664" w14:textId="77777777" w:rsidR="00367C07" w:rsidRDefault="00367C07" w:rsidP="007A3808">
      <w:pPr>
        <w:pStyle w:val="CommentText"/>
        <w:rPr>
          <w:b/>
          <w:sz w:val="22"/>
          <w:szCs w:val="22"/>
        </w:rPr>
      </w:pPr>
    </w:p>
    <w:p w14:paraId="59C0A665" w14:textId="77777777" w:rsidR="009D7C46" w:rsidRPr="009D7C46" w:rsidRDefault="003E2C6E" w:rsidP="007A3808">
      <w:pPr>
        <w:pStyle w:val="CommentText"/>
        <w:rPr>
          <w:sz w:val="22"/>
          <w:szCs w:val="22"/>
        </w:rPr>
      </w:pPr>
      <w:r w:rsidRPr="003E2C6E">
        <w:rPr>
          <w:sz w:val="22"/>
          <w:szCs w:val="22"/>
        </w:rPr>
        <w:t xml:space="preserve">The delivery of training hours should be taken into consideration </w:t>
      </w:r>
      <w:r w:rsidR="003015A5">
        <w:rPr>
          <w:sz w:val="22"/>
          <w:szCs w:val="22"/>
        </w:rPr>
        <w:t xml:space="preserve">with </w:t>
      </w:r>
      <w:r w:rsidRPr="003E2C6E">
        <w:rPr>
          <w:sz w:val="22"/>
          <w:szCs w:val="22"/>
        </w:rPr>
        <w:t>other proposed changes such as the payment structure and incentive payments section of the Discussion Paper,</w:t>
      </w:r>
      <w:r w:rsidR="00E93B80">
        <w:rPr>
          <w:sz w:val="22"/>
          <w:szCs w:val="22"/>
        </w:rPr>
        <w:t xml:space="preserve"> </w:t>
      </w:r>
      <w:r>
        <w:rPr>
          <w:sz w:val="22"/>
          <w:szCs w:val="22"/>
        </w:rPr>
        <w:t xml:space="preserve">reference to page </w:t>
      </w:r>
      <w:r w:rsidR="003015A5">
        <w:rPr>
          <w:sz w:val="22"/>
          <w:szCs w:val="22"/>
        </w:rPr>
        <w:t>23</w:t>
      </w:r>
      <w:r w:rsidR="004E3AF8">
        <w:rPr>
          <w:sz w:val="22"/>
          <w:szCs w:val="22"/>
        </w:rPr>
        <w:t>.</w:t>
      </w:r>
    </w:p>
    <w:p w14:paraId="59C0A666" w14:textId="77777777" w:rsidR="005C75B6" w:rsidRDefault="005C75B6" w:rsidP="00040B93">
      <w:pPr>
        <w:pStyle w:val="ListParagraph"/>
        <w:spacing w:after="60"/>
        <w:ind w:left="0"/>
        <w:rPr>
          <w:rFonts w:ascii="Century Gothic" w:hAnsi="Century Gothic"/>
          <w:color w:val="365F91" w:themeColor="accent1" w:themeShade="BF"/>
        </w:rPr>
      </w:pPr>
    </w:p>
    <w:p w14:paraId="59C0A667" w14:textId="77777777" w:rsidR="00040B93" w:rsidRPr="00FB536C" w:rsidRDefault="00040B93" w:rsidP="00040B93">
      <w:pPr>
        <w:pStyle w:val="ListParagraph"/>
        <w:spacing w:after="60"/>
        <w:ind w:left="0"/>
        <w:rPr>
          <w:b/>
        </w:rPr>
      </w:pPr>
      <w:r w:rsidRPr="00FB536C">
        <w:rPr>
          <w:b/>
        </w:rPr>
        <w:t>For consideration in your response:</w:t>
      </w:r>
    </w:p>
    <w:p w14:paraId="59C0A668" w14:textId="77777777" w:rsidR="0074504E" w:rsidRDefault="00094103" w:rsidP="009A4A3E">
      <w:pPr>
        <w:pStyle w:val="ListParagraph"/>
        <w:numPr>
          <w:ilvl w:val="0"/>
          <w:numId w:val="18"/>
        </w:numPr>
        <w:rPr>
          <w:i/>
          <w:sz w:val="20"/>
          <w:szCs w:val="20"/>
        </w:rPr>
      </w:pPr>
      <w:r w:rsidRPr="00094103">
        <w:rPr>
          <w:i/>
          <w:sz w:val="20"/>
          <w:szCs w:val="20"/>
        </w:rPr>
        <w:t xml:space="preserve">What do you consider, in the event </w:t>
      </w:r>
      <w:r w:rsidR="00D24B73" w:rsidRPr="00D24B73">
        <w:rPr>
          <w:i/>
          <w:sz w:val="20"/>
          <w:szCs w:val="20"/>
        </w:rPr>
        <w:t xml:space="preserve">200 hour blocks are to be removed, to be sufficient </w:t>
      </w:r>
      <w:r w:rsidR="00705733">
        <w:rPr>
          <w:i/>
          <w:sz w:val="20"/>
          <w:szCs w:val="20"/>
        </w:rPr>
        <w:tab/>
      </w:r>
      <w:r w:rsidRPr="00094103">
        <w:rPr>
          <w:i/>
          <w:sz w:val="20"/>
          <w:szCs w:val="20"/>
        </w:rPr>
        <w:t xml:space="preserve">assessment points (for example, every 200 hours, 400 hours) for clients progressing in the </w:t>
      </w:r>
      <w:r w:rsidR="00705733">
        <w:rPr>
          <w:i/>
          <w:sz w:val="20"/>
          <w:szCs w:val="20"/>
        </w:rPr>
        <w:tab/>
      </w:r>
      <w:r w:rsidRPr="00094103">
        <w:rPr>
          <w:i/>
          <w:sz w:val="20"/>
          <w:szCs w:val="20"/>
        </w:rPr>
        <w:t>program and why?</w:t>
      </w:r>
    </w:p>
    <w:p w14:paraId="59C0A669" w14:textId="77777777" w:rsidR="007071B8" w:rsidRDefault="007071B8">
      <w:pPr>
        <w:rPr>
          <w:rFonts w:asciiTheme="minorHAnsi" w:hAnsiTheme="minorHAnsi" w:cstheme="minorHAnsi"/>
          <w:color w:val="7030A0"/>
        </w:rPr>
      </w:pPr>
    </w:p>
    <w:p w14:paraId="59C0A66A" w14:textId="77777777" w:rsidR="007071B8" w:rsidRDefault="005C75B6" w:rsidP="003A64D3">
      <w:pPr>
        <w:pStyle w:val="Heading3"/>
      </w:pPr>
      <w:bookmarkStart w:id="16" w:name="_Toc330460467"/>
      <w:r>
        <w:t xml:space="preserve">3.7 </w:t>
      </w:r>
      <w:r w:rsidR="00D24B73" w:rsidRPr="00D24B73">
        <w:t>National Broadband Network</w:t>
      </w:r>
      <w:bookmarkEnd w:id="16"/>
      <w:r w:rsidR="00D24B73" w:rsidRPr="00D24B73">
        <w:tab/>
      </w:r>
    </w:p>
    <w:p w14:paraId="59C0A66B" w14:textId="77777777" w:rsidR="0040491F" w:rsidRDefault="0040491F" w:rsidP="0040491F">
      <w:r w:rsidRPr="00A32C4B">
        <w:t>The N</w:t>
      </w:r>
      <w:r>
        <w:t xml:space="preserve">ational </w:t>
      </w:r>
      <w:r w:rsidRPr="00A32C4B">
        <w:t>B</w:t>
      </w:r>
      <w:r>
        <w:t xml:space="preserve">roadband </w:t>
      </w:r>
      <w:r w:rsidRPr="00A32C4B">
        <w:t>N</w:t>
      </w:r>
      <w:r>
        <w:t>etwork (NBN)</w:t>
      </w:r>
      <w:r w:rsidRPr="00A32C4B">
        <w:t xml:space="preserve"> will provide access to high-speed broadband to </w:t>
      </w:r>
      <w:r w:rsidR="009913BB">
        <w:t>all</w:t>
      </w:r>
      <w:r w:rsidRPr="00A32C4B">
        <w:t xml:space="preserve"> Australian premises using a combination of fibre, fixed-wireless and satellite technologies:</w:t>
      </w:r>
    </w:p>
    <w:p w14:paraId="59C0A66C" w14:textId="77777777" w:rsidR="0040491F" w:rsidRDefault="0040491F" w:rsidP="0040491F"/>
    <w:p w14:paraId="59C0A66D" w14:textId="77777777" w:rsidR="009F2AA8" w:rsidRDefault="009F2AA8" w:rsidP="009A4A3E">
      <w:pPr>
        <w:pStyle w:val="ListParagraph"/>
        <w:numPr>
          <w:ilvl w:val="0"/>
          <w:numId w:val="19"/>
        </w:numPr>
        <w:ind w:left="360"/>
        <w:contextualSpacing w:val="0"/>
      </w:pPr>
      <w:r>
        <w:t>93 per cent of premises will have access to a high-speed fibre network capable of providing broadband speeds of up to one gigabit per second</w:t>
      </w:r>
    </w:p>
    <w:p w14:paraId="59C0A66E" w14:textId="77777777" w:rsidR="009F2AA8" w:rsidRDefault="009F2AA8" w:rsidP="009F2AA8">
      <w:pPr>
        <w:pStyle w:val="ListParagraph"/>
        <w:ind w:left="360"/>
      </w:pPr>
    </w:p>
    <w:p w14:paraId="59C0A66F" w14:textId="77777777" w:rsidR="009F2AA8" w:rsidRDefault="009F2AA8" w:rsidP="009A4A3E">
      <w:pPr>
        <w:pStyle w:val="ListParagraph"/>
        <w:numPr>
          <w:ilvl w:val="0"/>
          <w:numId w:val="19"/>
        </w:numPr>
        <w:ind w:left="360"/>
        <w:contextualSpacing w:val="0"/>
      </w:pPr>
      <w:r>
        <w:t xml:space="preserve">7 per cent of premises will be served by a combination of next-generation fixed-wireless and satellite technologies providing peak speeds of 12 megabits per second. </w:t>
      </w:r>
    </w:p>
    <w:p w14:paraId="59C0A670" w14:textId="77777777" w:rsidR="009F2AA8" w:rsidRDefault="009F2AA8" w:rsidP="009F2AA8"/>
    <w:p w14:paraId="59C0A671" w14:textId="77777777" w:rsidR="009F2AA8" w:rsidRPr="00406CA1" w:rsidRDefault="009F2AA8" w:rsidP="009F2AA8">
      <w:r w:rsidRPr="00406CA1">
        <w:t>The Australian Government has established NBN Co Limited (NBN Co) to design, build and operate a new high-speed NBN.</w:t>
      </w:r>
    </w:p>
    <w:p w14:paraId="59C0A672" w14:textId="77777777" w:rsidR="009F2AA8" w:rsidRPr="00406CA1" w:rsidRDefault="009F2AA8" w:rsidP="009F2AA8"/>
    <w:p w14:paraId="59C0A673" w14:textId="77777777" w:rsidR="009F2AA8" w:rsidRDefault="009F2AA8" w:rsidP="009F2AA8">
      <w:r w:rsidRPr="00406CA1">
        <w:lastRenderedPageBreak/>
        <w:t>The NBN will be Australia’s first national wholesale-only, open access broadband network offering equivalent terms and conditions to all access seekers or service providers. NBN Co will roll out the network and sell wholesale services to internet and telephone service providers. In turn service providers will offer retail services to consumers. This is a significant structural change to Australia’s telecommunications industry, aimed at encoura</w:t>
      </w:r>
      <w:r>
        <w:t>ging vibrant retail competition.</w:t>
      </w:r>
    </w:p>
    <w:p w14:paraId="59C0A674" w14:textId="77777777" w:rsidR="009F2AA8" w:rsidRPr="00F06C5A" w:rsidRDefault="009F2AA8" w:rsidP="009F2AA8"/>
    <w:p w14:paraId="59C0A675" w14:textId="77777777" w:rsidR="009F2AA8" w:rsidRPr="00F06C5A" w:rsidRDefault="009F2AA8" w:rsidP="009F2AA8">
      <w:r w:rsidRPr="00F06C5A">
        <w:t>On 29 March 2012 NBN Co released its first three year national fibre rollout plan. The indicative plan lists more than 3.5 million homes and businesses where work is due to begin, be underway or completed by mid-2015. Work on the fibre network until the end of 2012 is detailed in NBN Co’s 12 month rollout schedule. As of April 2012 construction of the NBN fibre network is underway or completed in more than 40 communities.</w:t>
      </w:r>
    </w:p>
    <w:p w14:paraId="59C0A676" w14:textId="77777777" w:rsidR="009F2AA8" w:rsidRPr="00F06C5A" w:rsidRDefault="009F2AA8" w:rsidP="009F2AA8">
      <w:pPr>
        <w:pStyle w:val="ListParagraph"/>
        <w:ind w:left="360"/>
      </w:pPr>
    </w:p>
    <w:p w14:paraId="59C0A677" w14:textId="77777777" w:rsidR="009F2AA8" w:rsidRPr="00F06C5A" w:rsidRDefault="009F2AA8" w:rsidP="009F2AA8">
      <w:r w:rsidRPr="00F06C5A">
        <w:t>Areas outside the fibre footprint will still receive vastly improved broadband services through next-generation fixed wireless or satellite technologies providing peak speeds of 12 Mbps. The next-generation fixed wireless and satellite networks are being engineered to specifically deliver high-speed broadband to regional and remote communities. These services are expected to be the equivalent of, or better than, what many experience with ADSL today. The initial wireless and satellite upload speeds will provide sufficient bandwidth to deliver standard definition video. It is also expected NBN’s satellite and wireless services will be able to support videoconferencing and a range of e-health and e-learning services. NBN Co is expected to complete these networks in 2015.</w:t>
      </w:r>
      <w:r>
        <w:t xml:space="preserve"> </w:t>
      </w:r>
      <w:r w:rsidRPr="00F06C5A">
        <w:t>This represents a significant improvement on speeds experienced by users of these technologies today.</w:t>
      </w:r>
    </w:p>
    <w:p w14:paraId="59C0A678" w14:textId="77777777" w:rsidR="009F2AA8" w:rsidRPr="00F06C5A" w:rsidRDefault="009F2AA8" w:rsidP="009F2AA8">
      <w:pPr>
        <w:autoSpaceDE w:val="0"/>
        <w:autoSpaceDN w:val="0"/>
        <w:adjustRightInd w:val="0"/>
      </w:pPr>
    </w:p>
    <w:p w14:paraId="59C0A679" w14:textId="77777777" w:rsidR="009F2AA8" w:rsidRPr="00F06C5A" w:rsidRDefault="009F2AA8" w:rsidP="009F2AA8">
      <w:r w:rsidRPr="00F06C5A">
        <w:t>The NBN will change the way Australia’s education system accesses information, collaborates and communicates, in addition to improving connections to the household for students to engage with learning institutions. It will also change the way education can be delivered by allowing people to access more information and services online — particularly in regional and remote areas.</w:t>
      </w:r>
    </w:p>
    <w:p w14:paraId="59C0A67A" w14:textId="77777777" w:rsidR="009F2AA8" w:rsidRPr="00F06C5A" w:rsidRDefault="009F2AA8" w:rsidP="009F2AA8"/>
    <w:p w14:paraId="59C0A67B" w14:textId="77777777" w:rsidR="009F2AA8" w:rsidRDefault="009F2AA8" w:rsidP="009F2AA8">
      <w:pPr>
        <w:keepNext/>
        <w:rPr>
          <w:color w:val="000000" w:themeColor="text1"/>
        </w:rPr>
      </w:pPr>
      <w:r w:rsidRPr="00F06C5A">
        <w:t xml:space="preserve">The Australian Government is seeking to improve the delivery of the LLNP program using 21st Century technology including the NBN. Future upgrades and technology improvements will enable new teaching techniques to be explored for example, the use </w:t>
      </w:r>
      <w:r w:rsidRPr="0070079D">
        <w:t>of</w:t>
      </w:r>
      <w:r>
        <w:t xml:space="preserve"> </w:t>
      </w:r>
      <w:r w:rsidRPr="0070079D">
        <w:t xml:space="preserve">real-time high definition video conferencing or virtual interactive learning environments as </w:t>
      </w:r>
      <w:r>
        <w:t xml:space="preserve">alternative or complementary </w:t>
      </w:r>
      <w:r w:rsidRPr="0070079D">
        <w:t xml:space="preserve">methods </w:t>
      </w:r>
      <w:r>
        <w:t xml:space="preserve">of delivery to face-to-face classroom delivery.  </w:t>
      </w:r>
      <w:r w:rsidRPr="009272E8">
        <w:rPr>
          <w:color w:val="000000" w:themeColor="text1"/>
        </w:rPr>
        <w:t xml:space="preserve">For </w:t>
      </w:r>
      <w:r>
        <w:rPr>
          <w:color w:val="000000" w:themeColor="text1"/>
        </w:rPr>
        <w:t xml:space="preserve">more </w:t>
      </w:r>
      <w:r w:rsidRPr="009272E8">
        <w:rPr>
          <w:color w:val="000000" w:themeColor="text1"/>
        </w:rPr>
        <w:t xml:space="preserve">information on a </w:t>
      </w:r>
      <w:r>
        <w:rPr>
          <w:color w:val="000000" w:themeColor="text1"/>
        </w:rPr>
        <w:t xml:space="preserve">range of </w:t>
      </w:r>
      <w:r w:rsidRPr="009272E8">
        <w:rPr>
          <w:color w:val="000000" w:themeColor="text1"/>
        </w:rPr>
        <w:t>NBN</w:t>
      </w:r>
      <w:r>
        <w:t xml:space="preserve"> enabled education and skills programs visit </w:t>
      </w:r>
      <w:hyperlink r:id="rId19" w:history="1">
        <w:r w:rsidRPr="007A6E14">
          <w:rPr>
            <w:rStyle w:val="Hyperlink"/>
            <w:b/>
            <w:color w:val="000000" w:themeColor="text1"/>
          </w:rPr>
          <w:t>http://nbne-learning.wikispaces.com/2012+Projects</w:t>
        </w:r>
      </w:hyperlink>
      <w:r w:rsidRPr="009272E8">
        <w:rPr>
          <w:color w:val="000000" w:themeColor="text1"/>
        </w:rPr>
        <w:t xml:space="preserve"> </w:t>
      </w:r>
      <w:r>
        <w:rPr>
          <w:color w:val="000000" w:themeColor="text1"/>
        </w:rPr>
        <w:t>.</w:t>
      </w:r>
    </w:p>
    <w:p w14:paraId="59C0A67C" w14:textId="77777777" w:rsidR="009F2AA8" w:rsidRPr="00F06C5A" w:rsidRDefault="009F2AA8" w:rsidP="009F2AA8"/>
    <w:p w14:paraId="59C0A67D" w14:textId="77777777" w:rsidR="009F2AA8" w:rsidRPr="00F06C5A" w:rsidRDefault="009F2AA8" w:rsidP="009F2AA8">
      <w:r w:rsidRPr="00F06C5A">
        <w:t xml:space="preserve">To improve the delivery of this program, the Government is seeking ideas about how the NBN can support the delivery of LLNP training.  In 2012-13 as part of the process to call for proposals for innovative projects covering improvements, research and flexibility within the LLNP, it is proposed that one of the themes for proposals will be related to the use of NBN to deliver training.  </w:t>
      </w:r>
    </w:p>
    <w:p w14:paraId="59C0A67E" w14:textId="77777777" w:rsidR="0040491F" w:rsidRDefault="0040491F" w:rsidP="0040491F"/>
    <w:p w14:paraId="59C0A67F" w14:textId="77777777" w:rsidR="00D039E6" w:rsidRPr="00FB536C" w:rsidRDefault="00D039E6" w:rsidP="00D039E6">
      <w:pPr>
        <w:pStyle w:val="ListParagraph"/>
        <w:spacing w:after="60"/>
        <w:ind w:left="0"/>
        <w:rPr>
          <w:b/>
        </w:rPr>
      </w:pPr>
      <w:r w:rsidRPr="00FB536C">
        <w:rPr>
          <w:b/>
        </w:rPr>
        <w:t>For consideration in your response:</w:t>
      </w:r>
    </w:p>
    <w:p w14:paraId="59C0A680" w14:textId="77777777" w:rsidR="0074504E" w:rsidRDefault="00D039E6" w:rsidP="009A4A3E">
      <w:pPr>
        <w:pStyle w:val="ListParagraph"/>
        <w:numPr>
          <w:ilvl w:val="0"/>
          <w:numId w:val="18"/>
        </w:numPr>
        <w:rPr>
          <w:i/>
          <w:sz w:val="20"/>
          <w:szCs w:val="20"/>
        </w:rPr>
      </w:pPr>
      <w:r w:rsidRPr="00A32C4B">
        <w:rPr>
          <w:i/>
          <w:sz w:val="20"/>
          <w:szCs w:val="20"/>
        </w:rPr>
        <w:t xml:space="preserve">How could the </w:t>
      </w:r>
      <w:r>
        <w:rPr>
          <w:i/>
          <w:sz w:val="20"/>
          <w:szCs w:val="20"/>
        </w:rPr>
        <w:t>NBN</w:t>
      </w:r>
      <w:r w:rsidRPr="00A32C4B">
        <w:rPr>
          <w:i/>
          <w:sz w:val="20"/>
          <w:szCs w:val="20"/>
        </w:rPr>
        <w:t xml:space="preserve"> be used to improve LLN delivery?</w:t>
      </w:r>
    </w:p>
    <w:p w14:paraId="59C0A681" w14:textId="77777777" w:rsidR="007071B8" w:rsidRDefault="007071B8">
      <w:pPr>
        <w:rPr>
          <w:rFonts w:asciiTheme="minorHAnsi" w:hAnsiTheme="minorHAnsi" w:cstheme="minorHAnsi"/>
          <w:color w:val="7030A0"/>
        </w:rPr>
      </w:pPr>
    </w:p>
    <w:p w14:paraId="59C0A682" w14:textId="77777777" w:rsidR="00674AB6" w:rsidRDefault="00674AB6">
      <w:pPr>
        <w:rPr>
          <w:rFonts w:asciiTheme="minorHAnsi" w:hAnsiTheme="minorHAnsi" w:cstheme="minorHAnsi"/>
          <w:color w:val="7030A0"/>
        </w:rPr>
      </w:pPr>
    </w:p>
    <w:p w14:paraId="59C0A683" w14:textId="77777777" w:rsidR="00674AB6" w:rsidRDefault="00674AB6">
      <w:pPr>
        <w:rPr>
          <w:rFonts w:asciiTheme="minorHAnsi" w:hAnsiTheme="minorHAnsi" w:cstheme="minorHAnsi"/>
          <w:color w:val="7030A0"/>
        </w:rPr>
      </w:pPr>
    </w:p>
    <w:p w14:paraId="59C0A684" w14:textId="77777777" w:rsidR="00674AB6" w:rsidRDefault="00674AB6">
      <w:pPr>
        <w:rPr>
          <w:rFonts w:asciiTheme="minorHAnsi" w:hAnsiTheme="minorHAnsi" w:cstheme="minorHAnsi"/>
          <w:color w:val="7030A0"/>
        </w:rPr>
      </w:pPr>
      <w:r>
        <w:rPr>
          <w:rFonts w:asciiTheme="minorHAnsi" w:hAnsiTheme="minorHAnsi" w:cstheme="minorHAnsi"/>
          <w:color w:val="7030A0"/>
        </w:rPr>
        <w:br w:type="page"/>
      </w:r>
    </w:p>
    <w:p w14:paraId="59C0A685" w14:textId="77777777" w:rsidR="007071B8" w:rsidRDefault="005C75B6" w:rsidP="003A64D3">
      <w:pPr>
        <w:pStyle w:val="Heading3"/>
      </w:pPr>
      <w:bookmarkStart w:id="17" w:name="_Toc330460468"/>
      <w:r>
        <w:lastRenderedPageBreak/>
        <w:t xml:space="preserve">3.8 </w:t>
      </w:r>
      <w:r w:rsidR="00D24B73" w:rsidRPr="00D24B73">
        <w:t>Geographic Coverage</w:t>
      </w:r>
      <w:bookmarkEnd w:id="17"/>
      <w:r w:rsidR="00D24B73" w:rsidRPr="00D24B73">
        <w:tab/>
      </w:r>
    </w:p>
    <w:p w14:paraId="59C0A686" w14:textId="77777777" w:rsidR="005F7319" w:rsidRDefault="008D1AA4" w:rsidP="008D1AA4">
      <w:r w:rsidRPr="00637621">
        <w:t>In recent years there has been discussion regarding</w:t>
      </w:r>
      <w:r w:rsidR="009913BB">
        <w:t xml:space="preserve"> whether or not</w:t>
      </w:r>
      <w:r w:rsidRPr="00637621">
        <w:t xml:space="preserve"> LLNP geographic boundaries </w:t>
      </w:r>
      <w:r w:rsidR="009913BB">
        <w:t>should align</w:t>
      </w:r>
      <w:r w:rsidRPr="00637621">
        <w:t xml:space="preserve"> with the </w:t>
      </w:r>
      <w:r w:rsidR="000221A2">
        <w:t>E</w:t>
      </w:r>
      <w:r w:rsidR="00DA7F09">
        <w:t>mployment Service Area (E</w:t>
      </w:r>
      <w:r w:rsidR="000221A2">
        <w:t>SA</w:t>
      </w:r>
      <w:r w:rsidR="00DA7F09">
        <w:t>)</w:t>
      </w:r>
      <w:r w:rsidRPr="00637621">
        <w:t xml:space="preserve"> boundaries.  </w:t>
      </w:r>
    </w:p>
    <w:p w14:paraId="59C0A687" w14:textId="77777777" w:rsidR="009913BB" w:rsidRDefault="009913BB" w:rsidP="008D1AA4"/>
    <w:p w14:paraId="59C0A688" w14:textId="77777777" w:rsidR="00B23E40" w:rsidRDefault="005C75B6" w:rsidP="008D1AA4">
      <w:r>
        <w:t>Aligning the boundaries could</w:t>
      </w:r>
      <w:r w:rsidR="005F7319">
        <w:t xml:space="preserve"> </w:t>
      </w:r>
      <w:r>
        <w:t>strengthen</w:t>
      </w:r>
      <w:r w:rsidR="00B23E40">
        <w:t xml:space="preserve"> linkages with </w:t>
      </w:r>
      <w:r w:rsidR="005F7319">
        <w:t xml:space="preserve">Employment Service Providers (both </w:t>
      </w:r>
      <w:r w:rsidR="000221A2">
        <w:t>JSA</w:t>
      </w:r>
      <w:r w:rsidR="00B23E40">
        <w:t xml:space="preserve"> </w:t>
      </w:r>
      <w:r w:rsidR="005F7319">
        <w:t xml:space="preserve">and </w:t>
      </w:r>
      <w:r w:rsidR="000221A2">
        <w:t>DES</w:t>
      </w:r>
      <w:r w:rsidR="000221A2" w:rsidRPr="000221A2">
        <w:t xml:space="preserve"> </w:t>
      </w:r>
      <w:r w:rsidR="000221A2">
        <w:t>providers</w:t>
      </w:r>
      <w:r w:rsidR="005F7319">
        <w:t xml:space="preserve">) </w:t>
      </w:r>
      <w:r w:rsidR="00B23E40">
        <w:t xml:space="preserve">furthering the Government’s agenda for an increased focus on employment </w:t>
      </w:r>
      <w:r>
        <w:t>outcomes resulting from participation in the LLNP</w:t>
      </w:r>
      <w:r w:rsidR="00B23E40">
        <w:t xml:space="preserve">. </w:t>
      </w:r>
    </w:p>
    <w:p w14:paraId="59C0A689" w14:textId="77777777" w:rsidR="00B23E40" w:rsidRDefault="00B23E40" w:rsidP="008D1AA4"/>
    <w:p w14:paraId="59C0A68A" w14:textId="77777777" w:rsidR="00F542EA" w:rsidRDefault="005F7319" w:rsidP="008D1AA4">
      <w:r>
        <w:t xml:space="preserve">If there </w:t>
      </w:r>
      <w:r w:rsidR="00BA25A2">
        <w:t>was a</w:t>
      </w:r>
      <w:r>
        <w:t xml:space="preserve"> change to the geographic boundaries, t</w:t>
      </w:r>
      <w:r w:rsidR="00B23E40">
        <w:t xml:space="preserve">he Government </w:t>
      </w:r>
      <w:r w:rsidR="00BA25A2">
        <w:t xml:space="preserve">would </w:t>
      </w:r>
      <w:r w:rsidR="00B23E40">
        <w:t>need to undertake a mapping exercise</w:t>
      </w:r>
      <w:r>
        <w:t xml:space="preserve">.  Any contract offers would be based on </w:t>
      </w:r>
      <w:r w:rsidR="009913BB">
        <w:t xml:space="preserve">these </w:t>
      </w:r>
      <w:r>
        <w:t xml:space="preserve">changes. </w:t>
      </w:r>
    </w:p>
    <w:p w14:paraId="59C0A68B" w14:textId="77777777" w:rsidR="00F542EA" w:rsidRDefault="00F542EA" w:rsidP="008D1AA4"/>
    <w:p w14:paraId="59C0A68C" w14:textId="77777777" w:rsidR="00B70171" w:rsidRDefault="00C12A04" w:rsidP="00C12A04">
      <w:r>
        <w:t>A visual comparison of BSAs and ESAs is included on the following page.</w:t>
      </w:r>
    </w:p>
    <w:p w14:paraId="59C0A68D" w14:textId="77777777" w:rsidR="009913BB" w:rsidRDefault="009913BB" w:rsidP="00C12A04"/>
    <w:p w14:paraId="59C0A68E" w14:textId="77777777" w:rsidR="009913BB" w:rsidRPr="00FB536C" w:rsidRDefault="009913BB" w:rsidP="009913BB">
      <w:pPr>
        <w:pStyle w:val="ListParagraph"/>
        <w:spacing w:after="60"/>
        <w:ind w:left="0"/>
        <w:rPr>
          <w:b/>
        </w:rPr>
      </w:pPr>
      <w:r w:rsidRPr="00FB536C">
        <w:rPr>
          <w:b/>
        </w:rPr>
        <w:t>For consideration in your response:</w:t>
      </w:r>
    </w:p>
    <w:p w14:paraId="59C0A68F" w14:textId="77777777" w:rsidR="009913BB" w:rsidRDefault="009913BB" w:rsidP="009A4A3E">
      <w:pPr>
        <w:pStyle w:val="ListParagraph"/>
        <w:numPr>
          <w:ilvl w:val="0"/>
          <w:numId w:val="18"/>
        </w:numPr>
        <w:ind w:left="709" w:hanging="709"/>
        <w:rPr>
          <w:i/>
          <w:sz w:val="20"/>
          <w:szCs w:val="20"/>
        </w:rPr>
      </w:pPr>
      <w:r>
        <w:rPr>
          <w:i/>
          <w:sz w:val="20"/>
          <w:szCs w:val="20"/>
        </w:rPr>
        <w:t>What are the pros and cons to changing LLNP geographic</w:t>
      </w:r>
      <w:r w:rsidR="00586428">
        <w:rPr>
          <w:i/>
          <w:sz w:val="20"/>
          <w:szCs w:val="20"/>
        </w:rPr>
        <w:t xml:space="preserve"> boundaries to align with ESA  </w:t>
      </w:r>
      <w:r>
        <w:rPr>
          <w:i/>
          <w:sz w:val="20"/>
          <w:szCs w:val="20"/>
        </w:rPr>
        <w:t>boundaries?</w:t>
      </w:r>
    </w:p>
    <w:p w14:paraId="59C0A690" w14:textId="77777777" w:rsidR="00B1392D" w:rsidRPr="009913BB" w:rsidRDefault="00B1392D" w:rsidP="009A4A3E">
      <w:pPr>
        <w:pStyle w:val="ListParagraph"/>
        <w:numPr>
          <w:ilvl w:val="0"/>
          <w:numId w:val="18"/>
        </w:numPr>
        <w:rPr>
          <w:i/>
          <w:sz w:val="20"/>
          <w:szCs w:val="20"/>
        </w:rPr>
        <w:sectPr w:rsidR="00B1392D" w:rsidRPr="009913BB" w:rsidSect="00AB000F">
          <w:type w:val="continuous"/>
          <w:pgSz w:w="11906" w:h="16838"/>
          <w:pgMar w:top="1440" w:right="1800" w:bottom="1440" w:left="1800" w:header="708" w:footer="708" w:gutter="0"/>
          <w:cols w:space="708"/>
          <w:titlePg/>
          <w:docGrid w:linePitch="360"/>
        </w:sectPr>
      </w:pPr>
    </w:p>
    <w:p w14:paraId="59C0A691" w14:textId="77777777" w:rsidR="007071B8" w:rsidRDefault="00D24B73">
      <w:pPr>
        <w:pBdr>
          <w:bottom w:val="single" w:sz="4" w:space="1" w:color="365F91" w:themeColor="accent1" w:themeShade="BF"/>
        </w:pBdr>
        <w:rPr>
          <w:rFonts w:ascii="Century Gothic" w:hAnsi="Century Gothic" w:cstheme="minorHAnsi"/>
          <w:color w:val="4F81BD" w:themeColor="accent1"/>
        </w:rPr>
      </w:pPr>
      <w:r w:rsidRPr="00D24B73">
        <w:rPr>
          <w:rFonts w:ascii="Century Gothic" w:hAnsi="Century Gothic" w:cstheme="minorHAnsi"/>
          <w:color w:val="4F81BD" w:themeColor="accent1"/>
        </w:rPr>
        <w:lastRenderedPageBreak/>
        <w:t>Comparison of LLNP Business Service Areas and Employment Service Areas</w:t>
      </w:r>
      <w:r w:rsidRPr="00D24B73">
        <w:rPr>
          <w:rFonts w:ascii="Century Gothic" w:hAnsi="Century Gothic" w:cstheme="minorHAnsi"/>
          <w:color w:val="4F81BD" w:themeColor="accent1"/>
        </w:rPr>
        <w:tab/>
      </w:r>
      <w:r w:rsidR="007071B8">
        <w:rPr>
          <w:rFonts w:ascii="Century Gothic" w:hAnsi="Century Gothic" w:cstheme="minorHAnsi"/>
          <w:b/>
          <w:noProof/>
          <w:color w:val="4F81BD" w:themeColor="accent1"/>
        </w:rPr>
        <w:drawing>
          <wp:anchor distT="0" distB="0" distL="114300" distR="114300" simplePos="0" relativeHeight="251661312" behindDoc="0" locked="0" layoutInCell="1" allowOverlap="1" wp14:anchorId="59C0A83A" wp14:editId="59C0A83B">
            <wp:simplePos x="0" y="0"/>
            <wp:positionH relativeFrom="column">
              <wp:posOffset>1561879</wp:posOffset>
            </wp:positionH>
            <wp:positionV relativeFrom="paragraph">
              <wp:posOffset>8218303</wp:posOffset>
            </wp:positionV>
            <wp:extent cx="10177574" cy="1297172"/>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l="3289" r="1867" b="18072"/>
                    <a:stretch>
                      <a:fillRect/>
                    </a:stretch>
                  </pic:blipFill>
                  <pic:spPr bwMode="auto">
                    <a:xfrm>
                      <a:off x="0" y="0"/>
                      <a:ext cx="10177574" cy="1297172"/>
                    </a:xfrm>
                    <a:prstGeom prst="rect">
                      <a:avLst/>
                    </a:prstGeom>
                    <a:noFill/>
                    <a:ln w="9525">
                      <a:noFill/>
                      <a:miter lim="800000"/>
                      <a:headEnd/>
                      <a:tailEnd/>
                    </a:ln>
                  </pic:spPr>
                </pic:pic>
              </a:graphicData>
            </a:graphic>
          </wp:anchor>
        </w:drawing>
      </w:r>
      <w:r w:rsidR="007071B8">
        <w:rPr>
          <w:rFonts w:ascii="Century Gothic" w:hAnsi="Century Gothic" w:cstheme="minorHAnsi"/>
          <w:b/>
          <w:noProof/>
          <w:color w:val="4F81BD" w:themeColor="accent1"/>
        </w:rPr>
        <w:drawing>
          <wp:anchor distT="0" distB="0" distL="114300" distR="114300" simplePos="0" relativeHeight="251662336" behindDoc="0" locked="0" layoutInCell="1" allowOverlap="1" wp14:anchorId="59C0A83C" wp14:editId="59C0A83D">
            <wp:simplePos x="0" y="0"/>
            <wp:positionH relativeFrom="margin">
              <wp:posOffset>1569085</wp:posOffset>
            </wp:positionH>
            <wp:positionV relativeFrom="margin">
              <wp:posOffset>7660640</wp:posOffset>
            </wp:positionV>
            <wp:extent cx="2106295" cy="739140"/>
            <wp:effectExtent l="19050" t="0" r="825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106295" cy="739140"/>
                    </a:xfrm>
                    <a:prstGeom prst="rect">
                      <a:avLst/>
                    </a:prstGeom>
                    <a:noFill/>
                    <a:ln w="9525">
                      <a:noFill/>
                      <a:miter lim="800000"/>
                      <a:headEnd/>
                      <a:tailEnd/>
                    </a:ln>
                  </pic:spPr>
                </pic:pic>
              </a:graphicData>
            </a:graphic>
          </wp:anchor>
        </w:drawing>
      </w:r>
    </w:p>
    <w:p w14:paraId="59C0A692" w14:textId="77777777" w:rsidR="007071B8" w:rsidRDefault="007071B8">
      <w:pPr>
        <w:tabs>
          <w:tab w:val="left" w:pos="5526"/>
        </w:tabs>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0" locked="0" layoutInCell="1" allowOverlap="1" wp14:anchorId="59C0A83E" wp14:editId="59C0A83F">
            <wp:simplePos x="0" y="0"/>
            <wp:positionH relativeFrom="margin">
              <wp:posOffset>1576070</wp:posOffset>
            </wp:positionH>
            <wp:positionV relativeFrom="margin">
              <wp:posOffset>508000</wp:posOffset>
            </wp:positionV>
            <wp:extent cx="10167620" cy="7952740"/>
            <wp:effectExtent l="19050" t="0" r="508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l="581" t="3461" r="2713"/>
                    <a:stretch>
                      <a:fillRect/>
                    </a:stretch>
                  </pic:blipFill>
                  <pic:spPr bwMode="auto">
                    <a:xfrm>
                      <a:off x="0" y="0"/>
                      <a:ext cx="10167620" cy="7952740"/>
                    </a:xfrm>
                    <a:prstGeom prst="rect">
                      <a:avLst/>
                    </a:prstGeom>
                    <a:noFill/>
                    <a:ln w="9525">
                      <a:noFill/>
                      <a:miter lim="800000"/>
                      <a:headEnd/>
                      <a:tailEnd/>
                    </a:ln>
                  </pic:spPr>
                </pic:pic>
              </a:graphicData>
            </a:graphic>
          </wp:anchor>
        </w:drawing>
      </w:r>
      <w:r w:rsidR="00901E91">
        <w:rPr>
          <w:rFonts w:asciiTheme="minorHAnsi" w:hAnsiTheme="minorHAnsi" w:cstheme="minorHAnsi"/>
        </w:rPr>
        <w:t>The pink line represents the ESA boundaries, whereas the black line represents the LLNP BSA boundaries. Please note, colours are used to distinguish the different BSAs.</w:t>
      </w:r>
    </w:p>
    <w:p w14:paraId="59C0A693" w14:textId="77777777" w:rsidR="00901E91" w:rsidRPr="00901E91" w:rsidRDefault="00901E91" w:rsidP="00C26142">
      <w:pPr>
        <w:rPr>
          <w:rFonts w:asciiTheme="minorHAnsi" w:hAnsiTheme="minorHAnsi" w:cstheme="minorHAnsi"/>
        </w:rPr>
        <w:sectPr w:rsidR="00901E91" w:rsidRPr="00901E91" w:rsidSect="00901E91">
          <w:pgSz w:w="23814" w:h="16840" w:orient="landscape" w:code="8"/>
          <w:pgMar w:top="284" w:right="1440" w:bottom="1021" w:left="1440" w:header="709" w:footer="709" w:gutter="0"/>
          <w:cols w:space="708"/>
          <w:titlePg/>
          <w:docGrid w:linePitch="360"/>
        </w:sectPr>
      </w:pPr>
    </w:p>
    <w:p w14:paraId="59C0A694" w14:textId="77777777" w:rsidR="00DD4A56" w:rsidRDefault="00111740" w:rsidP="003A64D3">
      <w:pPr>
        <w:pStyle w:val="Heading3"/>
        <w:rPr>
          <w:rFonts w:asciiTheme="minorHAnsi" w:hAnsiTheme="minorHAnsi"/>
        </w:rPr>
      </w:pPr>
      <w:bookmarkStart w:id="18" w:name="_Toc330460469"/>
      <w:r>
        <w:lastRenderedPageBreak/>
        <w:t xml:space="preserve">3.9 </w:t>
      </w:r>
      <w:r w:rsidR="00D24B73" w:rsidRPr="00D24B73">
        <w:t>Training and Assessment Sites</w:t>
      </w:r>
      <w:bookmarkEnd w:id="18"/>
      <w:r w:rsidR="00D24B73" w:rsidRPr="00D24B73">
        <w:tab/>
      </w:r>
    </w:p>
    <w:p w14:paraId="59C0A695" w14:textId="77777777" w:rsidR="008C2175" w:rsidRDefault="008C2175" w:rsidP="009C545D">
      <w:pPr>
        <w:pStyle w:val="CommentText"/>
        <w:rPr>
          <w:sz w:val="22"/>
          <w:szCs w:val="22"/>
        </w:rPr>
      </w:pPr>
      <w:r>
        <w:rPr>
          <w:sz w:val="22"/>
          <w:szCs w:val="22"/>
        </w:rPr>
        <w:t>As mentioned earlier</w:t>
      </w:r>
      <w:r w:rsidR="00B9428B">
        <w:rPr>
          <w:sz w:val="22"/>
          <w:szCs w:val="22"/>
        </w:rPr>
        <w:t>,</w:t>
      </w:r>
      <w:r>
        <w:rPr>
          <w:sz w:val="22"/>
          <w:szCs w:val="22"/>
        </w:rPr>
        <w:t xml:space="preserve"> the delivery of LLNP is defined by BSA and then within the BSA there are site locations.  The site location is the actual address the LLNP provider is delivering services from.  The site location details are needed by referring agencies so that they know where to send the job seeker.  </w:t>
      </w:r>
    </w:p>
    <w:p w14:paraId="59C0A696" w14:textId="77777777" w:rsidR="008C2175" w:rsidRDefault="008C2175" w:rsidP="009C545D">
      <w:pPr>
        <w:pStyle w:val="CommentText"/>
        <w:rPr>
          <w:sz w:val="22"/>
          <w:szCs w:val="22"/>
        </w:rPr>
      </w:pPr>
    </w:p>
    <w:p w14:paraId="59C0A697" w14:textId="77777777" w:rsidR="008C2175" w:rsidRDefault="008C2175" w:rsidP="009C545D">
      <w:pPr>
        <w:pStyle w:val="CommentText"/>
        <w:rPr>
          <w:sz w:val="22"/>
          <w:szCs w:val="22"/>
        </w:rPr>
      </w:pPr>
      <w:r>
        <w:rPr>
          <w:sz w:val="22"/>
          <w:szCs w:val="22"/>
        </w:rPr>
        <w:t xml:space="preserve">In the past, </w:t>
      </w:r>
      <w:r w:rsidR="009913BB">
        <w:rPr>
          <w:sz w:val="22"/>
          <w:szCs w:val="22"/>
        </w:rPr>
        <w:t>it has been common practice for</w:t>
      </w:r>
      <w:r>
        <w:rPr>
          <w:sz w:val="22"/>
          <w:szCs w:val="22"/>
        </w:rPr>
        <w:t xml:space="preserve"> site locations </w:t>
      </w:r>
      <w:r w:rsidR="009913BB">
        <w:rPr>
          <w:sz w:val="22"/>
          <w:szCs w:val="22"/>
        </w:rPr>
        <w:t xml:space="preserve">to be </w:t>
      </w:r>
      <w:r>
        <w:rPr>
          <w:sz w:val="22"/>
          <w:szCs w:val="22"/>
        </w:rPr>
        <w:t xml:space="preserve">listed </w:t>
      </w:r>
      <w:r w:rsidR="009913BB">
        <w:rPr>
          <w:sz w:val="22"/>
          <w:szCs w:val="22"/>
        </w:rPr>
        <w:t>in</w:t>
      </w:r>
      <w:r w:rsidR="00902009">
        <w:rPr>
          <w:sz w:val="22"/>
          <w:szCs w:val="22"/>
        </w:rPr>
        <w:t xml:space="preserve"> the t</w:t>
      </w:r>
      <w:r>
        <w:rPr>
          <w:sz w:val="22"/>
          <w:szCs w:val="22"/>
        </w:rPr>
        <w:t>ende</w:t>
      </w:r>
      <w:r w:rsidR="00B9428B">
        <w:rPr>
          <w:sz w:val="22"/>
          <w:szCs w:val="22"/>
        </w:rPr>
        <w:t>r proposal.  This provides the G</w:t>
      </w:r>
      <w:r>
        <w:rPr>
          <w:sz w:val="22"/>
          <w:szCs w:val="22"/>
        </w:rPr>
        <w:t>overnment with assurance of geographic coverage.  Where tenderers are unable to provide</w:t>
      </w:r>
      <w:r w:rsidR="00B9428B">
        <w:rPr>
          <w:sz w:val="22"/>
          <w:szCs w:val="22"/>
        </w:rPr>
        <w:t xml:space="preserve"> these</w:t>
      </w:r>
      <w:r>
        <w:rPr>
          <w:sz w:val="22"/>
          <w:szCs w:val="22"/>
        </w:rPr>
        <w:t xml:space="preserve"> details, they are allowed a short period of time (before signing the contract) to finalise the training venues and </w:t>
      </w:r>
      <w:r w:rsidR="00111740">
        <w:rPr>
          <w:sz w:val="22"/>
          <w:szCs w:val="22"/>
        </w:rPr>
        <w:t>provide the</w:t>
      </w:r>
      <w:r>
        <w:rPr>
          <w:sz w:val="22"/>
          <w:szCs w:val="22"/>
        </w:rPr>
        <w:t xml:space="preserve"> address details to the Department.</w:t>
      </w:r>
    </w:p>
    <w:p w14:paraId="59C0A698" w14:textId="77777777" w:rsidR="009C545D" w:rsidRDefault="009C545D" w:rsidP="009C545D">
      <w:pPr>
        <w:pStyle w:val="CommentText"/>
        <w:rPr>
          <w:sz w:val="22"/>
          <w:szCs w:val="22"/>
        </w:rPr>
      </w:pPr>
    </w:p>
    <w:p w14:paraId="59C0A699" w14:textId="77777777" w:rsidR="00D65D4E" w:rsidRDefault="009913BB">
      <w:pPr>
        <w:pStyle w:val="CommentText"/>
        <w:rPr>
          <w:sz w:val="22"/>
          <w:szCs w:val="22"/>
        </w:rPr>
      </w:pPr>
      <w:r>
        <w:rPr>
          <w:sz w:val="22"/>
          <w:szCs w:val="22"/>
        </w:rPr>
        <w:t xml:space="preserve">Having site addresses listed in the contract creates an </w:t>
      </w:r>
      <w:r w:rsidR="00B6262E">
        <w:rPr>
          <w:sz w:val="22"/>
          <w:szCs w:val="22"/>
        </w:rPr>
        <w:t xml:space="preserve">administrative </w:t>
      </w:r>
      <w:r w:rsidR="00111740">
        <w:rPr>
          <w:sz w:val="22"/>
          <w:szCs w:val="22"/>
        </w:rPr>
        <w:t>task</w:t>
      </w:r>
      <w:r w:rsidR="00B6262E">
        <w:rPr>
          <w:sz w:val="22"/>
          <w:szCs w:val="22"/>
        </w:rPr>
        <w:t xml:space="preserve"> </w:t>
      </w:r>
      <w:r>
        <w:rPr>
          <w:sz w:val="22"/>
          <w:szCs w:val="22"/>
        </w:rPr>
        <w:t xml:space="preserve">when these details change. </w:t>
      </w:r>
      <w:r w:rsidR="00B6262E">
        <w:rPr>
          <w:sz w:val="22"/>
          <w:szCs w:val="22"/>
        </w:rPr>
        <w:t xml:space="preserve">In </w:t>
      </w:r>
      <w:r w:rsidR="00111740">
        <w:rPr>
          <w:sz w:val="22"/>
          <w:szCs w:val="22"/>
        </w:rPr>
        <w:t>this</w:t>
      </w:r>
      <w:r w:rsidR="009C545D">
        <w:rPr>
          <w:sz w:val="22"/>
          <w:szCs w:val="22"/>
        </w:rPr>
        <w:t xml:space="preserve"> event</w:t>
      </w:r>
      <w:r w:rsidR="00111740">
        <w:rPr>
          <w:sz w:val="22"/>
          <w:szCs w:val="22"/>
        </w:rPr>
        <w:t xml:space="preserve"> a contract variation needs to be negotiated and agreed between the provider and the Department.  </w:t>
      </w:r>
      <w:r>
        <w:rPr>
          <w:sz w:val="22"/>
          <w:szCs w:val="22"/>
        </w:rPr>
        <w:t>F</w:t>
      </w:r>
      <w:r w:rsidR="009C545D">
        <w:rPr>
          <w:sz w:val="22"/>
          <w:szCs w:val="22"/>
        </w:rPr>
        <w:t xml:space="preserve">ailure to commence training delivery </w:t>
      </w:r>
      <w:r w:rsidR="0001158C">
        <w:rPr>
          <w:sz w:val="22"/>
          <w:szCs w:val="22"/>
        </w:rPr>
        <w:t>at</w:t>
      </w:r>
      <w:r w:rsidR="009C545D">
        <w:rPr>
          <w:sz w:val="22"/>
          <w:szCs w:val="22"/>
        </w:rPr>
        <w:t xml:space="preserve"> a site listed in the contract is considered to be a breach of contract. </w:t>
      </w:r>
    </w:p>
    <w:p w14:paraId="59C0A69A" w14:textId="77777777" w:rsidR="00D65D4E" w:rsidRDefault="00D65D4E">
      <w:pPr>
        <w:pStyle w:val="CommentText"/>
        <w:rPr>
          <w:sz w:val="22"/>
          <w:szCs w:val="22"/>
        </w:rPr>
      </w:pPr>
    </w:p>
    <w:p w14:paraId="59C0A69B" w14:textId="77777777" w:rsidR="00342A55" w:rsidRDefault="0067588A">
      <w:pPr>
        <w:pStyle w:val="CommentText"/>
        <w:rPr>
          <w:sz w:val="22"/>
          <w:szCs w:val="22"/>
        </w:rPr>
      </w:pPr>
      <w:r>
        <w:rPr>
          <w:sz w:val="22"/>
          <w:szCs w:val="22"/>
        </w:rPr>
        <w:t>Site address information is imperative for the successful administration of the program as referring agencies need to know the address of an LLNP site so that they can make a PTA appointment for the job seeker.</w:t>
      </w:r>
      <w:r w:rsidR="009913BB">
        <w:rPr>
          <w:sz w:val="22"/>
          <w:szCs w:val="22"/>
        </w:rPr>
        <w:t xml:space="preserve"> T</w:t>
      </w:r>
      <w:r w:rsidR="00342A55">
        <w:rPr>
          <w:sz w:val="22"/>
          <w:szCs w:val="22"/>
        </w:rPr>
        <w:t xml:space="preserve">he Government is looking at ways to </w:t>
      </w:r>
      <w:r w:rsidR="00BD2652">
        <w:rPr>
          <w:sz w:val="22"/>
          <w:szCs w:val="22"/>
        </w:rPr>
        <w:t xml:space="preserve">make </w:t>
      </w:r>
      <w:r w:rsidR="00342A55">
        <w:rPr>
          <w:sz w:val="22"/>
          <w:szCs w:val="22"/>
        </w:rPr>
        <w:t>the</w:t>
      </w:r>
      <w:r w:rsidR="00BD2652">
        <w:rPr>
          <w:sz w:val="22"/>
          <w:szCs w:val="22"/>
        </w:rPr>
        <w:t xml:space="preserve"> data collection process</w:t>
      </w:r>
      <w:r w:rsidR="00006B6F">
        <w:rPr>
          <w:sz w:val="22"/>
          <w:szCs w:val="22"/>
        </w:rPr>
        <w:t xml:space="preserve"> for site details</w:t>
      </w:r>
      <w:r w:rsidR="00BD2652">
        <w:rPr>
          <w:sz w:val="22"/>
          <w:szCs w:val="22"/>
        </w:rPr>
        <w:t xml:space="preserve"> more</w:t>
      </w:r>
      <w:r w:rsidR="00342A55">
        <w:rPr>
          <w:sz w:val="22"/>
          <w:szCs w:val="22"/>
        </w:rPr>
        <w:t xml:space="preserve"> efficient.</w:t>
      </w:r>
    </w:p>
    <w:p w14:paraId="59C0A69C" w14:textId="77777777" w:rsidR="00712F8E" w:rsidRDefault="0067588A">
      <w:pPr>
        <w:pStyle w:val="CommentText"/>
        <w:rPr>
          <w:sz w:val="22"/>
          <w:szCs w:val="22"/>
        </w:rPr>
      </w:pPr>
      <w:r>
        <w:rPr>
          <w:sz w:val="22"/>
          <w:szCs w:val="22"/>
        </w:rPr>
        <w:t xml:space="preserve"> </w:t>
      </w:r>
    </w:p>
    <w:p w14:paraId="59C0A69D" w14:textId="77777777" w:rsidR="00712F8E" w:rsidRPr="00FB536C" w:rsidRDefault="00712F8E" w:rsidP="00712F8E">
      <w:pPr>
        <w:pStyle w:val="ListParagraph"/>
        <w:spacing w:after="60"/>
        <w:ind w:left="0"/>
        <w:rPr>
          <w:b/>
        </w:rPr>
      </w:pPr>
      <w:r w:rsidRPr="00FB536C">
        <w:rPr>
          <w:b/>
        </w:rPr>
        <w:t>For consideration in your response:</w:t>
      </w:r>
    </w:p>
    <w:p w14:paraId="59C0A69E" w14:textId="77777777" w:rsidR="0074504E" w:rsidRDefault="00712F8E" w:rsidP="009A4A3E">
      <w:pPr>
        <w:pStyle w:val="ListParagraph"/>
        <w:numPr>
          <w:ilvl w:val="0"/>
          <w:numId w:val="18"/>
        </w:numPr>
        <w:rPr>
          <w:i/>
          <w:sz w:val="20"/>
          <w:szCs w:val="20"/>
        </w:rPr>
      </w:pPr>
      <w:r w:rsidRPr="0067588A">
        <w:rPr>
          <w:i/>
          <w:sz w:val="20"/>
          <w:szCs w:val="20"/>
        </w:rPr>
        <w:t>Where should site address details be record</w:t>
      </w:r>
      <w:r>
        <w:rPr>
          <w:i/>
          <w:sz w:val="20"/>
          <w:szCs w:val="20"/>
        </w:rPr>
        <w:t>ed</w:t>
      </w:r>
      <w:r w:rsidRPr="0067588A">
        <w:rPr>
          <w:i/>
          <w:sz w:val="20"/>
          <w:szCs w:val="20"/>
        </w:rPr>
        <w:t>?</w:t>
      </w:r>
    </w:p>
    <w:p w14:paraId="59C0A69F" w14:textId="77777777" w:rsidR="0074504E" w:rsidRDefault="00D24B73" w:rsidP="009A4A3E">
      <w:pPr>
        <w:pStyle w:val="ListParagraph"/>
        <w:numPr>
          <w:ilvl w:val="0"/>
          <w:numId w:val="18"/>
        </w:numPr>
        <w:rPr>
          <w:i/>
          <w:sz w:val="20"/>
          <w:szCs w:val="20"/>
        </w:rPr>
      </w:pPr>
      <w:r w:rsidRPr="00D24B73">
        <w:rPr>
          <w:i/>
          <w:sz w:val="20"/>
          <w:szCs w:val="20"/>
        </w:rPr>
        <w:t>What is an acceptable period of time for LLNP providers to forward address details?</w:t>
      </w:r>
    </w:p>
    <w:p w14:paraId="59C0A6A0" w14:textId="77777777" w:rsidR="00712F8E" w:rsidRPr="00FB536C" w:rsidRDefault="00712F8E" w:rsidP="00712F8E">
      <w:pPr>
        <w:pStyle w:val="ListParagraph"/>
        <w:ind w:left="360"/>
        <w:rPr>
          <w:i/>
          <w:sz w:val="20"/>
          <w:szCs w:val="20"/>
        </w:rPr>
      </w:pPr>
    </w:p>
    <w:p w14:paraId="59C0A6A1" w14:textId="77777777" w:rsidR="007071B8" w:rsidRDefault="00D24B73" w:rsidP="003A64D3">
      <w:pPr>
        <w:pStyle w:val="Heading3"/>
        <w:rPr>
          <w:rFonts w:asciiTheme="minorHAnsi" w:hAnsiTheme="minorHAnsi"/>
          <w:color w:val="7030A0"/>
        </w:rPr>
      </w:pPr>
      <w:bookmarkStart w:id="19" w:name="_Toc330460470"/>
      <w:r w:rsidRPr="00D24B73">
        <w:t>3.10 Performance Framework</w:t>
      </w:r>
      <w:bookmarkEnd w:id="19"/>
      <w:r w:rsidRPr="00D24B73">
        <w:tab/>
      </w:r>
    </w:p>
    <w:p w14:paraId="59C0A6A2" w14:textId="77777777" w:rsidR="003F2589" w:rsidRDefault="001F7AF0" w:rsidP="001F7AF0">
      <w:r w:rsidRPr="002F5F9A">
        <w:t xml:space="preserve">The </w:t>
      </w:r>
      <w:r w:rsidR="00037FD9">
        <w:t>Government</w:t>
      </w:r>
      <w:r w:rsidR="00037FD9" w:rsidRPr="002F5F9A">
        <w:t xml:space="preserve"> </w:t>
      </w:r>
      <w:r w:rsidRPr="002F5F9A">
        <w:t xml:space="preserve">is committed to </w:t>
      </w:r>
      <w:r w:rsidRPr="00F22C93">
        <w:t>achieving high quality LLN training for clients under the LLNP</w:t>
      </w:r>
      <w:r w:rsidR="003F2589">
        <w:t xml:space="preserve">. </w:t>
      </w:r>
      <w:r w:rsidR="007F26E7">
        <w:t xml:space="preserve"> A series of Key Performance Indicators (KPIs) is used to measure and assess the performance of the program. </w:t>
      </w:r>
    </w:p>
    <w:p w14:paraId="59C0A6A3" w14:textId="77777777" w:rsidR="003F2589" w:rsidRDefault="003F2589" w:rsidP="001F7AF0"/>
    <w:p w14:paraId="59C0A6A4" w14:textId="77777777" w:rsidR="003F2589" w:rsidRDefault="007F26E7" w:rsidP="001F7AF0">
      <w:r>
        <w:t>As</w:t>
      </w:r>
      <w:r w:rsidR="003F2589">
        <w:t xml:space="preserve"> the LLNP has changed </w:t>
      </w:r>
      <w:r>
        <w:t>over the last decade, t</w:t>
      </w:r>
      <w:r w:rsidR="003F2589">
        <w:t>he Government has critically reviewed the LLNP KPI</w:t>
      </w:r>
      <w:r>
        <w:t>s</w:t>
      </w:r>
      <w:r w:rsidR="003F2589">
        <w:t xml:space="preserve"> with a view to ensure the most accurate </w:t>
      </w:r>
      <w:r>
        <w:t xml:space="preserve">and informative </w:t>
      </w:r>
      <w:r w:rsidR="003F2589">
        <w:t xml:space="preserve">performance measures are captured and reported.  </w:t>
      </w:r>
    </w:p>
    <w:p w14:paraId="59C0A6A5" w14:textId="77777777" w:rsidR="00A2079F" w:rsidRDefault="00A2079F" w:rsidP="001F7AF0"/>
    <w:p w14:paraId="59C0A6A6" w14:textId="77777777" w:rsidR="00A2079F" w:rsidRDefault="00A2079F" w:rsidP="00A2079F">
      <w:r>
        <w:t xml:space="preserve">The current KPIs for LLNP providers are outlined in the table below.  </w:t>
      </w:r>
    </w:p>
    <w:p w14:paraId="59C0A6A7" w14:textId="77777777" w:rsidR="00A2079F" w:rsidRDefault="00A2079F" w:rsidP="00A2079F"/>
    <w:p w14:paraId="59C0A6A8" w14:textId="77777777" w:rsidR="00A2079F" w:rsidRDefault="00A2079F" w:rsidP="00A2079F">
      <w:r w:rsidRPr="00D24B73">
        <w:rPr>
          <w:b/>
          <w:sz w:val="20"/>
          <w:szCs w:val="20"/>
        </w:rPr>
        <w:t>Table 4: 2010-13 LLNP Key Performance Indicators</w:t>
      </w:r>
    </w:p>
    <w:tbl>
      <w:tblPr>
        <w:tblStyle w:val="TableGrid"/>
        <w:tblW w:w="0" w:type="auto"/>
        <w:tblLook w:val="04A0" w:firstRow="1" w:lastRow="0" w:firstColumn="1" w:lastColumn="0" w:noHBand="0" w:noVBand="1"/>
      </w:tblPr>
      <w:tblGrid>
        <w:gridCol w:w="4261"/>
        <w:gridCol w:w="4261"/>
      </w:tblGrid>
      <w:tr w:rsidR="00A2079F" w14:paraId="59C0A6AA" w14:textId="77777777" w:rsidTr="00A2079F">
        <w:tc>
          <w:tcPr>
            <w:tcW w:w="8522" w:type="dxa"/>
            <w:gridSpan w:val="2"/>
            <w:shd w:val="pct12" w:color="auto" w:fill="FFFFFF" w:themeFill="background1"/>
          </w:tcPr>
          <w:p w14:paraId="59C0A6A9" w14:textId="77777777" w:rsidR="00A2079F" w:rsidRDefault="00A2079F" w:rsidP="00A2079F">
            <w:pPr>
              <w:jc w:val="center"/>
              <w:rPr>
                <w:rFonts w:eastAsia="Times New Roman"/>
                <w:lang w:eastAsia="en-AU"/>
              </w:rPr>
            </w:pPr>
            <w:r w:rsidRPr="00A32C4B">
              <w:rPr>
                <w:b/>
              </w:rPr>
              <w:t>KPI 1: PARTICIPATION</w:t>
            </w:r>
          </w:p>
        </w:tc>
      </w:tr>
      <w:tr w:rsidR="00A2079F" w14:paraId="59C0A6AD" w14:textId="77777777" w:rsidTr="00A2079F">
        <w:tc>
          <w:tcPr>
            <w:tcW w:w="4261" w:type="dxa"/>
          </w:tcPr>
          <w:p w14:paraId="59C0A6AB" w14:textId="77777777" w:rsidR="00A2079F" w:rsidRDefault="00A2079F" w:rsidP="00A2079F">
            <w:pPr>
              <w:jc w:val="center"/>
              <w:rPr>
                <w:sz w:val="20"/>
                <w:szCs w:val="20"/>
              </w:rPr>
            </w:pPr>
            <w:r w:rsidRPr="00A32C4B">
              <w:rPr>
                <w:b/>
                <w:sz w:val="20"/>
                <w:szCs w:val="20"/>
              </w:rPr>
              <w:t>Key Performance Indicator</w:t>
            </w:r>
          </w:p>
        </w:tc>
        <w:tc>
          <w:tcPr>
            <w:tcW w:w="4261" w:type="dxa"/>
          </w:tcPr>
          <w:p w14:paraId="59C0A6AC" w14:textId="77777777" w:rsidR="00A2079F" w:rsidRDefault="00A2079F" w:rsidP="00A2079F">
            <w:pPr>
              <w:jc w:val="center"/>
              <w:rPr>
                <w:sz w:val="20"/>
                <w:szCs w:val="20"/>
              </w:rPr>
            </w:pPr>
            <w:r w:rsidRPr="00A32C4B">
              <w:rPr>
                <w:b/>
                <w:sz w:val="20"/>
                <w:szCs w:val="20"/>
              </w:rPr>
              <w:t>Measurement</w:t>
            </w:r>
          </w:p>
        </w:tc>
      </w:tr>
      <w:tr w:rsidR="00A2079F" w14:paraId="59C0A6B0" w14:textId="77777777" w:rsidTr="00A2079F">
        <w:trPr>
          <w:trHeight w:val="526"/>
        </w:trPr>
        <w:tc>
          <w:tcPr>
            <w:tcW w:w="4261" w:type="dxa"/>
            <w:tcBorders>
              <w:bottom w:val="single" w:sz="4" w:space="0" w:color="auto"/>
            </w:tcBorders>
          </w:tcPr>
          <w:p w14:paraId="59C0A6AE" w14:textId="77777777" w:rsidR="00A2079F" w:rsidRPr="00BF2AC3" w:rsidRDefault="00A2079F" w:rsidP="00A2079F">
            <w:pPr>
              <w:rPr>
                <w:sz w:val="20"/>
                <w:szCs w:val="20"/>
              </w:rPr>
            </w:pPr>
            <w:r w:rsidRPr="00BF2AC3">
              <w:rPr>
                <w:sz w:val="20"/>
                <w:szCs w:val="20"/>
              </w:rPr>
              <w:t>The extent to which Program places funded on an annual basis are taken up by clients</w:t>
            </w:r>
          </w:p>
        </w:tc>
        <w:tc>
          <w:tcPr>
            <w:tcW w:w="4261" w:type="dxa"/>
            <w:tcBorders>
              <w:bottom w:val="single" w:sz="4" w:space="0" w:color="auto"/>
            </w:tcBorders>
          </w:tcPr>
          <w:p w14:paraId="59C0A6AF" w14:textId="77777777" w:rsidR="00A2079F" w:rsidRPr="00BF2AC3" w:rsidRDefault="00A2079F" w:rsidP="00A2079F">
            <w:pPr>
              <w:rPr>
                <w:sz w:val="20"/>
                <w:szCs w:val="20"/>
              </w:rPr>
            </w:pPr>
            <w:r w:rsidRPr="00BF2AC3">
              <w:rPr>
                <w:sz w:val="20"/>
                <w:szCs w:val="20"/>
              </w:rPr>
              <w:t>90% of offered places are filled</w:t>
            </w:r>
          </w:p>
        </w:tc>
      </w:tr>
      <w:tr w:rsidR="00A2079F" w14:paraId="59C0A6B2" w14:textId="77777777" w:rsidTr="00A2079F">
        <w:tc>
          <w:tcPr>
            <w:tcW w:w="8522" w:type="dxa"/>
            <w:gridSpan w:val="2"/>
            <w:shd w:val="pct12" w:color="auto" w:fill="FFFFFF" w:themeFill="background1"/>
          </w:tcPr>
          <w:p w14:paraId="59C0A6B1" w14:textId="77777777" w:rsidR="00A2079F" w:rsidRDefault="00A2079F" w:rsidP="00A2079F">
            <w:pPr>
              <w:jc w:val="center"/>
              <w:rPr>
                <w:rFonts w:eastAsia="Times New Roman"/>
                <w:lang w:eastAsia="en-AU"/>
              </w:rPr>
            </w:pPr>
            <w:r w:rsidRPr="00A32C4B">
              <w:rPr>
                <w:b/>
              </w:rPr>
              <w:t>KPI 2: RETENTION</w:t>
            </w:r>
          </w:p>
        </w:tc>
      </w:tr>
      <w:tr w:rsidR="00A2079F" w14:paraId="59C0A6BB" w14:textId="77777777" w:rsidTr="00A2079F">
        <w:tc>
          <w:tcPr>
            <w:tcW w:w="4261" w:type="dxa"/>
          </w:tcPr>
          <w:p w14:paraId="59C0A6B3" w14:textId="77777777" w:rsidR="00A2079F" w:rsidRPr="00BF2AC3" w:rsidRDefault="00A2079F" w:rsidP="00A2079F">
            <w:pPr>
              <w:rPr>
                <w:sz w:val="20"/>
                <w:szCs w:val="20"/>
              </w:rPr>
            </w:pPr>
            <w:r w:rsidRPr="00BF2AC3">
              <w:rPr>
                <w:sz w:val="20"/>
                <w:szCs w:val="20"/>
              </w:rPr>
              <w:t>The extent to which clients complete the first 200-hour block of training</w:t>
            </w:r>
          </w:p>
        </w:tc>
        <w:tc>
          <w:tcPr>
            <w:tcW w:w="4261" w:type="dxa"/>
          </w:tcPr>
          <w:p w14:paraId="59C0A6B4" w14:textId="77777777" w:rsidR="00A2079F" w:rsidRPr="00BF2AC3" w:rsidRDefault="00A2079F" w:rsidP="00A2079F">
            <w:pPr>
              <w:rPr>
                <w:color w:val="000000"/>
                <w:sz w:val="20"/>
                <w:szCs w:val="20"/>
              </w:rPr>
            </w:pPr>
            <w:r w:rsidRPr="00BF2AC3">
              <w:rPr>
                <w:color w:val="000000"/>
                <w:sz w:val="20"/>
                <w:szCs w:val="20"/>
              </w:rPr>
              <w:t>60% of Initial Language stream clients complete</w:t>
            </w:r>
          </w:p>
          <w:p w14:paraId="59C0A6B5" w14:textId="77777777" w:rsidR="00A2079F" w:rsidRPr="00BF2AC3" w:rsidRDefault="00A2079F" w:rsidP="00A2079F">
            <w:pPr>
              <w:rPr>
                <w:color w:val="000000"/>
                <w:sz w:val="20"/>
                <w:szCs w:val="20"/>
              </w:rPr>
            </w:pPr>
          </w:p>
          <w:p w14:paraId="59C0A6B6" w14:textId="77777777" w:rsidR="00A2079F" w:rsidRPr="00BF2AC3" w:rsidRDefault="00A2079F" w:rsidP="00A2079F">
            <w:pPr>
              <w:rPr>
                <w:color w:val="000000"/>
                <w:sz w:val="20"/>
                <w:szCs w:val="20"/>
              </w:rPr>
            </w:pPr>
            <w:r w:rsidRPr="00BF2AC3">
              <w:rPr>
                <w:color w:val="000000"/>
                <w:sz w:val="20"/>
                <w:szCs w:val="20"/>
              </w:rPr>
              <w:t>60% of Basic Language stream clients complete</w:t>
            </w:r>
          </w:p>
          <w:p w14:paraId="59C0A6B7" w14:textId="77777777" w:rsidR="00A2079F" w:rsidRPr="00BF2AC3" w:rsidRDefault="00A2079F" w:rsidP="00A2079F">
            <w:pPr>
              <w:rPr>
                <w:color w:val="000000"/>
                <w:sz w:val="20"/>
                <w:szCs w:val="20"/>
              </w:rPr>
            </w:pPr>
          </w:p>
          <w:p w14:paraId="59C0A6B8" w14:textId="77777777" w:rsidR="00A2079F" w:rsidRPr="00BF2AC3" w:rsidRDefault="00A2079F" w:rsidP="00A2079F">
            <w:pPr>
              <w:rPr>
                <w:color w:val="000000"/>
                <w:sz w:val="20"/>
                <w:szCs w:val="20"/>
              </w:rPr>
            </w:pPr>
            <w:r w:rsidRPr="00BF2AC3">
              <w:rPr>
                <w:color w:val="000000"/>
                <w:sz w:val="20"/>
                <w:szCs w:val="20"/>
              </w:rPr>
              <w:t>45% of Basic Literacy/Numeracy clients complete</w:t>
            </w:r>
          </w:p>
          <w:p w14:paraId="59C0A6B9" w14:textId="77777777" w:rsidR="00A2079F" w:rsidRPr="00BF2AC3" w:rsidRDefault="00A2079F" w:rsidP="00A2079F">
            <w:pPr>
              <w:rPr>
                <w:color w:val="000000"/>
                <w:sz w:val="20"/>
                <w:szCs w:val="20"/>
              </w:rPr>
            </w:pPr>
          </w:p>
          <w:p w14:paraId="59C0A6BA" w14:textId="77777777" w:rsidR="00A2079F" w:rsidRPr="00BF2AC3" w:rsidRDefault="00A2079F" w:rsidP="00A2079F">
            <w:pPr>
              <w:rPr>
                <w:color w:val="000000"/>
                <w:sz w:val="20"/>
                <w:szCs w:val="20"/>
              </w:rPr>
            </w:pPr>
            <w:r w:rsidRPr="00BF2AC3">
              <w:rPr>
                <w:color w:val="000000"/>
                <w:sz w:val="20"/>
                <w:szCs w:val="20"/>
              </w:rPr>
              <w:t>70% of Advanced Language, Literacy and Numeracy stream clients complete</w:t>
            </w:r>
          </w:p>
        </w:tc>
      </w:tr>
      <w:tr w:rsidR="00A2079F" w14:paraId="59C0A6C4" w14:textId="77777777" w:rsidTr="00A2079F">
        <w:tc>
          <w:tcPr>
            <w:tcW w:w="4261" w:type="dxa"/>
          </w:tcPr>
          <w:p w14:paraId="59C0A6BC" w14:textId="77777777" w:rsidR="00A2079F" w:rsidRPr="00BF2AC3" w:rsidRDefault="00A2079F" w:rsidP="00A2079F">
            <w:pPr>
              <w:rPr>
                <w:sz w:val="20"/>
                <w:szCs w:val="20"/>
              </w:rPr>
            </w:pPr>
            <w:r w:rsidRPr="00BF2AC3">
              <w:rPr>
                <w:sz w:val="20"/>
                <w:szCs w:val="20"/>
              </w:rPr>
              <w:t xml:space="preserve">The extent to which clients complete the second </w:t>
            </w:r>
            <w:r w:rsidRPr="00BF2AC3">
              <w:rPr>
                <w:sz w:val="20"/>
                <w:szCs w:val="20"/>
              </w:rPr>
              <w:lastRenderedPageBreak/>
              <w:t>200-hour block of training</w:t>
            </w:r>
          </w:p>
        </w:tc>
        <w:tc>
          <w:tcPr>
            <w:tcW w:w="4261" w:type="dxa"/>
          </w:tcPr>
          <w:p w14:paraId="59C0A6BD" w14:textId="77777777" w:rsidR="00A2079F" w:rsidRPr="00BF2AC3" w:rsidRDefault="00A2079F" w:rsidP="00A2079F">
            <w:pPr>
              <w:rPr>
                <w:color w:val="000000"/>
                <w:sz w:val="20"/>
                <w:szCs w:val="20"/>
              </w:rPr>
            </w:pPr>
            <w:r w:rsidRPr="00BF2AC3">
              <w:rPr>
                <w:color w:val="000000"/>
                <w:sz w:val="20"/>
                <w:szCs w:val="20"/>
              </w:rPr>
              <w:lastRenderedPageBreak/>
              <w:t>65% of Initial Language stream clients complete</w:t>
            </w:r>
          </w:p>
          <w:p w14:paraId="59C0A6BE" w14:textId="77777777" w:rsidR="00A2079F" w:rsidRPr="00BF2AC3" w:rsidRDefault="00A2079F" w:rsidP="00A2079F">
            <w:pPr>
              <w:rPr>
                <w:color w:val="000000"/>
                <w:sz w:val="20"/>
                <w:szCs w:val="20"/>
              </w:rPr>
            </w:pPr>
          </w:p>
          <w:p w14:paraId="59C0A6BF" w14:textId="77777777" w:rsidR="00A2079F" w:rsidRPr="00BF2AC3" w:rsidRDefault="00A2079F" w:rsidP="00A2079F">
            <w:pPr>
              <w:rPr>
                <w:color w:val="000000"/>
                <w:sz w:val="20"/>
                <w:szCs w:val="20"/>
              </w:rPr>
            </w:pPr>
            <w:r w:rsidRPr="00BF2AC3">
              <w:rPr>
                <w:color w:val="000000"/>
                <w:sz w:val="20"/>
                <w:szCs w:val="20"/>
              </w:rPr>
              <w:t>65% of Basic Language stream clients complete</w:t>
            </w:r>
          </w:p>
          <w:p w14:paraId="59C0A6C0" w14:textId="77777777" w:rsidR="00A2079F" w:rsidRPr="00BF2AC3" w:rsidRDefault="00A2079F" w:rsidP="00A2079F">
            <w:pPr>
              <w:rPr>
                <w:color w:val="000000"/>
                <w:sz w:val="20"/>
                <w:szCs w:val="20"/>
              </w:rPr>
            </w:pPr>
          </w:p>
          <w:p w14:paraId="59C0A6C1" w14:textId="77777777" w:rsidR="00A2079F" w:rsidRPr="00BF2AC3" w:rsidRDefault="00A2079F" w:rsidP="00A2079F">
            <w:pPr>
              <w:rPr>
                <w:color w:val="000000"/>
                <w:sz w:val="20"/>
                <w:szCs w:val="20"/>
              </w:rPr>
            </w:pPr>
            <w:r w:rsidRPr="00BF2AC3">
              <w:rPr>
                <w:color w:val="000000"/>
                <w:sz w:val="20"/>
                <w:szCs w:val="20"/>
              </w:rPr>
              <w:t>50% of Basic Literacy/Numeracy clients complete</w:t>
            </w:r>
          </w:p>
          <w:p w14:paraId="59C0A6C2" w14:textId="77777777" w:rsidR="00A2079F" w:rsidRPr="00BF2AC3" w:rsidRDefault="00A2079F" w:rsidP="00A2079F">
            <w:pPr>
              <w:rPr>
                <w:color w:val="000000"/>
                <w:sz w:val="20"/>
                <w:szCs w:val="20"/>
              </w:rPr>
            </w:pPr>
          </w:p>
          <w:p w14:paraId="59C0A6C3" w14:textId="77777777" w:rsidR="00A2079F" w:rsidRPr="00BF2AC3" w:rsidRDefault="00A2079F" w:rsidP="00A2079F">
            <w:pPr>
              <w:rPr>
                <w:color w:val="000000"/>
                <w:sz w:val="20"/>
                <w:szCs w:val="20"/>
              </w:rPr>
            </w:pPr>
            <w:r w:rsidRPr="00BF2AC3">
              <w:rPr>
                <w:color w:val="000000"/>
                <w:sz w:val="20"/>
                <w:szCs w:val="20"/>
              </w:rPr>
              <w:t>75% of Advanced Language, Literacy and Numeracy stream clients complete</w:t>
            </w:r>
          </w:p>
        </w:tc>
      </w:tr>
      <w:tr w:rsidR="00A2079F" w14:paraId="59C0A6C7" w14:textId="77777777" w:rsidTr="00A2079F">
        <w:tc>
          <w:tcPr>
            <w:tcW w:w="4261" w:type="dxa"/>
          </w:tcPr>
          <w:p w14:paraId="59C0A6C5" w14:textId="77777777" w:rsidR="00A2079F" w:rsidRPr="00F81217" w:rsidRDefault="00A2079F" w:rsidP="00A2079F">
            <w:pPr>
              <w:rPr>
                <w:sz w:val="20"/>
                <w:szCs w:val="20"/>
              </w:rPr>
            </w:pPr>
            <w:r w:rsidRPr="00F81217">
              <w:rPr>
                <w:sz w:val="20"/>
                <w:szCs w:val="20"/>
              </w:rPr>
              <w:lastRenderedPageBreak/>
              <w:t>The extent to which clients complete the third or fourth 200-hour block of training</w:t>
            </w:r>
          </w:p>
        </w:tc>
        <w:tc>
          <w:tcPr>
            <w:tcW w:w="4261" w:type="dxa"/>
          </w:tcPr>
          <w:p w14:paraId="59C0A6C6" w14:textId="77777777" w:rsidR="00A2079F" w:rsidRPr="00F81217" w:rsidRDefault="00A2079F" w:rsidP="00A2079F">
            <w:pPr>
              <w:rPr>
                <w:color w:val="000000"/>
                <w:sz w:val="20"/>
                <w:szCs w:val="20"/>
              </w:rPr>
            </w:pPr>
            <w:r w:rsidRPr="00F81217">
              <w:rPr>
                <w:sz w:val="20"/>
                <w:szCs w:val="20"/>
              </w:rPr>
              <w:t>70% of clients in all streams complete</w:t>
            </w:r>
          </w:p>
        </w:tc>
      </w:tr>
      <w:tr w:rsidR="00A2079F" w14:paraId="59C0A6CA" w14:textId="77777777" w:rsidTr="00A2079F">
        <w:tc>
          <w:tcPr>
            <w:tcW w:w="4261" w:type="dxa"/>
            <w:tcBorders>
              <w:bottom w:val="single" w:sz="4" w:space="0" w:color="auto"/>
            </w:tcBorders>
          </w:tcPr>
          <w:p w14:paraId="59C0A6C8" w14:textId="77777777" w:rsidR="00A2079F" w:rsidRPr="00F81217" w:rsidRDefault="00A2079F" w:rsidP="00A2079F">
            <w:pPr>
              <w:rPr>
                <w:sz w:val="20"/>
                <w:szCs w:val="20"/>
              </w:rPr>
            </w:pPr>
            <w:r w:rsidRPr="00F81217">
              <w:rPr>
                <w:sz w:val="20"/>
                <w:szCs w:val="20"/>
              </w:rPr>
              <w:t>The extent to which clients complete the Advanced stream vocationally-oriented courses</w:t>
            </w:r>
          </w:p>
        </w:tc>
        <w:tc>
          <w:tcPr>
            <w:tcW w:w="4261" w:type="dxa"/>
            <w:tcBorders>
              <w:bottom w:val="single" w:sz="4" w:space="0" w:color="auto"/>
            </w:tcBorders>
          </w:tcPr>
          <w:p w14:paraId="59C0A6C9" w14:textId="77777777" w:rsidR="00A2079F" w:rsidRPr="00F81217" w:rsidRDefault="00A2079F" w:rsidP="00A2079F">
            <w:pPr>
              <w:rPr>
                <w:color w:val="000000"/>
                <w:sz w:val="20"/>
                <w:szCs w:val="20"/>
              </w:rPr>
            </w:pPr>
            <w:r w:rsidRPr="00F81217">
              <w:rPr>
                <w:sz w:val="20"/>
                <w:szCs w:val="20"/>
              </w:rPr>
              <w:t>70% of Advanced Language, Literacy and Numeracy stream clients complete</w:t>
            </w:r>
          </w:p>
        </w:tc>
      </w:tr>
      <w:tr w:rsidR="00A2079F" w14:paraId="59C0A6CC" w14:textId="77777777" w:rsidTr="00A2079F">
        <w:tc>
          <w:tcPr>
            <w:tcW w:w="8522" w:type="dxa"/>
            <w:gridSpan w:val="2"/>
            <w:shd w:val="pct12" w:color="auto" w:fill="FFFFFF" w:themeFill="background1"/>
          </w:tcPr>
          <w:p w14:paraId="59C0A6CB" w14:textId="77777777" w:rsidR="00A2079F" w:rsidRDefault="00A2079F" w:rsidP="00A2079F">
            <w:pPr>
              <w:jc w:val="center"/>
              <w:rPr>
                <w:color w:val="000000"/>
              </w:rPr>
            </w:pPr>
            <w:r w:rsidRPr="00A32C4B">
              <w:rPr>
                <w:b/>
              </w:rPr>
              <w:t>KPI 3: ATTAINMENT</w:t>
            </w:r>
          </w:p>
        </w:tc>
      </w:tr>
      <w:tr w:rsidR="00A2079F" w14:paraId="59C0A6CF" w14:textId="77777777" w:rsidTr="00A2079F">
        <w:tc>
          <w:tcPr>
            <w:tcW w:w="4261" w:type="dxa"/>
          </w:tcPr>
          <w:p w14:paraId="59C0A6CD" w14:textId="77777777" w:rsidR="00A2079F" w:rsidRPr="00F81217" w:rsidRDefault="00A2079F" w:rsidP="00A2079F">
            <w:pPr>
              <w:rPr>
                <w:sz w:val="20"/>
                <w:szCs w:val="20"/>
              </w:rPr>
            </w:pPr>
            <w:r w:rsidRPr="00F70EB9">
              <w:rPr>
                <w:sz w:val="20"/>
                <w:szCs w:val="20"/>
              </w:rPr>
              <w:t>The extent to which clients who complete a block of 200 hours of training achieve satisfactory progress against the agreed benchmark</w:t>
            </w:r>
            <w:r w:rsidRPr="00F70EB9" w:rsidDel="00F70EB9">
              <w:rPr>
                <w:sz w:val="20"/>
                <w:szCs w:val="20"/>
              </w:rPr>
              <w:t xml:space="preserve"> </w:t>
            </w:r>
          </w:p>
        </w:tc>
        <w:tc>
          <w:tcPr>
            <w:tcW w:w="4261" w:type="dxa"/>
          </w:tcPr>
          <w:p w14:paraId="59C0A6CE" w14:textId="77777777" w:rsidR="00A2079F" w:rsidRPr="00F81217" w:rsidRDefault="00A2079F" w:rsidP="00A2079F">
            <w:pPr>
              <w:rPr>
                <w:color w:val="000000"/>
                <w:sz w:val="20"/>
                <w:szCs w:val="20"/>
              </w:rPr>
            </w:pPr>
            <w:r w:rsidRPr="00F70EB9">
              <w:rPr>
                <w:sz w:val="20"/>
                <w:szCs w:val="20"/>
              </w:rPr>
              <w:t>80% of all streams and all blocks of 200-hours achieve satisfactory progress or above</w:t>
            </w:r>
          </w:p>
        </w:tc>
      </w:tr>
      <w:tr w:rsidR="00A2079F" w14:paraId="59C0A6D4" w14:textId="77777777" w:rsidTr="00A2079F">
        <w:tc>
          <w:tcPr>
            <w:tcW w:w="4261" w:type="dxa"/>
            <w:tcBorders>
              <w:bottom w:val="single" w:sz="4" w:space="0" w:color="auto"/>
            </w:tcBorders>
          </w:tcPr>
          <w:p w14:paraId="59C0A6D0" w14:textId="77777777" w:rsidR="00A2079F" w:rsidRPr="00F81217" w:rsidRDefault="00A2079F" w:rsidP="00A2079F">
            <w:pPr>
              <w:rPr>
                <w:sz w:val="20"/>
                <w:szCs w:val="20"/>
              </w:rPr>
            </w:pPr>
            <w:r w:rsidRPr="00F70EB9">
              <w:rPr>
                <w:sz w:val="20"/>
                <w:szCs w:val="20"/>
              </w:rPr>
              <w:t>The extent to which clients who complete the Advanced stream vocationally-oriented courses achieve satisfactory progress against the agreed benchmark.</w:t>
            </w:r>
          </w:p>
        </w:tc>
        <w:tc>
          <w:tcPr>
            <w:tcW w:w="4261" w:type="dxa"/>
            <w:tcBorders>
              <w:bottom w:val="single" w:sz="4" w:space="0" w:color="auto"/>
            </w:tcBorders>
          </w:tcPr>
          <w:p w14:paraId="59C0A6D1" w14:textId="77777777" w:rsidR="00A2079F" w:rsidRPr="00F70EB9" w:rsidRDefault="00A2079F" w:rsidP="00A2079F">
            <w:pPr>
              <w:rPr>
                <w:sz w:val="20"/>
                <w:szCs w:val="20"/>
              </w:rPr>
            </w:pPr>
            <w:r w:rsidRPr="00F70EB9">
              <w:rPr>
                <w:sz w:val="20"/>
                <w:szCs w:val="20"/>
              </w:rPr>
              <w:t>85% of clients achieve satisfactory</w:t>
            </w:r>
          </w:p>
          <w:p w14:paraId="59C0A6D2" w14:textId="77777777" w:rsidR="00A2079F" w:rsidRPr="00F70EB9" w:rsidRDefault="00A2079F" w:rsidP="00A2079F">
            <w:pPr>
              <w:rPr>
                <w:sz w:val="20"/>
                <w:szCs w:val="20"/>
              </w:rPr>
            </w:pPr>
            <w:r w:rsidRPr="00F70EB9">
              <w:rPr>
                <w:sz w:val="20"/>
                <w:szCs w:val="20"/>
              </w:rPr>
              <w:t>progress or above</w:t>
            </w:r>
          </w:p>
          <w:p w14:paraId="59C0A6D3" w14:textId="77777777" w:rsidR="00A2079F" w:rsidRPr="00F81217" w:rsidRDefault="00A2079F" w:rsidP="00A2079F">
            <w:pPr>
              <w:rPr>
                <w:color w:val="000000"/>
                <w:sz w:val="20"/>
                <w:szCs w:val="20"/>
              </w:rPr>
            </w:pPr>
          </w:p>
        </w:tc>
      </w:tr>
      <w:tr w:rsidR="00A2079F" w14:paraId="59C0A6D6" w14:textId="77777777" w:rsidTr="00A2079F">
        <w:tc>
          <w:tcPr>
            <w:tcW w:w="8522" w:type="dxa"/>
            <w:gridSpan w:val="2"/>
            <w:shd w:val="pct12" w:color="auto" w:fill="FFFFFF" w:themeFill="background1"/>
          </w:tcPr>
          <w:p w14:paraId="59C0A6D5" w14:textId="77777777" w:rsidR="00A2079F" w:rsidRDefault="00A2079F" w:rsidP="00A2079F">
            <w:pPr>
              <w:jc w:val="center"/>
              <w:rPr>
                <w:color w:val="000000"/>
              </w:rPr>
            </w:pPr>
            <w:r w:rsidRPr="00A32C4B">
              <w:rPr>
                <w:b/>
              </w:rPr>
              <w:t>KPI 4: QUALITY</w:t>
            </w:r>
          </w:p>
        </w:tc>
      </w:tr>
      <w:tr w:rsidR="00A2079F" w14:paraId="59C0A6DA" w14:textId="77777777" w:rsidTr="00A2079F">
        <w:tc>
          <w:tcPr>
            <w:tcW w:w="4261" w:type="dxa"/>
          </w:tcPr>
          <w:p w14:paraId="59C0A6D7" w14:textId="77777777" w:rsidR="00A2079F" w:rsidRPr="0048684F" w:rsidRDefault="00A2079F" w:rsidP="00A2079F">
            <w:pPr>
              <w:rPr>
                <w:color w:val="000000"/>
                <w:sz w:val="20"/>
                <w:szCs w:val="20"/>
              </w:rPr>
            </w:pPr>
            <w:r w:rsidRPr="00F81217">
              <w:rPr>
                <w:color w:val="000000"/>
                <w:sz w:val="20"/>
                <w:szCs w:val="20"/>
              </w:rPr>
              <w:t>TA Providers’ PTA tasks are valid</w:t>
            </w:r>
          </w:p>
          <w:p w14:paraId="59C0A6D8" w14:textId="77777777" w:rsidR="00A2079F" w:rsidRPr="00F81217" w:rsidRDefault="00A2079F" w:rsidP="00A2079F">
            <w:pPr>
              <w:rPr>
                <w:sz w:val="20"/>
                <w:szCs w:val="20"/>
              </w:rPr>
            </w:pPr>
            <w:r w:rsidRPr="00F81217">
              <w:rPr>
                <w:color w:val="000000"/>
                <w:sz w:val="20"/>
                <w:szCs w:val="20"/>
              </w:rPr>
              <w:t> </w:t>
            </w:r>
          </w:p>
        </w:tc>
        <w:tc>
          <w:tcPr>
            <w:tcW w:w="4261" w:type="dxa"/>
          </w:tcPr>
          <w:p w14:paraId="59C0A6D9" w14:textId="77777777" w:rsidR="00A2079F" w:rsidRPr="00F81217" w:rsidRDefault="00A2079F" w:rsidP="00A2079F">
            <w:pPr>
              <w:rPr>
                <w:color w:val="000000"/>
                <w:sz w:val="20"/>
                <w:szCs w:val="20"/>
              </w:rPr>
            </w:pPr>
            <w:r w:rsidRPr="00F81217">
              <w:rPr>
                <w:color w:val="000000"/>
                <w:sz w:val="20"/>
                <w:szCs w:val="20"/>
              </w:rPr>
              <w:t>80% of sampled PTAs are validated as accurate</w:t>
            </w:r>
          </w:p>
        </w:tc>
      </w:tr>
      <w:tr w:rsidR="00A2079F" w14:paraId="59C0A6DE" w14:textId="77777777" w:rsidTr="00A2079F">
        <w:tc>
          <w:tcPr>
            <w:tcW w:w="4261" w:type="dxa"/>
          </w:tcPr>
          <w:p w14:paraId="59C0A6DB" w14:textId="77777777" w:rsidR="00A2079F" w:rsidRPr="0048684F" w:rsidRDefault="00A2079F" w:rsidP="00A2079F">
            <w:pPr>
              <w:rPr>
                <w:color w:val="000000"/>
                <w:sz w:val="20"/>
                <w:szCs w:val="20"/>
              </w:rPr>
            </w:pPr>
            <w:r w:rsidRPr="00F81217">
              <w:rPr>
                <w:color w:val="000000"/>
                <w:sz w:val="20"/>
                <w:szCs w:val="20"/>
              </w:rPr>
              <w:t>TA Providers’ assessment tasks reflect appropriate Learning Outcomes</w:t>
            </w:r>
          </w:p>
          <w:p w14:paraId="59C0A6DC" w14:textId="77777777" w:rsidR="00A2079F" w:rsidRPr="00F81217" w:rsidRDefault="00A2079F" w:rsidP="00A2079F">
            <w:pPr>
              <w:rPr>
                <w:sz w:val="20"/>
                <w:szCs w:val="20"/>
              </w:rPr>
            </w:pPr>
          </w:p>
        </w:tc>
        <w:tc>
          <w:tcPr>
            <w:tcW w:w="4261" w:type="dxa"/>
          </w:tcPr>
          <w:p w14:paraId="59C0A6DD" w14:textId="77777777" w:rsidR="00A2079F" w:rsidRPr="00F81217" w:rsidRDefault="00A2079F" w:rsidP="00A2079F">
            <w:pPr>
              <w:rPr>
                <w:color w:val="000000"/>
                <w:sz w:val="20"/>
                <w:szCs w:val="20"/>
              </w:rPr>
            </w:pPr>
            <w:r w:rsidRPr="00F81217">
              <w:rPr>
                <w:color w:val="000000"/>
                <w:sz w:val="20"/>
                <w:szCs w:val="20"/>
              </w:rPr>
              <w:t>80% of sampled claims align with appropriate Learning Outcomes</w:t>
            </w:r>
          </w:p>
        </w:tc>
      </w:tr>
      <w:tr w:rsidR="00A2079F" w14:paraId="59C0A6E2" w14:textId="77777777" w:rsidTr="00A2079F">
        <w:tc>
          <w:tcPr>
            <w:tcW w:w="4261" w:type="dxa"/>
            <w:tcBorders>
              <w:bottom w:val="single" w:sz="4" w:space="0" w:color="auto"/>
            </w:tcBorders>
          </w:tcPr>
          <w:p w14:paraId="59C0A6DF" w14:textId="77777777" w:rsidR="00A2079F" w:rsidRDefault="00A2079F" w:rsidP="00A2079F">
            <w:pPr>
              <w:tabs>
                <w:tab w:val="center" w:pos="4513"/>
                <w:tab w:val="right" w:pos="9026"/>
              </w:tabs>
              <w:rPr>
                <w:color w:val="000000"/>
                <w:sz w:val="20"/>
                <w:szCs w:val="20"/>
              </w:rPr>
            </w:pPr>
            <w:r w:rsidRPr="00F81217">
              <w:rPr>
                <w:color w:val="000000"/>
                <w:sz w:val="20"/>
                <w:szCs w:val="20"/>
              </w:rPr>
              <w:t>TA Providers’ assessment tasks are accurately aligned with the ACSF</w:t>
            </w:r>
          </w:p>
        </w:tc>
        <w:tc>
          <w:tcPr>
            <w:tcW w:w="4261" w:type="dxa"/>
            <w:tcBorders>
              <w:bottom w:val="single" w:sz="4" w:space="0" w:color="auto"/>
            </w:tcBorders>
          </w:tcPr>
          <w:p w14:paraId="59C0A6E0" w14:textId="77777777" w:rsidR="00A2079F" w:rsidRDefault="00A2079F" w:rsidP="00A2079F">
            <w:pPr>
              <w:rPr>
                <w:color w:val="000000"/>
                <w:sz w:val="20"/>
                <w:szCs w:val="20"/>
              </w:rPr>
            </w:pPr>
            <w:r w:rsidRPr="00F81217">
              <w:rPr>
                <w:color w:val="000000"/>
                <w:sz w:val="20"/>
                <w:szCs w:val="20"/>
              </w:rPr>
              <w:t>80% of sampled claims align with ACSF</w:t>
            </w:r>
          </w:p>
          <w:p w14:paraId="59C0A6E1" w14:textId="77777777" w:rsidR="00A2079F" w:rsidRPr="00F81217" w:rsidRDefault="00A2079F" w:rsidP="00A2079F">
            <w:pPr>
              <w:rPr>
                <w:color w:val="000000"/>
                <w:sz w:val="20"/>
                <w:szCs w:val="20"/>
              </w:rPr>
            </w:pPr>
          </w:p>
        </w:tc>
      </w:tr>
      <w:tr w:rsidR="00A2079F" w14:paraId="59C0A6E4" w14:textId="77777777" w:rsidTr="00A2079F">
        <w:tc>
          <w:tcPr>
            <w:tcW w:w="8522" w:type="dxa"/>
            <w:gridSpan w:val="2"/>
            <w:shd w:val="pct12" w:color="auto" w:fill="FFFFFF" w:themeFill="background1"/>
          </w:tcPr>
          <w:p w14:paraId="59C0A6E3" w14:textId="77777777" w:rsidR="00A2079F" w:rsidRDefault="00A2079F" w:rsidP="00A2079F">
            <w:pPr>
              <w:jc w:val="center"/>
              <w:rPr>
                <w:color w:val="000000"/>
              </w:rPr>
            </w:pPr>
            <w:r w:rsidRPr="00A32C4B">
              <w:rPr>
                <w:b/>
              </w:rPr>
              <w:t>KPI 5: DATA QUALITY AND ACCURACY</w:t>
            </w:r>
          </w:p>
        </w:tc>
      </w:tr>
      <w:tr w:rsidR="00A2079F" w14:paraId="59C0A6E7" w14:textId="77777777" w:rsidTr="00A2079F">
        <w:tc>
          <w:tcPr>
            <w:tcW w:w="4261" w:type="dxa"/>
          </w:tcPr>
          <w:p w14:paraId="59C0A6E5" w14:textId="77777777" w:rsidR="00A2079F" w:rsidRPr="00F81217" w:rsidRDefault="00A2079F" w:rsidP="00A2079F">
            <w:pPr>
              <w:tabs>
                <w:tab w:val="center" w:pos="4513"/>
                <w:tab w:val="right" w:pos="9026"/>
              </w:tabs>
              <w:rPr>
                <w:color w:val="000000"/>
                <w:sz w:val="20"/>
                <w:szCs w:val="20"/>
              </w:rPr>
            </w:pPr>
            <w:r w:rsidRPr="00F81217">
              <w:rPr>
                <w:color w:val="000000"/>
                <w:sz w:val="20"/>
                <w:szCs w:val="20"/>
              </w:rPr>
              <w:t>Program services are administered in an accurate and timely manner</w:t>
            </w:r>
          </w:p>
        </w:tc>
        <w:tc>
          <w:tcPr>
            <w:tcW w:w="4261" w:type="dxa"/>
          </w:tcPr>
          <w:p w14:paraId="59C0A6E6" w14:textId="77777777" w:rsidR="00A2079F" w:rsidRPr="00F81217" w:rsidRDefault="00A2079F" w:rsidP="00A2079F">
            <w:pPr>
              <w:rPr>
                <w:color w:val="000000"/>
                <w:sz w:val="20"/>
                <w:szCs w:val="20"/>
              </w:rPr>
            </w:pPr>
            <w:r w:rsidRPr="00F81217">
              <w:rPr>
                <w:color w:val="000000"/>
                <w:sz w:val="20"/>
                <w:szCs w:val="20"/>
              </w:rPr>
              <w:t>90% of information is entered accurately and within the required timeframe as set out in the Guidelines</w:t>
            </w:r>
          </w:p>
        </w:tc>
      </w:tr>
    </w:tbl>
    <w:p w14:paraId="59C0A6E8" w14:textId="77777777" w:rsidR="00A2079F" w:rsidRDefault="00A2079F" w:rsidP="00A2079F">
      <w:pPr>
        <w:rPr>
          <w:highlight w:val="yellow"/>
        </w:rPr>
      </w:pPr>
    </w:p>
    <w:p w14:paraId="59C0A6E9" w14:textId="77777777" w:rsidR="009C5E33" w:rsidRDefault="00AA2C10" w:rsidP="00123018">
      <w:r w:rsidRPr="00AA2C10">
        <w:t>While t</w:t>
      </w:r>
      <w:r w:rsidR="002F5F9A" w:rsidRPr="002F5F9A">
        <w:t>he</w:t>
      </w:r>
      <w:r w:rsidR="00192B10">
        <w:t xml:space="preserve"> current</w:t>
      </w:r>
      <w:r w:rsidR="002F5F9A" w:rsidRPr="002F5F9A">
        <w:t xml:space="preserve"> </w:t>
      </w:r>
      <w:r w:rsidR="00123018">
        <w:t xml:space="preserve">KPIs allow the </w:t>
      </w:r>
      <w:r w:rsidR="0013131C">
        <w:t>Government</w:t>
      </w:r>
      <w:r w:rsidR="00123018">
        <w:t xml:space="preserve"> to monitor how well the program</w:t>
      </w:r>
      <w:r w:rsidR="009C5E33">
        <w:t xml:space="preserve"> is delivered</w:t>
      </w:r>
      <w:r>
        <w:t>, they may</w:t>
      </w:r>
      <w:r w:rsidR="009C5E33">
        <w:t xml:space="preserve"> </w:t>
      </w:r>
      <w:r w:rsidR="002F5F9A" w:rsidRPr="002F5F9A">
        <w:t xml:space="preserve">not provide a full picture of the efforts made </w:t>
      </w:r>
      <w:r w:rsidR="009C5E33">
        <w:t>by</w:t>
      </w:r>
      <w:r w:rsidR="002F5F9A" w:rsidRPr="002F5F9A">
        <w:t xml:space="preserve"> providers </w:t>
      </w:r>
      <w:r w:rsidR="009C5E33">
        <w:t xml:space="preserve">working with the more </w:t>
      </w:r>
      <w:r w:rsidR="002F5F9A" w:rsidRPr="002F5F9A">
        <w:t>difficult</w:t>
      </w:r>
      <w:r w:rsidR="002F3185">
        <w:t>-</w:t>
      </w:r>
      <w:r w:rsidR="002F5F9A" w:rsidRPr="002F5F9A">
        <w:t>to</w:t>
      </w:r>
      <w:r w:rsidR="002F3185">
        <w:t>-</w:t>
      </w:r>
      <w:r w:rsidR="002F5F9A" w:rsidRPr="002F5F9A">
        <w:t>service clients such as early school leavers or Indigenous clients</w:t>
      </w:r>
      <w:r w:rsidR="009C2885">
        <w:t>.</w:t>
      </w:r>
    </w:p>
    <w:p w14:paraId="59C0A6EA" w14:textId="77777777" w:rsidR="009C5E33" w:rsidRDefault="009C5E33" w:rsidP="00123018"/>
    <w:p w14:paraId="59C0A6EB" w14:textId="77777777" w:rsidR="009C5E33" w:rsidRDefault="00AA2C10" w:rsidP="00123018">
      <w:r>
        <w:t>A</w:t>
      </w:r>
      <w:r w:rsidR="009C5E33">
        <w:t>ssisting the more difficult</w:t>
      </w:r>
      <w:r w:rsidR="00084013">
        <w:t>-</w:t>
      </w:r>
      <w:r w:rsidR="009C5E33">
        <w:t>to</w:t>
      </w:r>
      <w:r w:rsidR="00084013">
        <w:t>-</w:t>
      </w:r>
      <w:r w:rsidR="009C5E33">
        <w:t xml:space="preserve">service clients </w:t>
      </w:r>
      <w:r w:rsidR="002F5F9A" w:rsidRPr="002F5F9A">
        <w:t xml:space="preserve">may </w:t>
      </w:r>
      <w:r w:rsidR="009C5E33">
        <w:t xml:space="preserve">have a negative impact on the provider </w:t>
      </w:r>
      <w:r w:rsidR="002F5F9A" w:rsidRPr="002F5F9A">
        <w:t>KPI achievements</w:t>
      </w:r>
      <w:r w:rsidR="009C5E33">
        <w:t xml:space="preserve">.  The Government wants to recognise the efforts made and encourage LLNP providers to continue to focus on some target groups such as youth, Indigenous and/or mature age job seekers.  </w:t>
      </w:r>
    </w:p>
    <w:p w14:paraId="59C0A6EC" w14:textId="77777777" w:rsidR="009C5E33" w:rsidRDefault="009C5E33" w:rsidP="00123018"/>
    <w:p w14:paraId="59C0A6ED" w14:textId="77777777" w:rsidR="000E171E" w:rsidRDefault="00AA2C10" w:rsidP="00123018">
      <w:r>
        <w:t>Introducing additional performance indicators could better identify</w:t>
      </w:r>
      <w:r w:rsidR="009C5E33">
        <w:t xml:space="preserve"> and encourage LLNP provider</w:t>
      </w:r>
      <w:r>
        <w:t>s</w:t>
      </w:r>
      <w:r w:rsidR="009C5E33">
        <w:t xml:space="preserve"> that are working with more dif</w:t>
      </w:r>
      <w:r>
        <w:t xml:space="preserve">ficult clients. </w:t>
      </w:r>
      <w:r w:rsidR="009C5E33">
        <w:t>Possible additional elements include</w:t>
      </w:r>
      <w:r w:rsidR="00084013">
        <w:t xml:space="preserve"> </w:t>
      </w:r>
      <w:r w:rsidR="009C5E33">
        <w:t xml:space="preserve">but are not limited to: </w:t>
      </w:r>
    </w:p>
    <w:p w14:paraId="59C0A6EE" w14:textId="77777777" w:rsidR="000E171E" w:rsidRDefault="000E171E" w:rsidP="00123018"/>
    <w:p w14:paraId="59C0A6EF" w14:textId="77777777" w:rsidR="000A1F07" w:rsidRDefault="009C5E33" w:rsidP="009A4A3E">
      <w:pPr>
        <w:pStyle w:val="ListParagraph"/>
        <w:numPr>
          <w:ilvl w:val="0"/>
          <w:numId w:val="7"/>
        </w:numPr>
        <w:contextualSpacing w:val="0"/>
      </w:pPr>
      <w:r>
        <w:t>Weighting to be applied to the number of clients in LLNP training that are Indigenous, y</w:t>
      </w:r>
      <w:r w:rsidR="003E0A34">
        <w:t xml:space="preserve">outh </w:t>
      </w:r>
      <w:r>
        <w:t>and/or mature age;</w:t>
      </w:r>
    </w:p>
    <w:p w14:paraId="59C0A6F0" w14:textId="77777777" w:rsidR="000A1F07" w:rsidRDefault="00123018" w:rsidP="009A4A3E">
      <w:pPr>
        <w:pStyle w:val="ListParagraph"/>
        <w:numPr>
          <w:ilvl w:val="0"/>
          <w:numId w:val="7"/>
        </w:numPr>
        <w:contextualSpacing w:val="0"/>
      </w:pPr>
      <w:r>
        <w:t xml:space="preserve">Geographic challenges, for example providers servicing remote </w:t>
      </w:r>
      <w:r w:rsidR="00761BBF">
        <w:t>BSAs</w:t>
      </w:r>
      <w:r w:rsidR="009C5E33">
        <w:t xml:space="preserve">; </w:t>
      </w:r>
    </w:p>
    <w:p w14:paraId="59C0A6F1" w14:textId="77777777" w:rsidR="009C5E33" w:rsidRDefault="00034CED" w:rsidP="009A4A3E">
      <w:pPr>
        <w:pStyle w:val="ListParagraph"/>
        <w:numPr>
          <w:ilvl w:val="0"/>
          <w:numId w:val="7"/>
        </w:numPr>
        <w:contextualSpacing w:val="0"/>
      </w:pPr>
      <w:r>
        <w:t>The</w:t>
      </w:r>
      <w:r w:rsidR="00BA5FBC">
        <w:t xml:space="preserve"> number of innovative projects or practices to deliver LLNP</w:t>
      </w:r>
      <w:r w:rsidR="00A9234D">
        <w:t>; and</w:t>
      </w:r>
    </w:p>
    <w:p w14:paraId="59C0A6F2" w14:textId="77777777" w:rsidR="00A9234D" w:rsidRDefault="00A9234D" w:rsidP="009A4A3E">
      <w:pPr>
        <w:pStyle w:val="ListParagraph"/>
        <w:numPr>
          <w:ilvl w:val="0"/>
          <w:numId w:val="7"/>
        </w:numPr>
        <w:contextualSpacing w:val="0"/>
      </w:pPr>
      <w:r>
        <w:t xml:space="preserve">Post Program Monitoring survey – </w:t>
      </w:r>
      <w:r w:rsidR="001873C2">
        <w:t xml:space="preserve">the </w:t>
      </w:r>
      <w:r>
        <w:t>number of clients that went on to further study or employment after undertaking the program.</w:t>
      </w:r>
    </w:p>
    <w:p w14:paraId="59C0A6F3" w14:textId="77777777" w:rsidR="00A9234D" w:rsidRDefault="00A9234D" w:rsidP="00BA5FBC"/>
    <w:p w14:paraId="59C0A6F4" w14:textId="77777777" w:rsidR="00021739" w:rsidRDefault="00021739" w:rsidP="00021739">
      <w:r>
        <w:t>The G</w:t>
      </w:r>
      <w:r w:rsidRPr="00A32C4B">
        <w:t xml:space="preserve">overnment is considering </w:t>
      </w:r>
      <w:r w:rsidR="00281F6A">
        <w:t xml:space="preserve">reviewing </w:t>
      </w:r>
      <w:r>
        <w:t xml:space="preserve">the retention </w:t>
      </w:r>
      <w:r w:rsidRPr="00A32C4B">
        <w:t>KPI</w:t>
      </w:r>
      <w:r w:rsidR="00084013">
        <w:t xml:space="preserve"> 2</w:t>
      </w:r>
      <w:r>
        <w:t xml:space="preserve"> to align with other </w:t>
      </w:r>
      <w:r w:rsidR="007F26E7">
        <w:t xml:space="preserve">possible </w:t>
      </w:r>
      <w:r>
        <w:t xml:space="preserve">changes within the program such as increased flexibility in delivering the training and </w:t>
      </w:r>
      <w:r w:rsidR="007F26E7">
        <w:lastRenderedPageBreak/>
        <w:t>reduced emphasis on the 200 hour block structure.</w:t>
      </w:r>
      <w:r>
        <w:t xml:space="preserve"> This is not to s</w:t>
      </w:r>
      <w:r w:rsidR="00A2079F">
        <w:t>uggest</w:t>
      </w:r>
      <w:r>
        <w:t xml:space="preserve"> that keeping clients in the program is not a key element.</w:t>
      </w:r>
      <w:r w:rsidR="00A2079F">
        <w:t xml:space="preserve"> </w:t>
      </w:r>
      <w:r>
        <w:t>Instead the focus should be about ensuring clients improve their LLN skills and attain some form of accreditation or certificate at the end of their experience in the LLNP.</w:t>
      </w:r>
    </w:p>
    <w:p w14:paraId="59C0A6F5" w14:textId="77777777" w:rsidR="0079665D" w:rsidRDefault="0079665D" w:rsidP="00021739"/>
    <w:p w14:paraId="59C0A6F6" w14:textId="77777777" w:rsidR="001873C2" w:rsidRDefault="007F26E7" w:rsidP="00001600">
      <w:r>
        <w:t xml:space="preserve">Similarly KPI 3 on </w:t>
      </w:r>
      <w:r w:rsidR="00224DDC">
        <w:t>a</w:t>
      </w:r>
      <w:r>
        <w:t xml:space="preserve">ttainment may also require amendment if other proposals to increase training flexibility are adopted. </w:t>
      </w:r>
    </w:p>
    <w:p w14:paraId="59C0A6F7" w14:textId="77777777" w:rsidR="001873C2" w:rsidRDefault="001873C2" w:rsidP="00001600"/>
    <w:p w14:paraId="59C0A6F8" w14:textId="77777777" w:rsidR="00021739" w:rsidRDefault="006D060C" w:rsidP="00021739">
      <w:r>
        <w:t>The inten</w:t>
      </w:r>
      <w:r w:rsidR="00897170">
        <w:t>t</w:t>
      </w:r>
      <w:r>
        <w:t xml:space="preserve">ion is not to alter the quality of the </w:t>
      </w:r>
      <w:r w:rsidR="00D505A3">
        <w:t>program;</w:t>
      </w:r>
      <w:r>
        <w:t xml:space="preserve"> </w:t>
      </w:r>
      <w:r w:rsidR="00D505A3">
        <w:t>rather</w:t>
      </w:r>
      <w:r>
        <w:t xml:space="preserve"> the KPI review is to ensure the Government is able to accurately measure nationally provider performance.</w:t>
      </w:r>
    </w:p>
    <w:p w14:paraId="59C0A6F9" w14:textId="77777777" w:rsidR="006D060C" w:rsidRDefault="006D060C" w:rsidP="00021739"/>
    <w:p w14:paraId="59C0A6FA" w14:textId="77777777" w:rsidR="00712F8E" w:rsidRPr="00FB536C" w:rsidRDefault="00712F8E" w:rsidP="00712F8E">
      <w:pPr>
        <w:pStyle w:val="ListParagraph"/>
        <w:spacing w:after="60"/>
        <w:ind w:left="0"/>
        <w:rPr>
          <w:b/>
        </w:rPr>
      </w:pPr>
      <w:r w:rsidRPr="00FB536C">
        <w:rPr>
          <w:b/>
        </w:rPr>
        <w:t>For consideration in your response:</w:t>
      </w:r>
    </w:p>
    <w:p w14:paraId="59C0A6FB" w14:textId="77777777" w:rsidR="007071B8" w:rsidRPr="008E68D0" w:rsidRDefault="00D24B73" w:rsidP="009A4A3E">
      <w:pPr>
        <w:pStyle w:val="ListParagraph"/>
        <w:numPr>
          <w:ilvl w:val="0"/>
          <w:numId w:val="18"/>
        </w:numPr>
        <w:rPr>
          <w:i/>
          <w:sz w:val="20"/>
          <w:szCs w:val="20"/>
        </w:rPr>
      </w:pPr>
      <w:r w:rsidRPr="00D24B73">
        <w:rPr>
          <w:i/>
          <w:sz w:val="20"/>
          <w:szCs w:val="20"/>
        </w:rPr>
        <w:t xml:space="preserve">Which of the KPIs </w:t>
      </w:r>
      <w:r w:rsidR="00A2079F">
        <w:rPr>
          <w:i/>
          <w:sz w:val="20"/>
          <w:szCs w:val="20"/>
        </w:rPr>
        <w:t>should</w:t>
      </w:r>
      <w:r w:rsidRPr="00D24B73">
        <w:rPr>
          <w:i/>
          <w:sz w:val="20"/>
          <w:szCs w:val="20"/>
        </w:rPr>
        <w:t xml:space="preserve"> change, why and how?</w:t>
      </w:r>
    </w:p>
    <w:p w14:paraId="59C0A6FC" w14:textId="77777777" w:rsidR="008E68D0" w:rsidRPr="009A3D6A" w:rsidRDefault="008E68D0" w:rsidP="009A4A3E">
      <w:pPr>
        <w:pStyle w:val="ListParagraph"/>
        <w:numPr>
          <w:ilvl w:val="0"/>
          <w:numId w:val="18"/>
        </w:numPr>
        <w:rPr>
          <w:sz w:val="20"/>
          <w:szCs w:val="20"/>
        </w:rPr>
      </w:pPr>
      <w:r>
        <w:rPr>
          <w:i/>
          <w:sz w:val="20"/>
          <w:szCs w:val="20"/>
        </w:rPr>
        <w:t>What wou</w:t>
      </w:r>
      <w:r w:rsidR="00224DDC">
        <w:rPr>
          <w:i/>
          <w:sz w:val="20"/>
          <w:szCs w:val="20"/>
        </w:rPr>
        <w:t xml:space="preserve">ld be the impact on clients if </w:t>
      </w:r>
      <w:r>
        <w:rPr>
          <w:i/>
          <w:sz w:val="20"/>
          <w:szCs w:val="20"/>
        </w:rPr>
        <w:t xml:space="preserve">there was a decreased </w:t>
      </w:r>
      <w:r>
        <w:rPr>
          <w:i/>
          <w:sz w:val="20"/>
          <w:szCs w:val="20"/>
        </w:rPr>
        <w:tab/>
        <w:t xml:space="preserve">focus on the </w:t>
      </w:r>
      <w:r w:rsidRPr="00281F6A">
        <w:rPr>
          <w:i/>
          <w:sz w:val="20"/>
          <w:szCs w:val="20"/>
        </w:rPr>
        <w:t>retention KPI?</w:t>
      </w:r>
    </w:p>
    <w:p w14:paraId="59C0A6FD" w14:textId="77777777" w:rsidR="009A3D6A" w:rsidRDefault="009A3D6A" w:rsidP="009A4A3E">
      <w:pPr>
        <w:pStyle w:val="ListParagraph"/>
        <w:numPr>
          <w:ilvl w:val="0"/>
          <w:numId w:val="18"/>
        </w:numPr>
        <w:rPr>
          <w:i/>
          <w:sz w:val="20"/>
          <w:szCs w:val="20"/>
        </w:rPr>
      </w:pPr>
      <w:r>
        <w:rPr>
          <w:i/>
          <w:sz w:val="20"/>
          <w:szCs w:val="20"/>
        </w:rPr>
        <w:t xml:space="preserve">What are the factors the Department should take into consideration as a performance   </w:t>
      </w:r>
      <w:r>
        <w:rPr>
          <w:i/>
          <w:sz w:val="20"/>
          <w:szCs w:val="20"/>
        </w:rPr>
        <w:tab/>
        <w:t>measure?</w:t>
      </w:r>
    </w:p>
    <w:p w14:paraId="59C0A6FE" w14:textId="77777777" w:rsidR="006720DC" w:rsidRPr="00B656A5" w:rsidRDefault="006720DC">
      <w:pPr>
        <w:rPr>
          <w:rFonts w:ascii="Century Gothic" w:hAnsi="Century Gothic" w:cstheme="minorHAnsi"/>
          <w:color w:val="365F91" w:themeColor="accent1" w:themeShade="BF"/>
          <w:sz w:val="28"/>
          <w:szCs w:val="28"/>
        </w:rPr>
      </w:pPr>
    </w:p>
    <w:p w14:paraId="59C0A6FF" w14:textId="77777777" w:rsidR="006D28EB" w:rsidRDefault="00D24B73" w:rsidP="003A64D3">
      <w:pPr>
        <w:pStyle w:val="Heading3"/>
      </w:pPr>
      <w:bookmarkStart w:id="20" w:name="_Toc330460471"/>
      <w:r w:rsidRPr="00D24B73">
        <w:t>3.11 Payment Structure</w:t>
      </w:r>
      <w:bookmarkEnd w:id="20"/>
    </w:p>
    <w:p w14:paraId="59C0A700" w14:textId="77777777" w:rsidR="005A590F" w:rsidRDefault="002F5F9A" w:rsidP="005A590F">
      <w:r w:rsidRPr="002F5F9A">
        <w:t xml:space="preserve">The LLNP is </w:t>
      </w:r>
      <w:r w:rsidR="005760D7">
        <w:t xml:space="preserve">a </w:t>
      </w:r>
      <w:r w:rsidR="00204F07">
        <w:t xml:space="preserve">capped program that receives an </w:t>
      </w:r>
      <w:r w:rsidRPr="002F5F9A">
        <w:t>annual appropriation</w:t>
      </w:r>
      <w:r w:rsidR="00204F07">
        <w:t xml:space="preserve"> to assist a specific number of job seekers.  </w:t>
      </w:r>
      <w:r w:rsidR="00A158D9">
        <w:t>Over the next three financial years (</w:t>
      </w:r>
      <w:r w:rsidR="00204F07">
        <w:t>2013-16</w:t>
      </w:r>
      <w:r w:rsidR="00A158D9">
        <w:t>)</w:t>
      </w:r>
      <w:r w:rsidR="00204F07">
        <w:t xml:space="preserve"> the program will receive approximately $445 million to assist 87,000 eligible job seekers lift their LLN skills.  </w:t>
      </w:r>
    </w:p>
    <w:p w14:paraId="59C0A701" w14:textId="77777777" w:rsidR="00204F07" w:rsidRDefault="00204F07" w:rsidP="005A590F"/>
    <w:p w14:paraId="59C0A702" w14:textId="77777777" w:rsidR="002A74AE" w:rsidRDefault="00A2079F" w:rsidP="005A590F">
      <w:r>
        <w:t>Currently</w:t>
      </w:r>
      <w:r w:rsidR="002A74AE">
        <w:t xml:space="preserve"> LLNP providers receive a one off payment to conduct a </w:t>
      </w:r>
      <w:r w:rsidR="001F64CD">
        <w:t>PTA</w:t>
      </w:r>
      <w:r w:rsidR="002A74AE">
        <w:t xml:space="preserve"> and an hourly rate of pay for training hours delivered.  The payment of the training of hours is based on milestone payments. Those milestone payments are listed below</w:t>
      </w:r>
      <w:r w:rsidR="0070417E">
        <w:t>:</w:t>
      </w:r>
    </w:p>
    <w:p w14:paraId="59C0A703" w14:textId="77777777" w:rsidR="0070417E" w:rsidRDefault="0070417E" w:rsidP="005A590F"/>
    <w:p w14:paraId="59C0A704" w14:textId="77777777" w:rsidR="005A590F" w:rsidRPr="002C22A5" w:rsidRDefault="0070417E" w:rsidP="009A4A3E">
      <w:pPr>
        <w:pStyle w:val="ListParagraph"/>
        <w:numPr>
          <w:ilvl w:val="0"/>
          <w:numId w:val="1"/>
        </w:numPr>
      </w:pPr>
      <w:r>
        <w:t>T</w:t>
      </w:r>
      <w:r w:rsidR="002F5F9A" w:rsidRPr="002F5F9A">
        <w:t>he first payment of 30</w:t>
      </w:r>
      <w:r w:rsidR="002F3185">
        <w:t xml:space="preserve"> per</w:t>
      </w:r>
      <w:r>
        <w:t xml:space="preserve"> </w:t>
      </w:r>
      <w:r w:rsidR="002F3185">
        <w:t>cent</w:t>
      </w:r>
      <w:r w:rsidR="002F5F9A" w:rsidRPr="002F5F9A">
        <w:t xml:space="preserve"> of the total block payment is payable in two equal amounts at the following times:</w:t>
      </w:r>
    </w:p>
    <w:p w14:paraId="59C0A705" w14:textId="77777777" w:rsidR="005A590F" w:rsidRPr="002C22A5" w:rsidRDefault="002F5F9A" w:rsidP="009A4A3E">
      <w:pPr>
        <w:pStyle w:val="ListParagraph"/>
        <w:numPr>
          <w:ilvl w:val="0"/>
          <w:numId w:val="2"/>
        </w:numPr>
      </w:pPr>
      <w:r w:rsidRPr="002F5F9A">
        <w:t>15</w:t>
      </w:r>
      <w:r w:rsidR="002F3185">
        <w:t xml:space="preserve"> per</w:t>
      </w:r>
      <w:r w:rsidR="0070417E">
        <w:t xml:space="preserve"> </w:t>
      </w:r>
      <w:r w:rsidR="002F3185">
        <w:t>cent</w:t>
      </w:r>
      <w:r w:rsidRPr="002F5F9A">
        <w:t xml:space="preserve"> of total block payment is payable upon entry of a </w:t>
      </w:r>
      <w:r w:rsidR="0070417E">
        <w:t>c</w:t>
      </w:r>
      <w:r w:rsidRPr="002F5F9A">
        <w:t>lient’s commencement (actual start date) on the LLN</w:t>
      </w:r>
      <w:r w:rsidR="00FC585B">
        <w:t>P</w:t>
      </w:r>
      <w:r w:rsidRPr="002F5F9A">
        <w:t xml:space="preserve"> IT System;</w:t>
      </w:r>
      <w:r w:rsidR="0070417E">
        <w:t xml:space="preserve"> and</w:t>
      </w:r>
    </w:p>
    <w:p w14:paraId="59C0A706" w14:textId="77777777" w:rsidR="005A590F" w:rsidRPr="002C22A5" w:rsidRDefault="002F5F9A" w:rsidP="009A4A3E">
      <w:pPr>
        <w:pStyle w:val="ListParagraph"/>
        <w:numPr>
          <w:ilvl w:val="0"/>
          <w:numId w:val="2"/>
        </w:numPr>
      </w:pPr>
      <w:r w:rsidRPr="002F5F9A">
        <w:t>15</w:t>
      </w:r>
      <w:r w:rsidR="002F3185">
        <w:t xml:space="preserve"> per</w:t>
      </w:r>
      <w:r w:rsidR="0070417E">
        <w:t xml:space="preserve"> </w:t>
      </w:r>
      <w:r w:rsidR="002F3185">
        <w:t>cent</w:t>
      </w:r>
      <w:r w:rsidRPr="002F5F9A">
        <w:t xml:space="preserve"> of total block payment is payable upon the </w:t>
      </w:r>
      <w:r w:rsidR="0070417E">
        <w:t>c</w:t>
      </w:r>
      <w:r w:rsidRPr="002F5F9A">
        <w:t>lient having completed 30 hours of training.</w:t>
      </w:r>
    </w:p>
    <w:p w14:paraId="59C0A707" w14:textId="77777777" w:rsidR="005A590F" w:rsidRPr="002C22A5" w:rsidRDefault="0070417E" w:rsidP="009A4A3E">
      <w:pPr>
        <w:pStyle w:val="ListParagraph"/>
        <w:numPr>
          <w:ilvl w:val="0"/>
          <w:numId w:val="1"/>
        </w:numPr>
      </w:pPr>
      <w:r>
        <w:t>T</w:t>
      </w:r>
      <w:r w:rsidR="002F5F9A" w:rsidRPr="002F5F9A">
        <w:t>he second payment of 30</w:t>
      </w:r>
      <w:r w:rsidR="002F3185">
        <w:t xml:space="preserve"> per</w:t>
      </w:r>
      <w:r>
        <w:t xml:space="preserve"> </w:t>
      </w:r>
      <w:r w:rsidR="002F3185">
        <w:t>cent</w:t>
      </w:r>
      <w:r w:rsidR="002F5F9A" w:rsidRPr="002F5F9A">
        <w:t xml:space="preserve"> of the total block payment is payable when the </w:t>
      </w:r>
      <w:r>
        <w:t>c</w:t>
      </w:r>
      <w:r w:rsidR="002F5F9A" w:rsidRPr="002F5F9A">
        <w:t xml:space="preserve">lient has reached 100 training hours; </w:t>
      </w:r>
    </w:p>
    <w:p w14:paraId="59C0A708" w14:textId="77777777" w:rsidR="005A590F" w:rsidRPr="002C22A5" w:rsidRDefault="0070417E" w:rsidP="009A4A3E">
      <w:pPr>
        <w:pStyle w:val="ListParagraph"/>
        <w:numPr>
          <w:ilvl w:val="0"/>
          <w:numId w:val="1"/>
        </w:numPr>
      </w:pPr>
      <w:r>
        <w:t>T</w:t>
      </w:r>
      <w:r w:rsidR="002F5F9A" w:rsidRPr="002F5F9A">
        <w:t>he third payment of 2</w:t>
      </w:r>
      <w:r w:rsidR="002F3185">
        <w:t>0 per</w:t>
      </w:r>
      <w:r>
        <w:t xml:space="preserve"> </w:t>
      </w:r>
      <w:r w:rsidR="002F3185">
        <w:t>cent</w:t>
      </w:r>
      <w:r w:rsidR="002F5F9A" w:rsidRPr="002F5F9A">
        <w:t xml:space="preserve"> of the total block payment is payable when the </w:t>
      </w:r>
      <w:r>
        <w:t>c</w:t>
      </w:r>
      <w:r w:rsidR="002F5F9A" w:rsidRPr="002F5F9A">
        <w:t>lient has reached 150 training hours; and</w:t>
      </w:r>
    </w:p>
    <w:p w14:paraId="59C0A709" w14:textId="77777777" w:rsidR="005A590F" w:rsidRPr="002C22A5" w:rsidRDefault="002F5F9A" w:rsidP="009A4A3E">
      <w:pPr>
        <w:pStyle w:val="ListParagraph"/>
        <w:numPr>
          <w:ilvl w:val="0"/>
          <w:numId w:val="1"/>
        </w:numPr>
      </w:pPr>
      <w:r w:rsidRPr="002F5F9A">
        <w:t>20</w:t>
      </w:r>
      <w:r w:rsidR="002F3185">
        <w:t xml:space="preserve"> per</w:t>
      </w:r>
      <w:r w:rsidR="0070417E">
        <w:t xml:space="preserve"> </w:t>
      </w:r>
      <w:r w:rsidR="002F3185">
        <w:t>cent</w:t>
      </w:r>
      <w:r w:rsidRPr="002F5F9A">
        <w:t xml:space="preserve"> of the total block payment is payable when a </w:t>
      </w:r>
      <w:r w:rsidR="0070417E">
        <w:t>c</w:t>
      </w:r>
      <w:r w:rsidRPr="002F5F9A">
        <w:t xml:space="preserve">lient completes the full block of training hours and upon generation of the Block Exit Statement </w:t>
      </w:r>
      <w:r w:rsidR="009175ED">
        <w:t xml:space="preserve">(BES) </w:t>
      </w:r>
      <w:r w:rsidRPr="002F5F9A">
        <w:t xml:space="preserve">on the LLNP IT System. </w:t>
      </w:r>
    </w:p>
    <w:p w14:paraId="59C0A70A" w14:textId="77777777" w:rsidR="005A590F" w:rsidRPr="002C22A5" w:rsidRDefault="005A590F" w:rsidP="005A590F"/>
    <w:p w14:paraId="59C0A70B" w14:textId="77777777" w:rsidR="008B4A17" w:rsidRDefault="002B0E37" w:rsidP="005A590F">
      <w:r>
        <w:t xml:space="preserve">LLNP provider </w:t>
      </w:r>
      <w:r w:rsidR="002F5F9A" w:rsidRPr="002F5F9A">
        <w:t>feedback indicates that</w:t>
      </w:r>
      <w:r w:rsidR="005760D7">
        <w:t xml:space="preserve"> this payment structure needs to be reviewed</w:t>
      </w:r>
      <w:r w:rsidR="002F37FD">
        <w:t xml:space="preserve"> </w:t>
      </w:r>
      <w:r w:rsidR="002A74AE">
        <w:t>as there are instances where training is delivered but providers do not receive payment as the</w:t>
      </w:r>
      <w:r w:rsidR="002F37FD">
        <w:t xml:space="preserve"> </w:t>
      </w:r>
      <w:r w:rsidR="002A74AE">
        <w:t>client</w:t>
      </w:r>
      <w:r w:rsidR="00EC71EF">
        <w:t>’</w:t>
      </w:r>
      <w:r w:rsidR="002F37FD">
        <w:t xml:space="preserve">s attendance </w:t>
      </w:r>
      <w:r w:rsidR="005760D7">
        <w:t>is</w:t>
      </w:r>
      <w:r w:rsidR="002F37FD">
        <w:t xml:space="preserve"> short of the milestone payment hours</w:t>
      </w:r>
      <w:r w:rsidR="00333A46">
        <w:t xml:space="preserve"> required</w:t>
      </w:r>
      <w:r w:rsidR="002A74AE">
        <w:t>.</w:t>
      </w:r>
      <w:r w:rsidR="00E27B00">
        <w:t xml:space="preserve"> </w:t>
      </w:r>
      <w:r w:rsidR="00333A46">
        <w:t xml:space="preserve">In some cases </w:t>
      </w:r>
      <w:r w:rsidR="002F37FD">
        <w:t xml:space="preserve">the </w:t>
      </w:r>
      <w:r w:rsidR="00333A46">
        <w:t xml:space="preserve">reason the client has left the program is due to </w:t>
      </w:r>
      <w:r w:rsidR="002F37FD">
        <w:t xml:space="preserve">the individual </w:t>
      </w:r>
      <w:r w:rsidR="002A74AE">
        <w:t>gain</w:t>
      </w:r>
      <w:r w:rsidR="002F37FD">
        <w:t xml:space="preserve">ing </w:t>
      </w:r>
      <w:r w:rsidR="002A74AE">
        <w:t>employment or go</w:t>
      </w:r>
      <w:r w:rsidR="00034CED">
        <w:t>ing</w:t>
      </w:r>
      <w:r w:rsidR="002A74AE">
        <w:t xml:space="preserve"> on to further study</w:t>
      </w:r>
      <w:r w:rsidR="002F37FD">
        <w:t xml:space="preserve"> yet the provider does not receive payment for the hours of training delivered</w:t>
      </w:r>
      <w:r w:rsidR="00333A46">
        <w:t xml:space="preserve"> due to the shortfall in the milestone hours</w:t>
      </w:r>
      <w:r w:rsidR="002A74AE">
        <w:t>.</w:t>
      </w:r>
    </w:p>
    <w:p w14:paraId="59C0A70C" w14:textId="77777777" w:rsidR="00E27B00" w:rsidRDefault="00E27B00" w:rsidP="005A590F"/>
    <w:p w14:paraId="59C0A70D" w14:textId="77777777" w:rsidR="00333A46" w:rsidRDefault="00333A46" w:rsidP="005A590F">
      <w:r>
        <w:t>The department is cognisant that the removal of milestone payments may have an adverse effect on provider behaviour in delivering LLN training so various payment options are being considered.  Those options are:</w:t>
      </w:r>
    </w:p>
    <w:p w14:paraId="59C0A70E" w14:textId="77777777" w:rsidR="00333A46" w:rsidRDefault="00333A46" w:rsidP="005A590F"/>
    <w:p w14:paraId="59C0A70F" w14:textId="77777777" w:rsidR="00333A46" w:rsidRPr="004747F6" w:rsidRDefault="00333A46" w:rsidP="005A590F">
      <w:pPr>
        <w:rPr>
          <w:i/>
        </w:rPr>
      </w:pPr>
      <w:r w:rsidRPr="004747F6">
        <w:rPr>
          <w:i/>
        </w:rPr>
        <w:lastRenderedPageBreak/>
        <w:t>Option</w:t>
      </w:r>
      <w:r w:rsidR="004747F6" w:rsidRPr="004747F6">
        <w:rPr>
          <w:i/>
        </w:rPr>
        <w:t xml:space="preserve"> </w:t>
      </w:r>
      <w:r w:rsidRPr="004747F6">
        <w:rPr>
          <w:i/>
        </w:rPr>
        <w:t>1: All providers receive the same hourly payment with increased payments to the tendered price when certain deliverables are achieved such as attainment or number of training hours.</w:t>
      </w:r>
    </w:p>
    <w:p w14:paraId="59C0A710" w14:textId="77777777" w:rsidR="00333A46" w:rsidRPr="004747F6" w:rsidRDefault="00333A46" w:rsidP="005A590F">
      <w:pPr>
        <w:rPr>
          <w:i/>
        </w:rPr>
      </w:pPr>
    </w:p>
    <w:p w14:paraId="59C0A711" w14:textId="77777777" w:rsidR="00333A46" w:rsidRPr="004747F6" w:rsidRDefault="00333A46" w:rsidP="005A590F">
      <w:pPr>
        <w:rPr>
          <w:i/>
        </w:rPr>
      </w:pPr>
      <w:r w:rsidRPr="004747F6">
        <w:rPr>
          <w:i/>
        </w:rPr>
        <w:t>Option 2: Hourly payments are based on tendered prices and bonus payments are made at certain deliverables such as target training hours as set by the Department or higher levels of attainment achieved.</w:t>
      </w:r>
    </w:p>
    <w:p w14:paraId="59C0A712" w14:textId="77777777" w:rsidR="00333A46" w:rsidRPr="004747F6" w:rsidRDefault="00333A46" w:rsidP="005A590F">
      <w:pPr>
        <w:rPr>
          <w:i/>
        </w:rPr>
      </w:pPr>
    </w:p>
    <w:p w14:paraId="59C0A713" w14:textId="77777777" w:rsidR="00333A46" w:rsidRPr="004747F6" w:rsidRDefault="00BB0923" w:rsidP="005A590F">
      <w:pPr>
        <w:rPr>
          <w:i/>
        </w:rPr>
      </w:pPr>
      <w:r>
        <w:rPr>
          <w:i/>
        </w:rPr>
        <w:t>Option 3</w:t>
      </w:r>
      <w:r w:rsidR="00034CED">
        <w:rPr>
          <w:i/>
        </w:rPr>
        <w:t>: C</w:t>
      </w:r>
      <w:r w:rsidR="00333A46" w:rsidRPr="004747F6">
        <w:rPr>
          <w:i/>
        </w:rPr>
        <w:t>ontinue with milestone payments but introduce incentive payments based on client demographics and various levels of achievement.</w:t>
      </w:r>
    </w:p>
    <w:p w14:paraId="59C0A714" w14:textId="77777777" w:rsidR="00333A46" w:rsidRDefault="00333A46" w:rsidP="005A590F"/>
    <w:p w14:paraId="59C0A715" w14:textId="77777777" w:rsidR="00333A46" w:rsidRDefault="00333A46" w:rsidP="005A590F">
      <w:r>
        <w:t xml:space="preserve">Further </w:t>
      </w:r>
      <w:r w:rsidR="00034CED">
        <w:t>issues</w:t>
      </w:r>
      <w:r>
        <w:t xml:space="preserve"> regarding incentive payments are addressed in the next section of this paper.</w:t>
      </w:r>
    </w:p>
    <w:p w14:paraId="59C0A716" w14:textId="77777777" w:rsidR="00333A46" w:rsidRDefault="00333A46" w:rsidP="005A590F"/>
    <w:p w14:paraId="59C0A717" w14:textId="77777777" w:rsidR="005A590F" w:rsidRDefault="002F5F9A" w:rsidP="005A590F">
      <w:r w:rsidRPr="002F5F9A">
        <w:t>Further to this, consideration is</w:t>
      </w:r>
      <w:r w:rsidR="005760D7">
        <w:t xml:space="preserve"> being given</w:t>
      </w:r>
      <w:r w:rsidRPr="002F5F9A">
        <w:t xml:space="preserve"> to whether the</w:t>
      </w:r>
      <w:r w:rsidR="002F37FD">
        <w:t xml:space="preserve"> payment structure </w:t>
      </w:r>
      <w:r w:rsidRPr="002F5F9A">
        <w:t xml:space="preserve">can be simplified to reduce the administrative </w:t>
      </w:r>
      <w:r w:rsidR="00034CED">
        <w:t>load</w:t>
      </w:r>
      <w:r w:rsidRPr="002F5F9A">
        <w:t xml:space="preserve"> on providers, improve efficiency and enhance the flexibility of the program. </w:t>
      </w:r>
    </w:p>
    <w:p w14:paraId="59C0A718" w14:textId="77777777" w:rsidR="00333A46" w:rsidRDefault="00333A46" w:rsidP="005A590F"/>
    <w:p w14:paraId="59C0A719" w14:textId="77777777" w:rsidR="00D65D4E" w:rsidRPr="00C54925" w:rsidRDefault="00D24B73">
      <w:pPr>
        <w:rPr>
          <w:rFonts w:ascii="Century Gothic" w:hAnsi="Century Gothic"/>
          <w:color w:val="365F91" w:themeColor="accent1" w:themeShade="BF"/>
        </w:rPr>
      </w:pPr>
      <w:r w:rsidRPr="00D24B73">
        <w:rPr>
          <w:rFonts w:ascii="Century Gothic" w:hAnsi="Century Gothic"/>
          <w:color w:val="365F91" w:themeColor="accent1" w:themeShade="BF"/>
        </w:rPr>
        <w:t>Incentive Payments</w:t>
      </w:r>
    </w:p>
    <w:p w14:paraId="59C0A71A" w14:textId="77777777" w:rsidR="0070632C" w:rsidRDefault="00A870E3">
      <w:r>
        <w:t xml:space="preserve">The purpose of the LLNP is to improve the LLN skills for individuals to allow them to go on to employment or further education making them more productive in society.  To be able to achieve this critical objective the individual needs to be able to improve </w:t>
      </w:r>
      <w:r w:rsidR="0070632C">
        <w:t xml:space="preserve">their LLN skills.   One of the </w:t>
      </w:r>
      <w:r w:rsidR="00817C28">
        <w:t>KPIs</w:t>
      </w:r>
      <w:r w:rsidR="0070632C">
        <w:t xml:space="preserve"> for this program is the Attainment KPI.  </w:t>
      </w:r>
    </w:p>
    <w:p w14:paraId="59C0A71B" w14:textId="77777777" w:rsidR="0070632C" w:rsidRDefault="0070632C"/>
    <w:p w14:paraId="59C0A71C" w14:textId="77777777" w:rsidR="00BC7C12" w:rsidRDefault="0070632C">
      <w:r>
        <w:t xml:space="preserve">The Attainment KPI target </w:t>
      </w:r>
      <w:r w:rsidR="00013389">
        <w:t>for the program is the extent (80</w:t>
      </w:r>
      <w:r w:rsidR="00817C28">
        <w:t xml:space="preserve"> per cent</w:t>
      </w:r>
      <w:r w:rsidR="00013389">
        <w:t xml:space="preserve">) to which clients </w:t>
      </w:r>
      <w:r w:rsidR="00FA7986">
        <w:t>that</w:t>
      </w:r>
      <w:r w:rsidR="00BC7C12">
        <w:t xml:space="preserve"> </w:t>
      </w:r>
      <w:r w:rsidR="00013389">
        <w:t xml:space="preserve">complete </w:t>
      </w:r>
      <w:r w:rsidR="00BC7C12">
        <w:t xml:space="preserve">a </w:t>
      </w:r>
      <w:r w:rsidR="00013389">
        <w:t>block</w:t>
      </w:r>
      <w:r w:rsidR="00BC7C12">
        <w:t xml:space="preserve"> of training </w:t>
      </w:r>
      <w:r w:rsidR="00034CED">
        <w:t>achieve</w:t>
      </w:r>
      <w:r w:rsidR="00013389">
        <w:t xml:space="preserve"> satisfactory </w:t>
      </w:r>
      <w:r w:rsidR="00BC7C12">
        <w:t xml:space="preserve">improvements as measured against the </w:t>
      </w:r>
      <w:r w:rsidR="00013389">
        <w:t>ASCF</w:t>
      </w:r>
      <w:r w:rsidR="00272FC2">
        <w:t xml:space="preserve">.  </w:t>
      </w:r>
      <w:r w:rsidR="00E86B29">
        <w:t>The benchmark for improvement in the LLNP is that a client ach</w:t>
      </w:r>
      <w:r w:rsidR="00497D0A">
        <w:t xml:space="preserve">ieves </w:t>
      </w:r>
      <w:r w:rsidR="00E86B29">
        <w:t>at least one ACSF indicator from any two ACSF cor</w:t>
      </w:r>
      <w:r w:rsidR="00497D0A">
        <w:t>e skills</w:t>
      </w:r>
      <w:r w:rsidR="00817C28">
        <w:t>, for example,</w:t>
      </w:r>
      <w:r w:rsidR="00497D0A">
        <w:t xml:space="preserve"> o</w:t>
      </w:r>
      <w:r w:rsidR="00E86B29">
        <w:t>ne indicator from the Reading cor</w:t>
      </w:r>
      <w:r w:rsidR="00497D0A">
        <w:t>e</w:t>
      </w:r>
      <w:r w:rsidR="00E86B29">
        <w:t xml:space="preserve"> skill</w:t>
      </w:r>
      <w:r w:rsidR="00497D0A">
        <w:t xml:space="preserve"> plus</w:t>
      </w:r>
      <w:r w:rsidR="00E86B29">
        <w:t xml:space="preserve"> one other indicato</w:t>
      </w:r>
      <w:r w:rsidR="00497D0A">
        <w:t>r</w:t>
      </w:r>
      <w:r w:rsidR="00E86B29">
        <w:t xml:space="preserve"> from a different core skill.</w:t>
      </w:r>
    </w:p>
    <w:p w14:paraId="59C0A71D" w14:textId="77777777" w:rsidR="00BC7C12" w:rsidRDefault="00BC7C12"/>
    <w:p w14:paraId="59C0A71E" w14:textId="77777777" w:rsidR="00105385" w:rsidRDefault="00497D0A">
      <w:r>
        <w:t>In 2010-11, LLNP providers nationally achieved 94 per cent</w:t>
      </w:r>
      <w:r w:rsidR="005760D7">
        <w:t xml:space="preserve"> against this KPI</w:t>
      </w:r>
      <w:r>
        <w:t xml:space="preserve">.  </w:t>
      </w:r>
      <w:r w:rsidR="00105385">
        <w:t xml:space="preserve">The year to date figure for </w:t>
      </w:r>
      <w:r>
        <w:t xml:space="preserve">2011-12 (as at April 2012) </w:t>
      </w:r>
      <w:r w:rsidR="00105385">
        <w:t xml:space="preserve">for the Attainment </w:t>
      </w:r>
      <w:r>
        <w:t>KPI</w:t>
      </w:r>
      <w:r w:rsidR="00105385">
        <w:t xml:space="preserve"> </w:t>
      </w:r>
      <w:r>
        <w:t>was 96 per cent.</w:t>
      </w:r>
      <w:r w:rsidR="00105385">
        <w:t xml:space="preserve">  These are very encouraging figures indicating that clients are achieving improvements in their LLN skills as a result of undertaking this program.  </w:t>
      </w:r>
    </w:p>
    <w:p w14:paraId="59C0A71F" w14:textId="77777777" w:rsidR="00105385" w:rsidRDefault="00105385"/>
    <w:p w14:paraId="59C0A720" w14:textId="77777777" w:rsidR="00497D0A" w:rsidRDefault="00E27B00">
      <w:r w:rsidRPr="00281F6A">
        <w:t>Another measure</w:t>
      </w:r>
      <w:r w:rsidR="00105385" w:rsidRPr="00281F6A">
        <w:t xml:space="preserve"> of the results </w:t>
      </w:r>
      <w:r w:rsidRPr="00281F6A">
        <w:t xml:space="preserve">achieved </w:t>
      </w:r>
      <w:r w:rsidR="00105385" w:rsidRPr="00281F6A">
        <w:t xml:space="preserve">is </w:t>
      </w:r>
      <w:r w:rsidR="005760D7" w:rsidRPr="00281F6A">
        <w:t xml:space="preserve">demonstrated in the </w:t>
      </w:r>
      <w:r w:rsidR="00105385" w:rsidRPr="00281F6A">
        <w:t>2009 Post Program Monitoring Survey</w:t>
      </w:r>
      <w:r w:rsidR="003E0A34" w:rsidRPr="00281F6A">
        <w:t xml:space="preserve"> which found</w:t>
      </w:r>
      <w:r w:rsidR="00105385" w:rsidRPr="00281F6A">
        <w:t xml:space="preserve"> that 45 per cent of clients surveyed indicated that after completing LLNP they were either in employment or undertaking further education.  </w:t>
      </w:r>
      <w:r w:rsidR="004F4663" w:rsidRPr="00281F6A">
        <w:t>Indicative figures for 2011 are</w:t>
      </w:r>
      <w:r w:rsidR="00105385" w:rsidRPr="00281F6A">
        <w:t xml:space="preserve"> that over 60 per cent of participants are now going on to employment or further </w:t>
      </w:r>
      <w:r w:rsidR="004F4663" w:rsidRPr="00281F6A">
        <w:t>e</w:t>
      </w:r>
      <w:r w:rsidR="00105385" w:rsidRPr="00281F6A">
        <w:t>ducation.</w:t>
      </w:r>
    </w:p>
    <w:p w14:paraId="59C0A721" w14:textId="77777777" w:rsidR="00013389" w:rsidRDefault="00497D0A">
      <w:r>
        <w:t xml:space="preserve"> </w:t>
      </w:r>
    </w:p>
    <w:p w14:paraId="59C0A722" w14:textId="77777777" w:rsidR="007C50DC" w:rsidRDefault="007C50DC" w:rsidP="004F4663">
      <w:r>
        <w:t xml:space="preserve">Coupled with the performance of the LLNP providers is the composition of the </w:t>
      </w:r>
      <w:r w:rsidR="004F4663">
        <w:t>program participants</w:t>
      </w:r>
      <w:r>
        <w:t xml:space="preserve">.  It is important </w:t>
      </w:r>
      <w:r w:rsidR="00A2079F">
        <w:t>that the</w:t>
      </w:r>
      <w:r>
        <w:t xml:space="preserve"> program is reaching those hardest to engage such as Indigenous and youth.  The main group of people represented in the program are from Culturally and Linguistically Diverse background</w:t>
      </w:r>
      <w:r w:rsidR="00AE2BA5">
        <w:t>s</w:t>
      </w:r>
      <w:r>
        <w:t xml:space="preserve"> (CALD)</w:t>
      </w:r>
      <w:r w:rsidR="00272FC2">
        <w:t xml:space="preserve">.  </w:t>
      </w:r>
      <w:r>
        <w:t>This representation of CALD in the program is not surprising as there is a level of shame attached with poor literacy and numeracy skills for Australian born people.  CALD people consider that English is their second language and therefore are</w:t>
      </w:r>
      <w:r w:rsidR="00852444">
        <w:t xml:space="preserve"> keen to improve their skills. For instance:</w:t>
      </w:r>
    </w:p>
    <w:p w14:paraId="59C0A723" w14:textId="77777777" w:rsidR="007C50DC" w:rsidRDefault="007C50DC" w:rsidP="004F4663"/>
    <w:p w14:paraId="59C0A724" w14:textId="77777777" w:rsidR="001A1E4D" w:rsidRDefault="004F4663" w:rsidP="009A4A3E">
      <w:pPr>
        <w:pStyle w:val="ListParagraph"/>
        <w:numPr>
          <w:ilvl w:val="0"/>
          <w:numId w:val="12"/>
        </w:numPr>
      </w:pPr>
      <w:r>
        <w:t xml:space="preserve">Over 70 per cent of clients commencing in the program </w:t>
      </w:r>
      <w:r w:rsidR="003E0A34">
        <w:t>are from</w:t>
      </w:r>
      <w:r>
        <w:t xml:space="preserve"> </w:t>
      </w:r>
      <w:r w:rsidR="00817C28">
        <w:t xml:space="preserve">CALD </w:t>
      </w:r>
      <w:r>
        <w:t>background</w:t>
      </w:r>
      <w:r w:rsidR="00817C28">
        <w:t>s</w:t>
      </w:r>
      <w:r>
        <w:t>;</w:t>
      </w:r>
    </w:p>
    <w:p w14:paraId="59C0A725" w14:textId="77777777" w:rsidR="001A1E4D" w:rsidRDefault="004F4663" w:rsidP="009A4A3E">
      <w:pPr>
        <w:pStyle w:val="ListParagraph"/>
        <w:numPr>
          <w:ilvl w:val="0"/>
          <w:numId w:val="12"/>
        </w:numPr>
      </w:pPr>
      <w:r>
        <w:t>Nearly 60 per cent of clients are female;</w:t>
      </w:r>
    </w:p>
    <w:p w14:paraId="59C0A726" w14:textId="77777777" w:rsidR="001A1E4D" w:rsidRDefault="003E0A34" w:rsidP="009A4A3E">
      <w:pPr>
        <w:pStyle w:val="ListParagraph"/>
        <w:numPr>
          <w:ilvl w:val="0"/>
          <w:numId w:val="12"/>
        </w:numPr>
      </w:pPr>
      <w:r>
        <w:t>Eight</w:t>
      </w:r>
      <w:r w:rsidR="004F4663">
        <w:t xml:space="preserve"> per</w:t>
      </w:r>
      <w:r w:rsidR="00817C28">
        <w:t xml:space="preserve"> </w:t>
      </w:r>
      <w:r w:rsidR="004F4663">
        <w:t xml:space="preserve">cent are Indigenous job seekers; and </w:t>
      </w:r>
    </w:p>
    <w:p w14:paraId="59C0A727" w14:textId="77777777" w:rsidR="001A1E4D" w:rsidRDefault="004F4663" w:rsidP="009A4A3E">
      <w:pPr>
        <w:pStyle w:val="ListParagraph"/>
        <w:numPr>
          <w:ilvl w:val="0"/>
          <w:numId w:val="12"/>
        </w:numPr>
      </w:pPr>
      <w:r>
        <w:lastRenderedPageBreak/>
        <w:t>21 per</w:t>
      </w:r>
      <w:r w:rsidR="00817C28">
        <w:t xml:space="preserve"> </w:t>
      </w:r>
      <w:r>
        <w:t xml:space="preserve">cent </w:t>
      </w:r>
      <w:r w:rsidR="003E0A34">
        <w:t>are Youth</w:t>
      </w:r>
      <w:r>
        <w:t>.</w:t>
      </w:r>
    </w:p>
    <w:p w14:paraId="59C0A728" w14:textId="77777777" w:rsidR="00497D0A" w:rsidRDefault="00497D0A"/>
    <w:p w14:paraId="59C0A729" w14:textId="77777777" w:rsidR="00AE2BA5" w:rsidRDefault="002F5F9A">
      <w:r w:rsidRPr="002F5F9A">
        <w:t xml:space="preserve">The </w:t>
      </w:r>
      <w:r w:rsidR="0013131C">
        <w:t>Government</w:t>
      </w:r>
      <w:r w:rsidRPr="002F5F9A">
        <w:t xml:space="preserve"> acknowledges the difficulties </w:t>
      </w:r>
      <w:r w:rsidR="001E2ADF">
        <w:t xml:space="preserve">providers </w:t>
      </w:r>
      <w:r w:rsidRPr="002F5F9A">
        <w:t xml:space="preserve">face in </w:t>
      </w:r>
      <w:r w:rsidR="001E2ADF">
        <w:t xml:space="preserve">trying to </w:t>
      </w:r>
      <w:r w:rsidRPr="002F5F9A">
        <w:t>engag</w:t>
      </w:r>
      <w:r w:rsidR="001E2ADF">
        <w:t xml:space="preserve">e clients and achieve attainment objectives </w:t>
      </w:r>
      <w:r w:rsidR="00CE2AB1">
        <w:t>for Indigenous and youth and is considering introducing incentive payments for specific cohorts</w:t>
      </w:r>
      <w:r w:rsidR="00AE2BA5">
        <w:t xml:space="preserve">.  </w:t>
      </w:r>
      <w:r w:rsidR="00CE2AB1">
        <w:t>It is expected that an incentive payment will incr</w:t>
      </w:r>
      <w:r w:rsidRPr="002F5F9A">
        <w:t>eas</w:t>
      </w:r>
      <w:r w:rsidR="00CE2AB1">
        <w:t>e</w:t>
      </w:r>
      <w:r w:rsidRPr="002F5F9A">
        <w:t xml:space="preserve"> engagement and ret</w:t>
      </w:r>
      <w:r w:rsidR="005C4245">
        <w:t>ention</w:t>
      </w:r>
      <w:r w:rsidRPr="002F5F9A">
        <w:t xml:space="preserve"> in selected cohorts</w:t>
      </w:r>
      <w:r w:rsidR="00AE2BA5">
        <w:t xml:space="preserve">.  </w:t>
      </w:r>
      <w:r w:rsidRPr="002F5F9A">
        <w:t>Two potential incentive payments</w:t>
      </w:r>
      <w:r w:rsidR="003E0A34">
        <w:t xml:space="preserve"> are being considered</w:t>
      </w:r>
      <w:r w:rsidRPr="002F5F9A">
        <w:t xml:space="preserve">: </w:t>
      </w:r>
    </w:p>
    <w:p w14:paraId="59C0A72A" w14:textId="77777777" w:rsidR="00001600" w:rsidRDefault="00001600"/>
    <w:p w14:paraId="59C0A72B" w14:textId="77777777" w:rsidR="00D65D4E" w:rsidRDefault="001E2ADF" w:rsidP="009A4A3E">
      <w:pPr>
        <w:pStyle w:val="ListParagraph"/>
        <w:numPr>
          <w:ilvl w:val="0"/>
          <w:numId w:val="9"/>
        </w:numPr>
      </w:pPr>
      <w:r>
        <w:t>A</w:t>
      </w:r>
      <w:r w:rsidR="002F5F9A" w:rsidRPr="002F5F9A">
        <w:t>ttainment Incentive Payment</w:t>
      </w:r>
      <w:r w:rsidR="008B4A17">
        <w:t>;</w:t>
      </w:r>
      <w:r w:rsidR="002F5F9A" w:rsidRPr="002F5F9A">
        <w:t xml:space="preserve"> an</w:t>
      </w:r>
      <w:r w:rsidR="008B4A17">
        <w:t>d</w:t>
      </w:r>
    </w:p>
    <w:p w14:paraId="59C0A72C" w14:textId="77777777" w:rsidR="00C57A9E" w:rsidRDefault="00064498" w:rsidP="009A4A3E">
      <w:pPr>
        <w:pStyle w:val="ListParagraph"/>
        <w:numPr>
          <w:ilvl w:val="0"/>
          <w:numId w:val="9"/>
        </w:numPr>
      </w:pPr>
      <w:r>
        <w:t>Targeting Incentive Payment</w:t>
      </w:r>
      <w:r w:rsidR="002F5F9A" w:rsidRPr="002F5F9A">
        <w:t>.</w:t>
      </w:r>
    </w:p>
    <w:p w14:paraId="59C0A72D" w14:textId="77777777" w:rsidR="001873C2" w:rsidRDefault="001873C2">
      <w:pPr>
        <w:pStyle w:val="ListParagraph"/>
      </w:pPr>
    </w:p>
    <w:p w14:paraId="59C0A72E" w14:textId="77777777" w:rsidR="00D65D4E" w:rsidRDefault="00A2079F">
      <w:r>
        <w:t>An</w:t>
      </w:r>
      <w:r w:rsidR="002F5F9A" w:rsidRPr="002F5F9A">
        <w:t xml:space="preserve"> </w:t>
      </w:r>
      <w:r w:rsidR="002F5F9A" w:rsidRPr="002F5F9A">
        <w:rPr>
          <w:b/>
        </w:rPr>
        <w:t xml:space="preserve">Attainment Incentive Payment </w:t>
      </w:r>
      <w:r>
        <w:t>would be</w:t>
      </w:r>
      <w:r w:rsidR="002F5F9A" w:rsidRPr="002F5F9A">
        <w:t xml:space="preserve"> applied to any client who achieves an attainment in the program</w:t>
      </w:r>
      <w:r w:rsidR="00E85FEA">
        <w:t xml:space="preserve">.  </w:t>
      </w:r>
      <w:r w:rsidR="002F5F9A" w:rsidRPr="002F5F9A">
        <w:t>For example, percentage payments such</w:t>
      </w:r>
      <w:r w:rsidR="007C380C">
        <w:t xml:space="preserve"> as</w:t>
      </w:r>
      <w:r w:rsidR="002F5F9A" w:rsidRPr="002F5F9A">
        <w:t xml:space="preserve"> 5 per cent could be paid on top of the contract</w:t>
      </w:r>
      <w:r w:rsidR="007C380C">
        <w:t>ed</w:t>
      </w:r>
      <w:r w:rsidR="002F5F9A" w:rsidRPr="002F5F9A">
        <w:t xml:space="preserve"> hourly training rate for clients who achieve an attainment</w:t>
      </w:r>
      <w:r w:rsidR="006C68A3">
        <w:t xml:space="preserve">.  </w:t>
      </w:r>
      <w:r w:rsidR="00BF7054" w:rsidRPr="002F5F9A">
        <w:t>This incentive payment is designed to encourage engagement and retention in the program</w:t>
      </w:r>
      <w:r w:rsidR="00E85FEA">
        <w:t xml:space="preserve">.  </w:t>
      </w:r>
      <w:r w:rsidR="002F5F9A" w:rsidRPr="002F5F9A">
        <w:t>Clients who only achieve partial attainment</w:t>
      </w:r>
      <w:r w:rsidR="0095163C">
        <w:t xml:space="preserve">, against the ACSF indicators, </w:t>
      </w:r>
      <w:r w:rsidR="002F5F9A" w:rsidRPr="002F5F9A">
        <w:t xml:space="preserve">will not be eligible for an incentive payment. </w:t>
      </w:r>
    </w:p>
    <w:p w14:paraId="59C0A72F" w14:textId="77777777" w:rsidR="007071B8" w:rsidRDefault="005D5EFE">
      <w:pPr>
        <w:spacing w:before="240" w:after="240"/>
      </w:pPr>
      <w:r>
        <w:t>The attainment requirement will also be reviewed and input sought from industry representatives and ACSF leaders.</w:t>
      </w:r>
    </w:p>
    <w:p w14:paraId="59C0A730" w14:textId="77777777" w:rsidR="007071B8" w:rsidRDefault="002F5F9A">
      <w:pPr>
        <w:spacing w:before="240" w:after="240"/>
      </w:pPr>
      <w:r w:rsidRPr="002F5F9A">
        <w:t xml:space="preserve">The </w:t>
      </w:r>
      <w:r w:rsidR="00064498">
        <w:rPr>
          <w:b/>
        </w:rPr>
        <w:t>T</w:t>
      </w:r>
      <w:r w:rsidRPr="002F5F9A">
        <w:rPr>
          <w:b/>
        </w:rPr>
        <w:t>argeted Incentive Attainment Payment</w:t>
      </w:r>
      <w:r w:rsidR="00A2079F">
        <w:t xml:space="preserve"> would be</w:t>
      </w:r>
      <w:r w:rsidRPr="002F5F9A">
        <w:t xml:space="preserve"> applied to </w:t>
      </w:r>
      <w:r w:rsidR="007C380C">
        <w:t>I</w:t>
      </w:r>
      <w:r w:rsidRPr="002F5F9A">
        <w:t xml:space="preserve">ndigenous </w:t>
      </w:r>
      <w:r w:rsidR="007C380C">
        <w:t>client</w:t>
      </w:r>
      <w:r w:rsidR="006C68A3">
        <w:t>s</w:t>
      </w:r>
      <w:r w:rsidR="007C380C">
        <w:t xml:space="preserve"> </w:t>
      </w:r>
      <w:r w:rsidRPr="002F5F9A">
        <w:t>o</w:t>
      </w:r>
      <w:r w:rsidR="007C380C">
        <w:t>r</w:t>
      </w:r>
      <w:r w:rsidRPr="002F5F9A">
        <w:t xml:space="preserve"> youth who achieve an attainment in the program</w:t>
      </w:r>
      <w:r w:rsidR="00E85FEA">
        <w:t xml:space="preserve">.  </w:t>
      </w:r>
      <w:r w:rsidRPr="002F5F9A">
        <w:t>This i</w:t>
      </w:r>
      <w:r w:rsidR="00FC5701">
        <w:t>ncentive may be in the form of percentage</w:t>
      </w:r>
      <w:r w:rsidRPr="002F5F9A">
        <w:t xml:space="preserve"> or fixed payment</w:t>
      </w:r>
      <w:r w:rsidR="00E85FEA">
        <w:t xml:space="preserve">.  </w:t>
      </w:r>
      <w:r w:rsidR="00E47030">
        <w:t xml:space="preserve">Some </w:t>
      </w:r>
      <w:r w:rsidR="0095163C">
        <w:t xml:space="preserve">providers </w:t>
      </w:r>
      <w:r w:rsidR="00E47030">
        <w:t>could be eligible for both payments.</w:t>
      </w:r>
    </w:p>
    <w:p w14:paraId="59C0A731" w14:textId="77777777" w:rsidR="00C57A9E" w:rsidRDefault="00D24B73">
      <w:pPr>
        <w:rPr>
          <w:b/>
        </w:rPr>
      </w:pPr>
      <w:r w:rsidRPr="00D24B73">
        <w:rPr>
          <w:rFonts w:ascii="Century Gothic" w:hAnsi="Century Gothic"/>
          <w:color w:val="365F91" w:themeColor="accent1" w:themeShade="BF"/>
        </w:rPr>
        <w:t>Options for consideration</w:t>
      </w:r>
    </w:p>
    <w:p w14:paraId="59C0A732" w14:textId="77777777" w:rsidR="00C57A9E" w:rsidRDefault="002A74AE">
      <w:r w:rsidRPr="002F5F9A">
        <w:t xml:space="preserve">The </w:t>
      </w:r>
      <w:r>
        <w:t>Government</w:t>
      </w:r>
      <w:r w:rsidRPr="002F5F9A">
        <w:t xml:space="preserve"> </w:t>
      </w:r>
      <w:r w:rsidR="00034CED">
        <w:t>is</w:t>
      </w:r>
      <w:r w:rsidR="00371537">
        <w:t xml:space="preserve"> considering setting a </w:t>
      </w:r>
      <w:r w:rsidR="00A2079F">
        <w:t>fixed price</w:t>
      </w:r>
      <w:r w:rsidRPr="002F5F9A">
        <w:t xml:space="preserve"> </w:t>
      </w:r>
      <w:r w:rsidR="00371537">
        <w:t xml:space="preserve">for the delivery of the LLNP to align with other </w:t>
      </w:r>
      <w:r w:rsidR="00AE2BA5">
        <w:t>G</w:t>
      </w:r>
      <w:r w:rsidR="00371537">
        <w:t xml:space="preserve">overnment programs.  </w:t>
      </w:r>
      <w:r w:rsidRPr="002F5F9A">
        <w:t xml:space="preserve">The benefits </w:t>
      </w:r>
      <w:r>
        <w:t>of</w:t>
      </w:r>
      <w:r w:rsidRPr="002F5F9A">
        <w:t xml:space="preserve"> this</w:t>
      </w:r>
      <w:r>
        <w:t xml:space="preserve"> particular option</w:t>
      </w:r>
      <w:r w:rsidRPr="002F5F9A">
        <w:t xml:space="preserve"> include greater equity in the program, reduced administration of the program and greater accountability and value for money. </w:t>
      </w:r>
      <w:r w:rsidR="00371537">
        <w:t xml:space="preserve"> </w:t>
      </w:r>
    </w:p>
    <w:p w14:paraId="59C0A733" w14:textId="77777777" w:rsidR="00371537" w:rsidRDefault="00371537" w:rsidP="002A74AE"/>
    <w:p w14:paraId="59C0A734" w14:textId="77777777" w:rsidR="00712F8E" w:rsidRDefault="00A2079F" w:rsidP="002A74AE">
      <w:r>
        <w:t>Any c</w:t>
      </w:r>
      <w:r w:rsidR="00371537">
        <w:t>hanges to the funding model or payment structure may not be possible immediately</w:t>
      </w:r>
      <w:r>
        <w:t xml:space="preserve">. Feedback to these ideas will be taken into account as the Department undertakes further analysis and research of possible approaches. </w:t>
      </w:r>
    </w:p>
    <w:p w14:paraId="59C0A735" w14:textId="77777777" w:rsidR="00A2079F" w:rsidRDefault="00A2079F" w:rsidP="002A74AE"/>
    <w:p w14:paraId="59C0A736" w14:textId="77777777" w:rsidR="00712F8E" w:rsidRPr="00FB536C" w:rsidRDefault="00712F8E" w:rsidP="00712F8E">
      <w:pPr>
        <w:pStyle w:val="ListParagraph"/>
        <w:spacing w:after="60"/>
        <w:ind w:left="0"/>
        <w:rPr>
          <w:b/>
        </w:rPr>
      </w:pPr>
      <w:r w:rsidRPr="00FB536C">
        <w:rPr>
          <w:b/>
        </w:rPr>
        <w:t>For consideration in your response:</w:t>
      </w:r>
    </w:p>
    <w:p w14:paraId="59C0A737" w14:textId="77777777" w:rsidR="007071B8" w:rsidRDefault="00712F8E" w:rsidP="009A4A3E">
      <w:pPr>
        <w:pStyle w:val="ListParagraph"/>
        <w:numPr>
          <w:ilvl w:val="0"/>
          <w:numId w:val="18"/>
        </w:numPr>
        <w:ind w:left="709" w:hanging="709"/>
        <w:rPr>
          <w:i/>
          <w:sz w:val="20"/>
          <w:szCs w:val="20"/>
        </w:rPr>
      </w:pPr>
      <w:r w:rsidRPr="004F2E28">
        <w:rPr>
          <w:i/>
          <w:sz w:val="20"/>
          <w:szCs w:val="20"/>
        </w:rPr>
        <w:t xml:space="preserve">Do you think the introduction of incentive payments </w:t>
      </w:r>
      <w:r w:rsidR="00034CED">
        <w:rPr>
          <w:i/>
          <w:sz w:val="20"/>
          <w:szCs w:val="20"/>
        </w:rPr>
        <w:t>would</w:t>
      </w:r>
      <w:r w:rsidRPr="004F2E28">
        <w:rPr>
          <w:i/>
          <w:sz w:val="20"/>
          <w:szCs w:val="20"/>
        </w:rPr>
        <w:t xml:space="preserve"> assist with engagement and </w:t>
      </w:r>
      <w:r w:rsidR="00B1392D">
        <w:rPr>
          <w:i/>
          <w:sz w:val="20"/>
          <w:szCs w:val="20"/>
        </w:rPr>
        <w:t xml:space="preserve">    </w:t>
      </w:r>
      <w:r w:rsidRPr="004F2E28">
        <w:rPr>
          <w:i/>
          <w:sz w:val="20"/>
          <w:szCs w:val="20"/>
        </w:rPr>
        <w:t>outcomes in the program?</w:t>
      </w:r>
    </w:p>
    <w:p w14:paraId="59C0A738" w14:textId="77777777" w:rsidR="00B1392D" w:rsidRDefault="00A2079F" w:rsidP="009A4A3E">
      <w:pPr>
        <w:pStyle w:val="ListParagraph"/>
        <w:numPr>
          <w:ilvl w:val="0"/>
          <w:numId w:val="18"/>
        </w:numPr>
        <w:rPr>
          <w:i/>
          <w:sz w:val="20"/>
          <w:szCs w:val="20"/>
        </w:rPr>
      </w:pPr>
      <w:r>
        <w:rPr>
          <w:i/>
          <w:sz w:val="20"/>
          <w:szCs w:val="20"/>
        </w:rPr>
        <w:t>What do you think the impact of removing or revising milestone payments would be</w:t>
      </w:r>
      <w:r w:rsidR="00D24B73" w:rsidRPr="00D24B73">
        <w:rPr>
          <w:i/>
          <w:sz w:val="20"/>
          <w:szCs w:val="20"/>
        </w:rPr>
        <w:t>?</w:t>
      </w:r>
    </w:p>
    <w:p w14:paraId="59C0A739" w14:textId="77777777" w:rsidR="007071B8" w:rsidRPr="00B1392D" w:rsidRDefault="00E27B00" w:rsidP="009A4A3E">
      <w:pPr>
        <w:pStyle w:val="ListParagraph"/>
        <w:numPr>
          <w:ilvl w:val="0"/>
          <w:numId w:val="18"/>
        </w:numPr>
        <w:ind w:left="709" w:hanging="709"/>
        <w:rPr>
          <w:i/>
          <w:sz w:val="20"/>
          <w:szCs w:val="20"/>
        </w:rPr>
      </w:pPr>
      <w:r w:rsidRPr="00B1392D">
        <w:rPr>
          <w:i/>
          <w:sz w:val="20"/>
          <w:szCs w:val="20"/>
        </w:rPr>
        <w:t xml:space="preserve">What would be the impact of moving to </w:t>
      </w:r>
      <w:r w:rsidR="00712F8E" w:rsidRPr="00B1392D">
        <w:rPr>
          <w:i/>
          <w:sz w:val="20"/>
          <w:szCs w:val="20"/>
        </w:rPr>
        <w:t xml:space="preserve">fixed pricing </w:t>
      </w:r>
      <w:r w:rsidR="00B1392D" w:rsidRPr="00B1392D">
        <w:rPr>
          <w:i/>
          <w:sz w:val="20"/>
          <w:szCs w:val="20"/>
        </w:rPr>
        <w:t xml:space="preserve">arrangements for mainstream and </w:t>
      </w:r>
      <w:r w:rsidR="00712F8E" w:rsidRPr="00B1392D">
        <w:rPr>
          <w:i/>
          <w:sz w:val="20"/>
          <w:szCs w:val="20"/>
        </w:rPr>
        <w:t>remote providers in the next contract?</w:t>
      </w:r>
    </w:p>
    <w:p w14:paraId="59C0A73A" w14:textId="77777777" w:rsidR="00712F8E" w:rsidRDefault="00712F8E" w:rsidP="00712F8E">
      <w:pPr>
        <w:pStyle w:val="ListParagraph"/>
        <w:ind w:left="360"/>
        <w:rPr>
          <w:i/>
        </w:rPr>
      </w:pPr>
    </w:p>
    <w:p w14:paraId="59C0A73B" w14:textId="77777777" w:rsidR="007071B8" w:rsidRDefault="00D24B73" w:rsidP="003A64D3">
      <w:pPr>
        <w:pStyle w:val="Heading3"/>
      </w:pPr>
      <w:bookmarkStart w:id="21" w:name="_Toc330460472"/>
      <w:r w:rsidRPr="00D24B73">
        <w:t>3.12 Participant Engagement</w:t>
      </w:r>
      <w:bookmarkEnd w:id="21"/>
    </w:p>
    <w:p w14:paraId="59C0A73C" w14:textId="77777777" w:rsidR="00084013" w:rsidRDefault="00084013" w:rsidP="0029548A">
      <w:pPr>
        <w:rPr>
          <w:rFonts w:ascii="Century Gothic" w:hAnsi="Century Gothic" w:cstheme="minorHAnsi"/>
          <w:color w:val="365F91" w:themeColor="accent1" w:themeShade="BF"/>
        </w:rPr>
      </w:pPr>
    </w:p>
    <w:p w14:paraId="59C0A73D" w14:textId="77777777" w:rsidR="0029548A" w:rsidRPr="00C54925" w:rsidRDefault="00D24B73" w:rsidP="0029548A">
      <w:pPr>
        <w:rPr>
          <w:rFonts w:ascii="Century Gothic" w:hAnsi="Century Gothic" w:cstheme="minorHAnsi"/>
          <w:color w:val="365F91" w:themeColor="accent1" w:themeShade="BF"/>
        </w:rPr>
      </w:pPr>
      <w:r w:rsidRPr="00D24B73">
        <w:rPr>
          <w:rFonts w:ascii="Century Gothic" w:hAnsi="Century Gothic" w:cstheme="minorHAnsi"/>
          <w:color w:val="365F91" w:themeColor="accent1" w:themeShade="BF"/>
        </w:rPr>
        <w:t>Program Name Change</w:t>
      </w:r>
    </w:p>
    <w:p w14:paraId="59C0A73E" w14:textId="77777777" w:rsidR="0029548A" w:rsidRPr="00134ABD" w:rsidRDefault="0029548A" w:rsidP="0029548A">
      <w:pPr>
        <w:rPr>
          <w:rFonts w:asciiTheme="minorHAnsi" w:hAnsiTheme="minorHAnsi" w:cstheme="minorHAnsi"/>
        </w:rPr>
      </w:pPr>
      <w:r w:rsidRPr="002F5F9A">
        <w:rPr>
          <w:rFonts w:cstheme="minorHAnsi"/>
        </w:rPr>
        <w:t xml:space="preserve">Stakeholder feedback indicates the current </w:t>
      </w:r>
      <w:r>
        <w:rPr>
          <w:rFonts w:cstheme="minorHAnsi"/>
        </w:rPr>
        <w:t>name</w:t>
      </w:r>
      <w:r w:rsidRPr="002F5F9A">
        <w:rPr>
          <w:rFonts w:cstheme="minorHAnsi"/>
        </w:rPr>
        <w:t xml:space="preserve"> of the program may be hindering participant engagement </w:t>
      </w:r>
      <w:r>
        <w:rPr>
          <w:rFonts w:cstheme="minorHAnsi"/>
        </w:rPr>
        <w:t>because of the perceived social stigma attached</w:t>
      </w:r>
      <w:r w:rsidRPr="002F5F9A">
        <w:rPr>
          <w:rFonts w:cstheme="minorHAnsi"/>
        </w:rPr>
        <w:t xml:space="preserve"> to undertaking literacy and numeracy training.  </w:t>
      </w:r>
      <w:r>
        <w:rPr>
          <w:rFonts w:cstheme="minorHAnsi"/>
        </w:rPr>
        <w:t>If so, some job seekers</w:t>
      </w:r>
      <w:r w:rsidRPr="002F5F9A">
        <w:rPr>
          <w:rFonts w:cstheme="minorHAnsi"/>
        </w:rPr>
        <w:t xml:space="preserve"> </w:t>
      </w:r>
      <w:r>
        <w:rPr>
          <w:rFonts w:cstheme="minorHAnsi"/>
        </w:rPr>
        <w:t xml:space="preserve">may </w:t>
      </w:r>
      <w:r w:rsidRPr="002F5F9A">
        <w:rPr>
          <w:rFonts w:cstheme="minorHAnsi"/>
        </w:rPr>
        <w:t>decline the opportunity of LLNP training due to fear of humiliation</w:t>
      </w:r>
      <w:r>
        <w:rPr>
          <w:rFonts w:cstheme="minorHAnsi"/>
        </w:rPr>
        <w:t xml:space="preserve"> and</w:t>
      </w:r>
      <w:r w:rsidRPr="002F5F9A">
        <w:rPr>
          <w:rFonts w:cstheme="minorHAnsi"/>
        </w:rPr>
        <w:t xml:space="preserve"> negative peer perception</w:t>
      </w:r>
      <w:r>
        <w:rPr>
          <w:rFonts w:cstheme="minorHAnsi"/>
        </w:rPr>
        <w:t>.</w:t>
      </w:r>
    </w:p>
    <w:p w14:paraId="59C0A73F" w14:textId="77777777" w:rsidR="0029548A" w:rsidRPr="00D17544" w:rsidRDefault="0029548A" w:rsidP="0029548A">
      <w:pPr>
        <w:rPr>
          <w:rFonts w:cstheme="minorHAnsi"/>
        </w:rPr>
      </w:pPr>
    </w:p>
    <w:p w14:paraId="59C0A740" w14:textId="77777777" w:rsidR="0029548A" w:rsidRDefault="0029548A" w:rsidP="0029548A">
      <w:pPr>
        <w:rPr>
          <w:rFonts w:cstheme="minorHAnsi"/>
        </w:rPr>
      </w:pPr>
      <w:r w:rsidRPr="002F5F9A">
        <w:rPr>
          <w:rFonts w:cstheme="minorHAnsi"/>
        </w:rPr>
        <w:lastRenderedPageBreak/>
        <w:t xml:space="preserve">In April 2010, the </w:t>
      </w:r>
      <w:r>
        <w:rPr>
          <w:rFonts w:cstheme="minorHAnsi"/>
        </w:rPr>
        <w:t>Government</w:t>
      </w:r>
      <w:r w:rsidRPr="002F5F9A">
        <w:rPr>
          <w:rFonts w:cstheme="minorHAnsi"/>
        </w:rPr>
        <w:t xml:space="preserve"> contracted a social researcher to review the program </w:t>
      </w:r>
      <w:r>
        <w:rPr>
          <w:rFonts w:cstheme="minorHAnsi"/>
        </w:rPr>
        <w:t>name</w:t>
      </w:r>
      <w:r w:rsidRPr="002F5F9A">
        <w:rPr>
          <w:rFonts w:cstheme="minorHAnsi"/>
        </w:rPr>
        <w:t xml:space="preserve"> in order to increase participant engagement in the program</w:t>
      </w:r>
      <w:r w:rsidR="00E85FEA">
        <w:rPr>
          <w:rFonts w:cstheme="minorHAnsi"/>
        </w:rPr>
        <w:t xml:space="preserve">.  </w:t>
      </w:r>
      <w:r>
        <w:rPr>
          <w:rFonts w:cstheme="minorHAnsi"/>
        </w:rPr>
        <w:t>The social researcher conducted focus groups with program stakeholders and interviews with career counsellors.</w:t>
      </w:r>
      <w:r w:rsidRPr="002F5F9A">
        <w:rPr>
          <w:rFonts w:cstheme="minorHAnsi"/>
        </w:rPr>
        <w:t xml:space="preserve"> </w:t>
      </w:r>
    </w:p>
    <w:p w14:paraId="59C0A741" w14:textId="77777777" w:rsidR="0029548A" w:rsidRDefault="0029548A" w:rsidP="0029548A">
      <w:pPr>
        <w:rPr>
          <w:rFonts w:cstheme="minorHAnsi"/>
        </w:rPr>
      </w:pPr>
    </w:p>
    <w:p w14:paraId="59C0A742" w14:textId="77777777" w:rsidR="0029548A" w:rsidRPr="00FE6AFC" w:rsidRDefault="0029548A" w:rsidP="0029548A">
      <w:pPr>
        <w:rPr>
          <w:rFonts w:cstheme="minorHAnsi"/>
        </w:rPr>
      </w:pPr>
      <w:r w:rsidRPr="002F5F9A">
        <w:rPr>
          <w:rFonts w:cstheme="minorHAnsi"/>
        </w:rPr>
        <w:t xml:space="preserve">The proposed new name - the </w:t>
      </w:r>
      <w:r w:rsidRPr="002F5F9A">
        <w:rPr>
          <w:rFonts w:cstheme="minorHAnsi"/>
          <w:i/>
        </w:rPr>
        <w:t xml:space="preserve">Skills for Education and Employment (SEE) program </w:t>
      </w:r>
      <w:r w:rsidRPr="002F5F9A">
        <w:rPr>
          <w:rFonts w:cstheme="minorHAnsi"/>
        </w:rPr>
        <w:t xml:space="preserve">was derived from </w:t>
      </w:r>
      <w:r>
        <w:rPr>
          <w:rFonts w:cstheme="minorHAnsi"/>
        </w:rPr>
        <w:t xml:space="preserve">this </w:t>
      </w:r>
      <w:r w:rsidRPr="002F5F9A">
        <w:rPr>
          <w:rFonts w:cstheme="minorHAnsi"/>
        </w:rPr>
        <w:t>market research</w:t>
      </w:r>
      <w:r w:rsidR="00E85FEA">
        <w:rPr>
          <w:rFonts w:cstheme="minorHAnsi"/>
        </w:rPr>
        <w:t xml:space="preserve">.  </w:t>
      </w:r>
      <w:r>
        <w:rPr>
          <w:rFonts w:cstheme="minorHAnsi"/>
        </w:rPr>
        <w:t xml:space="preserve">The </w:t>
      </w:r>
      <w:r w:rsidRPr="002F5F9A">
        <w:rPr>
          <w:rFonts w:asciiTheme="minorHAnsi" w:eastAsiaTheme="minorHAnsi" w:hAnsiTheme="minorHAnsi" w:cstheme="minorHAnsi"/>
        </w:rPr>
        <w:t>results</w:t>
      </w:r>
      <w:r>
        <w:rPr>
          <w:rFonts w:asciiTheme="minorHAnsi" w:eastAsiaTheme="minorHAnsi" w:hAnsiTheme="minorHAnsi" w:cstheme="minorHAnsi"/>
        </w:rPr>
        <w:t xml:space="preserve"> </w:t>
      </w:r>
      <w:r w:rsidRPr="002F5F9A">
        <w:rPr>
          <w:rFonts w:asciiTheme="minorHAnsi" w:eastAsiaTheme="minorHAnsi" w:hAnsiTheme="minorHAnsi" w:cstheme="minorHAnsi"/>
        </w:rPr>
        <w:t xml:space="preserve">indicate that the proposed new name: </w:t>
      </w:r>
    </w:p>
    <w:p w14:paraId="59C0A743" w14:textId="77777777" w:rsidR="0029548A" w:rsidRPr="00D17544" w:rsidRDefault="0029548A" w:rsidP="0029548A">
      <w:pPr>
        <w:pStyle w:val="Brief-BULLET"/>
        <w:numPr>
          <w:ilvl w:val="0"/>
          <w:numId w:val="0"/>
        </w:numPr>
        <w:tabs>
          <w:tab w:val="left" w:pos="720"/>
        </w:tabs>
        <w:ind w:left="360" w:hanging="360"/>
        <w:rPr>
          <w:rFonts w:asciiTheme="minorHAnsi" w:eastAsiaTheme="minorHAnsi" w:hAnsiTheme="minorHAnsi" w:cstheme="minorHAnsi"/>
          <w:szCs w:val="22"/>
        </w:rPr>
      </w:pPr>
    </w:p>
    <w:p w14:paraId="59C0A744" w14:textId="77777777" w:rsidR="0029548A" w:rsidRPr="00D17544" w:rsidRDefault="0029548A" w:rsidP="009A4A3E">
      <w:pPr>
        <w:pStyle w:val="Brief-BULLET"/>
        <w:numPr>
          <w:ilvl w:val="1"/>
          <w:numId w:val="4"/>
        </w:numPr>
        <w:rPr>
          <w:rFonts w:asciiTheme="minorHAnsi" w:eastAsiaTheme="minorHAnsi" w:hAnsiTheme="minorHAnsi" w:cstheme="minorHAnsi"/>
          <w:szCs w:val="22"/>
        </w:rPr>
      </w:pPr>
      <w:r w:rsidRPr="002F5F9A">
        <w:rPr>
          <w:rFonts w:asciiTheme="minorHAnsi" w:eastAsiaTheme="minorHAnsi" w:hAnsiTheme="minorHAnsi" w:cstheme="minorHAnsi"/>
          <w:szCs w:val="22"/>
        </w:rPr>
        <w:t>has a better strategic fit than the current name (Language,</w:t>
      </w:r>
      <w:r w:rsidR="00BA72BE">
        <w:rPr>
          <w:rFonts w:asciiTheme="minorHAnsi" w:eastAsiaTheme="minorHAnsi" w:hAnsiTheme="minorHAnsi" w:cstheme="minorHAnsi"/>
          <w:szCs w:val="22"/>
        </w:rPr>
        <w:t xml:space="preserve"> Literacy and Numeracy Program);</w:t>
      </w:r>
      <w:r>
        <w:rPr>
          <w:rFonts w:asciiTheme="minorHAnsi" w:eastAsiaTheme="minorHAnsi" w:hAnsiTheme="minorHAnsi" w:cstheme="minorHAnsi"/>
          <w:szCs w:val="22"/>
        </w:rPr>
        <w:t xml:space="preserve"> </w:t>
      </w:r>
    </w:p>
    <w:p w14:paraId="59C0A745" w14:textId="77777777" w:rsidR="0029548A" w:rsidRPr="00D17544" w:rsidRDefault="0029548A" w:rsidP="009A4A3E">
      <w:pPr>
        <w:pStyle w:val="Brief-BULLET"/>
        <w:numPr>
          <w:ilvl w:val="1"/>
          <w:numId w:val="4"/>
        </w:numPr>
        <w:rPr>
          <w:rFonts w:asciiTheme="minorHAnsi" w:eastAsiaTheme="minorHAnsi" w:hAnsiTheme="minorHAnsi" w:cstheme="minorHAnsi"/>
          <w:szCs w:val="22"/>
        </w:rPr>
      </w:pPr>
      <w:r w:rsidRPr="002F5F9A">
        <w:rPr>
          <w:rFonts w:asciiTheme="minorHAnsi" w:eastAsiaTheme="minorHAnsi" w:hAnsiTheme="minorHAnsi" w:cstheme="minorHAnsi"/>
          <w:szCs w:val="22"/>
        </w:rPr>
        <w:t>has meaning for all pro</w:t>
      </w:r>
      <w:r w:rsidR="00BA72BE">
        <w:rPr>
          <w:rFonts w:asciiTheme="minorHAnsi" w:eastAsiaTheme="minorHAnsi" w:hAnsiTheme="minorHAnsi" w:cstheme="minorHAnsi"/>
          <w:szCs w:val="22"/>
        </w:rPr>
        <w:t>gram participants; and</w:t>
      </w:r>
    </w:p>
    <w:p w14:paraId="59C0A746" w14:textId="77777777" w:rsidR="0029548A" w:rsidRPr="00D17544" w:rsidRDefault="0029548A" w:rsidP="009A4A3E">
      <w:pPr>
        <w:pStyle w:val="Brief-BULLET"/>
        <w:numPr>
          <w:ilvl w:val="1"/>
          <w:numId w:val="4"/>
        </w:numPr>
        <w:rPr>
          <w:rFonts w:asciiTheme="minorHAnsi" w:eastAsiaTheme="minorHAnsi" w:hAnsiTheme="minorHAnsi" w:cstheme="minorHAnsi"/>
          <w:szCs w:val="22"/>
        </w:rPr>
      </w:pPr>
      <w:r w:rsidRPr="002F5F9A">
        <w:rPr>
          <w:rFonts w:asciiTheme="minorHAnsi" w:eastAsiaTheme="minorHAnsi" w:hAnsiTheme="minorHAnsi" w:cstheme="minorHAnsi"/>
          <w:szCs w:val="22"/>
        </w:rPr>
        <w:t>is motivating for program participants.</w:t>
      </w:r>
    </w:p>
    <w:p w14:paraId="59C0A747" w14:textId="77777777" w:rsidR="0029548A" w:rsidRPr="00D17544" w:rsidRDefault="0029548A" w:rsidP="0029548A">
      <w:pPr>
        <w:rPr>
          <w:rFonts w:asciiTheme="minorHAnsi" w:eastAsiaTheme="minorHAnsi" w:hAnsiTheme="minorHAnsi" w:cstheme="minorHAnsi"/>
        </w:rPr>
      </w:pPr>
    </w:p>
    <w:p w14:paraId="59C0A748" w14:textId="77777777" w:rsidR="0029548A" w:rsidRPr="00D17544" w:rsidRDefault="0029548A" w:rsidP="0029548A">
      <w:pPr>
        <w:rPr>
          <w:rFonts w:cstheme="minorHAnsi"/>
        </w:rPr>
      </w:pPr>
      <w:r w:rsidRPr="002F5F9A">
        <w:rPr>
          <w:rFonts w:cstheme="minorHAnsi"/>
        </w:rPr>
        <w:t xml:space="preserve">The change of name only affects the </w:t>
      </w:r>
      <w:r>
        <w:rPr>
          <w:rFonts w:cstheme="minorHAnsi"/>
        </w:rPr>
        <w:t xml:space="preserve">LLNP. It </w:t>
      </w:r>
      <w:r w:rsidRPr="002F5F9A">
        <w:rPr>
          <w:rFonts w:cstheme="minorHAnsi"/>
        </w:rPr>
        <w:t xml:space="preserve">does not mean a change of name for the broader language, literacy and numeracy sector. </w:t>
      </w:r>
    </w:p>
    <w:p w14:paraId="59C0A749" w14:textId="77777777" w:rsidR="0029548A" w:rsidRDefault="0029548A" w:rsidP="0029548A">
      <w:pPr>
        <w:rPr>
          <w:rFonts w:asciiTheme="minorHAnsi" w:hAnsiTheme="minorHAnsi" w:cstheme="minorHAnsi"/>
        </w:rPr>
      </w:pPr>
    </w:p>
    <w:p w14:paraId="59C0A74A" w14:textId="77777777" w:rsidR="00712F8E" w:rsidRPr="00FB536C" w:rsidRDefault="00712F8E" w:rsidP="00712F8E">
      <w:pPr>
        <w:pStyle w:val="ListParagraph"/>
        <w:spacing w:after="60"/>
        <w:ind w:left="0"/>
        <w:rPr>
          <w:b/>
        </w:rPr>
      </w:pPr>
      <w:r w:rsidRPr="00FB536C">
        <w:rPr>
          <w:b/>
        </w:rPr>
        <w:t>For consideration in your response:</w:t>
      </w:r>
    </w:p>
    <w:p w14:paraId="59C0A74B" w14:textId="77777777" w:rsidR="007071B8" w:rsidRDefault="00712F8E" w:rsidP="006B09D6">
      <w:pPr>
        <w:pStyle w:val="ListParagraph"/>
        <w:numPr>
          <w:ilvl w:val="0"/>
          <w:numId w:val="18"/>
        </w:numPr>
        <w:ind w:left="709" w:hanging="709"/>
        <w:rPr>
          <w:i/>
          <w:sz w:val="20"/>
          <w:szCs w:val="20"/>
        </w:rPr>
      </w:pPr>
      <w:r w:rsidRPr="00A32C4B">
        <w:rPr>
          <w:i/>
          <w:sz w:val="20"/>
          <w:szCs w:val="20"/>
        </w:rPr>
        <w:t>Do you think the current program name, the Language, Literacy and Numeracy Program impedes client engagement?</w:t>
      </w:r>
    </w:p>
    <w:p w14:paraId="59C0A74C" w14:textId="77777777" w:rsidR="006B09D6" w:rsidRPr="006B09D6" w:rsidRDefault="006B09D6" w:rsidP="006B09D6">
      <w:pPr>
        <w:pStyle w:val="ListParagraph"/>
        <w:ind w:left="709"/>
        <w:rPr>
          <w:i/>
          <w:sz w:val="20"/>
          <w:szCs w:val="20"/>
        </w:rPr>
      </w:pPr>
    </w:p>
    <w:p w14:paraId="59C0A74D" w14:textId="77777777" w:rsidR="009A4A3E" w:rsidRPr="00C54925" w:rsidRDefault="009A4A3E" w:rsidP="009A4A3E">
      <w:pPr>
        <w:rPr>
          <w:rFonts w:ascii="Century Gothic" w:hAnsi="Century Gothic" w:cstheme="minorHAnsi"/>
          <w:color w:val="365F91" w:themeColor="accent1" w:themeShade="BF"/>
        </w:rPr>
      </w:pPr>
      <w:r>
        <w:rPr>
          <w:rFonts w:ascii="Century Gothic" w:hAnsi="Century Gothic" w:cstheme="minorHAnsi"/>
          <w:color w:val="365F91" w:themeColor="accent1" w:themeShade="BF"/>
        </w:rPr>
        <w:t xml:space="preserve">Servicing Indigenous job seekers </w:t>
      </w:r>
    </w:p>
    <w:p w14:paraId="59C0A74E" w14:textId="77777777" w:rsidR="009A4A3E" w:rsidRDefault="009A4A3E" w:rsidP="009A4A3E">
      <w:r>
        <w:t>Closing the Gap targets nationally are a key objectiv</w:t>
      </w:r>
      <w:r w:rsidR="007322B2">
        <w:t xml:space="preserve">e of the Australian Government.  </w:t>
      </w:r>
      <w:r>
        <w:t xml:space="preserve">The LLNP is one of a number of programs </w:t>
      </w:r>
      <w:r w:rsidR="00286843">
        <w:t xml:space="preserve">striving to assist in </w:t>
      </w:r>
      <w:r>
        <w:t>Closing the Gap and as part of th</w:t>
      </w:r>
      <w:r w:rsidR="00286843">
        <w:t xml:space="preserve">ose </w:t>
      </w:r>
      <w:r>
        <w:t xml:space="preserve">endeavours </w:t>
      </w:r>
      <w:r w:rsidR="00286843">
        <w:t xml:space="preserve">the Department </w:t>
      </w:r>
      <w:r>
        <w:t>is looking to introduce the requirement for LLNP providers to develop and maintain strategies to improve cultural awareness of staff, including engagement with the community</w:t>
      </w:r>
      <w:r w:rsidR="00286843">
        <w:t xml:space="preserve"> and </w:t>
      </w:r>
      <w:r>
        <w:t>the development of</w:t>
      </w:r>
      <w:r w:rsidR="00084013">
        <w:t>,</w:t>
      </w:r>
      <w:r w:rsidR="00286843">
        <w:t xml:space="preserve"> </w:t>
      </w:r>
      <w:r>
        <w:t>or sourcing of</w:t>
      </w:r>
      <w:r w:rsidR="00084013">
        <w:t>,</w:t>
      </w:r>
      <w:r>
        <w:t xml:space="preserve"> appropriate training material for staff</w:t>
      </w:r>
      <w:r w:rsidR="00286843">
        <w:t>.</w:t>
      </w:r>
    </w:p>
    <w:p w14:paraId="59C0A74F" w14:textId="77777777" w:rsidR="00286843" w:rsidRDefault="00286843" w:rsidP="009A4A3E"/>
    <w:p w14:paraId="59C0A750" w14:textId="77777777" w:rsidR="00A64D51" w:rsidRDefault="006B09D6" w:rsidP="009A4A3E">
      <w:r w:rsidRPr="006B09D6">
        <w:t>It is proposed that organisations who are successful in gaining contracts to deliver LLNP, will be required to develop Indigenous Service strategies or Action plans.  Those plans would take into consideration factors impacting on engagement in the local area and are expected to differ in remote and regional areas compared to strategies required in urban areas</w:t>
      </w:r>
      <w:r>
        <w:t>.</w:t>
      </w:r>
    </w:p>
    <w:p w14:paraId="59C0A751" w14:textId="77777777" w:rsidR="006B09D6" w:rsidRDefault="006B09D6" w:rsidP="009A4A3E"/>
    <w:p w14:paraId="59C0A752" w14:textId="77777777" w:rsidR="00A64D51" w:rsidRPr="00FB536C" w:rsidRDefault="00A64D51" w:rsidP="00A64D51">
      <w:pPr>
        <w:pStyle w:val="ListParagraph"/>
        <w:spacing w:after="60"/>
        <w:ind w:left="0"/>
        <w:rPr>
          <w:b/>
        </w:rPr>
      </w:pPr>
      <w:r w:rsidRPr="00FB536C">
        <w:rPr>
          <w:b/>
        </w:rPr>
        <w:t>For consideration in your response:</w:t>
      </w:r>
    </w:p>
    <w:p w14:paraId="59C0A753" w14:textId="77777777" w:rsidR="00A64D51" w:rsidRDefault="00A64D51" w:rsidP="00A64D51">
      <w:pPr>
        <w:pStyle w:val="ListParagraph"/>
        <w:numPr>
          <w:ilvl w:val="0"/>
          <w:numId w:val="18"/>
        </w:numPr>
        <w:ind w:left="709" w:hanging="709"/>
        <w:rPr>
          <w:i/>
          <w:sz w:val="20"/>
          <w:szCs w:val="20"/>
        </w:rPr>
      </w:pPr>
      <w:r w:rsidRPr="00A32C4B">
        <w:rPr>
          <w:i/>
          <w:sz w:val="20"/>
          <w:szCs w:val="20"/>
        </w:rPr>
        <w:t xml:space="preserve">Do you think the </w:t>
      </w:r>
      <w:r>
        <w:rPr>
          <w:i/>
          <w:sz w:val="20"/>
          <w:szCs w:val="20"/>
        </w:rPr>
        <w:t xml:space="preserve">introduction of Indigenous strategies or Action plans will assist LLNP providers increase </w:t>
      </w:r>
      <w:r w:rsidRPr="00A32C4B">
        <w:rPr>
          <w:i/>
          <w:sz w:val="20"/>
          <w:szCs w:val="20"/>
        </w:rPr>
        <w:t>engagement</w:t>
      </w:r>
      <w:r>
        <w:rPr>
          <w:i/>
          <w:sz w:val="20"/>
          <w:szCs w:val="20"/>
        </w:rPr>
        <w:t xml:space="preserve"> of Indigenous people in the program</w:t>
      </w:r>
      <w:r w:rsidRPr="00A32C4B">
        <w:rPr>
          <w:i/>
          <w:sz w:val="20"/>
          <w:szCs w:val="20"/>
        </w:rPr>
        <w:t>?</w:t>
      </w:r>
    </w:p>
    <w:p w14:paraId="59C0A754" w14:textId="77777777" w:rsidR="00A64D51" w:rsidRPr="00111BF8" w:rsidRDefault="00A64D51" w:rsidP="00A64D51">
      <w:pPr>
        <w:pStyle w:val="ListParagraph"/>
        <w:ind w:left="709"/>
        <w:rPr>
          <w:i/>
          <w:sz w:val="20"/>
          <w:szCs w:val="20"/>
        </w:rPr>
      </w:pPr>
    </w:p>
    <w:p w14:paraId="59C0A755" w14:textId="77777777" w:rsidR="007071B8" w:rsidRDefault="007071B8">
      <w:pPr>
        <w:spacing w:before="240"/>
      </w:pPr>
    </w:p>
    <w:p w14:paraId="59C0A756" w14:textId="77777777" w:rsidR="007071B8" w:rsidRDefault="007071B8">
      <w:pPr>
        <w:spacing w:before="240"/>
      </w:pPr>
    </w:p>
    <w:p w14:paraId="59C0A757" w14:textId="77777777" w:rsidR="007071B8" w:rsidRDefault="007071B8">
      <w:pPr>
        <w:spacing w:before="240"/>
      </w:pPr>
    </w:p>
    <w:p w14:paraId="59C0A758" w14:textId="77777777" w:rsidR="007071B8" w:rsidRDefault="007071B8">
      <w:pPr>
        <w:spacing w:before="240"/>
      </w:pPr>
    </w:p>
    <w:p w14:paraId="59C0A759" w14:textId="77777777" w:rsidR="007071B8" w:rsidRDefault="007071B8">
      <w:pPr>
        <w:spacing w:before="240"/>
      </w:pPr>
    </w:p>
    <w:p w14:paraId="59C0A75A" w14:textId="77777777" w:rsidR="007071B8" w:rsidRDefault="007071B8">
      <w:pPr>
        <w:spacing w:before="240"/>
      </w:pPr>
    </w:p>
    <w:p w14:paraId="59C0A75B" w14:textId="77777777" w:rsidR="00E27B00" w:rsidRDefault="00E27B00">
      <w:pPr>
        <w:rPr>
          <w:rFonts w:ascii="Century Gothic" w:hAnsi="Century Gothic" w:cstheme="minorHAnsi"/>
          <w:color w:val="365F91" w:themeColor="accent1" w:themeShade="BF"/>
          <w:sz w:val="32"/>
          <w:szCs w:val="32"/>
        </w:rPr>
      </w:pPr>
      <w:r>
        <w:rPr>
          <w:rFonts w:ascii="Century Gothic" w:hAnsi="Century Gothic" w:cstheme="minorHAnsi"/>
          <w:color w:val="365F91" w:themeColor="accent1" w:themeShade="BF"/>
          <w:sz w:val="32"/>
          <w:szCs w:val="32"/>
        </w:rPr>
        <w:br w:type="page"/>
      </w:r>
    </w:p>
    <w:p w14:paraId="59C0A75C" w14:textId="77777777" w:rsidR="007071B8" w:rsidRDefault="00A316CE" w:rsidP="0075673C">
      <w:pPr>
        <w:pStyle w:val="Heading1"/>
      </w:pPr>
      <w:bookmarkStart w:id="22" w:name="_Toc330460473"/>
      <w:r>
        <w:lastRenderedPageBreak/>
        <w:t xml:space="preserve">Chapter 4 </w:t>
      </w:r>
      <w:r w:rsidRPr="00A316CE">
        <w:t xml:space="preserve">– </w:t>
      </w:r>
      <w:r w:rsidR="00D24B73" w:rsidRPr="00D24B73">
        <w:t>Improving Remote Service delivery for the Language, Literacy and Numeracy Program</w:t>
      </w:r>
      <w:bookmarkEnd w:id="22"/>
    </w:p>
    <w:p w14:paraId="59C0A75D" w14:textId="77777777" w:rsidR="00587CEE" w:rsidRDefault="00587CEE" w:rsidP="00F232B7"/>
    <w:p w14:paraId="59C0A75E" w14:textId="77777777" w:rsidR="007071B8" w:rsidRDefault="00D24B73" w:rsidP="003A64D3">
      <w:pPr>
        <w:pStyle w:val="Heading3"/>
      </w:pPr>
      <w:bookmarkStart w:id="23" w:name="_Toc330460474"/>
      <w:r w:rsidRPr="00D24B73">
        <w:t>Remote Service Delivery</w:t>
      </w:r>
      <w:bookmarkEnd w:id="23"/>
      <w:r w:rsidRPr="00D24B73">
        <w:tab/>
      </w:r>
    </w:p>
    <w:p w14:paraId="59C0A75F" w14:textId="77777777" w:rsidR="0029548A" w:rsidRDefault="0029548A" w:rsidP="0029548A">
      <w:r>
        <w:t xml:space="preserve">As part of the Government’s commitment to lift </w:t>
      </w:r>
      <w:r w:rsidR="00AE2BA5">
        <w:t>the LLN</w:t>
      </w:r>
      <w:r>
        <w:t xml:space="preserve"> skills of adult Australians, a key priority for the LLNP is improving training delivery services for adult Australians residing in remote areas.</w:t>
      </w:r>
    </w:p>
    <w:p w14:paraId="59C0A760" w14:textId="77777777" w:rsidR="00576A75" w:rsidRDefault="00576A75" w:rsidP="0029548A">
      <w:pPr>
        <w:pStyle w:val="CommentText"/>
        <w:rPr>
          <w:sz w:val="22"/>
          <w:szCs w:val="22"/>
        </w:rPr>
      </w:pPr>
    </w:p>
    <w:p w14:paraId="59C0A761" w14:textId="77777777" w:rsidR="0029548A" w:rsidRDefault="0029548A" w:rsidP="0029548A">
      <w:pPr>
        <w:pStyle w:val="CommentText"/>
        <w:rPr>
          <w:sz w:val="22"/>
          <w:szCs w:val="22"/>
        </w:rPr>
      </w:pPr>
      <w:r>
        <w:rPr>
          <w:sz w:val="22"/>
          <w:szCs w:val="22"/>
        </w:rPr>
        <w:t xml:space="preserve">The Government has received feedback from a number of stakeholders that suggests there are elements of the program that </w:t>
      </w:r>
      <w:r w:rsidR="00E27B00">
        <w:rPr>
          <w:sz w:val="22"/>
          <w:szCs w:val="22"/>
        </w:rPr>
        <w:t xml:space="preserve">may </w:t>
      </w:r>
      <w:r>
        <w:rPr>
          <w:sz w:val="22"/>
          <w:szCs w:val="22"/>
        </w:rPr>
        <w:t>need to be reviewed in order for it to be accessible in, and appropriate for, remote areas</w:t>
      </w:r>
      <w:r w:rsidR="00E85FEA">
        <w:rPr>
          <w:sz w:val="22"/>
          <w:szCs w:val="22"/>
        </w:rPr>
        <w:t xml:space="preserve">.  </w:t>
      </w:r>
      <w:r>
        <w:rPr>
          <w:sz w:val="22"/>
          <w:szCs w:val="22"/>
        </w:rPr>
        <w:t xml:space="preserve">In particular, there </w:t>
      </w:r>
      <w:r w:rsidR="00E27B00">
        <w:rPr>
          <w:sz w:val="22"/>
          <w:szCs w:val="22"/>
        </w:rPr>
        <w:t xml:space="preserve">may be a </w:t>
      </w:r>
      <w:r>
        <w:rPr>
          <w:sz w:val="22"/>
          <w:szCs w:val="22"/>
        </w:rPr>
        <w:t>need for a separate service delivery model for remote BSAs and explicit guidelines that distinguishes LLNP remote service delivery from mainstream program delivery.</w:t>
      </w:r>
    </w:p>
    <w:p w14:paraId="59C0A762" w14:textId="77777777" w:rsidR="0029548A" w:rsidRDefault="0029548A" w:rsidP="0029548A">
      <w:pPr>
        <w:pStyle w:val="CommentText"/>
        <w:rPr>
          <w:sz w:val="22"/>
          <w:szCs w:val="22"/>
        </w:rPr>
      </w:pPr>
    </w:p>
    <w:p w14:paraId="59C0A763" w14:textId="77777777" w:rsidR="00902009" w:rsidRDefault="0029548A" w:rsidP="0029548A">
      <w:pPr>
        <w:pStyle w:val="CommentText"/>
        <w:rPr>
          <w:sz w:val="22"/>
          <w:szCs w:val="22"/>
        </w:rPr>
      </w:pPr>
      <w:r>
        <w:rPr>
          <w:sz w:val="22"/>
          <w:szCs w:val="22"/>
        </w:rPr>
        <w:t xml:space="preserve">LLNP </w:t>
      </w:r>
      <w:r w:rsidR="00707AEF">
        <w:rPr>
          <w:sz w:val="22"/>
          <w:szCs w:val="22"/>
        </w:rPr>
        <w:t>r</w:t>
      </w:r>
      <w:r>
        <w:rPr>
          <w:sz w:val="22"/>
          <w:szCs w:val="22"/>
        </w:rPr>
        <w:t xml:space="preserve">emote areas are characterised as: </w:t>
      </w:r>
    </w:p>
    <w:p w14:paraId="59C0A764" w14:textId="77777777" w:rsidR="00902009" w:rsidRDefault="00902009" w:rsidP="00902009">
      <w:pPr>
        <w:pStyle w:val="CommentText"/>
        <w:numPr>
          <w:ilvl w:val="0"/>
          <w:numId w:val="22"/>
        </w:numPr>
        <w:rPr>
          <w:sz w:val="22"/>
          <w:szCs w:val="22"/>
        </w:rPr>
      </w:pPr>
      <w:r>
        <w:rPr>
          <w:sz w:val="22"/>
          <w:szCs w:val="22"/>
        </w:rPr>
        <w:t>H</w:t>
      </w:r>
      <w:r w:rsidR="0029548A">
        <w:rPr>
          <w:sz w:val="22"/>
          <w:szCs w:val="22"/>
        </w:rPr>
        <w:t>aving a low population</w:t>
      </w:r>
      <w:r>
        <w:rPr>
          <w:sz w:val="22"/>
          <w:szCs w:val="22"/>
        </w:rPr>
        <w:t>;</w:t>
      </w:r>
    </w:p>
    <w:p w14:paraId="59C0A765" w14:textId="77777777" w:rsidR="00902009" w:rsidRDefault="00902009" w:rsidP="00902009">
      <w:pPr>
        <w:pStyle w:val="CommentText"/>
        <w:numPr>
          <w:ilvl w:val="0"/>
          <w:numId w:val="22"/>
        </w:numPr>
        <w:rPr>
          <w:sz w:val="22"/>
          <w:szCs w:val="22"/>
        </w:rPr>
      </w:pPr>
      <w:r>
        <w:rPr>
          <w:sz w:val="22"/>
          <w:szCs w:val="22"/>
        </w:rPr>
        <w:t>B</w:t>
      </w:r>
      <w:r w:rsidR="0029548A">
        <w:rPr>
          <w:sz w:val="22"/>
          <w:szCs w:val="22"/>
        </w:rPr>
        <w:t xml:space="preserve">eing a large distance </w:t>
      </w:r>
      <w:r>
        <w:rPr>
          <w:sz w:val="22"/>
          <w:szCs w:val="22"/>
        </w:rPr>
        <w:t>from a major population centre;</w:t>
      </w:r>
    </w:p>
    <w:p w14:paraId="59C0A766" w14:textId="77777777" w:rsidR="00902009" w:rsidRDefault="00902009" w:rsidP="00902009">
      <w:pPr>
        <w:pStyle w:val="CommentText"/>
        <w:numPr>
          <w:ilvl w:val="0"/>
          <w:numId w:val="22"/>
        </w:numPr>
        <w:rPr>
          <w:sz w:val="22"/>
          <w:szCs w:val="22"/>
        </w:rPr>
      </w:pPr>
      <w:r>
        <w:rPr>
          <w:sz w:val="22"/>
          <w:szCs w:val="22"/>
        </w:rPr>
        <w:t>H</w:t>
      </w:r>
      <w:r w:rsidR="0029548A">
        <w:rPr>
          <w:sz w:val="22"/>
          <w:szCs w:val="22"/>
        </w:rPr>
        <w:t>aving a lack of social infrastructure (including transport or information and communication technologies)</w:t>
      </w:r>
      <w:r>
        <w:rPr>
          <w:sz w:val="22"/>
          <w:szCs w:val="22"/>
        </w:rPr>
        <w:t>;</w:t>
      </w:r>
      <w:r w:rsidR="0029548A">
        <w:rPr>
          <w:sz w:val="22"/>
          <w:szCs w:val="22"/>
        </w:rPr>
        <w:t xml:space="preserve"> and </w:t>
      </w:r>
    </w:p>
    <w:p w14:paraId="59C0A767" w14:textId="77777777" w:rsidR="00902009" w:rsidRDefault="00902009" w:rsidP="00902009">
      <w:pPr>
        <w:pStyle w:val="CommentText"/>
        <w:numPr>
          <w:ilvl w:val="0"/>
          <w:numId w:val="22"/>
        </w:numPr>
        <w:rPr>
          <w:sz w:val="22"/>
          <w:szCs w:val="22"/>
        </w:rPr>
      </w:pPr>
      <w:r>
        <w:rPr>
          <w:sz w:val="22"/>
          <w:szCs w:val="22"/>
        </w:rPr>
        <w:t>L</w:t>
      </w:r>
      <w:r w:rsidR="0029548A">
        <w:rPr>
          <w:sz w:val="22"/>
          <w:szCs w:val="22"/>
        </w:rPr>
        <w:t>acking in the existence of key industries/activities</w:t>
      </w:r>
      <w:r w:rsidR="00E85FEA">
        <w:rPr>
          <w:sz w:val="22"/>
          <w:szCs w:val="22"/>
        </w:rPr>
        <w:t xml:space="preserve">.  </w:t>
      </w:r>
    </w:p>
    <w:p w14:paraId="59C0A768" w14:textId="77777777" w:rsidR="00902009" w:rsidRDefault="00902009" w:rsidP="00902009">
      <w:pPr>
        <w:pStyle w:val="CommentText"/>
        <w:rPr>
          <w:sz w:val="22"/>
          <w:szCs w:val="22"/>
        </w:rPr>
      </w:pPr>
    </w:p>
    <w:p w14:paraId="59C0A769" w14:textId="77777777" w:rsidR="0029548A" w:rsidRDefault="0029548A" w:rsidP="00902009">
      <w:pPr>
        <w:pStyle w:val="CommentText"/>
        <w:rPr>
          <w:sz w:val="22"/>
          <w:szCs w:val="22"/>
        </w:rPr>
      </w:pPr>
      <w:r>
        <w:rPr>
          <w:sz w:val="22"/>
          <w:szCs w:val="22"/>
        </w:rPr>
        <w:t xml:space="preserve">In the current LLNP contract round there are 22 remote </w:t>
      </w:r>
      <w:r w:rsidR="00AE2BA5">
        <w:rPr>
          <w:sz w:val="22"/>
          <w:szCs w:val="22"/>
        </w:rPr>
        <w:t>BSAs</w:t>
      </w:r>
      <w:r w:rsidR="00E85FEA">
        <w:rPr>
          <w:sz w:val="22"/>
          <w:szCs w:val="22"/>
        </w:rPr>
        <w:t xml:space="preserve">.  </w:t>
      </w:r>
    </w:p>
    <w:p w14:paraId="59C0A76A" w14:textId="77777777" w:rsidR="0029548A" w:rsidRDefault="0029548A" w:rsidP="0029548A">
      <w:pPr>
        <w:pStyle w:val="CommentText"/>
        <w:rPr>
          <w:sz w:val="22"/>
          <w:szCs w:val="22"/>
        </w:rPr>
      </w:pPr>
    </w:p>
    <w:p w14:paraId="59C0A76B" w14:textId="77777777" w:rsidR="00A50417" w:rsidRPr="003405E0" w:rsidRDefault="00D24B73" w:rsidP="00A50417">
      <w:pPr>
        <w:pStyle w:val="CommentText"/>
        <w:rPr>
          <w:b/>
          <w:highlight w:val="yellow"/>
        </w:rPr>
      </w:pPr>
      <w:r w:rsidRPr="00D24B73">
        <w:rPr>
          <w:b/>
        </w:rPr>
        <w:t>Table 5: List of LLNP remote locations</w:t>
      </w:r>
    </w:p>
    <w:tbl>
      <w:tblPr>
        <w:tblStyle w:val="TableGrid"/>
        <w:tblW w:w="0" w:type="auto"/>
        <w:tblLook w:val="04A0" w:firstRow="1" w:lastRow="0" w:firstColumn="1" w:lastColumn="0" w:noHBand="0" w:noVBand="1"/>
      </w:tblPr>
      <w:tblGrid>
        <w:gridCol w:w="1704"/>
        <w:gridCol w:w="1704"/>
        <w:gridCol w:w="1704"/>
        <w:gridCol w:w="1705"/>
        <w:gridCol w:w="1705"/>
      </w:tblGrid>
      <w:tr w:rsidR="00A50417" w14:paraId="59C0A772" w14:textId="77777777" w:rsidTr="00A50417">
        <w:tc>
          <w:tcPr>
            <w:tcW w:w="1704" w:type="dxa"/>
            <w:shd w:val="pct12" w:color="auto" w:fill="auto"/>
          </w:tcPr>
          <w:p w14:paraId="59C0A76C" w14:textId="77777777" w:rsidR="00A50417" w:rsidRDefault="00A50417" w:rsidP="00A50417">
            <w:pPr>
              <w:pStyle w:val="CommentText"/>
              <w:rPr>
                <w:b/>
                <w:sz w:val="22"/>
                <w:szCs w:val="22"/>
                <w:highlight w:val="yellow"/>
              </w:rPr>
            </w:pPr>
            <w:r w:rsidRPr="00A50417">
              <w:rPr>
                <w:b/>
                <w:sz w:val="22"/>
                <w:szCs w:val="22"/>
              </w:rPr>
              <w:t>New South Wales</w:t>
            </w:r>
          </w:p>
        </w:tc>
        <w:tc>
          <w:tcPr>
            <w:tcW w:w="1704" w:type="dxa"/>
            <w:shd w:val="pct12" w:color="auto" w:fill="auto"/>
          </w:tcPr>
          <w:p w14:paraId="59C0A76D" w14:textId="77777777" w:rsidR="00A50417" w:rsidRDefault="00A50417" w:rsidP="00A50417">
            <w:pPr>
              <w:pStyle w:val="CommentText"/>
              <w:rPr>
                <w:b/>
                <w:sz w:val="22"/>
                <w:szCs w:val="22"/>
              </w:rPr>
            </w:pPr>
            <w:r w:rsidRPr="00A50417">
              <w:rPr>
                <w:b/>
                <w:sz w:val="22"/>
                <w:szCs w:val="22"/>
              </w:rPr>
              <w:t>Queensland</w:t>
            </w:r>
          </w:p>
          <w:p w14:paraId="59C0A76E" w14:textId="77777777" w:rsidR="001873C2" w:rsidRPr="00A50417" w:rsidRDefault="001873C2" w:rsidP="00A50417">
            <w:pPr>
              <w:pStyle w:val="CommentText"/>
              <w:rPr>
                <w:b/>
                <w:sz w:val="22"/>
                <w:szCs w:val="22"/>
              </w:rPr>
            </w:pPr>
          </w:p>
        </w:tc>
        <w:tc>
          <w:tcPr>
            <w:tcW w:w="1704" w:type="dxa"/>
            <w:shd w:val="pct12" w:color="auto" w:fill="auto"/>
          </w:tcPr>
          <w:p w14:paraId="59C0A76F" w14:textId="77777777" w:rsidR="00A50417" w:rsidRPr="00A50417" w:rsidRDefault="00A50417" w:rsidP="00A50417">
            <w:pPr>
              <w:pStyle w:val="CommentText"/>
              <w:rPr>
                <w:b/>
                <w:sz w:val="22"/>
                <w:szCs w:val="22"/>
              </w:rPr>
            </w:pPr>
            <w:r w:rsidRPr="00A50417">
              <w:rPr>
                <w:b/>
                <w:sz w:val="22"/>
                <w:szCs w:val="22"/>
              </w:rPr>
              <w:t>Western Australia</w:t>
            </w:r>
          </w:p>
        </w:tc>
        <w:tc>
          <w:tcPr>
            <w:tcW w:w="1705" w:type="dxa"/>
            <w:shd w:val="pct12" w:color="auto" w:fill="auto"/>
          </w:tcPr>
          <w:p w14:paraId="59C0A770" w14:textId="77777777" w:rsidR="00A50417" w:rsidRPr="00A50417" w:rsidRDefault="00A50417" w:rsidP="00A50417">
            <w:pPr>
              <w:pStyle w:val="CommentText"/>
              <w:rPr>
                <w:b/>
                <w:sz w:val="22"/>
                <w:szCs w:val="22"/>
              </w:rPr>
            </w:pPr>
            <w:r w:rsidRPr="00A50417">
              <w:rPr>
                <w:b/>
                <w:sz w:val="22"/>
                <w:szCs w:val="22"/>
              </w:rPr>
              <w:t>South Australia</w:t>
            </w:r>
          </w:p>
        </w:tc>
        <w:tc>
          <w:tcPr>
            <w:tcW w:w="1705" w:type="dxa"/>
            <w:shd w:val="pct12" w:color="auto" w:fill="auto"/>
          </w:tcPr>
          <w:p w14:paraId="59C0A771" w14:textId="77777777" w:rsidR="00A50417" w:rsidRPr="00A50417" w:rsidRDefault="00A50417" w:rsidP="00A50417">
            <w:pPr>
              <w:pStyle w:val="CommentText"/>
              <w:rPr>
                <w:b/>
                <w:sz w:val="22"/>
                <w:szCs w:val="22"/>
              </w:rPr>
            </w:pPr>
            <w:r w:rsidRPr="00A50417">
              <w:rPr>
                <w:b/>
                <w:sz w:val="22"/>
                <w:szCs w:val="22"/>
              </w:rPr>
              <w:t>Northern Territory</w:t>
            </w:r>
          </w:p>
        </w:tc>
      </w:tr>
      <w:tr w:rsidR="00A50417" w14:paraId="59C0A778" w14:textId="77777777" w:rsidTr="00A50417">
        <w:tc>
          <w:tcPr>
            <w:tcW w:w="1704" w:type="dxa"/>
          </w:tcPr>
          <w:p w14:paraId="59C0A773" w14:textId="77777777" w:rsidR="00A50417" w:rsidRPr="00A50417" w:rsidRDefault="00A50417" w:rsidP="00A50417">
            <w:pPr>
              <w:pStyle w:val="CommentText"/>
              <w:rPr>
                <w:sz w:val="22"/>
                <w:szCs w:val="22"/>
              </w:rPr>
            </w:pPr>
            <w:r w:rsidRPr="00A50417">
              <w:rPr>
                <w:sz w:val="22"/>
                <w:szCs w:val="22"/>
              </w:rPr>
              <w:t>Far West</w:t>
            </w:r>
          </w:p>
        </w:tc>
        <w:tc>
          <w:tcPr>
            <w:tcW w:w="1704" w:type="dxa"/>
          </w:tcPr>
          <w:p w14:paraId="59C0A774" w14:textId="77777777" w:rsidR="00A50417" w:rsidRPr="00A50417" w:rsidRDefault="00A50417" w:rsidP="00A50417">
            <w:pPr>
              <w:pStyle w:val="CommentText"/>
              <w:rPr>
                <w:sz w:val="22"/>
                <w:szCs w:val="22"/>
              </w:rPr>
            </w:pPr>
            <w:r w:rsidRPr="00A50417">
              <w:rPr>
                <w:sz w:val="22"/>
                <w:szCs w:val="22"/>
              </w:rPr>
              <w:t>Cairns</w:t>
            </w:r>
          </w:p>
        </w:tc>
        <w:tc>
          <w:tcPr>
            <w:tcW w:w="1704" w:type="dxa"/>
          </w:tcPr>
          <w:p w14:paraId="59C0A775" w14:textId="77777777" w:rsidR="00A50417" w:rsidRPr="00A50417" w:rsidRDefault="00A50417" w:rsidP="00A50417">
            <w:pPr>
              <w:pStyle w:val="CommentText"/>
              <w:rPr>
                <w:sz w:val="22"/>
                <w:szCs w:val="22"/>
              </w:rPr>
            </w:pPr>
            <w:r w:rsidRPr="00A50417">
              <w:rPr>
                <w:sz w:val="22"/>
                <w:szCs w:val="22"/>
              </w:rPr>
              <w:t>East Kimberley</w:t>
            </w:r>
          </w:p>
        </w:tc>
        <w:tc>
          <w:tcPr>
            <w:tcW w:w="1705" w:type="dxa"/>
          </w:tcPr>
          <w:p w14:paraId="59C0A776" w14:textId="77777777" w:rsidR="00A50417" w:rsidRPr="00A50417" w:rsidRDefault="00A50417" w:rsidP="00A50417">
            <w:pPr>
              <w:pStyle w:val="CommentText"/>
              <w:rPr>
                <w:sz w:val="22"/>
                <w:szCs w:val="22"/>
              </w:rPr>
            </w:pPr>
            <w:r w:rsidRPr="00A50417">
              <w:rPr>
                <w:sz w:val="22"/>
                <w:szCs w:val="22"/>
              </w:rPr>
              <w:t>Ceduna</w:t>
            </w:r>
          </w:p>
        </w:tc>
        <w:tc>
          <w:tcPr>
            <w:tcW w:w="1705" w:type="dxa"/>
          </w:tcPr>
          <w:p w14:paraId="59C0A777" w14:textId="77777777" w:rsidR="00A50417" w:rsidRPr="00A50417" w:rsidRDefault="00A50417" w:rsidP="00A50417">
            <w:pPr>
              <w:pStyle w:val="CommentText"/>
              <w:rPr>
                <w:sz w:val="22"/>
                <w:szCs w:val="22"/>
              </w:rPr>
            </w:pPr>
            <w:r w:rsidRPr="00A50417">
              <w:rPr>
                <w:sz w:val="22"/>
                <w:szCs w:val="22"/>
              </w:rPr>
              <w:t>Alice Springs</w:t>
            </w:r>
          </w:p>
        </w:tc>
      </w:tr>
      <w:tr w:rsidR="00A50417" w14:paraId="59C0A77E" w14:textId="77777777" w:rsidTr="00A50417">
        <w:tc>
          <w:tcPr>
            <w:tcW w:w="1704" w:type="dxa"/>
          </w:tcPr>
          <w:p w14:paraId="59C0A779" w14:textId="77777777" w:rsidR="00A50417" w:rsidRPr="00A50417" w:rsidRDefault="00A50417" w:rsidP="00A50417">
            <w:pPr>
              <w:pStyle w:val="CommentText"/>
              <w:rPr>
                <w:sz w:val="22"/>
                <w:szCs w:val="22"/>
              </w:rPr>
            </w:pPr>
            <w:r w:rsidRPr="00A50417">
              <w:rPr>
                <w:sz w:val="22"/>
                <w:szCs w:val="22"/>
              </w:rPr>
              <w:t>Oxley</w:t>
            </w:r>
          </w:p>
        </w:tc>
        <w:tc>
          <w:tcPr>
            <w:tcW w:w="1704" w:type="dxa"/>
          </w:tcPr>
          <w:p w14:paraId="59C0A77A" w14:textId="77777777" w:rsidR="00A50417" w:rsidRPr="00A50417" w:rsidRDefault="00A50417" w:rsidP="00A50417">
            <w:pPr>
              <w:pStyle w:val="CommentText"/>
              <w:rPr>
                <w:sz w:val="22"/>
                <w:szCs w:val="22"/>
              </w:rPr>
            </w:pPr>
            <w:r w:rsidRPr="00A50417">
              <w:rPr>
                <w:sz w:val="22"/>
                <w:szCs w:val="22"/>
              </w:rPr>
              <w:t>Emerald</w:t>
            </w:r>
          </w:p>
        </w:tc>
        <w:tc>
          <w:tcPr>
            <w:tcW w:w="1704" w:type="dxa"/>
          </w:tcPr>
          <w:p w14:paraId="59C0A77B" w14:textId="77777777" w:rsidR="00A50417" w:rsidRPr="00A50417" w:rsidRDefault="00A50417" w:rsidP="00A50417">
            <w:pPr>
              <w:pStyle w:val="CommentText"/>
              <w:rPr>
                <w:sz w:val="22"/>
                <w:szCs w:val="22"/>
              </w:rPr>
            </w:pPr>
            <w:r w:rsidRPr="00A50417">
              <w:rPr>
                <w:sz w:val="22"/>
                <w:szCs w:val="22"/>
              </w:rPr>
              <w:t>East Pilbara</w:t>
            </w:r>
          </w:p>
        </w:tc>
        <w:tc>
          <w:tcPr>
            <w:tcW w:w="1705" w:type="dxa"/>
          </w:tcPr>
          <w:p w14:paraId="59C0A77C" w14:textId="77777777" w:rsidR="00A50417" w:rsidRPr="00A50417" w:rsidRDefault="00A50417" w:rsidP="00A50417">
            <w:pPr>
              <w:pStyle w:val="CommentText"/>
              <w:rPr>
                <w:sz w:val="22"/>
                <w:szCs w:val="22"/>
              </w:rPr>
            </w:pPr>
            <w:r w:rsidRPr="00A50417">
              <w:rPr>
                <w:sz w:val="22"/>
                <w:szCs w:val="22"/>
              </w:rPr>
              <w:t>Port Augusta</w:t>
            </w:r>
          </w:p>
        </w:tc>
        <w:tc>
          <w:tcPr>
            <w:tcW w:w="1705" w:type="dxa"/>
          </w:tcPr>
          <w:p w14:paraId="59C0A77D" w14:textId="77777777" w:rsidR="00A50417" w:rsidRPr="00A50417" w:rsidRDefault="00A50417" w:rsidP="00A50417">
            <w:pPr>
              <w:pStyle w:val="CommentText"/>
              <w:rPr>
                <w:sz w:val="22"/>
                <w:szCs w:val="22"/>
              </w:rPr>
            </w:pPr>
            <w:r w:rsidRPr="00A50417">
              <w:rPr>
                <w:sz w:val="22"/>
                <w:szCs w:val="22"/>
              </w:rPr>
              <w:t>Katherine</w:t>
            </w:r>
          </w:p>
        </w:tc>
      </w:tr>
      <w:tr w:rsidR="00A50417" w14:paraId="59C0A784" w14:textId="77777777" w:rsidTr="00A50417">
        <w:tc>
          <w:tcPr>
            <w:tcW w:w="1704" w:type="dxa"/>
            <w:vMerge w:val="restart"/>
          </w:tcPr>
          <w:p w14:paraId="59C0A77F" w14:textId="77777777" w:rsidR="00A50417" w:rsidRPr="00A50417" w:rsidRDefault="00A50417" w:rsidP="00A50417">
            <w:pPr>
              <w:pStyle w:val="CommentText"/>
              <w:rPr>
                <w:sz w:val="22"/>
                <w:szCs w:val="22"/>
              </w:rPr>
            </w:pPr>
          </w:p>
        </w:tc>
        <w:tc>
          <w:tcPr>
            <w:tcW w:w="1704" w:type="dxa"/>
          </w:tcPr>
          <w:p w14:paraId="59C0A780" w14:textId="77777777" w:rsidR="00A50417" w:rsidRPr="00A50417" w:rsidRDefault="00A50417" w:rsidP="00A50417">
            <w:pPr>
              <w:pStyle w:val="CommentText"/>
              <w:rPr>
                <w:sz w:val="22"/>
                <w:szCs w:val="22"/>
              </w:rPr>
            </w:pPr>
            <w:r w:rsidRPr="00A50417">
              <w:rPr>
                <w:sz w:val="22"/>
                <w:szCs w:val="22"/>
              </w:rPr>
              <w:t>Mt Isa</w:t>
            </w:r>
          </w:p>
        </w:tc>
        <w:tc>
          <w:tcPr>
            <w:tcW w:w="1704" w:type="dxa"/>
          </w:tcPr>
          <w:p w14:paraId="59C0A781" w14:textId="77777777" w:rsidR="00A50417" w:rsidRPr="00A50417" w:rsidRDefault="00A50417" w:rsidP="00A50417">
            <w:pPr>
              <w:pStyle w:val="CommentText"/>
              <w:rPr>
                <w:sz w:val="22"/>
                <w:szCs w:val="22"/>
              </w:rPr>
            </w:pPr>
            <w:r w:rsidRPr="00A50417">
              <w:rPr>
                <w:sz w:val="22"/>
                <w:szCs w:val="22"/>
              </w:rPr>
              <w:t>Esperance</w:t>
            </w:r>
          </w:p>
        </w:tc>
        <w:tc>
          <w:tcPr>
            <w:tcW w:w="1705" w:type="dxa"/>
          </w:tcPr>
          <w:p w14:paraId="59C0A782" w14:textId="77777777" w:rsidR="00A50417" w:rsidRPr="00A50417" w:rsidRDefault="00A50417" w:rsidP="00A50417">
            <w:pPr>
              <w:pStyle w:val="CommentText"/>
              <w:rPr>
                <w:sz w:val="22"/>
                <w:szCs w:val="22"/>
              </w:rPr>
            </w:pPr>
            <w:r w:rsidRPr="00A50417">
              <w:rPr>
                <w:sz w:val="22"/>
                <w:szCs w:val="22"/>
              </w:rPr>
              <w:t>Port Lincoln</w:t>
            </w:r>
          </w:p>
        </w:tc>
        <w:tc>
          <w:tcPr>
            <w:tcW w:w="1705" w:type="dxa"/>
          </w:tcPr>
          <w:p w14:paraId="59C0A783" w14:textId="77777777" w:rsidR="00A50417" w:rsidRPr="00A50417" w:rsidRDefault="00A50417" w:rsidP="00A50417">
            <w:pPr>
              <w:pStyle w:val="CommentText"/>
              <w:rPr>
                <w:sz w:val="22"/>
                <w:szCs w:val="22"/>
              </w:rPr>
            </w:pPr>
            <w:r w:rsidRPr="00A50417">
              <w:rPr>
                <w:sz w:val="22"/>
                <w:szCs w:val="22"/>
              </w:rPr>
              <w:t>Tennant Creek</w:t>
            </w:r>
          </w:p>
        </w:tc>
      </w:tr>
      <w:tr w:rsidR="00A50417" w14:paraId="59C0A78A" w14:textId="77777777" w:rsidTr="00A50417">
        <w:tc>
          <w:tcPr>
            <w:tcW w:w="1704" w:type="dxa"/>
            <w:vMerge/>
          </w:tcPr>
          <w:p w14:paraId="59C0A785" w14:textId="77777777" w:rsidR="00A50417" w:rsidRPr="00A50417" w:rsidRDefault="00A50417" w:rsidP="00A50417">
            <w:pPr>
              <w:pStyle w:val="CommentText"/>
              <w:rPr>
                <w:sz w:val="22"/>
                <w:szCs w:val="22"/>
              </w:rPr>
            </w:pPr>
          </w:p>
        </w:tc>
        <w:tc>
          <w:tcPr>
            <w:tcW w:w="1704" w:type="dxa"/>
          </w:tcPr>
          <w:p w14:paraId="59C0A786" w14:textId="77777777" w:rsidR="00A50417" w:rsidRPr="00A50417" w:rsidRDefault="00A50417" w:rsidP="00A50417">
            <w:pPr>
              <w:pStyle w:val="CommentText"/>
              <w:rPr>
                <w:sz w:val="22"/>
                <w:szCs w:val="22"/>
              </w:rPr>
            </w:pPr>
            <w:r w:rsidRPr="00A50417">
              <w:rPr>
                <w:sz w:val="22"/>
                <w:szCs w:val="22"/>
              </w:rPr>
              <w:t>Torres Strait</w:t>
            </w:r>
          </w:p>
        </w:tc>
        <w:tc>
          <w:tcPr>
            <w:tcW w:w="1704" w:type="dxa"/>
          </w:tcPr>
          <w:p w14:paraId="59C0A787" w14:textId="77777777" w:rsidR="00A50417" w:rsidRPr="00A50417" w:rsidRDefault="00A50417" w:rsidP="00A50417">
            <w:pPr>
              <w:pStyle w:val="CommentText"/>
              <w:rPr>
                <w:sz w:val="22"/>
                <w:szCs w:val="22"/>
              </w:rPr>
            </w:pPr>
            <w:r w:rsidRPr="00A50417">
              <w:rPr>
                <w:sz w:val="22"/>
                <w:szCs w:val="22"/>
              </w:rPr>
              <w:t>Goldfields</w:t>
            </w:r>
          </w:p>
        </w:tc>
        <w:tc>
          <w:tcPr>
            <w:tcW w:w="1705" w:type="dxa"/>
          </w:tcPr>
          <w:p w14:paraId="59C0A788" w14:textId="77777777" w:rsidR="00A50417" w:rsidRPr="00A50417" w:rsidRDefault="00A50417" w:rsidP="00A50417">
            <w:pPr>
              <w:pStyle w:val="CommentText"/>
              <w:rPr>
                <w:sz w:val="22"/>
                <w:szCs w:val="22"/>
              </w:rPr>
            </w:pPr>
            <w:r w:rsidRPr="00A50417">
              <w:rPr>
                <w:sz w:val="22"/>
                <w:szCs w:val="22"/>
              </w:rPr>
              <w:t>Whyalla</w:t>
            </w:r>
          </w:p>
        </w:tc>
        <w:tc>
          <w:tcPr>
            <w:tcW w:w="1705" w:type="dxa"/>
          </w:tcPr>
          <w:p w14:paraId="59C0A789" w14:textId="77777777" w:rsidR="00A50417" w:rsidRPr="00A50417" w:rsidRDefault="00A50417" w:rsidP="00A50417">
            <w:pPr>
              <w:pStyle w:val="CommentText"/>
              <w:rPr>
                <w:sz w:val="22"/>
                <w:szCs w:val="22"/>
              </w:rPr>
            </w:pPr>
            <w:r w:rsidRPr="00A50417">
              <w:rPr>
                <w:sz w:val="22"/>
                <w:szCs w:val="22"/>
              </w:rPr>
              <w:t>Top End</w:t>
            </w:r>
          </w:p>
        </w:tc>
      </w:tr>
      <w:tr w:rsidR="00A50417" w14:paraId="59C0A790" w14:textId="77777777" w:rsidTr="00A50417">
        <w:tc>
          <w:tcPr>
            <w:tcW w:w="1704" w:type="dxa"/>
            <w:vMerge/>
          </w:tcPr>
          <w:p w14:paraId="59C0A78B" w14:textId="77777777" w:rsidR="00A50417" w:rsidRPr="00A50417" w:rsidRDefault="00A50417" w:rsidP="00A50417">
            <w:pPr>
              <w:pStyle w:val="CommentText"/>
              <w:rPr>
                <w:sz w:val="22"/>
                <w:szCs w:val="22"/>
                <w:highlight w:val="yellow"/>
              </w:rPr>
            </w:pPr>
          </w:p>
        </w:tc>
        <w:tc>
          <w:tcPr>
            <w:tcW w:w="1704" w:type="dxa"/>
          </w:tcPr>
          <w:p w14:paraId="59C0A78C" w14:textId="77777777" w:rsidR="00A50417" w:rsidRPr="00A50417" w:rsidRDefault="00A50417" w:rsidP="00A50417">
            <w:pPr>
              <w:pStyle w:val="CommentText"/>
              <w:rPr>
                <w:sz w:val="22"/>
                <w:szCs w:val="22"/>
              </w:rPr>
            </w:pPr>
            <w:r w:rsidRPr="00A50417">
              <w:rPr>
                <w:sz w:val="22"/>
                <w:szCs w:val="22"/>
              </w:rPr>
              <w:t>Western Downs</w:t>
            </w:r>
          </w:p>
        </w:tc>
        <w:tc>
          <w:tcPr>
            <w:tcW w:w="1704" w:type="dxa"/>
          </w:tcPr>
          <w:p w14:paraId="59C0A78D" w14:textId="77777777" w:rsidR="00A50417" w:rsidRPr="00A50417" w:rsidRDefault="00A50417" w:rsidP="00A50417">
            <w:pPr>
              <w:pStyle w:val="CommentText"/>
              <w:rPr>
                <w:sz w:val="22"/>
                <w:szCs w:val="22"/>
              </w:rPr>
            </w:pPr>
            <w:r>
              <w:rPr>
                <w:sz w:val="22"/>
                <w:szCs w:val="22"/>
              </w:rPr>
              <w:t>Karratha</w:t>
            </w:r>
          </w:p>
        </w:tc>
        <w:tc>
          <w:tcPr>
            <w:tcW w:w="1705" w:type="dxa"/>
            <w:vMerge w:val="restart"/>
          </w:tcPr>
          <w:p w14:paraId="59C0A78E" w14:textId="77777777" w:rsidR="00A50417" w:rsidRPr="00A50417" w:rsidRDefault="00A50417" w:rsidP="00A50417">
            <w:pPr>
              <w:pStyle w:val="CommentText"/>
              <w:rPr>
                <w:sz w:val="22"/>
                <w:szCs w:val="22"/>
                <w:highlight w:val="yellow"/>
              </w:rPr>
            </w:pPr>
          </w:p>
        </w:tc>
        <w:tc>
          <w:tcPr>
            <w:tcW w:w="1705" w:type="dxa"/>
            <w:vMerge w:val="restart"/>
          </w:tcPr>
          <w:p w14:paraId="59C0A78F" w14:textId="77777777" w:rsidR="00A50417" w:rsidRPr="00A50417" w:rsidRDefault="00A50417" w:rsidP="00A50417">
            <w:pPr>
              <w:pStyle w:val="CommentText"/>
              <w:rPr>
                <w:sz w:val="22"/>
                <w:szCs w:val="22"/>
                <w:highlight w:val="yellow"/>
              </w:rPr>
            </w:pPr>
          </w:p>
        </w:tc>
      </w:tr>
      <w:tr w:rsidR="00A50417" w14:paraId="59C0A796" w14:textId="77777777" w:rsidTr="00A50417">
        <w:tc>
          <w:tcPr>
            <w:tcW w:w="1704" w:type="dxa"/>
            <w:vMerge/>
          </w:tcPr>
          <w:p w14:paraId="59C0A791" w14:textId="77777777" w:rsidR="00A50417" w:rsidRPr="00A50417" w:rsidRDefault="00A50417" w:rsidP="00A50417">
            <w:pPr>
              <w:pStyle w:val="CommentText"/>
              <w:rPr>
                <w:sz w:val="22"/>
                <w:szCs w:val="22"/>
                <w:highlight w:val="yellow"/>
              </w:rPr>
            </w:pPr>
          </w:p>
        </w:tc>
        <w:tc>
          <w:tcPr>
            <w:tcW w:w="1704" w:type="dxa"/>
            <w:vMerge w:val="restart"/>
          </w:tcPr>
          <w:p w14:paraId="59C0A792" w14:textId="77777777" w:rsidR="00A50417" w:rsidRPr="00A50417" w:rsidRDefault="00A50417" w:rsidP="00A50417">
            <w:pPr>
              <w:pStyle w:val="CommentText"/>
              <w:rPr>
                <w:sz w:val="22"/>
                <w:szCs w:val="22"/>
              </w:rPr>
            </w:pPr>
          </w:p>
        </w:tc>
        <w:tc>
          <w:tcPr>
            <w:tcW w:w="1704" w:type="dxa"/>
          </w:tcPr>
          <w:p w14:paraId="59C0A793" w14:textId="77777777" w:rsidR="00A50417" w:rsidRPr="00A50417" w:rsidRDefault="00A50417" w:rsidP="00A50417">
            <w:pPr>
              <w:pStyle w:val="CommentText"/>
              <w:rPr>
                <w:sz w:val="22"/>
                <w:szCs w:val="22"/>
              </w:rPr>
            </w:pPr>
            <w:r w:rsidRPr="00A50417">
              <w:rPr>
                <w:sz w:val="22"/>
                <w:szCs w:val="22"/>
              </w:rPr>
              <w:t>West Kimberley</w:t>
            </w:r>
          </w:p>
        </w:tc>
        <w:tc>
          <w:tcPr>
            <w:tcW w:w="1705" w:type="dxa"/>
            <w:vMerge/>
          </w:tcPr>
          <w:p w14:paraId="59C0A794" w14:textId="77777777" w:rsidR="00A50417" w:rsidRPr="00A50417" w:rsidRDefault="00A50417" w:rsidP="00A50417">
            <w:pPr>
              <w:pStyle w:val="CommentText"/>
              <w:rPr>
                <w:sz w:val="22"/>
                <w:szCs w:val="22"/>
                <w:highlight w:val="yellow"/>
              </w:rPr>
            </w:pPr>
          </w:p>
        </w:tc>
        <w:tc>
          <w:tcPr>
            <w:tcW w:w="1705" w:type="dxa"/>
            <w:vMerge/>
          </w:tcPr>
          <w:p w14:paraId="59C0A795" w14:textId="77777777" w:rsidR="00A50417" w:rsidRPr="00A50417" w:rsidRDefault="00A50417" w:rsidP="00A50417">
            <w:pPr>
              <w:pStyle w:val="CommentText"/>
              <w:rPr>
                <w:sz w:val="22"/>
                <w:szCs w:val="22"/>
                <w:highlight w:val="yellow"/>
              </w:rPr>
            </w:pPr>
          </w:p>
        </w:tc>
      </w:tr>
      <w:tr w:rsidR="00A50417" w14:paraId="59C0A79C" w14:textId="77777777" w:rsidTr="00A50417">
        <w:tc>
          <w:tcPr>
            <w:tcW w:w="1704" w:type="dxa"/>
            <w:vMerge/>
          </w:tcPr>
          <w:p w14:paraId="59C0A797" w14:textId="77777777" w:rsidR="00A50417" w:rsidRPr="00A50417" w:rsidRDefault="00A50417" w:rsidP="00A50417">
            <w:pPr>
              <w:pStyle w:val="CommentText"/>
              <w:rPr>
                <w:sz w:val="22"/>
                <w:szCs w:val="22"/>
                <w:highlight w:val="yellow"/>
              </w:rPr>
            </w:pPr>
          </w:p>
        </w:tc>
        <w:tc>
          <w:tcPr>
            <w:tcW w:w="1704" w:type="dxa"/>
            <w:vMerge/>
          </w:tcPr>
          <w:p w14:paraId="59C0A798" w14:textId="77777777" w:rsidR="00A50417" w:rsidRPr="00A50417" w:rsidRDefault="00A50417" w:rsidP="00A50417">
            <w:pPr>
              <w:pStyle w:val="CommentText"/>
              <w:rPr>
                <w:sz w:val="22"/>
                <w:szCs w:val="22"/>
              </w:rPr>
            </w:pPr>
          </w:p>
        </w:tc>
        <w:tc>
          <w:tcPr>
            <w:tcW w:w="1704" w:type="dxa"/>
          </w:tcPr>
          <w:p w14:paraId="59C0A799" w14:textId="77777777" w:rsidR="001873C2" w:rsidRPr="00A50417" w:rsidRDefault="00A50417" w:rsidP="00A50417">
            <w:pPr>
              <w:pStyle w:val="CommentText"/>
              <w:rPr>
                <w:sz w:val="22"/>
                <w:szCs w:val="22"/>
              </w:rPr>
            </w:pPr>
            <w:r>
              <w:rPr>
                <w:sz w:val="22"/>
                <w:szCs w:val="22"/>
              </w:rPr>
              <w:t>Mid-West and Gascoyne</w:t>
            </w:r>
          </w:p>
        </w:tc>
        <w:tc>
          <w:tcPr>
            <w:tcW w:w="1705" w:type="dxa"/>
            <w:vMerge/>
          </w:tcPr>
          <w:p w14:paraId="59C0A79A" w14:textId="77777777" w:rsidR="00A50417" w:rsidRPr="00A50417" w:rsidRDefault="00A50417" w:rsidP="00A50417">
            <w:pPr>
              <w:pStyle w:val="CommentText"/>
              <w:rPr>
                <w:sz w:val="22"/>
                <w:szCs w:val="22"/>
                <w:highlight w:val="yellow"/>
              </w:rPr>
            </w:pPr>
          </w:p>
        </w:tc>
        <w:tc>
          <w:tcPr>
            <w:tcW w:w="1705" w:type="dxa"/>
            <w:vMerge/>
          </w:tcPr>
          <w:p w14:paraId="59C0A79B" w14:textId="77777777" w:rsidR="00A50417" w:rsidRPr="00A50417" w:rsidRDefault="00A50417" w:rsidP="00A50417">
            <w:pPr>
              <w:pStyle w:val="CommentText"/>
              <w:rPr>
                <w:sz w:val="22"/>
                <w:szCs w:val="22"/>
                <w:highlight w:val="yellow"/>
              </w:rPr>
            </w:pPr>
          </w:p>
        </w:tc>
      </w:tr>
    </w:tbl>
    <w:p w14:paraId="59C0A79D" w14:textId="77777777" w:rsidR="00707AEF" w:rsidRPr="00FD6C53" w:rsidRDefault="00707AEF" w:rsidP="00707AEF">
      <w:pPr>
        <w:pStyle w:val="CommentText"/>
        <w:rPr>
          <w:sz w:val="22"/>
          <w:szCs w:val="22"/>
          <w:highlight w:val="yellow"/>
        </w:rPr>
        <w:sectPr w:rsidR="00707AEF" w:rsidRPr="00FD6C53" w:rsidSect="00B70171">
          <w:pgSz w:w="11906" w:h="16838"/>
          <w:pgMar w:top="1440" w:right="1800" w:bottom="1440" w:left="1800" w:header="708" w:footer="708" w:gutter="0"/>
          <w:cols w:space="708"/>
          <w:titlePg/>
          <w:docGrid w:linePitch="360"/>
        </w:sectPr>
      </w:pPr>
    </w:p>
    <w:p w14:paraId="59C0A79E" w14:textId="77777777" w:rsidR="0029548A" w:rsidRDefault="0029548A" w:rsidP="00707AEF">
      <w:pPr>
        <w:pStyle w:val="CommentText"/>
        <w:rPr>
          <w:sz w:val="22"/>
          <w:szCs w:val="22"/>
        </w:rPr>
      </w:pPr>
    </w:p>
    <w:p w14:paraId="59C0A79F" w14:textId="77777777" w:rsidR="0029548A" w:rsidRDefault="0029548A" w:rsidP="0029548A">
      <w:pPr>
        <w:pStyle w:val="CommentText"/>
        <w:rPr>
          <w:sz w:val="22"/>
          <w:szCs w:val="22"/>
        </w:rPr>
      </w:pPr>
      <w:r>
        <w:rPr>
          <w:sz w:val="22"/>
          <w:szCs w:val="22"/>
        </w:rPr>
        <w:t>Remote service delivery is referenced throughout the current 2010-13 LLNP Guidelines and there are some features of remote service delivery that differ from the mainstream LLNP model:</w:t>
      </w:r>
    </w:p>
    <w:p w14:paraId="59C0A7A0" w14:textId="77777777" w:rsidR="00AE2BA5" w:rsidRDefault="00AE2BA5" w:rsidP="0029548A">
      <w:pPr>
        <w:pStyle w:val="CommentText"/>
        <w:rPr>
          <w:sz w:val="22"/>
          <w:szCs w:val="22"/>
        </w:rPr>
      </w:pPr>
    </w:p>
    <w:p w14:paraId="59C0A7A1" w14:textId="77777777" w:rsidR="0074504E" w:rsidRDefault="0029548A" w:rsidP="009A4A3E">
      <w:pPr>
        <w:numPr>
          <w:ilvl w:val="0"/>
          <w:numId w:val="6"/>
        </w:numPr>
        <w:rPr>
          <w:i/>
        </w:rPr>
      </w:pPr>
      <w:r w:rsidRPr="006E10B7">
        <w:rPr>
          <w:i/>
        </w:rPr>
        <w:t>Funding model:</w:t>
      </w:r>
      <w:r>
        <w:t xml:space="preserve"> Remote BSAs currently have</w:t>
      </w:r>
      <w:r w:rsidR="006E10B7">
        <w:t xml:space="preserve"> a two tier pricing arrangement</w:t>
      </w:r>
      <w:r w:rsidR="00E27B00">
        <w:t>;</w:t>
      </w:r>
    </w:p>
    <w:p w14:paraId="59C0A7A2" w14:textId="77777777" w:rsidR="0029548A" w:rsidRDefault="0029548A" w:rsidP="009A4A3E">
      <w:pPr>
        <w:pStyle w:val="CommentText"/>
        <w:numPr>
          <w:ilvl w:val="0"/>
          <w:numId w:val="6"/>
        </w:numPr>
        <w:rPr>
          <w:sz w:val="22"/>
          <w:szCs w:val="22"/>
        </w:rPr>
      </w:pPr>
      <w:r w:rsidRPr="006E10B7">
        <w:rPr>
          <w:i/>
          <w:sz w:val="22"/>
          <w:szCs w:val="22"/>
        </w:rPr>
        <w:t xml:space="preserve">Access to additional funding for scoping activities: </w:t>
      </w:r>
      <w:r w:rsidR="006E10B7" w:rsidRPr="006E10B7">
        <w:rPr>
          <w:sz w:val="22"/>
          <w:szCs w:val="22"/>
        </w:rPr>
        <w:t>prior to delivery training</w:t>
      </w:r>
      <w:r w:rsidR="006E10B7">
        <w:rPr>
          <w:i/>
          <w:sz w:val="22"/>
          <w:szCs w:val="22"/>
        </w:rPr>
        <w:t xml:space="preserve"> </w:t>
      </w:r>
      <w:r w:rsidRPr="006E10B7">
        <w:rPr>
          <w:sz w:val="22"/>
          <w:szCs w:val="22"/>
        </w:rPr>
        <w:t>conduct client engagement and sco</w:t>
      </w:r>
      <w:r w:rsidR="006E10B7">
        <w:rPr>
          <w:sz w:val="22"/>
          <w:szCs w:val="22"/>
        </w:rPr>
        <w:t>ping activities in remote areas;</w:t>
      </w:r>
    </w:p>
    <w:p w14:paraId="59C0A7A3" w14:textId="77777777" w:rsidR="0029548A" w:rsidRDefault="0029548A" w:rsidP="009A4A3E">
      <w:pPr>
        <w:pStyle w:val="CommentText"/>
        <w:numPr>
          <w:ilvl w:val="0"/>
          <w:numId w:val="6"/>
        </w:numPr>
        <w:rPr>
          <w:sz w:val="22"/>
          <w:szCs w:val="22"/>
        </w:rPr>
      </w:pPr>
      <w:r>
        <w:rPr>
          <w:i/>
          <w:sz w:val="22"/>
          <w:szCs w:val="22"/>
        </w:rPr>
        <w:t>Extended data entry timeframes for remote providers:</w:t>
      </w:r>
      <w:r>
        <w:rPr>
          <w:sz w:val="22"/>
          <w:szCs w:val="22"/>
        </w:rPr>
        <w:t xml:space="preserve"> remote</w:t>
      </w:r>
      <w:r w:rsidR="006E10B7">
        <w:rPr>
          <w:sz w:val="22"/>
          <w:szCs w:val="22"/>
        </w:rPr>
        <w:t xml:space="preserve"> providers have 10 worki</w:t>
      </w:r>
      <w:r w:rsidR="006720DC">
        <w:rPr>
          <w:sz w:val="22"/>
          <w:szCs w:val="22"/>
        </w:rPr>
        <w:t>ng days to undertake data entry;</w:t>
      </w:r>
      <w:r w:rsidR="00084013">
        <w:rPr>
          <w:sz w:val="22"/>
          <w:szCs w:val="22"/>
        </w:rPr>
        <w:t xml:space="preserve"> and</w:t>
      </w:r>
    </w:p>
    <w:p w14:paraId="59C0A7A4" w14:textId="77777777" w:rsidR="00125C41" w:rsidRPr="00125C41" w:rsidRDefault="0029548A" w:rsidP="009A4A3E">
      <w:pPr>
        <w:pStyle w:val="CommentText"/>
        <w:numPr>
          <w:ilvl w:val="0"/>
          <w:numId w:val="6"/>
        </w:numPr>
        <w:ind w:left="709"/>
        <w:rPr>
          <w:sz w:val="22"/>
          <w:szCs w:val="22"/>
        </w:rPr>
      </w:pPr>
      <w:r>
        <w:rPr>
          <w:i/>
          <w:sz w:val="22"/>
          <w:szCs w:val="22"/>
        </w:rPr>
        <w:t xml:space="preserve">Small Group Training (SGT): </w:t>
      </w:r>
      <w:r w:rsidR="00125C41" w:rsidRPr="00125C41">
        <w:rPr>
          <w:sz w:val="22"/>
          <w:szCs w:val="22"/>
        </w:rPr>
        <w:t xml:space="preserve">Provider delivering in remote areas have an option to extend the number of hours </w:t>
      </w:r>
      <w:r w:rsidR="00AE2BA5">
        <w:rPr>
          <w:sz w:val="22"/>
          <w:szCs w:val="22"/>
        </w:rPr>
        <w:t>SGT</w:t>
      </w:r>
      <w:r w:rsidR="00125C41" w:rsidRPr="00125C41">
        <w:rPr>
          <w:sz w:val="22"/>
          <w:szCs w:val="22"/>
        </w:rPr>
        <w:t xml:space="preserve"> is offered</w:t>
      </w:r>
      <w:r w:rsidR="00084013">
        <w:rPr>
          <w:sz w:val="22"/>
          <w:szCs w:val="22"/>
        </w:rPr>
        <w:t>.</w:t>
      </w:r>
    </w:p>
    <w:p w14:paraId="59C0A7A5" w14:textId="77777777" w:rsidR="00125C41" w:rsidRDefault="00125C41" w:rsidP="0029548A">
      <w:pPr>
        <w:pStyle w:val="CommentText"/>
        <w:rPr>
          <w:sz w:val="22"/>
          <w:szCs w:val="22"/>
        </w:rPr>
      </w:pPr>
    </w:p>
    <w:p w14:paraId="59C0A7A6" w14:textId="77777777" w:rsidR="0029548A" w:rsidRDefault="00E27B00" w:rsidP="0029548A">
      <w:pPr>
        <w:pStyle w:val="CommentText"/>
        <w:rPr>
          <w:sz w:val="22"/>
          <w:szCs w:val="22"/>
        </w:rPr>
      </w:pPr>
      <w:r>
        <w:rPr>
          <w:sz w:val="22"/>
          <w:szCs w:val="22"/>
        </w:rPr>
        <w:t>There are a number of</w:t>
      </w:r>
      <w:r w:rsidR="0029548A">
        <w:rPr>
          <w:sz w:val="22"/>
          <w:szCs w:val="22"/>
        </w:rPr>
        <w:t xml:space="preserve"> complexities in deliverin</w:t>
      </w:r>
      <w:r>
        <w:rPr>
          <w:sz w:val="22"/>
          <w:szCs w:val="22"/>
        </w:rPr>
        <w:t>g LLNP services in remote areas. These</w:t>
      </w:r>
      <w:r w:rsidR="0029548A">
        <w:rPr>
          <w:sz w:val="22"/>
          <w:szCs w:val="22"/>
        </w:rPr>
        <w:t xml:space="preserve"> include:</w:t>
      </w:r>
    </w:p>
    <w:p w14:paraId="59C0A7A7" w14:textId="77777777" w:rsidR="00CC66C2" w:rsidRDefault="00CC66C2" w:rsidP="0029548A">
      <w:pPr>
        <w:pStyle w:val="CommentText"/>
        <w:rPr>
          <w:sz w:val="22"/>
          <w:szCs w:val="22"/>
        </w:rPr>
      </w:pPr>
    </w:p>
    <w:p w14:paraId="59C0A7A8" w14:textId="77777777" w:rsidR="0029548A" w:rsidRDefault="0029548A" w:rsidP="009A4A3E">
      <w:pPr>
        <w:pStyle w:val="CommentText"/>
        <w:numPr>
          <w:ilvl w:val="0"/>
          <w:numId w:val="5"/>
        </w:numPr>
        <w:rPr>
          <w:sz w:val="22"/>
          <w:szCs w:val="22"/>
        </w:rPr>
      </w:pPr>
      <w:r>
        <w:rPr>
          <w:sz w:val="22"/>
          <w:szCs w:val="22"/>
        </w:rPr>
        <w:lastRenderedPageBreak/>
        <w:t>Difficulties in gaining access to remote communities</w:t>
      </w:r>
      <w:r w:rsidR="00084013">
        <w:rPr>
          <w:sz w:val="22"/>
          <w:szCs w:val="22"/>
        </w:rPr>
        <w:t>;</w:t>
      </w:r>
    </w:p>
    <w:p w14:paraId="59C0A7A9" w14:textId="77777777" w:rsidR="0029548A" w:rsidRDefault="0029548A" w:rsidP="009A4A3E">
      <w:pPr>
        <w:pStyle w:val="CommentText"/>
        <w:numPr>
          <w:ilvl w:val="0"/>
          <w:numId w:val="5"/>
        </w:numPr>
        <w:rPr>
          <w:sz w:val="22"/>
          <w:szCs w:val="22"/>
        </w:rPr>
      </w:pPr>
      <w:r>
        <w:rPr>
          <w:sz w:val="22"/>
          <w:szCs w:val="22"/>
        </w:rPr>
        <w:t>Lack of infrastructure and teacher accommodation</w:t>
      </w:r>
      <w:r w:rsidR="00084013">
        <w:rPr>
          <w:sz w:val="22"/>
          <w:szCs w:val="22"/>
        </w:rPr>
        <w:t>;</w:t>
      </w:r>
    </w:p>
    <w:p w14:paraId="59C0A7AA" w14:textId="77777777" w:rsidR="0029548A" w:rsidRDefault="0029548A" w:rsidP="009A4A3E">
      <w:pPr>
        <w:pStyle w:val="CommentText"/>
        <w:numPr>
          <w:ilvl w:val="0"/>
          <w:numId w:val="5"/>
        </w:numPr>
        <w:rPr>
          <w:sz w:val="22"/>
          <w:szCs w:val="22"/>
        </w:rPr>
      </w:pPr>
      <w:r>
        <w:rPr>
          <w:sz w:val="22"/>
          <w:szCs w:val="22"/>
        </w:rPr>
        <w:t>Seasonal changes</w:t>
      </w:r>
      <w:r w:rsidR="00084013">
        <w:rPr>
          <w:sz w:val="22"/>
          <w:szCs w:val="22"/>
        </w:rPr>
        <w:t>; and</w:t>
      </w:r>
    </w:p>
    <w:p w14:paraId="59C0A7AB" w14:textId="77777777" w:rsidR="0029548A" w:rsidRDefault="0029548A" w:rsidP="009A4A3E">
      <w:pPr>
        <w:pStyle w:val="CommentText"/>
        <w:numPr>
          <w:ilvl w:val="0"/>
          <w:numId w:val="5"/>
        </w:numPr>
        <w:rPr>
          <w:sz w:val="22"/>
          <w:szCs w:val="22"/>
        </w:rPr>
      </w:pPr>
      <w:r>
        <w:rPr>
          <w:sz w:val="22"/>
          <w:szCs w:val="22"/>
        </w:rPr>
        <w:t>Availability of a teaching workforce with suitable qualifications (including the constant challenge of recruiting and retaining suitably qualified staff)</w:t>
      </w:r>
      <w:r w:rsidR="00084013">
        <w:rPr>
          <w:sz w:val="22"/>
          <w:szCs w:val="22"/>
        </w:rPr>
        <w:t>.</w:t>
      </w:r>
    </w:p>
    <w:p w14:paraId="59C0A7AC" w14:textId="77777777" w:rsidR="0029548A" w:rsidRDefault="0029548A" w:rsidP="0029548A">
      <w:pPr>
        <w:pStyle w:val="NormalWeb"/>
      </w:pPr>
      <w:r>
        <w:t>The Government is committed to improving access to LLNP to Indigenous Australians and the LLNP is a program involved in the Closing the Gap initiative</w:t>
      </w:r>
      <w:r w:rsidR="00E85FEA">
        <w:t xml:space="preserve">.  </w:t>
      </w:r>
      <w:r>
        <w:t xml:space="preserve">Closing the Gap is a commitment by all Australian </w:t>
      </w:r>
      <w:r w:rsidR="00D24B73" w:rsidRPr="00D24B73">
        <w:t xml:space="preserve">Governments </w:t>
      </w:r>
      <w:r>
        <w:t xml:space="preserve">to improve the lives of Indigenous Australians, and in particular provide a better future for Indigenous children.  Closing the Gap is linked to a wider reform of Commonwealth-State financial relations. </w:t>
      </w:r>
    </w:p>
    <w:p w14:paraId="59C0A7AD" w14:textId="77777777" w:rsidR="0029548A" w:rsidRDefault="0029548A" w:rsidP="0029548A">
      <w:pPr>
        <w:pStyle w:val="NormalWeb"/>
      </w:pPr>
      <w:r>
        <w:t>Underpinning Closing the Gap is a new way of working across government and of engaging with Indigenous communities</w:t>
      </w:r>
      <w:r w:rsidR="00E85FEA">
        <w:t xml:space="preserve">.  </w:t>
      </w:r>
      <w:r>
        <w:t>Governments are cooperating to better coordinate their services and funding</w:t>
      </w:r>
      <w:r w:rsidR="00E85FEA">
        <w:t xml:space="preserve">.  </w:t>
      </w:r>
      <w:r>
        <w:t xml:space="preserve">Clear responsibilities, specific targets and rigorous reporting will help to keep governments on track. </w:t>
      </w:r>
    </w:p>
    <w:p w14:paraId="59C0A7AE" w14:textId="77777777" w:rsidR="00E22A0E" w:rsidRDefault="0029548A" w:rsidP="0029548A">
      <w:r w:rsidRPr="00D004A0">
        <w:t xml:space="preserve">There are a number of options under consideration for program redesign to better facilitate </w:t>
      </w:r>
      <w:r>
        <w:t xml:space="preserve">the </w:t>
      </w:r>
      <w:r w:rsidRPr="00D004A0">
        <w:t>remote delivery of LLNP</w:t>
      </w:r>
      <w:r w:rsidR="00E85FEA">
        <w:t xml:space="preserve">.  </w:t>
      </w:r>
      <w:r>
        <w:t xml:space="preserve">The Government is </w:t>
      </w:r>
      <w:r w:rsidRPr="00D004A0">
        <w:t xml:space="preserve">cognisant of balancing the needs of </w:t>
      </w:r>
      <w:r>
        <w:t xml:space="preserve">stakeholders such as </w:t>
      </w:r>
      <w:r w:rsidRPr="00D004A0">
        <w:t>clients, providers</w:t>
      </w:r>
      <w:r>
        <w:t xml:space="preserve"> and </w:t>
      </w:r>
      <w:r w:rsidRPr="00D004A0">
        <w:t xml:space="preserve">referring agencies </w:t>
      </w:r>
      <w:r>
        <w:t>with</w:t>
      </w:r>
      <w:r w:rsidRPr="00D004A0">
        <w:t xml:space="preserve"> the efficient and effective use of Government funding. </w:t>
      </w:r>
    </w:p>
    <w:p w14:paraId="59C0A7AF" w14:textId="77777777" w:rsidR="00E22A0E" w:rsidRDefault="00E22A0E" w:rsidP="0029548A"/>
    <w:p w14:paraId="59C0A7B0" w14:textId="77777777" w:rsidR="00AC2A03" w:rsidRDefault="00E27B00" w:rsidP="00E22A0E">
      <w:r>
        <w:t>O</w:t>
      </w:r>
      <w:r w:rsidR="0029548A" w:rsidRPr="00D004A0">
        <w:t xml:space="preserve">ptions </w:t>
      </w:r>
      <w:r w:rsidR="0029548A">
        <w:t>include</w:t>
      </w:r>
      <w:r w:rsidR="00E22A0E">
        <w:t xml:space="preserve"> t</w:t>
      </w:r>
      <w:r w:rsidR="00E22A0E" w:rsidRPr="00E22A0E">
        <w:t xml:space="preserve">he expansion of the </w:t>
      </w:r>
      <w:r w:rsidR="0029548A" w:rsidRPr="00E22A0E">
        <w:t>Community-based service delivery model</w:t>
      </w:r>
      <w:r w:rsidR="00E22A0E" w:rsidRPr="00E22A0E">
        <w:t xml:space="preserve"> that is currently being used under the Northern Territory Emergency Response for LLNP</w:t>
      </w:r>
      <w:r w:rsidR="00E85FEA">
        <w:t xml:space="preserve">.  </w:t>
      </w:r>
      <w:r w:rsidR="00E22A0E">
        <w:t xml:space="preserve">The Community-based model is a </w:t>
      </w:r>
      <w:r w:rsidR="0029548A" w:rsidRPr="005D3B80">
        <w:t>service delivery model with a greater focus on community engagement</w:t>
      </w:r>
      <w:r>
        <w:t>.</w:t>
      </w:r>
      <w:r w:rsidR="00E85FEA">
        <w:t xml:space="preserve"> </w:t>
      </w:r>
      <w:r>
        <w:t xml:space="preserve"> </w:t>
      </w:r>
      <w:r w:rsidR="00034CED">
        <w:t>K</w:t>
      </w:r>
      <w:r w:rsidR="00343048">
        <w:t>ey features include</w:t>
      </w:r>
      <w:r w:rsidR="0029548A" w:rsidRPr="005D3B80">
        <w:t xml:space="preserve"> consulting with community elders</w:t>
      </w:r>
      <w:r w:rsidR="00034CED">
        <w:t xml:space="preserve"> </w:t>
      </w:r>
      <w:r w:rsidR="0029548A" w:rsidRPr="005D3B80">
        <w:t xml:space="preserve">and </w:t>
      </w:r>
      <w:r w:rsidR="00034CED">
        <w:t>undertaking scoping activities in communities</w:t>
      </w:r>
      <w:r w:rsidR="00343048">
        <w:t xml:space="preserve"> to determine which communities are likely to experience success from language, literacy and/</w:t>
      </w:r>
      <w:r w:rsidR="00343048" w:rsidRPr="005D3B80">
        <w:t>or numeracy training project/s</w:t>
      </w:r>
      <w:r w:rsidR="00343048">
        <w:t xml:space="preserve">. </w:t>
      </w:r>
    </w:p>
    <w:p w14:paraId="59C0A7B1" w14:textId="77777777" w:rsidR="00AC2A03" w:rsidRDefault="00AC2A03" w:rsidP="00E22A0E"/>
    <w:p w14:paraId="59C0A7B2" w14:textId="77777777" w:rsidR="0029548A" w:rsidRDefault="0029548A" w:rsidP="00E22A0E">
      <w:r>
        <w:t>Scoping will also</w:t>
      </w:r>
      <w:r w:rsidRPr="005D3B80">
        <w:t xml:space="preserve"> assist </w:t>
      </w:r>
      <w:r>
        <w:t xml:space="preserve">with </w:t>
      </w:r>
      <w:r w:rsidRPr="005D3B80">
        <w:t xml:space="preserve">initial engagement with the community, building </w:t>
      </w:r>
      <w:r>
        <w:t xml:space="preserve">relationships </w:t>
      </w:r>
      <w:r w:rsidRPr="005D3B80">
        <w:t>with community stakeholders, employers and other training and service providers, to develop partnering arrangements, determine training logistics and develop innovative training and delivery strategies to m</w:t>
      </w:r>
      <w:r w:rsidR="00034CED">
        <w:t>eet the needs of that community.  If successful, a community-based model should result in improved client participation and higher retention rates.</w:t>
      </w:r>
    </w:p>
    <w:p w14:paraId="59C0A7B3" w14:textId="77777777" w:rsidR="00C00084" w:rsidRDefault="00C00084" w:rsidP="0029548A"/>
    <w:p w14:paraId="59C0A7B4" w14:textId="77777777" w:rsidR="00420CE0" w:rsidRDefault="0029548A" w:rsidP="0029548A">
      <w:r>
        <w:t>T</w:t>
      </w:r>
      <w:r w:rsidRPr="007377AB">
        <w:t>here are a number of external factors that will influen</w:t>
      </w:r>
      <w:r>
        <w:t>ce the delivery of the LLNP in remote areas</w:t>
      </w:r>
      <w:r w:rsidR="00E85FEA">
        <w:t xml:space="preserve">.  </w:t>
      </w:r>
    </w:p>
    <w:p w14:paraId="59C0A7B5" w14:textId="77777777" w:rsidR="00343048" w:rsidRDefault="00343048" w:rsidP="0029548A"/>
    <w:p w14:paraId="59C0A7B6" w14:textId="77777777" w:rsidR="0029548A" w:rsidRDefault="0029548A" w:rsidP="0029548A">
      <w:r>
        <w:t xml:space="preserve">On 26 April 2012, Ministers Shorten, Macklin and Collins jointly announced that the Remote Jobs and Communities Program (RJCP) would be introduced to ensure more Indigenous and other remote job seekers participate in meaningful community activities and get the skills they need to find and keep a job. </w:t>
      </w:r>
      <w:r w:rsidR="00C00084">
        <w:t xml:space="preserve"> The LLNP is working with DEEWR to determine a complimentary system of remote service delivery within the RJCP.</w:t>
      </w:r>
    </w:p>
    <w:p w14:paraId="59C0A7B7" w14:textId="77777777" w:rsidR="00AC2A03" w:rsidRDefault="00AC2A03" w:rsidP="0029548A"/>
    <w:p w14:paraId="59C0A7B8" w14:textId="77777777" w:rsidR="00C00084" w:rsidRDefault="0029548A" w:rsidP="0029548A">
      <w:r>
        <w:t xml:space="preserve">The RJCP will commence on 1 July 2013 and will provide a more integrated and flexible approach to participation and employment services for people living in remote areas of Australia. </w:t>
      </w:r>
      <w:r w:rsidR="00C00084">
        <w:t xml:space="preserve"> Through this Discussion </w:t>
      </w:r>
      <w:r w:rsidR="00902009">
        <w:t>P</w:t>
      </w:r>
      <w:r w:rsidR="00C00084">
        <w:t xml:space="preserve">aper, the Government is seeking feedback on how LLNP </w:t>
      </w:r>
      <w:r w:rsidR="00084013">
        <w:t xml:space="preserve">can </w:t>
      </w:r>
      <w:r w:rsidR="00C00084">
        <w:t>be delivered in remote areas taking into consideration the RJCP.</w:t>
      </w:r>
    </w:p>
    <w:p w14:paraId="59C0A7B9" w14:textId="77777777" w:rsidR="00C00084" w:rsidRDefault="00C00084" w:rsidP="0029548A"/>
    <w:p w14:paraId="59C0A7BA" w14:textId="77777777" w:rsidR="0029548A" w:rsidRDefault="00C00084" w:rsidP="0029548A">
      <w:r>
        <w:lastRenderedPageBreak/>
        <w:t xml:space="preserve">In the first instance, it may be useful for </w:t>
      </w:r>
      <w:r w:rsidR="0029548A">
        <w:t>RTO</w:t>
      </w:r>
      <w:r w:rsidR="00CC66C2">
        <w:t>s</w:t>
      </w:r>
      <w:r w:rsidR="0029548A">
        <w:t xml:space="preserve"> </w:t>
      </w:r>
      <w:r>
        <w:t xml:space="preserve">to </w:t>
      </w:r>
      <w:r w:rsidR="0029548A">
        <w:t>consider the future relationships they will need to develop in remote communities given the introduction of the RJCP</w:t>
      </w:r>
      <w:r w:rsidR="00F95A8C">
        <w:t xml:space="preserve">.  </w:t>
      </w:r>
      <w:r w:rsidR="0029548A">
        <w:t xml:space="preserve">It may even be beneficial if RTOs, including those that are LLNP providers, consider formalising agreements/partnerships in remote communities and provide a more holistic service in remote areas.  </w:t>
      </w:r>
      <w:r w:rsidR="0029548A">
        <w:br/>
      </w:r>
    </w:p>
    <w:p w14:paraId="59C0A7BB" w14:textId="77777777" w:rsidR="0029548A" w:rsidRDefault="0029548A" w:rsidP="0029548A">
      <w:r>
        <w:t xml:space="preserve">DEEWR will be conducting consultations in July – August nationally to outline the RJCP prior to the Request for Tender process that is scheduled in August 2012.  </w:t>
      </w:r>
    </w:p>
    <w:p w14:paraId="59C0A7BC" w14:textId="77777777" w:rsidR="00712F8E" w:rsidRPr="00FB536C" w:rsidRDefault="00712F8E" w:rsidP="00712F8E">
      <w:pPr>
        <w:pStyle w:val="ListParagraph"/>
        <w:spacing w:after="60"/>
        <w:ind w:left="0"/>
        <w:rPr>
          <w:b/>
        </w:rPr>
      </w:pPr>
      <w:r>
        <w:br/>
      </w:r>
      <w:r w:rsidRPr="00FB536C">
        <w:rPr>
          <w:b/>
        </w:rPr>
        <w:t>For consideration in your response:</w:t>
      </w:r>
    </w:p>
    <w:p w14:paraId="59C0A7BD" w14:textId="77777777" w:rsidR="00724FF3" w:rsidRPr="00A757E1" w:rsidRDefault="00724FF3" w:rsidP="009A4A3E">
      <w:pPr>
        <w:pStyle w:val="ListParagraph"/>
        <w:numPr>
          <w:ilvl w:val="0"/>
          <w:numId w:val="18"/>
        </w:numPr>
        <w:ind w:left="709" w:hanging="709"/>
        <w:rPr>
          <w:i/>
          <w:sz w:val="20"/>
          <w:szCs w:val="20"/>
        </w:rPr>
      </w:pPr>
      <w:r w:rsidRPr="00A757E1">
        <w:rPr>
          <w:i/>
          <w:sz w:val="20"/>
          <w:szCs w:val="20"/>
        </w:rPr>
        <w:t xml:space="preserve">What aspect of the current LLNP model requires review to suit remote areas? </w:t>
      </w:r>
    </w:p>
    <w:p w14:paraId="59C0A7BE" w14:textId="77777777" w:rsidR="007071B8" w:rsidRPr="00724FF3" w:rsidRDefault="00724FF3" w:rsidP="009A4A3E">
      <w:pPr>
        <w:pStyle w:val="ListParagraph"/>
        <w:numPr>
          <w:ilvl w:val="0"/>
          <w:numId w:val="18"/>
        </w:numPr>
        <w:ind w:left="709" w:hanging="709"/>
        <w:rPr>
          <w:i/>
          <w:sz w:val="20"/>
          <w:szCs w:val="20"/>
        </w:rPr>
      </w:pPr>
      <w:r w:rsidRPr="00A757E1">
        <w:rPr>
          <w:i/>
          <w:sz w:val="20"/>
          <w:szCs w:val="20"/>
        </w:rPr>
        <w:t>Do you believe the community-based model would improve remote client participation</w:t>
      </w:r>
      <w:r w:rsidRPr="00A32C4B">
        <w:rPr>
          <w:i/>
          <w:sz w:val="20"/>
          <w:szCs w:val="20"/>
        </w:rPr>
        <w:t xml:space="preserve"> rates in other remote areas across Australia?</w:t>
      </w:r>
    </w:p>
    <w:p w14:paraId="59C0A7BF" w14:textId="77777777" w:rsidR="00AC2A03" w:rsidRDefault="00AC2A03" w:rsidP="009A4A3E">
      <w:pPr>
        <w:pStyle w:val="ListParagraph"/>
        <w:numPr>
          <w:ilvl w:val="0"/>
          <w:numId w:val="18"/>
        </w:numPr>
        <w:ind w:left="709" w:hanging="709"/>
        <w:rPr>
          <w:i/>
          <w:sz w:val="20"/>
          <w:szCs w:val="20"/>
        </w:rPr>
      </w:pPr>
      <w:r>
        <w:rPr>
          <w:i/>
          <w:sz w:val="20"/>
          <w:szCs w:val="20"/>
        </w:rPr>
        <w:t>How do you see</w:t>
      </w:r>
      <w:r w:rsidR="009E07DF">
        <w:rPr>
          <w:i/>
          <w:sz w:val="20"/>
          <w:szCs w:val="20"/>
        </w:rPr>
        <w:t xml:space="preserve"> the</w:t>
      </w:r>
      <w:r>
        <w:rPr>
          <w:i/>
          <w:sz w:val="20"/>
          <w:szCs w:val="20"/>
        </w:rPr>
        <w:t xml:space="preserve"> LLNP working in the future with the new Remote Jobs and Community Program?</w:t>
      </w:r>
    </w:p>
    <w:p w14:paraId="59C0A7C0" w14:textId="77777777" w:rsidR="00712F8E" w:rsidRPr="00FB536C" w:rsidRDefault="00712F8E" w:rsidP="00712F8E">
      <w:pPr>
        <w:pStyle w:val="ListParagraph"/>
        <w:ind w:left="360"/>
        <w:rPr>
          <w:i/>
          <w:sz w:val="20"/>
          <w:szCs w:val="20"/>
        </w:rPr>
      </w:pPr>
    </w:p>
    <w:p w14:paraId="59C0A7C1" w14:textId="77777777" w:rsidR="0029548A" w:rsidRDefault="0029548A" w:rsidP="0029548A">
      <w:pPr>
        <w:rPr>
          <w:b/>
          <w:i/>
        </w:rPr>
      </w:pPr>
    </w:p>
    <w:p w14:paraId="59C0A7C2" w14:textId="77777777" w:rsidR="0029548A" w:rsidRDefault="0029548A" w:rsidP="0029548A">
      <w:pPr>
        <w:rPr>
          <w:i/>
        </w:rPr>
      </w:pPr>
    </w:p>
    <w:p w14:paraId="59C0A7C3" w14:textId="77777777" w:rsidR="0029548A" w:rsidRDefault="0029548A" w:rsidP="0029548A">
      <w:pPr>
        <w:rPr>
          <w:i/>
        </w:rPr>
      </w:pPr>
    </w:p>
    <w:p w14:paraId="59C0A7C4" w14:textId="77777777" w:rsidR="0029548A" w:rsidRDefault="0029548A" w:rsidP="0029548A">
      <w:pPr>
        <w:rPr>
          <w:i/>
        </w:rPr>
      </w:pPr>
    </w:p>
    <w:p w14:paraId="59C0A7C5" w14:textId="77777777" w:rsidR="0029548A" w:rsidRDefault="0029548A" w:rsidP="0029548A">
      <w:pPr>
        <w:rPr>
          <w:i/>
        </w:rPr>
      </w:pPr>
    </w:p>
    <w:p w14:paraId="59C0A7C6" w14:textId="77777777" w:rsidR="0029548A" w:rsidRDefault="0029548A" w:rsidP="0029548A">
      <w:pPr>
        <w:rPr>
          <w:i/>
        </w:rPr>
      </w:pPr>
    </w:p>
    <w:p w14:paraId="59C0A7C7" w14:textId="77777777" w:rsidR="0029548A" w:rsidRDefault="0029548A" w:rsidP="0029548A">
      <w:pPr>
        <w:rPr>
          <w:i/>
        </w:rPr>
      </w:pPr>
    </w:p>
    <w:p w14:paraId="59C0A7C8" w14:textId="77777777" w:rsidR="0029548A" w:rsidRDefault="0029548A" w:rsidP="0029548A">
      <w:pPr>
        <w:rPr>
          <w:rFonts w:asciiTheme="minorHAnsi" w:hAnsiTheme="minorHAnsi" w:cstheme="minorHAnsi"/>
        </w:rPr>
      </w:pPr>
    </w:p>
    <w:p w14:paraId="59C0A7C9" w14:textId="77777777" w:rsidR="00085E83" w:rsidRDefault="0029548A" w:rsidP="0029548A">
      <w:pPr>
        <w:rPr>
          <w:rFonts w:asciiTheme="minorHAnsi" w:hAnsiTheme="minorHAnsi" w:cstheme="minorHAnsi"/>
          <w:color w:val="7030A0"/>
        </w:rPr>
      </w:pPr>
      <w:r>
        <w:rPr>
          <w:rFonts w:asciiTheme="minorHAnsi" w:hAnsiTheme="minorHAnsi" w:cstheme="minorHAnsi"/>
          <w:color w:val="7030A0"/>
        </w:rPr>
        <w:br w:type="page"/>
      </w:r>
    </w:p>
    <w:p w14:paraId="59C0A7CA" w14:textId="77777777" w:rsidR="007071B8" w:rsidRDefault="00A316CE" w:rsidP="0075673C">
      <w:pPr>
        <w:pStyle w:val="Heading1"/>
      </w:pPr>
      <w:bookmarkStart w:id="24" w:name="_Toc330460475"/>
      <w:r>
        <w:lastRenderedPageBreak/>
        <w:t xml:space="preserve">Chapter 5 </w:t>
      </w:r>
      <w:r w:rsidRPr="0015003D">
        <w:rPr>
          <w:rFonts w:cstheme="minorHAnsi"/>
        </w:rPr>
        <w:t xml:space="preserve">– </w:t>
      </w:r>
      <w:r w:rsidR="00D24B73" w:rsidRPr="00D24B73">
        <w:t>Independent Verification Process</w:t>
      </w:r>
      <w:bookmarkEnd w:id="24"/>
    </w:p>
    <w:p w14:paraId="59C0A7CB" w14:textId="77777777" w:rsidR="007071B8" w:rsidRDefault="007071B8">
      <w:pPr>
        <w:rPr>
          <w:rFonts w:asciiTheme="minorHAnsi" w:hAnsiTheme="minorHAnsi" w:cstheme="minorHAnsi"/>
          <w:color w:val="7030A0"/>
        </w:rPr>
      </w:pPr>
    </w:p>
    <w:p w14:paraId="59C0A7CC" w14:textId="77777777" w:rsidR="007071B8" w:rsidRDefault="00D24B73" w:rsidP="003A64D3">
      <w:pPr>
        <w:pStyle w:val="Heading3"/>
      </w:pPr>
      <w:bookmarkStart w:id="25" w:name="_Toc330460476"/>
      <w:r w:rsidRPr="00D24B73">
        <w:t>Role of the Independent Verifier</w:t>
      </w:r>
      <w:bookmarkEnd w:id="25"/>
    </w:p>
    <w:p w14:paraId="59C0A7CD" w14:textId="77777777" w:rsidR="00A54FC1" w:rsidRDefault="0031245C" w:rsidP="0031245C">
      <w:pPr>
        <w:rPr>
          <w:rFonts w:asciiTheme="minorHAnsi" w:hAnsiTheme="minorHAnsi" w:cstheme="minorHAnsi"/>
        </w:rPr>
      </w:pPr>
      <w:r w:rsidRPr="002F5F9A">
        <w:rPr>
          <w:rFonts w:asciiTheme="minorHAnsi" w:hAnsiTheme="minorHAnsi" w:cstheme="minorHAnsi"/>
        </w:rPr>
        <w:t xml:space="preserve">Independent verification (IV) is a process conducted by </w:t>
      </w:r>
      <w:r w:rsidRPr="00B67AC1">
        <w:rPr>
          <w:rFonts w:asciiTheme="minorHAnsi" w:hAnsiTheme="minorHAnsi" w:cstheme="minorHAnsi"/>
        </w:rPr>
        <w:t>an independent body</w:t>
      </w:r>
      <w:r w:rsidRPr="00B67AC1">
        <w:rPr>
          <w:rFonts w:asciiTheme="minorHAnsi" w:hAnsiTheme="minorHAnsi" w:cstheme="minorHAnsi"/>
          <w:iCs/>
        </w:rPr>
        <w:t xml:space="preserve"> </w:t>
      </w:r>
      <w:r w:rsidRPr="00B67AC1">
        <w:rPr>
          <w:rFonts w:asciiTheme="minorHAnsi" w:hAnsiTheme="minorHAnsi" w:cstheme="minorHAnsi"/>
        </w:rPr>
        <w:t xml:space="preserve">which involves the review of </w:t>
      </w:r>
      <w:r w:rsidR="00CC66C2">
        <w:rPr>
          <w:rFonts w:asciiTheme="minorHAnsi" w:hAnsiTheme="minorHAnsi" w:cstheme="minorHAnsi"/>
          <w:iCs/>
        </w:rPr>
        <w:t>PTAs</w:t>
      </w:r>
      <w:r w:rsidRPr="00B67AC1">
        <w:rPr>
          <w:rFonts w:asciiTheme="minorHAnsi" w:hAnsiTheme="minorHAnsi" w:cstheme="minorHAnsi"/>
          <w:iCs/>
        </w:rPr>
        <w:t xml:space="preserve"> </w:t>
      </w:r>
      <w:r w:rsidR="00416CE4">
        <w:rPr>
          <w:rFonts w:asciiTheme="minorHAnsi" w:hAnsiTheme="minorHAnsi" w:cstheme="minorHAnsi"/>
        </w:rPr>
        <w:t>and other assessments completed by clients in order to confirm the accuracy and reliability of assessments</w:t>
      </w:r>
      <w:r w:rsidR="00034CED">
        <w:rPr>
          <w:rFonts w:asciiTheme="minorHAnsi" w:hAnsiTheme="minorHAnsi" w:cstheme="minorHAnsi"/>
        </w:rPr>
        <w:t>,</w:t>
      </w:r>
      <w:r w:rsidR="00416CE4">
        <w:rPr>
          <w:rFonts w:asciiTheme="minorHAnsi" w:hAnsiTheme="minorHAnsi" w:cstheme="minorHAnsi"/>
        </w:rPr>
        <w:t xml:space="preserve"> claimed curricula learning outcomes and the application of the ACSF</w:t>
      </w:r>
      <w:r w:rsidR="00A54FC1">
        <w:rPr>
          <w:rFonts w:asciiTheme="minorHAnsi" w:hAnsiTheme="minorHAnsi" w:cstheme="minorHAnsi"/>
        </w:rPr>
        <w:t xml:space="preserve"> by LLNP providers</w:t>
      </w:r>
      <w:r w:rsidR="00416CE4">
        <w:rPr>
          <w:rFonts w:asciiTheme="minorHAnsi" w:hAnsiTheme="minorHAnsi" w:cstheme="minorHAnsi"/>
        </w:rPr>
        <w:t xml:space="preserve">.  </w:t>
      </w:r>
    </w:p>
    <w:p w14:paraId="59C0A7CE" w14:textId="77777777" w:rsidR="00A54FC1" w:rsidRDefault="00A54FC1" w:rsidP="0031245C">
      <w:pPr>
        <w:rPr>
          <w:rFonts w:asciiTheme="minorHAnsi" w:hAnsiTheme="minorHAnsi" w:cstheme="minorHAnsi"/>
        </w:rPr>
      </w:pPr>
    </w:p>
    <w:p w14:paraId="59C0A7CF" w14:textId="77777777" w:rsidR="0031245C" w:rsidRDefault="0031245C" w:rsidP="002423D0">
      <w:pPr>
        <w:rPr>
          <w:rFonts w:asciiTheme="minorHAnsi" w:hAnsiTheme="minorHAnsi" w:cstheme="minorHAnsi"/>
        </w:rPr>
      </w:pPr>
      <w:r w:rsidRPr="00B67AC1">
        <w:rPr>
          <w:rFonts w:asciiTheme="minorHAnsi" w:hAnsiTheme="minorHAnsi" w:cstheme="minorHAnsi"/>
        </w:rPr>
        <w:t xml:space="preserve">The </w:t>
      </w:r>
      <w:r w:rsidR="00A54FC1">
        <w:rPr>
          <w:rFonts w:asciiTheme="minorHAnsi" w:hAnsiTheme="minorHAnsi" w:cstheme="minorHAnsi"/>
        </w:rPr>
        <w:t xml:space="preserve">purpose of conducting independent verification activities is to assist LLNP </w:t>
      </w:r>
      <w:r w:rsidR="00DC5DFB">
        <w:rPr>
          <w:rFonts w:asciiTheme="minorHAnsi" w:hAnsiTheme="minorHAnsi" w:cstheme="minorHAnsi"/>
        </w:rPr>
        <w:t>p</w:t>
      </w:r>
      <w:r w:rsidR="00A54FC1">
        <w:rPr>
          <w:rFonts w:asciiTheme="minorHAnsi" w:hAnsiTheme="minorHAnsi" w:cstheme="minorHAnsi"/>
        </w:rPr>
        <w:t>roviders to develop and refine their training and assessment practices, as well as improve reporting</w:t>
      </w:r>
      <w:r w:rsidR="00034CED">
        <w:rPr>
          <w:rFonts w:asciiTheme="minorHAnsi" w:hAnsiTheme="minorHAnsi" w:cstheme="minorHAnsi"/>
        </w:rPr>
        <w:t xml:space="preserve"> and</w:t>
      </w:r>
      <w:r w:rsidR="002423D0">
        <w:rPr>
          <w:rFonts w:asciiTheme="minorHAnsi" w:hAnsiTheme="minorHAnsi" w:cstheme="minorHAnsi"/>
        </w:rPr>
        <w:t xml:space="preserve"> </w:t>
      </w:r>
      <w:r w:rsidR="00034CED">
        <w:rPr>
          <w:rFonts w:asciiTheme="minorHAnsi" w:hAnsiTheme="minorHAnsi" w:cstheme="minorHAnsi"/>
        </w:rPr>
        <w:t>ensuring</w:t>
      </w:r>
      <w:r w:rsidR="002423D0">
        <w:rPr>
          <w:rFonts w:asciiTheme="minorHAnsi" w:hAnsiTheme="minorHAnsi" w:cstheme="minorHAnsi"/>
        </w:rPr>
        <w:t xml:space="preserve"> national consistency for the program</w:t>
      </w:r>
      <w:r w:rsidR="00A54FC1">
        <w:rPr>
          <w:rFonts w:asciiTheme="minorHAnsi" w:hAnsiTheme="minorHAnsi" w:cstheme="minorHAnsi"/>
        </w:rPr>
        <w:t xml:space="preserve">.  </w:t>
      </w:r>
    </w:p>
    <w:p w14:paraId="59C0A7D0" w14:textId="77777777" w:rsidR="002423D0" w:rsidRDefault="002423D0" w:rsidP="002423D0">
      <w:pPr>
        <w:rPr>
          <w:rFonts w:asciiTheme="minorHAnsi" w:hAnsiTheme="minorHAnsi" w:cstheme="minorHAnsi"/>
        </w:rPr>
      </w:pPr>
    </w:p>
    <w:p w14:paraId="59C0A7D1" w14:textId="77777777" w:rsidR="006E29C0" w:rsidRDefault="006E29C0" w:rsidP="0031245C">
      <w:pPr>
        <w:rPr>
          <w:rFonts w:asciiTheme="minorHAnsi" w:hAnsiTheme="minorHAnsi" w:cstheme="minorHAnsi"/>
        </w:rPr>
      </w:pPr>
      <w:r>
        <w:rPr>
          <w:rFonts w:asciiTheme="minorHAnsi" w:hAnsiTheme="minorHAnsi" w:cstheme="minorHAnsi"/>
        </w:rPr>
        <w:t>A</w:t>
      </w:r>
      <w:r w:rsidR="0031245C">
        <w:rPr>
          <w:rFonts w:asciiTheme="minorHAnsi" w:hAnsiTheme="minorHAnsi" w:cstheme="minorHAnsi"/>
        </w:rPr>
        <w:t xml:space="preserve">t </w:t>
      </w:r>
      <w:r w:rsidR="00034CED">
        <w:rPr>
          <w:rFonts w:asciiTheme="minorHAnsi" w:hAnsiTheme="minorHAnsi" w:cstheme="minorHAnsi"/>
        </w:rPr>
        <w:t>present, the IV provider performs</w:t>
      </w:r>
      <w:r w:rsidR="0031245C" w:rsidRPr="00B67AC1">
        <w:rPr>
          <w:rFonts w:asciiTheme="minorHAnsi" w:hAnsiTheme="minorHAnsi" w:cstheme="minorHAnsi"/>
        </w:rPr>
        <w:t xml:space="preserve"> both an auditing and professional development</w:t>
      </w:r>
      <w:r w:rsidR="00034CED">
        <w:rPr>
          <w:rFonts w:asciiTheme="minorHAnsi" w:hAnsiTheme="minorHAnsi" w:cstheme="minorHAnsi"/>
        </w:rPr>
        <w:t xml:space="preserve"> </w:t>
      </w:r>
      <w:r w:rsidR="0031245C" w:rsidRPr="00B67AC1">
        <w:rPr>
          <w:rFonts w:asciiTheme="minorHAnsi" w:hAnsiTheme="minorHAnsi" w:cstheme="minorHAnsi"/>
        </w:rPr>
        <w:t>role</w:t>
      </w:r>
      <w:r>
        <w:rPr>
          <w:rFonts w:asciiTheme="minorHAnsi" w:hAnsiTheme="minorHAnsi" w:cstheme="minorHAnsi"/>
        </w:rPr>
        <w:t>. The professional development role in</w:t>
      </w:r>
      <w:r w:rsidR="00034CED">
        <w:rPr>
          <w:rFonts w:asciiTheme="minorHAnsi" w:hAnsiTheme="minorHAnsi" w:cstheme="minorHAnsi"/>
        </w:rPr>
        <w:t>volves</w:t>
      </w:r>
      <w:r>
        <w:rPr>
          <w:rFonts w:asciiTheme="minorHAnsi" w:hAnsiTheme="minorHAnsi" w:cstheme="minorHAnsi"/>
        </w:rPr>
        <w:t xml:space="preserve"> delivering moderation workshops that provide feedback on assessment reviews undertaken over the past 12 months.</w:t>
      </w:r>
    </w:p>
    <w:p w14:paraId="59C0A7D2" w14:textId="77777777" w:rsidR="006E29C0" w:rsidRDefault="006E29C0" w:rsidP="0031245C">
      <w:pPr>
        <w:rPr>
          <w:rFonts w:asciiTheme="minorHAnsi" w:hAnsiTheme="minorHAnsi" w:cstheme="minorHAnsi"/>
        </w:rPr>
      </w:pPr>
    </w:p>
    <w:p w14:paraId="59C0A7D3" w14:textId="77777777" w:rsidR="0031245C" w:rsidRDefault="0031245C" w:rsidP="0031245C">
      <w:pPr>
        <w:rPr>
          <w:rFonts w:asciiTheme="minorHAnsi" w:hAnsiTheme="minorHAnsi" w:cstheme="minorHAnsi"/>
        </w:rPr>
      </w:pPr>
      <w:r>
        <w:rPr>
          <w:rFonts w:asciiTheme="minorHAnsi" w:hAnsiTheme="minorHAnsi" w:cstheme="minorHAnsi"/>
        </w:rPr>
        <w:t xml:space="preserve">Feedback from LLNP providers indicates a level of confusion with these roles due to the </w:t>
      </w:r>
      <w:r w:rsidR="00034CED">
        <w:rPr>
          <w:rFonts w:asciiTheme="minorHAnsi" w:hAnsiTheme="minorHAnsi" w:cstheme="minorHAnsi"/>
        </w:rPr>
        <w:t>potentially</w:t>
      </w:r>
      <w:r w:rsidR="006E29C0">
        <w:rPr>
          <w:rFonts w:asciiTheme="minorHAnsi" w:hAnsiTheme="minorHAnsi" w:cstheme="minorHAnsi"/>
        </w:rPr>
        <w:t xml:space="preserve"> </w:t>
      </w:r>
      <w:r>
        <w:rPr>
          <w:rFonts w:asciiTheme="minorHAnsi" w:hAnsiTheme="minorHAnsi" w:cstheme="minorHAnsi"/>
        </w:rPr>
        <w:t>conflicting nature of the roles</w:t>
      </w:r>
      <w:r w:rsidR="00FA090A">
        <w:rPr>
          <w:rFonts w:asciiTheme="minorHAnsi" w:hAnsiTheme="minorHAnsi" w:cstheme="minorHAnsi"/>
        </w:rPr>
        <w:t xml:space="preserve">.  </w:t>
      </w:r>
      <w:r w:rsidR="002423D0">
        <w:rPr>
          <w:rFonts w:asciiTheme="minorHAnsi" w:hAnsiTheme="minorHAnsi" w:cstheme="minorHAnsi"/>
        </w:rPr>
        <w:t>There is a perception</w:t>
      </w:r>
      <w:r w:rsidR="00034CED">
        <w:rPr>
          <w:rFonts w:asciiTheme="minorHAnsi" w:hAnsiTheme="minorHAnsi" w:cstheme="minorHAnsi"/>
        </w:rPr>
        <w:t xml:space="preserve"> amongst providers</w:t>
      </w:r>
      <w:r w:rsidR="002423D0">
        <w:rPr>
          <w:rFonts w:asciiTheme="minorHAnsi" w:hAnsiTheme="minorHAnsi" w:cstheme="minorHAnsi"/>
        </w:rPr>
        <w:t xml:space="preserve"> that </w:t>
      </w:r>
      <w:r w:rsidRPr="001564B1">
        <w:rPr>
          <w:rFonts w:asciiTheme="minorHAnsi" w:hAnsiTheme="minorHAnsi" w:cstheme="minorHAnsi"/>
        </w:rPr>
        <w:t xml:space="preserve">the </w:t>
      </w:r>
      <w:r w:rsidR="00DF1E08">
        <w:rPr>
          <w:rFonts w:asciiTheme="minorHAnsi" w:hAnsiTheme="minorHAnsi" w:cstheme="minorHAnsi"/>
        </w:rPr>
        <w:t>IV provider</w:t>
      </w:r>
      <w:r w:rsidR="002423D0">
        <w:rPr>
          <w:rFonts w:asciiTheme="minorHAnsi" w:hAnsiTheme="minorHAnsi" w:cstheme="minorHAnsi"/>
        </w:rPr>
        <w:t xml:space="preserve">’s role is </w:t>
      </w:r>
      <w:r w:rsidR="00DF1E08">
        <w:rPr>
          <w:rFonts w:asciiTheme="minorHAnsi" w:hAnsiTheme="minorHAnsi" w:cstheme="minorHAnsi"/>
        </w:rPr>
        <w:t>primarily as an auditor</w:t>
      </w:r>
      <w:r w:rsidR="00034CED">
        <w:rPr>
          <w:rFonts w:asciiTheme="minorHAnsi" w:hAnsiTheme="minorHAnsi" w:cstheme="minorHAnsi"/>
        </w:rPr>
        <w:t xml:space="preserve"> which may reduce their effectiveness in the profession development role.</w:t>
      </w:r>
      <w:r w:rsidR="00FA090A">
        <w:rPr>
          <w:rFonts w:asciiTheme="minorHAnsi" w:hAnsiTheme="minorHAnsi" w:cstheme="minorHAnsi"/>
        </w:rPr>
        <w:t xml:space="preserve">  </w:t>
      </w:r>
    </w:p>
    <w:p w14:paraId="59C0A7D4" w14:textId="77777777" w:rsidR="006E29C0" w:rsidRDefault="006E29C0" w:rsidP="0031245C">
      <w:pPr>
        <w:rPr>
          <w:rFonts w:asciiTheme="minorHAnsi" w:hAnsiTheme="minorHAnsi" w:cstheme="minorHAnsi"/>
        </w:rPr>
      </w:pPr>
    </w:p>
    <w:p w14:paraId="59C0A7D5" w14:textId="77777777" w:rsidR="0031245C" w:rsidRDefault="00CC66C2" w:rsidP="0031245C">
      <w:pPr>
        <w:rPr>
          <w:rFonts w:asciiTheme="minorHAnsi" w:hAnsiTheme="minorHAnsi" w:cstheme="minorHAnsi"/>
        </w:rPr>
      </w:pPr>
      <w:r>
        <w:rPr>
          <w:rFonts w:asciiTheme="minorHAnsi" w:hAnsiTheme="minorHAnsi" w:cstheme="minorHAnsi"/>
        </w:rPr>
        <w:t>One o</w:t>
      </w:r>
      <w:r w:rsidR="00FC70BD">
        <w:rPr>
          <w:rFonts w:asciiTheme="minorHAnsi" w:hAnsiTheme="minorHAnsi" w:cstheme="minorHAnsi"/>
        </w:rPr>
        <w:t>ption</w:t>
      </w:r>
      <w:r>
        <w:rPr>
          <w:rFonts w:asciiTheme="minorHAnsi" w:hAnsiTheme="minorHAnsi" w:cstheme="minorHAnsi"/>
        </w:rPr>
        <w:t xml:space="preserve"> </w:t>
      </w:r>
      <w:r w:rsidR="00FC70BD">
        <w:rPr>
          <w:rFonts w:asciiTheme="minorHAnsi" w:hAnsiTheme="minorHAnsi" w:cstheme="minorHAnsi"/>
        </w:rPr>
        <w:t>being consider</w:t>
      </w:r>
      <w:r>
        <w:rPr>
          <w:rFonts w:asciiTheme="minorHAnsi" w:hAnsiTheme="minorHAnsi" w:cstheme="minorHAnsi"/>
        </w:rPr>
        <w:t>ed</w:t>
      </w:r>
      <w:r w:rsidR="00FC70BD">
        <w:rPr>
          <w:rFonts w:asciiTheme="minorHAnsi" w:hAnsiTheme="minorHAnsi" w:cstheme="minorHAnsi"/>
        </w:rPr>
        <w:t xml:space="preserve"> as part of this review </w:t>
      </w:r>
      <w:r>
        <w:rPr>
          <w:rFonts w:asciiTheme="minorHAnsi" w:hAnsiTheme="minorHAnsi" w:cstheme="minorHAnsi"/>
        </w:rPr>
        <w:t>is</w:t>
      </w:r>
      <w:r w:rsidR="00FC70BD">
        <w:rPr>
          <w:rFonts w:asciiTheme="minorHAnsi" w:hAnsiTheme="minorHAnsi" w:cstheme="minorHAnsi"/>
        </w:rPr>
        <w:t xml:space="preserve"> </w:t>
      </w:r>
      <w:r w:rsidR="00034CED">
        <w:rPr>
          <w:rFonts w:asciiTheme="minorHAnsi" w:hAnsiTheme="minorHAnsi" w:cstheme="minorHAnsi"/>
        </w:rPr>
        <w:t>to</w:t>
      </w:r>
      <w:r w:rsidR="0031245C">
        <w:rPr>
          <w:rFonts w:asciiTheme="minorHAnsi" w:hAnsiTheme="minorHAnsi" w:cstheme="minorHAnsi"/>
        </w:rPr>
        <w:t xml:space="preserve"> </w:t>
      </w:r>
      <w:r w:rsidR="00034CED">
        <w:rPr>
          <w:rFonts w:asciiTheme="minorHAnsi" w:hAnsiTheme="minorHAnsi" w:cstheme="minorHAnsi"/>
        </w:rPr>
        <w:t>have</w:t>
      </w:r>
      <w:r w:rsidR="0031245C">
        <w:rPr>
          <w:rFonts w:asciiTheme="minorHAnsi" w:hAnsiTheme="minorHAnsi" w:cstheme="minorHAnsi"/>
        </w:rPr>
        <w:t xml:space="preserve"> these roles undertaken by separate organisations.  </w:t>
      </w:r>
    </w:p>
    <w:p w14:paraId="59C0A7D6" w14:textId="77777777" w:rsidR="00AA090D" w:rsidRDefault="00AA090D">
      <w:pPr>
        <w:pStyle w:val="ListParagraph"/>
        <w:ind w:left="360"/>
        <w:rPr>
          <w:rFonts w:asciiTheme="minorHAnsi" w:hAnsiTheme="minorHAnsi" w:cstheme="minorHAnsi"/>
        </w:rPr>
      </w:pPr>
    </w:p>
    <w:p w14:paraId="59C0A7D7" w14:textId="77777777" w:rsidR="0031245C" w:rsidRDefault="0031245C" w:rsidP="0031245C">
      <w:pPr>
        <w:rPr>
          <w:rFonts w:asciiTheme="minorHAnsi" w:hAnsiTheme="minorHAnsi" w:cstheme="minorHAnsi"/>
        </w:rPr>
      </w:pPr>
      <w:r w:rsidRPr="00A32B23">
        <w:rPr>
          <w:rFonts w:asciiTheme="minorHAnsi" w:hAnsiTheme="minorHAnsi" w:cstheme="minorHAnsi"/>
        </w:rPr>
        <w:t xml:space="preserve">Whilst </w:t>
      </w:r>
      <w:r w:rsidR="00B92492">
        <w:rPr>
          <w:rFonts w:asciiTheme="minorHAnsi" w:hAnsiTheme="minorHAnsi" w:cstheme="minorHAnsi"/>
        </w:rPr>
        <w:t xml:space="preserve">reviewing the overall role and purpose of the </w:t>
      </w:r>
      <w:r w:rsidR="00CC66C2">
        <w:rPr>
          <w:rFonts w:asciiTheme="minorHAnsi" w:hAnsiTheme="minorHAnsi" w:cstheme="minorHAnsi"/>
        </w:rPr>
        <w:t>IV</w:t>
      </w:r>
      <w:r w:rsidR="00992D21">
        <w:rPr>
          <w:rFonts w:asciiTheme="minorHAnsi" w:hAnsiTheme="minorHAnsi" w:cstheme="minorHAnsi"/>
        </w:rPr>
        <w:t xml:space="preserve"> provider</w:t>
      </w:r>
      <w:r w:rsidR="00CC66C2">
        <w:rPr>
          <w:rFonts w:asciiTheme="minorHAnsi" w:hAnsiTheme="minorHAnsi" w:cstheme="minorHAnsi"/>
        </w:rPr>
        <w:t>’s</w:t>
      </w:r>
      <w:r w:rsidR="00B92492">
        <w:rPr>
          <w:rFonts w:asciiTheme="minorHAnsi" w:hAnsiTheme="minorHAnsi" w:cstheme="minorHAnsi"/>
        </w:rPr>
        <w:t xml:space="preserve"> role, there is also room to </w:t>
      </w:r>
      <w:r w:rsidR="00034CED">
        <w:rPr>
          <w:rFonts w:asciiTheme="minorHAnsi" w:hAnsiTheme="minorHAnsi" w:cstheme="minorHAnsi"/>
        </w:rPr>
        <w:t>review</w:t>
      </w:r>
      <w:r w:rsidR="00B92492">
        <w:rPr>
          <w:rFonts w:asciiTheme="minorHAnsi" w:hAnsiTheme="minorHAnsi" w:cstheme="minorHAnsi"/>
        </w:rPr>
        <w:t xml:space="preserve"> existing functions.  </w:t>
      </w:r>
    </w:p>
    <w:p w14:paraId="59C0A7D8" w14:textId="77777777" w:rsidR="0031245C" w:rsidRDefault="0031245C" w:rsidP="0031245C">
      <w:pPr>
        <w:pStyle w:val="ListParagraph"/>
        <w:ind w:left="1276"/>
        <w:rPr>
          <w:rFonts w:asciiTheme="minorHAnsi" w:hAnsiTheme="minorHAnsi" w:cstheme="minorHAnsi"/>
          <w:b/>
          <w:i/>
        </w:rPr>
      </w:pPr>
    </w:p>
    <w:p w14:paraId="59C0A7D9" w14:textId="77777777" w:rsidR="001336BE" w:rsidRPr="00C54925" w:rsidRDefault="00D24B73" w:rsidP="001336BE">
      <w:pPr>
        <w:pStyle w:val="ListParagraph"/>
        <w:ind w:left="0"/>
        <w:rPr>
          <w:rFonts w:ascii="Century Gothic" w:hAnsi="Century Gothic" w:cstheme="minorHAnsi"/>
          <w:color w:val="365F91" w:themeColor="accent1" w:themeShade="BF"/>
        </w:rPr>
      </w:pPr>
      <w:r w:rsidRPr="00D24B73">
        <w:rPr>
          <w:rFonts w:ascii="Century Gothic" w:hAnsi="Century Gothic" w:cstheme="minorHAnsi"/>
          <w:color w:val="365F91" w:themeColor="accent1" w:themeShade="BF"/>
        </w:rPr>
        <w:t>Training Assessment and Delivery Strategies (TADS) reviews</w:t>
      </w:r>
    </w:p>
    <w:p w14:paraId="59C0A7DA" w14:textId="77777777" w:rsidR="0031245C" w:rsidRPr="00A16E67" w:rsidRDefault="00F93083" w:rsidP="00A16E67">
      <w:pPr>
        <w:rPr>
          <w:rFonts w:asciiTheme="minorHAnsi" w:hAnsiTheme="minorHAnsi" w:cstheme="minorHAnsi"/>
        </w:rPr>
      </w:pPr>
      <w:r>
        <w:rPr>
          <w:rFonts w:asciiTheme="minorHAnsi" w:hAnsiTheme="minorHAnsi" w:cstheme="minorHAnsi"/>
        </w:rPr>
        <w:t>The IV</w:t>
      </w:r>
      <w:r w:rsidR="00A66B9E">
        <w:rPr>
          <w:rFonts w:asciiTheme="minorHAnsi" w:hAnsiTheme="minorHAnsi" w:cstheme="minorHAnsi"/>
        </w:rPr>
        <w:t xml:space="preserve"> provider</w:t>
      </w:r>
      <w:r>
        <w:rPr>
          <w:rFonts w:asciiTheme="minorHAnsi" w:hAnsiTheme="minorHAnsi" w:cstheme="minorHAnsi"/>
        </w:rPr>
        <w:t xml:space="preserve"> currently revie</w:t>
      </w:r>
      <w:r w:rsidR="0044098E">
        <w:rPr>
          <w:rFonts w:asciiTheme="minorHAnsi" w:hAnsiTheme="minorHAnsi" w:cstheme="minorHAnsi"/>
        </w:rPr>
        <w:t>w</w:t>
      </w:r>
      <w:r>
        <w:rPr>
          <w:rFonts w:asciiTheme="minorHAnsi" w:hAnsiTheme="minorHAnsi" w:cstheme="minorHAnsi"/>
        </w:rPr>
        <w:t xml:space="preserve">s </w:t>
      </w:r>
      <w:r w:rsidR="00A66B9E">
        <w:rPr>
          <w:rFonts w:asciiTheme="minorHAnsi" w:hAnsiTheme="minorHAnsi" w:cstheme="minorHAnsi"/>
        </w:rPr>
        <w:t xml:space="preserve">LLNP </w:t>
      </w:r>
      <w:r w:rsidR="0031245C" w:rsidRPr="00A16E67">
        <w:rPr>
          <w:rFonts w:asciiTheme="minorHAnsi" w:hAnsiTheme="minorHAnsi" w:cstheme="minorHAnsi"/>
        </w:rPr>
        <w:t>provider</w:t>
      </w:r>
      <w:r w:rsidR="00A66B9E">
        <w:rPr>
          <w:rFonts w:asciiTheme="minorHAnsi" w:hAnsiTheme="minorHAnsi" w:cstheme="minorHAnsi"/>
        </w:rPr>
        <w:t>s’</w:t>
      </w:r>
      <w:r w:rsidR="0031245C" w:rsidRPr="00A16E67">
        <w:rPr>
          <w:rFonts w:asciiTheme="minorHAnsi" w:hAnsiTheme="minorHAnsi" w:cstheme="minorHAnsi"/>
        </w:rPr>
        <w:t xml:space="preserve"> Training Assessment and Delivery Strategies (TADS) at the commencement of their contract</w:t>
      </w:r>
      <w:r w:rsidR="001C48A0">
        <w:rPr>
          <w:rFonts w:asciiTheme="minorHAnsi" w:hAnsiTheme="minorHAnsi" w:cstheme="minorHAnsi"/>
        </w:rPr>
        <w:t xml:space="preserve">.  </w:t>
      </w:r>
      <w:r w:rsidR="0031245C" w:rsidRPr="00A16E67">
        <w:rPr>
          <w:rFonts w:asciiTheme="minorHAnsi" w:hAnsiTheme="minorHAnsi" w:cstheme="minorHAnsi"/>
        </w:rPr>
        <w:t>TADS are course learning plans which list the accredited curricula the LLNP provider intends to deliver</w:t>
      </w:r>
      <w:r w:rsidR="001C48A0">
        <w:rPr>
          <w:rFonts w:asciiTheme="minorHAnsi" w:hAnsiTheme="minorHAnsi" w:cstheme="minorHAnsi"/>
        </w:rPr>
        <w:t xml:space="preserve">.  </w:t>
      </w:r>
      <w:r w:rsidR="0044098E">
        <w:rPr>
          <w:rFonts w:asciiTheme="minorHAnsi" w:hAnsiTheme="minorHAnsi" w:cstheme="minorHAnsi"/>
        </w:rPr>
        <w:t xml:space="preserve">Rather than just reviewing TADS at the commencement of the contract, it may be possible to </w:t>
      </w:r>
      <w:r w:rsidR="0031245C" w:rsidRPr="00A16E67">
        <w:rPr>
          <w:rFonts w:asciiTheme="minorHAnsi" w:hAnsiTheme="minorHAnsi" w:cstheme="minorHAnsi"/>
        </w:rPr>
        <w:t>expand the IV</w:t>
      </w:r>
      <w:r w:rsidR="00C138F4">
        <w:rPr>
          <w:rFonts w:asciiTheme="minorHAnsi" w:hAnsiTheme="minorHAnsi" w:cstheme="minorHAnsi"/>
        </w:rPr>
        <w:t xml:space="preserve"> provider</w:t>
      </w:r>
      <w:r w:rsidR="0031245C" w:rsidRPr="00A16E67">
        <w:rPr>
          <w:rFonts w:asciiTheme="minorHAnsi" w:hAnsiTheme="minorHAnsi" w:cstheme="minorHAnsi"/>
        </w:rPr>
        <w:t>’s role to</w:t>
      </w:r>
      <w:r w:rsidR="0044098E">
        <w:rPr>
          <w:rFonts w:asciiTheme="minorHAnsi" w:hAnsiTheme="minorHAnsi" w:cstheme="minorHAnsi"/>
        </w:rPr>
        <w:t xml:space="preserve"> i</w:t>
      </w:r>
      <w:r w:rsidR="0031245C" w:rsidRPr="00A16E67">
        <w:rPr>
          <w:rFonts w:asciiTheme="minorHAnsi" w:hAnsiTheme="minorHAnsi" w:cstheme="minorHAnsi"/>
        </w:rPr>
        <w:t>nclude reviewing TADS as a part of the file verification processes</w:t>
      </w:r>
      <w:r w:rsidR="006E29C0">
        <w:rPr>
          <w:rFonts w:asciiTheme="minorHAnsi" w:hAnsiTheme="minorHAnsi" w:cstheme="minorHAnsi"/>
        </w:rPr>
        <w:t xml:space="preserve"> throughout the life of the contract</w:t>
      </w:r>
      <w:r w:rsidR="0044098E">
        <w:rPr>
          <w:rFonts w:asciiTheme="minorHAnsi" w:hAnsiTheme="minorHAnsi" w:cstheme="minorHAnsi"/>
        </w:rPr>
        <w:t xml:space="preserve">.  This change would </w:t>
      </w:r>
      <w:r w:rsidR="0031245C" w:rsidRPr="00A16E67">
        <w:rPr>
          <w:rFonts w:asciiTheme="minorHAnsi" w:hAnsiTheme="minorHAnsi" w:cstheme="minorHAnsi"/>
        </w:rPr>
        <w:t xml:space="preserve">ensure curricula listed </w:t>
      </w:r>
      <w:r w:rsidR="0044098E">
        <w:rPr>
          <w:rFonts w:asciiTheme="minorHAnsi" w:hAnsiTheme="minorHAnsi" w:cstheme="minorHAnsi"/>
        </w:rPr>
        <w:t xml:space="preserve">in the TADS </w:t>
      </w:r>
      <w:r w:rsidR="0031245C" w:rsidRPr="00A16E67">
        <w:rPr>
          <w:rFonts w:asciiTheme="minorHAnsi" w:hAnsiTheme="minorHAnsi" w:cstheme="minorHAnsi"/>
        </w:rPr>
        <w:t>is appropriate to the services being deliver</w:t>
      </w:r>
      <w:r w:rsidR="00C80574">
        <w:rPr>
          <w:rFonts w:asciiTheme="minorHAnsi" w:hAnsiTheme="minorHAnsi" w:cstheme="minorHAnsi"/>
        </w:rPr>
        <w:t>ed</w:t>
      </w:r>
      <w:r w:rsidR="0031245C" w:rsidRPr="00A16E67">
        <w:rPr>
          <w:rFonts w:asciiTheme="minorHAnsi" w:hAnsiTheme="minorHAnsi" w:cstheme="minorHAnsi"/>
        </w:rPr>
        <w:t xml:space="preserve"> and also that the curricula is reflected in client work. </w:t>
      </w:r>
    </w:p>
    <w:p w14:paraId="59C0A7DB" w14:textId="77777777" w:rsidR="0031245C" w:rsidRPr="00B12E5A" w:rsidRDefault="0031245C" w:rsidP="0031245C">
      <w:pPr>
        <w:pStyle w:val="ListParagraph"/>
        <w:ind w:left="1440"/>
        <w:rPr>
          <w:rFonts w:asciiTheme="minorHAnsi" w:hAnsiTheme="minorHAnsi" w:cstheme="minorHAnsi"/>
        </w:rPr>
      </w:pPr>
    </w:p>
    <w:p w14:paraId="59C0A7DC" w14:textId="77777777" w:rsidR="001336BE" w:rsidRPr="00C54925" w:rsidRDefault="00D24B73" w:rsidP="00A16E67">
      <w:pPr>
        <w:rPr>
          <w:rFonts w:ascii="Century Gothic" w:hAnsi="Century Gothic"/>
          <w:color w:val="365F91" w:themeColor="accent1" w:themeShade="BF"/>
        </w:rPr>
      </w:pPr>
      <w:r w:rsidRPr="00D24B73">
        <w:rPr>
          <w:rFonts w:ascii="Century Gothic" w:hAnsi="Century Gothic" w:cstheme="minorHAnsi"/>
          <w:color w:val="365F91" w:themeColor="accent1" w:themeShade="BF"/>
        </w:rPr>
        <w:t>File verification activities</w:t>
      </w:r>
    </w:p>
    <w:p w14:paraId="59C0A7DD" w14:textId="77777777" w:rsidR="009876F9" w:rsidRDefault="0031245C" w:rsidP="00A16E67">
      <w:r>
        <w:t>LLNP providers have expressed concern</w:t>
      </w:r>
      <w:r w:rsidR="00BB0923">
        <w:t>s with the administrative load</w:t>
      </w:r>
      <w:r>
        <w:t xml:space="preserve"> involved in file verification activities. </w:t>
      </w:r>
      <w:r w:rsidR="009876F9">
        <w:t xml:space="preserve"> An alternative </w:t>
      </w:r>
      <w:r w:rsidR="00D730F1">
        <w:t>approach</w:t>
      </w:r>
      <w:r w:rsidR="009876F9">
        <w:t xml:space="preserve"> coul</w:t>
      </w:r>
      <w:r w:rsidR="00C80574">
        <w:t>d be</w:t>
      </w:r>
      <w:r w:rsidR="009876F9">
        <w:t xml:space="preserve"> </w:t>
      </w:r>
      <w:r w:rsidR="00D730F1">
        <w:t>to</w:t>
      </w:r>
      <w:r w:rsidR="009876F9">
        <w:t xml:space="preserve"> </w:t>
      </w:r>
      <w:r>
        <w:t>use technology</w:t>
      </w:r>
      <w:r w:rsidR="00C80574">
        <w:t>,</w:t>
      </w:r>
      <w:r>
        <w:t xml:space="preserve"> such as </w:t>
      </w:r>
      <w:r w:rsidR="009876F9">
        <w:t>video recording</w:t>
      </w:r>
      <w:r w:rsidR="00C80574">
        <w:t>,</w:t>
      </w:r>
      <w:r w:rsidR="009876F9">
        <w:t xml:space="preserve"> </w:t>
      </w:r>
      <w:r w:rsidR="00C80574">
        <w:t xml:space="preserve">for </w:t>
      </w:r>
      <w:r w:rsidR="009876F9">
        <w:t>any assessment task</w:t>
      </w:r>
      <w:r w:rsidR="001F6EF3">
        <w:t xml:space="preserve">.  </w:t>
      </w:r>
      <w:r w:rsidR="009876F9">
        <w:t>Other options include introducing observational reviews by the IV while the provider is undertaking assessments.</w:t>
      </w:r>
    </w:p>
    <w:p w14:paraId="59C0A7DE" w14:textId="77777777" w:rsidR="00BB3148" w:rsidRDefault="00BB3148" w:rsidP="00A16E67"/>
    <w:p w14:paraId="59C0A7DF" w14:textId="77777777" w:rsidR="00BB3148" w:rsidRDefault="00BB3148" w:rsidP="00BB3148">
      <w:pPr>
        <w:rPr>
          <w:rFonts w:asciiTheme="minorHAnsi" w:hAnsiTheme="minorHAnsi" w:cstheme="minorHAnsi"/>
        </w:rPr>
      </w:pPr>
      <w:r>
        <w:rPr>
          <w:rFonts w:asciiTheme="minorHAnsi" w:hAnsiTheme="minorHAnsi" w:cstheme="minorHAnsi"/>
        </w:rPr>
        <w:t xml:space="preserve">As mentioned earlier, </w:t>
      </w:r>
      <w:r w:rsidR="00D730F1">
        <w:rPr>
          <w:rFonts w:asciiTheme="minorHAnsi" w:hAnsiTheme="minorHAnsi" w:cstheme="minorHAnsi"/>
        </w:rPr>
        <w:t>another option being considered is removing the requirement for prior departmental approval for every work experience placement. If this option was adopted</w:t>
      </w:r>
      <w:r w:rsidR="00084013">
        <w:rPr>
          <w:rFonts w:asciiTheme="minorHAnsi" w:hAnsiTheme="minorHAnsi" w:cstheme="minorHAnsi"/>
        </w:rPr>
        <w:t>,</w:t>
      </w:r>
      <w:r w:rsidR="00D730F1">
        <w:rPr>
          <w:rFonts w:asciiTheme="minorHAnsi" w:hAnsiTheme="minorHAnsi" w:cstheme="minorHAnsi"/>
        </w:rPr>
        <w:t xml:space="preserve"> a related change could be to have the IV provider review each</w:t>
      </w:r>
      <w:r w:rsidR="00516255">
        <w:rPr>
          <w:rFonts w:asciiTheme="minorHAnsi" w:hAnsiTheme="minorHAnsi" w:cstheme="minorHAnsi"/>
        </w:rPr>
        <w:t xml:space="preserve"> client’s work experience outcome t</w:t>
      </w:r>
      <w:r>
        <w:rPr>
          <w:rFonts w:asciiTheme="minorHAnsi" w:hAnsiTheme="minorHAnsi" w:cstheme="minorHAnsi"/>
        </w:rPr>
        <w:t>o ensure that the learning outcomes are being appropriately linked with</w:t>
      </w:r>
      <w:r w:rsidR="00516255">
        <w:rPr>
          <w:rFonts w:asciiTheme="minorHAnsi" w:hAnsiTheme="minorHAnsi" w:cstheme="minorHAnsi"/>
        </w:rPr>
        <w:t xml:space="preserve"> the</w:t>
      </w:r>
      <w:r>
        <w:rPr>
          <w:rFonts w:asciiTheme="minorHAnsi" w:hAnsiTheme="minorHAnsi" w:cstheme="minorHAnsi"/>
        </w:rPr>
        <w:t xml:space="preserve"> work experience</w:t>
      </w:r>
      <w:r w:rsidR="00516255">
        <w:rPr>
          <w:rFonts w:asciiTheme="minorHAnsi" w:hAnsiTheme="minorHAnsi" w:cstheme="minorHAnsi"/>
        </w:rPr>
        <w:t xml:space="preserve"> placement.</w:t>
      </w:r>
      <w:r>
        <w:rPr>
          <w:rFonts w:asciiTheme="minorHAnsi" w:hAnsiTheme="minorHAnsi" w:cstheme="minorHAnsi"/>
        </w:rPr>
        <w:t xml:space="preserve"> </w:t>
      </w:r>
    </w:p>
    <w:p w14:paraId="59C0A7E0" w14:textId="77777777" w:rsidR="00BB3148" w:rsidRDefault="00BB3148" w:rsidP="00A16E67"/>
    <w:p w14:paraId="59C0A7E1" w14:textId="77777777" w:rsidR="0031245C" w:rsidRDefault="0031245C" w:rsidP="0031245C"/>
    <w:p w14:paraId="59C0A7E2" w14:textId="77777777" w:rsidR="00BB3148" w:rsidRDefault="00BB3148" w:rsidP="00A16E67">
      <w:pPr>
        <w:rPr>
          <w:rFonts w:ascii="Century Gothic" w:hAnsi="Century Gothic" w:cstheme="minorHAnsi"/>
          <w:color w:val="365F91" w:themeColor="accent1" w:themeShade="BF"/>
        </w:rPr>
      </w:pPr>
    </w:p>
    <w:p w14:paraId="59C0A7E3" w14:textId="77777777" w:rsidR="00BB3148" w:rsidRDefault="00BB3148" w:rsidP="00A16E67">
      <w:pPr>
        <w:rPr>
          <w:rFonts w:ascii="Century Gothic" w:hAnsi="Century Gothic" w:cstheme="minorHAnsi"/>
          <w:color w:val="365F91" w:themeColor="accent1" w:themeShade="BF"/>
        </w:rPr>
      </w:pPr>
    </w:p>
    <w:p w14:paraId="59C0A7E4" w14:textId="77777777" w:rsidR="001336BE" w:rsidRPr="00C54925" w:rsidRDefault="00D24B73" w:rsidP="00A16E67">
      <w:pPr>
        <w:rPr>
          <w:rFonts w:ascii="Century Gothic" w:hAnsi="Century Gothic" w:cstheme="minorHAnsi"/>
          <w:color w:val="365F91" w:themeColor="accent1" w:themeShade="BF"/>
        </w:rPr>
      </w:pPr>
      <w:r w:rsidRPr="00D24B73">
        <w:rPr>
          <w:rFonts w:ascii="Century Gothic" w:hAnsi="Century Gothic" w:cstheme="minorHAnsi"/>
          <w:color w:val="365F91" w:themeColor="accent1" w:themeShade="BF"/>
        </w:rPr>
        <w:t>Review of KPIs</w:t>
      </w:r>
    </w:p>
    <w:p w14:paraId="59C0A7E5" w14:textId="77777777" w:rsidR="00D31DF1" w:rsidRPr="00D31DF1" w:rsidRDefault="00D31DF1" w:rsidP="00D31DF1">
      <w:pPr>
        <w:rPr>
          <w:rFonts w:asciiTheme="minorHAnsi" w:hAnsiTheme="minorHAnsi" w:cstheme="minorHAnsi"/>
        </w:rPr>
      </w:pPr>
      <w:r w:rsidRPr="00D31DF1">
        <w:rPr>
          <w:rFonts w:asciiTheme="minorHAnsi" w:hAnsiTheme="minorHAnsi" w:cstheme="minorHAnsi"/>
        </w:rPr>
        <w:t>In reviewing the IV provider’s role, there may also be a need to review the existing IV KPIs (Chapter 8 – LLNP Guidel</w:t>
      </w:r>
      <w:r w:rsidR="00BB0923">
        <w:rPr>
          <w:rFonts w:asciiTheme="minorHAnsi" w:hAnsiTheme="minorHAnsi" w:cstheme="minorHAnsi"/>
        </w:rPr>
        <w:t>ines) to ensure they match the IV provider’s</w:t>
      </w:r>
      <w:r w:rsidRPr="00D31DF1">
        <w:rPr>
          <w:rFonts w:asciiTheme="minorHAnsi" w:hAnsiTheme="minorHAnsi" w:cstheme="minorHAnsi"/>
        </w:rPr>
        <w:t xml:space="preserve"> objective and revised deliverables (if applicable).</w:t>
      </w:r>
    </w:p>
    <w:p w14:paraId="59C0A7E6" w14:textId="77777777" w:rsidR="00D31DF1" w:rsidRPr="00D31DF1" w:rsidRDefault="00D31DF1" w:rsidP="00D31DF1">
      <w:pPr>
        <w:rPr>
          <w:rFonts w:asciiTheme="minorHAnsi" w:hAnsiTheme="minorHAnsi" w:cstheme="minorHAnsi"/>
        </w:rPr>
      </w:pPr>
    </w:p>
    <w:p w14:paraId="59C0A7E7" w14:textId="77777777" w:rsidR="00D31DF1" w:rsidRPr="00D31DF1" w:rsidRDefault="00D31DF1" w:rsidP="00D31DF1">
      <w:pPr>
        <w:rPr>
          <w:rFonts w:asciiTheme="minorHAnsi" w:hAnsiTheme="minorHAnsi" w:cstheme="minorHAnsi"/>
        </w:rPr>
      </w:pPr>
      <w:r w:rsidRPr="00D31DF1">
        <w:rPr>
          <w:rFonts w:asciiTheme="minorHAnsi" w:hAnsiTheme="minorHAnsi" w:cstheme="minorHAnsi"/>
        </w:rPr>
        <w:t xml:space="preserve">The Department would be interested in any considerations around the KPIs for the IV provider as part of this Discussion </w:t>
      </w:r>
      <w:r w:rsidR="00902009">
        <w:rPr>
          <w:rFonts w:asciiTheme="minorHAnsi" w:hAnsiTheme="minorHAnsi" w:cstheme="minorHAnsi"/>
        </w:rPr>
        <w:t>P</w:t>
      </w:r>
      <w:r w:rsidRPr="00D31DF1">
        <w:rPr>
          <w:rFonts w:asciiTheme="minorHAnsi" w:hAnsiTheme="minorHAnsi" w:cstheme="minorHAnsi"/>
        </w:rPr>
        <w:t>aper.</w:t>
      </w:r>
    </w:p>
    <w:p w14:paraId="59C0A7E8" w14:textId="77777777" w:rsidR="007071B8" w:rsidRDefault="007071B8">
      <w:pPr>
        <w:rPr>
          <w:rFonts w:asciiTheme="minorHAnsi" w:hAnsiTheme="minorHAnsi" w:cstheme="minorHAnsi"/>
        </w:rPr>
      </w:pPr>
    </w:p>
    <w:p w14:paraId="59C0A7E9" w14:textId="77777777" w:rsidR="00517546" w:rsidRPr="00FB536C" w:rsidRDefault="00517546" w:rsidP="00517546">
      <w:pPr>
        <w:pStyle w:val="ListParagraph"/>
        <w:spacing w:after="60"/>
        <w:ind w:left="0"/>
        <w:rPr>
          <w:b/>
        </w:rPr>
      </w:pPr>
      <w:r w:rsidRPr="00FB536C">
        <w:rPr>
          <w:b/>
        </w:rPr>
        <w:t>For consideration in your response:</w:t>
      </w:r>
    </w:p>
    <w:p w14:paraId="59C0A7EA" w14:textId="77777777" w:rsidR="007071B8" w:rsidRPr="00085464" w:rsidRDefault="00D730F1" w:rsidP="009A4A3E">
      <w:pPr>
        <w:pStyle w:val="ListParagraph"/>
        <w:numPr>
          <w:ilvl w:val="0"/>
          <w:numId w:val="18"/>
        </w:numPr>
        <w:ind w:left="709" w:hanging="709"/>
        <w:rPr>
          <w:i/>
          <w:sz w:val="20"/>
          <w:szCs w:val="20"/>
        </w:rPr>
      </w:pPr>
      <w:r w:rsidRPr="00085464">
        <w:rPr>
          <w:i/>
          <w:sz w:val="20"/>
          <w:szCs w:val="20"/>
        </w:rPr>
        <w:t>Should the IV provider have both auditing and professional development</w:t>
      </w:r>
      <w:r w:rsidR="004F55CA" w:rsidRPr="00085464">
        <w:rPr>
          <w:i/>
          <w:sz w:val="20"/>
          <w:szCs w:val="20"/>
        </w:rPr>
        <w:t xml:space="preserve"> roles</w:t>
      </w:r>
      <w:r w:rsidRPr="00085464">
        <w:rPr>
          <w:i/>
          <w:sz w:val="20"/>
          <w:szCs w:val="20"/>
        </w:rPr>
        <w:t xml:space="preserve">? </w:t>
      </w:r>
      <w:r w:rsidR="00094103" w:rsidRPr="00085464">
        <w:rPr>
          <w:i/>
          <w:sz w:val="20"/>
          <w:szCs w:val="20"/>
        </w:rPr>
        <w:t>Why/why not?</w:t>
      </w:r>
    </w:p>
    <w:p w14:paraId="59C0A7EB" w14:textId="77777777" w:rsidR="00517546" w:rsidRPr="00085464" w:rsidRDefault="00D730F1" w:rsidP="009A4A3E">
      <w:pPr>
        <w:pStyle w:val="ListParagraph"/>
        <w:numPr>
          <w:ilvl w:val="0"/>
          <w:numId w:val="18"/>
        </w:numPr>
        <w:ind w:left="709" w:hanging="709"/>
        <w:rPr>
          <w:i/>
          <w:sz w:val="20"/>
          <w:szCs w:val="20"/>
        </w:rPr>
      </w:pPr>
      <w:r w:rsidRPr="00085464">
        <w:rPr>
          <w:i/>
          <w:sz w:val="20"/>
          <w:szCs w:val="20"/>
        </w:rPr>
        <w:t xml:space="preserve">What </w:t>
      </w:r>
      <w:r w:rsidR="004E3AF8" w:rsidRPr="00085464">
        <w:rPr>
          <w:i/>
          <w:sz w:val="20"/>
          <w:szCs w:val="20"/>
        </w:rPr>
        <w:t>would be the benefits or disadvantages of splitting this role to two organisations?</w:t>
      </w:r>
    </w:p>
    <w:p w14:paraId="59C0A7EC" w14:textId="77777777" w:rsidR="007071B8" w:rsidRPr="00085464" w:rsidRDefault="00517546" w:rsidP="009A4A3E">
      <w:pPr>
        <w:pStyle w:val="ListParagraph"/>
        <w:numPr>
          <w:ilvl w:val="0"/>
          <w:numId w:val="18"/>
        </w:numPr>
        <w:ind w:left="709" w:hanging="709"/>
        <w:rPr>
          <w:i/>
          <w:sz w:val="20"/>
          <w:szCs w:val="20"/>
        </w:rPr>
      </w:pPr>
      <w:r w:rsidRPr="00085464">
        <w:rPr>
          <w:i/>
          <w:sz w:val="20"/>
          <w:szCs w:val="20"/>
        </w:rPr>
        <w:t xml:space="preserve">What do you believe would reduce the administrative </w:t>
      </w:r>
      <w:r w:rsidR="004E3AF8" w:rsidRPr="00085464">
        <w:rPr>
          <w:i/>
          <w:sz w:val="20"/>
          <w:szCs w:val="20"/>
        </w:rPr>
        <w:t xml:space="preserve">tasks associated with </w:t>
      </w:r>
      <w:r w:rsidRPr="00085464">
        <w:rPr>
          <w:i/>
          <w:sz w:val="20"/>
          <w:szCs w:val="20"/>
        </w:rPr>
        <w:t>the IV process for LLNP providers?</w:t>
      </w:r>
    </w:p>
    <w:p w14:paraId="59C0A7ED" w14:textId="77777777" w:rsidR="004F55CA" w:rsidRPr="00085464" w:rsidRDefault="004F55CA" w:rsidP="009A4A3E">
      <w:pPr>
        <w:pStyle w:val="ListParagraph"/>
        <w:numPr>
          <w:ilvl w:val="0"/>
          <w:numId w:val="18"/>
        </w:numPr>
        <w:ind w:left="709" w:hanging="709"/>
        <w:rPr>
          <w:i/>
          <w:sz w:val="20"/>
          <w:szCs w:val="20"/>
        </w:rPr>
      </w:pPr>
      <w:r w:rsidRPr="00085464">
        <w:rPr>
          <w:i/>
          <w:sz w:val="20"/>
          <w:szCs w:val="20"/>
        </w:rPr>
        <w:t>Do you think the IV provider should undertake observational reviews as part of an on-site visit?</w:t>
      </w:r>
    </w:p>
    <w:p w14:paraId="59C0A7EE" w14:textId="77777777" w:rsidR="004F55CA" w:rsidRPr="00085464" w:rsidRDefault="004F55CA" w:rsidP="009A4A3E">
      <w:pPr>
        <w:pStyle w:val="ListParagraph"/>
        <w:numPr>
          <w:ilvl w:val="0"/>
          <w:numId w:val="18"/>
        </w:numPr>
        <w:ind w:left="709" w:hanging="709"/>
        <w:rPr>
          <w:i/>
          <w:sz w:val="20"/>
          <w:szCs w:val="20"/>
        </w:rPr>
      </w:pPr>
      <w:r w:rsidRPr="00085464">
        <w:rPr>
          <w:i/>
          <w:sz w:val="20"/>
          <w:szCs w:val="20"/>
        </w:rPr>
        <w:t>Should the IV KPIs be reviewed?  If yes, which ones and why?</w:t>
      </w:r>
    </w:p>
    <w:p w14:paraId="59C0A7EF" w14:textId="77777777" w:rsidR="004F55CA" w:rsidRDefault="004F55CA" w:rsidP="004F55CA">
      <w:pPr>
        <w:pStyle w:val="ListParagraph"/>
        <w:ind w:left="360"/>
        <w:rPr>
          <w:rFonts w:asciiTheme="minorHAnsi" w:hAnsiTheme="minorHAnsi" w:cstheme="minorHAnsi"/>
          <w:i/>
          <w:sz w:val="20"/>
          <w:szCs w:val="20"/>
        </w:rPr>
      </w:pPr>
    </w:p>
    <w:p w14:paraId="59C0A7F0" w14:textId="77777777" w:rsidR="00517546" w:rsidRDefault="00517546" w:rsidP="00517546">
      <w:pPr>
        <w:pStyle w:val="ListParagraph"/>
        <w:ind w:left="360"/>
        <w:rPr>
          <w:i/>
          <w:sz w:val="20"/>
          <w:szCs w:val="20"/>
        </w:rPr>
      </w:pPr>
    </w:p>
    <w:p w14:paraId="59C0A7F1" w14:textId="77777777" w:rsidR="007071B8" w:rsidRDefault="007071B8">
      <w:pPr>
        <w:pStyle w:val="ListParagraph"/>
        <w:ind w:left="360"/>
        <w:rPr>
          <w:i/>
          <w:sz w:val="20"/>
          <w:szCs w:val="20"/>
        </w:rPr>
      </w:pPr>
    </w:p>
    <w:p w14:paraId="59C0A7F2" w14:textId="77777777" w:rsidR="006A082D" w:rsidRDefault="006A082D">
      <w:pPr>
        <w:rPr>
          <w:rFonts w:asciiTheme="minorHAnsi" w:hAnsiTheme="minorHAnsi" w:cstheme="minorHAnsi"/>
          <w:b/>
          <w:i/>
        </w:rPr>
      </w:pPr>
    </w:p>
    <w:p w14:paraId="59C0A7F3" w14:textId="77777777" w:rsidR="00791028" w:rsidRPr="00B6004E" w:rsidRDefault="00791028" w:rsidP="00791028">
      <w:pPr>
        <w:rPr>
          <w:rFonts w:asciiTheme="minorHAnsi" w:hAnsiTheme="minorHAnsi" w:cstheme="minorHAnsi"/>
          <w:b/>
        </w:rPr>
      </w:pPr>
    </w:p>
    <w:p w14:paraId="59C0A7F4" w14:textId="77777777" w:rsidR="007071B8" w:rsidRDefault="007071B8">
      <w:pPr>
        <w:rPr>
          <w:rFonts w:asciiTheme="minorHAnsi" w:hAnsiTheme="minorHAnsi" w:cstheme="minorHAnsi"/>
          <w:b/>
          <w:i/>
        </w:rPr>
      </w:pPr>
    </w:p>
    <w:p w14:paraId="59C0A7F5" w14:textId="77777777" w:rsidR="007071B8" w:rsidRDefault="00B160AF" w:rsidP="0075673C">
      <w:pPr>
        <w:pStyle w:val="Heading1"/>
        <w:spacing w:before="0"/>
        <w:rPr>
          <w:color w:val="7030A0"/>
        </w:rPr>
      </w:pPr>
      <w:r>
        <w:rPr>
          <w:rFonts w:asciiTheme="minorHAnsi" w:hAnsiTheme="minorHAnsi"/>
          <w:b/>
          <w:i/>
        </w:rPr>
        <w:br w:type="page"/>
      </w:r>
      <w:bookmarkStart w:id="26" w:name="_Toc330460477"/>
      <w:r w:rsidR="00D24B73" w:rsidRPr="00D24B73">
        <w:lastRenderedPageBreak/>
        <w:t>Appendix A – Summary of Questions</w:t>
      </w:r>
      <w:bookmarkEnd w:id="26"/>
    </w:p>
    <w:p w14:paraId="59C0A7F6" w14:textId="77777777" w:rsidR="002A32AB" w:rsidRDefault="002A32AB" w:rsidP="00F44359">
      <w:pPr>
        <w:rPr>
          <w:rFonts w:asciiTheme="minorHAnsi" w:hAnsiTheme="minorHAnsi" w:cstheme="minorHAnsi"/>
          <w:b/>
          <w:color w:val="365F91" w:themeColor="accent1" w:themeShade="BF"/>
          <w:sz w:val="28"/>
          <w:szCs w:val="28"/>
        </w:rPr>
      </w:pPr>
    </w:p>
    <w:p w14:paraId="59C0A7F7" w14:textId="77777777" w:rsidR="00A757E1" w:rsidRDefault="00A757E1" w:rsidP="009A4A3E">
      <w:pPr>
        <w:pStyle w:val="ListParagraph"/>
        <w:numPr>
          <w:ilvl w:val="0"/>
          <w:numId w:val="17"/>
        </w:numPr>
        <w:rPr>
          <w:rFonts w:asciiTheme="minorHAnsi" w:hAnsiTheme="minorHAnsi" w:cstheme="minorHAnsi"/>
          <w:b/>
          <w:color w:val="365F91" w:themeColor="accent1" w:themeShade="BF"/>
          <w:sz w:val="28"/>
          <w:szCs w:val="28"/>
        </w:rPr>
      </w:pPr>
      <w:r w:rsidRPr="005804A5">
        <w:rPr>
          <w:sz w:val="24"/>
          <w:szCs w:val="24"/>
        </w:rPr>
        <w:t>W</w:t>
      </w:r>
      <w:r>
        <w:rPr>
          <w:sz w:val="24"/>
          <w:szCs w:val="24"/>
        </w:rPr>
        <w:t>hat</w:t>
      </w:r>
      <w:r w:rsidRPr="005804A5">
        <w:rPr>
          <w:sz w:val="24"/>
          <w:szCs w:val="24"/>
        </w:rPr>
        <w:t xml:space="preserve"> do you consider</w:t>
      </w:r>
      <w:r>
        <w:rPr>
          <w:sz w:val="24"/>
          <w:szCs w:val="24"/>
        </w:rPr>
        <w:t xml:space="preserve"> to be</w:t>
      </w:r>
      <w:r w:rsidRPr="005804A5">
        <w:rPr>
          <w:sz w:val="24"/>
          <w:szCs w:val="24"/>
        </w:rPr>
        <w:t xml:space="preserve"> a reasonable period of time to rectify any performance issues before another provider on the panel is called on to commence LLNP service delivery?</w:t>
      </w:r>
    </w:p>
    <w:p w14:paraId="59C0A7F8" w14:textId="77777777" w:rsidR="00A757E1" w:rsidRDefault="00A757E1" w:rsidP="00A757E1">
      <w:pPr>
        <w:rPr>
          <w:sz w:val="24"/>
          <w:szCs w:val="24"/>
        </w:rPr>
      </w:pPr>
    </w:p>
    <w:p w14:paraId="59C0A7F9" w14:textId="77777777" w:rsidR="00A757E1" w:rsidRDefault="00A757E1" w:rsidP="009A4A3E">
      <w:pPr>
        <w:pStyle w:val="ListParagraph"/>
        <w:numPr>
          <w:ilvl w:val="0"/>
          <w:numId w:val="17"/>
        </w:numPr>
        <w:rPr>
          <w:sz w:val="24"/>
          <w:szCs w:val="24"/>
        </w:rPr>
      </w:pPr>
      <w:r w:rsidRPr="00D24B73">
        <w:rPr>
          <w:sz w:val="24"/>
          <w:szCs w:val="24"/>
        </w:rPr>
        <w:t>What do you consider to be a reasonable timeframe to commence LLNP service delivery if you are called on from the panel?</w:t>
      </w:r>
    </w:p>
    <w:p w14:paraId="59C0A7FA" w14:textId="77777777" w:rsidR="00A757E1" w:rsidRDefault="00A757E1" w:rsidP="00A757E1">
      <w:pPr>
        <w:pStyle w:val="ListParagraph"/>
        <w:ind w:left="360"/>
        <w:rPr>
          <w:sz w:val="24"/>
          <w:szCs w:val="24"/>
        </w:rPr>
      </w:pPr>
    </w:p>
    <w:p w14:paraId="59C0A7FB" w14:textId="77777777" w:rsidR="00A757E1" w:rsidRDefault="00A757E1" w:rsidP="009A4A3E">
      <w:pPr>
        <w:pStyle w:val="ListParagraph"/>
        <w:numPr>
          <w:ilvl w:val="0"/>
          <w:numId w:val="17"/>
        </w:numPr>
        <w:rPr>
          <w:sz w:val="24"/>
          <w:szCs w:val="24"/>
        </w:rPr>
      </w:pPr>
      <w:r>
        <w:rPr>
          <w:sz w:val="24"/>
          <w:szCs w:val="24"/>
        </w:rPr>
        <w:t>Do you consider the current LLNP qualification requirements to be too rigid? Why/why not?</w:t>
      </w:r>
    </w:p>
    <w:p w14:paraId="59C0A7FC" w14:textId="77777777" w:rsidR="00A757E1" w:rsidRDefault="00A757E1" w:rsidP="00A757E1">
      <w:pPr>
        <w:pStyle w:val="ListParagraph"/>
        <w:ind w:left="360"/>
        <w:rPr>
          <w:sz w:val="24"/>
          <w:szCs w:val="24"/>
        </w:rPr>
      </w:pPr>
    </w:p>
    <w:p w14:paraId="59C0A7FD" w14:textId="77777777" w:rsidR="00A757E1" w:rsidRDefault="00A757E1" w:rsidP="009A4A3E">
      <w:pPr>
        <w:pStyle w:val="ListParagraph"/>
        <w:numPr>
          <w:ilvl w:val="0"/>
          <w:numId w:val="17"/>
        </w:numPr>
        <w:rPr>
          <w:sz w:val="24"/>
          <w:szCs w:val="24"/>
        </w:rPr>
      </w:pPr>
      <w:r>
        <w:rPr>
          <w:sz w:val="24"/>
          <w:szCs w:val="24"/>
        </w:rPr>
        <w:t>If so, what do you think the LLNP qualification requirements should be?</w:t>
      </w:r>
    </w:p>
    <w:p w14:paraId="59C0A7FE" w14:textId="77777777" w:rsidR="00A757E1" w:rsidRDefault="00A757E1" w:rsidP="00A757E1">
      <w:pPr>
        <w:pStyle w:val="ListParagraph"/>
        <w:ind w:left="360"/>
        <w:rPr>
          <w:sz w:val="24"/>
          <w:szCs w:val="24"/>
        </w:rPr>
      </w:pPr>
    </w:p>
    <w:p w14:paraId="59C0A7FF" w14:textId="77777777" w:rsidR="00A757E1" w:rsidRDefault="00A757E1" w:rsidP="009A4A3E">
      <w:pPr>
        <w:pStyle w:val="ListParagraph"/>
        <w:numPr>
          <w:ilvl w:val="0"/>
          <w:numId w:val="17"/>
        </w:numPr>
        <w:rPr>
          <w:sz w:val="24"/>
          <w:szCs w:val="24"/>
        </w:rPr>
      </w:pPr>
      <w:r w:rsidRPr="00D24B73">
        <w:rPr>
          <w:sz w:val="24"/>
          <w:szCs w:val="24"/>
        </w:rPr>
        <w:t>What impact do you think the removal of specific CT and AVOC will have on the outcomes to the program and quality of service delivery?</w:t>
      </w:r>
    </w:p>
    <w:p w14:paraId="59C0A800" w14:textId="77777777" w:rsidR="00A757E1" w:rsidRDefault="00A757E1" w:rsidP="00A757E1">
      <w:pPr>
        <w:pStyle w:val="ListParagraph"/>
        <w:ind w:left="360"/>
        <w:rPr>
          <w:sz w:val="24"/>
          <w:szCs w:val="24"/>
        </w:rPr>
      </w:pPr>
    </w:p>
    <w:p w14:paraId="59C0A801" w14:textId="77777777" w:rsidR="00A757E1" w:rsidRDefault="00A757E1" w:rsidP="009A4A3E">
      <w:pPr>
        <w:pStyle w:val="ListParagraph"/>
        <w:numPr>
          <w:ilvl w:val="0"/>
          <w:numId w:val="17"/>
        </w:numPr>
        <w:rPr>
          <w:sz w:val="24"/>
          <w:szCs w:val="24"/>
        </w:rPr>
      </w:pPr>
      <w:r w:rsidRPr="00CB0447">
        <w:rPr>
          <w:sz w:val="24"/>
          <w:szCs w:val="24"/>
        </w:rPr>
        <w:t>Are there any other issues relating to CT</w:t>
      </w:r>
      <w:r>
        <w:rPr>
          <w:sz w:val="24"/>
          <w:szCs w:val="24"/>
        </w:rPr>
        <w:t xml:space="preserve"> and/or </w:t>
      </w:r>
      <w:r w:rsidRPr="00CB0447">
        <w:rPr>
          <w:sz w:val="24"/>
          <w:szCs w:val="24"/>
        </w:rPr>
        <w:t>AVOC the Government should take into consideration?</w:t>
      </w:r>
    </w:p>
    <w:p w14:paraId="59C0A802" w14:textId="77777777" w:rsidR="00A757E1" w:rsidRDefault="00A757E1" w:rsidP="00A757E1">
      <w:pPr>
        <w:pStyle w:val="ListParagraph"/>
        <w:ind w:left="360"/>
        <w:rPr>
          <w:sz w:val="24"/>
          <w:szCs w:val="24"/>
        </w:rPr>
      </w:pPr>
    </w:p>
    <w:p w14:paraId="59C0A803" w14:textId="77777777" w:rsidR="00A757E1" w:rsidRDefault="00A757E1" w:rsidP="009A4A3E">
      <w:pPr>
        <w:pStyle w:val="ListParagraph"/>
        <w:numPr>
          <w:ilvl w:val="0"/>
          <w:numId w:val="17"/>
        </w:numPr>
        <w:rPr>
          <w:sz w:val="24"/>
          <w:szCs w:val="24"/>
        </w:rPr>
      </w:pPr>
      <w:r w:rsidRPr="005804A5">
        <w:rPr>
          <w:sz w:val="24"/>
          <w:szCs w:val="24"/>
        </w:rPr>
        <w:t xml:space="preserve">What would you consider to be a </w:t>
      </w:r>
      <w:r>
        <w:rPr>
          <w:sz w:val="24"/>
          <w:szCs w:val="24"/>
        </w:rPr>
        <w:t>balanced approach to monitoring work experience placements?</w:t>
      </w:r>
    </w:p>
    <w:p w14:paraId="59C0A804" w14:textId="77777777" w:rsidR="00A757E1" w:rsidRDefault="00A757E1" w:rsidP="00A757E1">
      <w:pPr>
        <w:pStyle w:val="ListParagraph"/>
        <w:ind w:left="360"/>
        <w:rPr>
          <w:sz w:val="24"/>
          <w:szCs w:val="24"/>
        </w:rPr>
      </w:pPr>
    </w:p>
    <w:p w14:paraId="59C0A805" w14:textId="77777777" w:rsidR="00A757E1" w:rsidRPr="008A7E80" w:rsidRDefault="00A757E1" w:rsidP="009A4A3E">
      <w:pPr>
        <w:pStyle w:val="ListParagraph"/>
        <w:numPr>
          <w:ilvl w:val="0"/>
          <w:numId w:val="17"/>
        </w:numPr>
        <w:rPr>
          <w:sz w:val="24"/>
          <w:szCs w:val="24"/>
        </w:rPr>
      </w:pPr>
      <w:r>
        <w:rPr>
          <w:sz w:val="24"/>
          <w:szCs w:val="24"/>
        </w:rPr>
        <w:t>What would be the impact of removing the requirement for departmental approval for work experience activities?</w:t>
      </w:r>
    </w:p>
    <w:p w14:paraId="59C0A806" w14:textId="77777777" w:rsidR="00A757E1" w:rsidRDefault="00A757E1" w:rsidP="00A757E1">
      <w:pPr>
        <w:pStyle w:val="ListParagraph"/>
        <w:ind w:left="360"/>
        <w:rPr>
          <w:sz w:val="24"/>
          <w:szCs w:val="24"/>
        </w:rPr>
      </w:pPr>
    </w:p>
    <w:p w14:paraId="59C0A807" w14:textId="77777777" w:rsidR="00A757E1" w:rsidRPr="00CB0447" w:rsidRDefault="00A757E1" w:rsidP="009A4A3E">
      <w:pPr>
        <w:pStyle w:val="ListParagraph"/>
        <w:numPr>
          <w:ilvl w:val="0"/>
          <w:numId w:val="17"/>
        </w:numPr>
        <w:rPr>
          <w:b/>
          <w:bCs/>
          <w:sz w:val="24"/>
          <w:szCs w:val="24"/>
        </w:rPr>
      </w:pPr>
      <w:r w:rsidRPr="005804A5">
        <w:rPr>
          <w:sz w:val="24"/>
          <w:szCs w:val="24"/>
        </w:rPr>
        <w:t xml:space="preserve">What would </w:t>
      </w:r>
      <w:r>
        <w:rPr>
          <w:sz w:val="24"/>
          <w:szCs w:val="24"/>
        </w:rPr>
        <w:t>assist</w:t>
      </w:r>
      <w:r w:rsidRPr="005804A5">
        <w:rPr>
          <w:sz w:val="24"/>
          <w:szCs w:val="24"/>
        </w:rPr>
        <w:t xml:space="preserve"> you to make work experi</w:t>
      </w:r>
      <w:r>
        <w:rPr>
          <w:sz w:val="24"/>
          <w:szCs w:val="24"/>
        </w:rPr>
        <w:t>ence placements a part of your Standard T</w:t>
      </w:r>
      <w:r w:rsidRPr="005804A5">
        <w:rPr>
          <w:sz w:val="24"/>
          <w:szCs w:val="24"/>
        </w:rPr>
        <w:t>raining?</w:t>
      </w:r>
    </w:p>
    <w:p w14:paraId="59C0A808" w14:textId="77777777" w:rsidR="00A757E1" w:rsidRDefault="00A757E1" w:rsidP="00A757E1">
      <w:pPr>
        <w:pStyle w:val="ListParagraph"/>
        <w:ind w:left="360"/>
        <w:rPr>
          <w:b/>
          <w:bCs/>
          <w:sz w:val="24"/>
          <w:szCs w:val="24"/>
        </w:rPr>
      </w:pPr>
    </w:p>
    <w:p w14:paraId="59C0A809" w14:textId="77777777" w:rsidR="00A757E1" w:rsidRDefault="00A757E1" w:rsidP="009A4A3E">
      <w:pPr>
        <w:pStyle w:val="ListParagraph"/>
        <w:numPr>
          <w:ilvl w:val="0"/>
          <w:numId w:val="17"/>
        </w:numPr>
        <w:rPr>
          <w:sz w:val="24"/>
          <w:szCs w:val="24"/>
        </w:rPr>
      </w:pPr>
      <w:r w:rsidRPr="005804A5">
        <w:rPr>
          <w:sz w:val="24"/>
          <w:szCs w:val="24"/>
        </w:rPr>
        <w:t>Do you think that extending the period in which to complete a PTA will assist in retaining clients? Why/why not?</w:t>
      </w:r>
    </w:p>
    <w:p w14:paraId="59C0A80A" w14:textId="77777777" w:rsidR="00A757E1" w:rsidRDefault="00A757E1" w:rsidP="00A757E1">
      <w:pPr>
        <w:pStyle w:val="ListParagraph"/>
        <w:ind w:left="360"/>
        <w:rPr>
          <w:sz w:val="24"/>
          <w:szCs w:val="24"/>
        </w:rPr>
      </w:pPr>
    </w:p>
    <w:p w14:paraId="59C0A80B" w14:textId="77777777" w:rsidR="00A757E1" w:rsidRDefault="00A757E1" w:rsidP="009A4A3E">
      <w:pPr>
        <w:pStyle w:val="ListParagraph"/>
        <w:numPr>
          <w:ilvl w:val="0"/>
          <w:numId w:val="17"/>
        </w:numPr>
        <w:rPr>
          <w:sz w:val="24"/>
          <w:szCs w:val="24"/>
        </w:rPr>
      </w:pPr>
      <w:r w:rsidRPr="005804A5">
        <w:rPr>
          <w:sz w:val="24"/>
          <w:szCs w:val="24"/>
        </w:rPr>
        <w:t xml:space="preserve">What factors/ triggers are used to determine </w:t>
      </w:r>
      <w:r>
        <w:rPr>
          <w:sz w:val="24"/>
          <w:szCs w:val="24"/>
        </w:rPr>
        <w:t>a job seeker’s suitability for training</w:t>
      </w:r>
      <w:r w:rsidRPr="005804A5">
        <w:rPr>
          <w:sz w:val="24"/>
          <w:szCs w:val="24"/>
        </w:rPr>
        <w:t xml:space="preserve">? </w:t>
      </w:r>
    </w:p>
    <w:p w14:paraId="59C0A80C" w14:textId="77777777" w:rsidR="00A757E1" w:rsidRDefault="00A757E1" w:rsidP="00A757E1">
      <w:pPr>
        <w:pStyle w:val="ListParagraph"/>
        <w:ind w:left="360"/>
        <w:rPr>
          <w:sz w:val="24"/>
          <w:szCs w:val="24"/>
        </w:rPr>
      </w:pPr>
    </w:p>
    <w:p w14:paraId="59C0A80D" w14:textId="77777777" w:rsidR="00A757E1" w:rsidRDefault="00A757E1" w:rsidP="009A4A3E">
      <w:pPr>
        <w:pStyle w:val="ListParagraph"/>
        <w:numPr>
          <w:ilvl w:val="0"/>
          <w:numId w:val="17"/>
        </w:numPr>
        <w:rPr>
          <w:sz w:val="24"/>
          <w:szCs w:val="24"/>
        </w:rPr>
      </w:pPr>
      <w:r w:rsidRPr="00D24B73">
        <w:rPr>
          <w:sz w:val="24"/>
          <w:szCs w:val="24"/>
        </w:rPr>
        <w:t>What do you consider, in the event 200 hour blocks are to be removed, to be sufficient assessment points (for example, every 200 hours, 400 hours) for clients progressing in the program and why?</w:t>
      </w:r>
    </w:p>
    <w:p w14:paraId="59C0A80E" w14:textId="77777777" w:rsidR="00A757E1" w:rsidRPr="00802667" w:rsidRDefault="00A757E1" w:rsidP="00A757E1">
      <w:pPr>
        <w:pStyle w:val="ListParagraph"/>
        <w:ind w:left="360"/>
        <w:rPr>
          <w:sz w:val="24"/>
          <w:szCs w:val="24"/>
        </w:rPr>
      </w:pPr>
    </w:p>
    <w:p w14:paraId="59C0A80F" w14:textId="77777777" w:rsidR="00A757E1" w:rsidRPr="00802667" w:rsidRDefault="00A757E1" w:rsidP="009A4A3E">
      <w:pPr>
        <w:pStyle w:val="ListParagraph"/>
        <w:numPr>
          <w:ilvl w:val="0"/>
          <w:numId w:val="17"/>
        </w:numPr>
        <w:rPr>
          <w:b/>
          <w:sz w:val="24"/>
          <w:szCs w:val="24"/>
        </w:rPr>
      </w:pPr>
      <w:r w:rsidRPr="00D24B73">
        <w:rPr>
          <w:sz w:val="24"/>
          <w:szCs w:val="24"/>
        </w:rPr>
        <w:t>How could the NBN be used to improve LLN delivery?</w:t>
      </w:r>
    </w:p>
    <w:p w14:paraId="59C0A810" w14:textId="77777777" w:rsidR="00A757E1" w:rsidRPr="00A436A2" w:rsidRDefault="00A757E1" w:rsidP="00A757E1">
      <w:pPr>
        <w:pStyle w:val="ListParagraph"/>
        <w:ind w:left="360"/>
        <w:rPr>
          <w:b/>
          <w:sz w:val="24"/>
          <w:szCs w:val="24"/>
        </w:rPr>
      </w:pPr>
    </w:p>
    <w:p w14:paraId="59C0A811" w14:textId="77777777" w:rsidR="00A757E1" w:rsidRPr="00A436A2" w:rsidRDefault="00A757E1" w:rsidP="009A4A3E">
      <w:pPr>
        <w:pStyle w:val="ListParagraph"/>
        <w:numPr>
          <w:ilvl w:val="0"/>
          <w:numId w:val="17"/>
        </w:numPr>
        <w:rPr>
          <w:b/>
          <w:sz w:val="24"/>
          <w:szCs w:val="24"/>
        </w:rPr>
      </w:pPr>
      <w:r>
        <w:rPr>
          <w:sz w:val="24"/>
          <w:szCs w:val="24"/>
        </w:rPr>
        <w:t>What are the pros and cons to changing LLNP geographic boundaries to align with ESA boundaries?</w:t>
      </w:r>
    </w:p>
    <w:p w14:paraId="59C0A812" w14:textId="77777777" w:rsidR="00A757E1" w:rsidRPr="00A436A2" w:rsidRDefault="00A757E1" w:rsidP="00A757E1">
      <w:pPr>
        <w:pStyle w:val="ListParagraph"/>
        <w:ind w:left="360"/>
        <w:rPr>
          <w:b/>
          <w:sz w:val="24"/>
          <w:szCs w:val="24"/>
        </w:rPr>
      </w:pPr>
    </w:p>
    <w:p w14:paraId="59C0A813" w14:textId="77777777" w:rsidR="00A757E1" w:rsidRDefault="00A757E1" w:rsidP="009A4A3E">
      <w:pPr>
        <w:pStyle w:val="ListParagraph"/>
        <w:numPr>
          <w:ilvl w:val="0"/>
          <w:numId w:val="17"/>
        </w:numPr>
        <w:rPr>
          <w:sz w:val="24"/>
          <w:szCs w:val="24"/>
        </w:rPr>
      </w:pPr>
      <w:r w:rsidRPr="005804A5">
        <w:rPr>
          <w:sz w:val="24"/>
          <w:szCs w:val="24"/>
        </w:rPr>
        <w:t>Where should site address details be recorded?</w:t>
      </w:r>
    </w:p>
    <w:p w14:paraId="59C0A814" w14:textId="77777777" w:rsidR="00A757E1" w:rsidRDefault="00A757E1" w:rsidP="00A757E1">
      <w:pPr>
        <w:pStyle w:val="ListParagraph"/>
        <w:ind w:left="360"/>
        <w:rPr>
          <w:b/>
          <w:sz w:val="24"/>
          <w:szCs w:val="24"/>
        </w:rPr>
      </w:pPr>
    </w:p>
    <w:p w14:paraId="59C0A815" w14:textId="77777777" w:rsidR="00A757E1" w:rsidRPr="00CB0447" w:rsidRDefault="00A757E1" w:rsidP="009A4A3E">
      <w:pPr>
        <w:pStyle w:val="ListParagraph"/>
        <w:numPr>
          <w:ilvl w:val="0"/>
          <w:numId w:val="17"/>
        </w:numPr>
        <w:rPr>
          <w:b/>
          <w:sz w:val="24"/>
          <w:szCs w:val="24"/>
        </w:rPr>
      </w:pPr>
      <w:r w:rsidRPr="005804A5">
        <w:rPr>
          <w:sz w:val="24"/>
          <w:szCs w:val="24"/>
        </w:rPr>
        <w:lastRenderedPageBreak/>
        <w:t>What is an acceptable period of time for LLNP providers to forward address details?</w:t>
      </w:r>
    </w:p>
    <w:p w14:paraId="59C0A816" w14:textId="77777777" w:rsidR="00A757E1" w:rsidRDefault="00A757E1" w:rsidP="00A757E1">
      <w:pPr>
        <w:pStyle w:val="ListParagraph"/>
        <w:ind w:left="360"/>
        <w:rPr>
          <w:sz w:val="24"/>
          <w:szCs w:val="24"/>
        </w:rPr>
      </w:pPr>
    </w:p>
    <w:p w14:paraId="59C0A817" w14:textId="77777777" w:rsidR="00A757E1" w:rsidRDefault="00A757E1" w:rsidP="009A4A3E">
      <w:pPr>
        <w:pStyle w:val="ListParagraph"/>
        <w:numPr>
          <w:ilvl w:val="0"/>
          <w:numId w:val="17"/>
        </w:numPr>
        <w:rPr>
          <w:sz w:val="24"/>
          <w:szCs w:val="24"/>
        </w:rPr>
      </w:pPr>
      <w:r>
        <w:rPr>
          <w:sz w:val="24"/>
          <w:szCs w:val="24"/>
        </w:rPr>
        <w:t>Which of the KPI</w:t>
      </w:r>
      <w:r w:rsidRPr="005804A5">
        <w:rPr>
          <w:sz w:val="24"/>
          <w:szCs w:val="24"/>
        </w:rPr>
        <w:t>s would you change, why and how?</w:t>
      </w:r>
    </w:p>
    <w:p w14:paraId="59C0A818" w14:textId="77777777" w:rsidR="00A757E1" w:rsidRDefault="00A757E1" w:rsidP="00A757E1">
      <w:pPr>
        <w:pStyle w:val="ListParagraph"/>
        <w:ind w:left="360"/>
        <w:rPr>
          <w:sz w:val="24"/>
          <w:szCs w:val="24"/>
        </w:rPr>
      </w:pPr>
    </w:p>
    <w:p w14:paraId="59C0A819" w14:textId="77777777" w:rsidR="00A757E1" w:rsidRPr="00643651" w:rsidRDefault="00A757E1" w:rsidP="009A4A3E">
      <w:pPr>
        <w:pStyle w:val="ListParagraph"/>
        <w:numPr>
          <w:ilvl w:val="0"/>
          <w:numId w:val="17"/>
        </w:numPr>
        <w:rPr>
          <w:sz w:val="24"/>
          <w:szCs w:val="24"/>
        </w:rPr>
      </w:pPr>
      <w:r w:rsidRPr="00643651">
        <w:rPr>
          <w:sz w:val="24"/>
          <w:szCs w:val="24"/>
        </w:rPr>
        <w:t>What would be the impact on clients if, following a review of the KPIs, there was a decreased focus on the retention KPI?</w:t>
      </w:r>
    </w:p>
    <w:p w14:paraId="59C0A81A" w14:textId="77777777" w:rsidR="00A757E1" w:rsidRDefault="00A757E1" w:rsidP="00A757E1">
      <w:pPr>
        <w:pStyle w:val="ListParagraph"/>
        <w:ind w:left="360"/>
        <w:rPr>
          <w:sz w:val="24"/>
          <w:szCs w:val="24"/>
        </w:rPr>
      </w:pPr>
    </w:p>
    <w:p w14:paraId="59C0A81B" w14:textId="77777777" w:rsidR="00A757E1" w:rsidRDefault="00A757E1" w:rsidP="009A4A3E">
      <w:pPr>
        <w:pStyle w:val="ListParagraph"/>
        <w:numPr>
          <w:ilvl w:val="0"/>
          <w:numId w:val="17"/>
        </w:numPr>
        <w:rPr>
          <w:sz w:val="24"/>
          <w:szCs w:val="24"/>
        </w:rPr>
      </w:pPr>
      <w:r>
        <w:rPr>
          <w:sz w:val="24"/>
          <w:szCs w:val="24"/>
        </w:rPr>
        <w:t>What are the factors the Department should take into consideration as a performance measure?</w:t>
      </w:r>
    </w:p>
    <w:p w14:paraId="59C0A81C" w14:textId="77777777" w:rsidR="00A757E1" w:rsidRDefault="00A757E1" w:rsidP="00A757E1">
      <w:pPr>
        <w:pStyle w:val="ListParagraph"/>
        <w:ind w:left="360"/>
        <w:rPr>
          <w:sz w:val="24"/>
          <w:szCs w:val="24"/>
        </w:rPr>
      </w:pPr>
    </w:p>
    <w:p w14:paraId="59C0A81D" w14:textId="77777777" w:rsidR="00A757E1" w:rsidRPr="00EE3AC9" w:rsidRDefault="00A757E1" w:rsidP="009A4A3E">
      <w:pPr>
        <w:pStyle w:val="ListParagraph"/>
        <w:numPr>
          <w:ilvl w:val="0"/>
          <w:numId w:val="17"/>
        </w:numPr>
        <w:rPr>
          <w:sz w:val="24"/>
          <w:szCs w:val="24"/>
        </w:rPr>
      </w:pPr>
      <w:r w:rsidRPr="00EE3AC9">
        <w:rPr>
          <w:sz w:val="24"/>
          <w:szCs w:val="24"/>
        </w:rPr>
        <w:t>Do you think the introduction of incentive payments would assist with engagement and outcomes in the program?</w:t>
      </w:r>
    </w:p>
    <w:p w14:paraId="59C0A81E" w14:textId="77777777" w:rsidR="00A757E1" w:rsidRDefault="00A757E1" w:rsidP="00A757E1">
      <w:pPr>
        <w:pStyle w:val="ListParagraph"/>
        <w:ind w:left="360"/>
        <w:rPr>
          <w:sz w:val="24"/>
          <w:szCs w:val="24"/>
        </w:rPr>
      </w:pPr>
    </w:p>
    <w:p w14:paraId="59C0A81F" w14:textId="77777777" w:rsidR="00A757E1" w:rsidRDefault="00A757E1" w:rsidP="009A4A3E">
      <w:pPr>
        <w:pStyle w:val="ListParagraph"/>
        <w:numPr>
          <w:ilvl w:val="0"/>
          <w:numId w:val="17"/>
        </w:numPr>
        <w:rPr>
          <w:sz w:val="24"/>
          <w:szCs w:val="24"/>
        </w:rPr>
      </w:pPr>
      <w:r>
        <w:rPr>
          <w:sz w:val="24"/>
          <w:szCs w:val="24"/>
        </w:rPr>
        <w:t>What do you think the impact of removing or revising milestone payments would be?</w:t>
      </w:r>
    </w:p>
    <w:p w14:paraId="59C0A820" w14:textId="77777777" w:rsidR="00A757E1" w:rsidRDefault="00A757E1" w:rsidP="00A757E1">
      <w:pPr>
        <w:pStyle w:val="ListParagraph"/>
        <w:ind w:left="360"/>
        <w:rPr>
          <w:sz w:val="24"/>
          <w:szCs w:val="24"/>
        </w:rPr>
      </w:pPr>
    </w:p>
    <w:p w14:paraId="59C0A821" w14:textId="77777777" w:rsidR="00A757E1" w:rsidRDefault="00A757E1" w:rsidP="009A4A3E">
      <w:pPr>
        <w:pStyle w:val="ListParagraph"/>
        <w:numPr>
          <w:ilvl w:val="0"/>
          <w:numId w:val="17"/>
        </w:numPr>
        <w:rPr>
          <w:sz w:val="24"/>
          <w:szCs w:val="24"/>
        </w:rPr>
      </w:pPr>
      <w:r>
        <w:rPr>
          <w:sz w:val="24"/>
          <w:szCs w:val="24"/>
        </w:rPr>
        <w:t>What would be the impact of moving to fixed pricing arrangement for mainstream and remote providers in the next contract?</w:t>
      </w:r>
    </w:p>
    <w:p w14:paraId="59C0A822" w14:textId="77777777" w:rsidR="00A757E1" w:rsidRDefault="00A757E1" w:rsidP="00A757E1">
      <w:pPr>
        <w:pStyle w:val="ListParagraph"/>
        <w:ind w:left="360"/>
        <w:rPr>
          <w:sz w:val="24"/>
          <w:szCs w:val="24"/>
        </w:rPr>
      </w:pPr>
    </w:p>
    <w:p w14:paraId="59C0A823" w14:textId="77777777" w:rsidR="00A757E1" w:rsidRDefault="00A757E1" w:rsidP="009A4A3E">
      <w:pPr>
        <w:pStyle w:val="ListParagraph"/>
        <w:numPr>
          <w:ilvl w:val="0"/>
          <w:numId w:val="17"/>
        </w:numPr>
        <w:rPr>
          <w:sz w:val="24"/>
          <w:szCs w:val="24"/>
        </w:rPr>
      </w:pPr>
      <w:r w:rsidRPr="00D9723D">
        <w:rPr>
          <w:sz w:val="24"/>
          <w:szCs w:val="24"/>
        </w:rPr>
        <w:t>Do you think the current program name, the Language, Literacy and Numeracy Program impedes client engagement?</w:t>
      </w:r>
    </w:p>
    <w:p w14:paraId="59C0A824" w14:textId="77777777" w:rsidR="00C43179" w:rsidRDefault="00C43179" w:rsidP="00C43179">
      <w:pPr>
        <w:pStyle w:val="ListParagraph"/>
        <w:ind w:left="360"/>
        <w:rPr>
          <w:sz w:val="24"/>
          <w:szCs w:val="24"/>
        </w:rPr>
      </w:pPr>
    </w:p>
    <w:p w14:paraId="59C0A825" w14:textId="77777777" w:rsidR="00C43179" w:rsidRPr="00C43179" w:rsidRDefault="00C43179" w:rsidP="00C43179">
      <w:pPr>
        <w:pStyle w:val="ListParagraph"/>
        <w:numPr>
          <w:ilvl w:val="0"/>
          <w:numId w:val="17"/>
        </w:numPr>
        <w:rPr>
          <w:sz w:val="24"/>
          <w:szCs w:val="24"/>
        </w:rPr>
      </w:pPr>
      <w:r w:rsidRPr="00C43179">
        <w:rPr>
          <w:sz w:val="24"/>
          <w:szCs w:val="24"/>
        </w:rPr>
        <w:t>Do you think the introduction of Indigenous strategies or Action plans will assist LLNP providers increase engagement of Indigenous people in the program?</w:t>
      </w:r>
    </w:p>
    <w:p w14:paraId="59C0A826" w14:textId="77777777" w:rsidR="00A757E1" w:rsidRPr="00D213C8" w:rsidRDefault="00A757E1" w:rsidP="00A757E1">
      <w:pPr>
        <w:pStyle w:val="ListParagraph"/>
        <w:ind w:left="360"/>
        <w:rPr>
          <w:sz w:val="24"/>
          <w:szCs w:val="24"/>
        </w:rPr>
      </w:pPr>
    </w:p>
    <w:p w14:paraId="59C0A827" w14:textId="77777777" w:rsidR="00A757E1" w:rsidRDefault="00A757E1" w:rsidP="009A4A3E">
      <w:pPr>
        <w:pStyle w:val="ListParagraph"/>
        <w:numPr>
          <w:ilvl w:val="0"/>
          <w:numId w:val="17"/>
        </w:numPr>
        <w:rPr>
          <w:sz w:val="24"/>
          <w:szCs w:val="24"/>
        </w:rPr>
      </w:pPr>
      <w:r>
        <w:rPr>
          <w:sz w:val="24"/>
          <w:szCs w:val="24"/>
        </w:rPr>
        <w:t>What aspect of the current LLNP model requires review to suit remote areas?</w:t>
      </w:r>
    </w:p>
    <w:p w14:paraId="59C0A828" w14:textId="77777777" w:rsidR="00A757E1" w:rsidRDefault="00A757E1" w:rsidP="00A757E1">
      <w:pPr>
        <w:pStyle w:val="ListParagraph"/>
        <w:ind w:left="360"/>
        <w:rPr>
          <w:sz w:val="24"/>
          <w:szCs w:val="24"/>
        </w:rPr>
      </w:pPr>
    </w:p>
    <w:p w14:paraId="59C0A829" w14:textId="77777777" w:rsidR="00A757E1" w:rsidRPr="00D213C8" w:rsidRDefault="00A757E1" w:rsidP="009A4A3E">
      <w:pPr>
        <w:pStyle w:val="ListParagraph"/>
        <w:numPr>
          <w:ilvl w:val="0"/>
          <w:numId w:val="17"/>
        </w:numPr>
        <w:rPr>
          <w:sz w:val="24"/>
          <w:szCs w:val="24"/>
        </w:rPr>
      </w:pPr>
      <w:r>
        <w:rPr>
          <w:sz w:val="24"/>
          <w:szCs w:val="24"/>
        </w:rPr>
        <w:t>Do you believe the community based model would improve remote client participation rates in other remote areas across Australia?</w:t>
      </w:r>
    </w:p>
    <w:p w14:paraId="59C0A82A" w14:textId="77777777" w:rsidR="00A757E1" w:rsidRDefault="00A757E1" w:rsidP="00A757E1">
      <w:pPr>
        <w:pStyle w:val="ListParagraph"/>
        <w:ind w:left="360"/>
        <w:rPr>
          <w:sz w:val="24"/>
          <w:szCs w:val="24"/>
        </w:rPr>
      </w:pPr>
    </w:p>
    <w:p w14:paraId="59C0A82B" w14:textId="77777777" w:rsidR="00A757E1" w:rsidRPr="00D213C8" w:rsidRDefault="00A757E1" w:rsidP="009A4A3E">
      <w:pPr>
        <w:pStyle w:val="ListParagraph"/>
        <w:numPr>
          <w:ilvl w:val="0"/>
          <w:numId w:val="17"/>
        </w:numPr>
        <w:rPr>
          <w:sz w:val="24"/>
          <w:szCs w:val="24"/>
        </w:rPr>
      </w:pPr>
      <w:r>
        <w:rPr>
          <w:sz w:val="24"/>
          <w:szCs w:val="24"/>
        </w:rPr>
        <w:t>How do you see the LLNP working in the future with the new Remote Job and Communities Program?</w:t>
      </w:r>
    </w:p>
    <w:p w14:paraId="59C0A82C" w14:textId="77777777" w:rsidR="00A757E1" w:rsidRDefault="00A757E1" w:rsidP="00A757E1">
      <w:pPr>
        <w:pStyle w:val="ListParagraph"/>
        <w:ind w:left="360"/>
        <w:rPr>
          <w:sz w:val="24"/>
          <w:szCs w:val="24"/>
        </w:rPr>
      </w:pPr>
    </w:p>
    <w:p w14:paraId="59C0A82D" w14:textId="77777777" w:rsidR="00A757E1" w:rsidRDefault="00A757E1" w:rsidP="009A4A3E">
      <w:pPr>
        <w:pStyle w:val="ListParagraph"/>
        <w:numPr>
          <w:ilvl w:val="0"/>
          <w:numId w:val="17"/>
        </w:numPr>
        <w:rPr>
          <w:rFonts w:asciiTheme="minorHAnsi" w:hAnsiTheme="minorHAnsi" w:cstheme="minorHAnsi"/>
          <w:sz w:val="24"/>
          <w:szCs w:val="24"/>
        </w:rPr>
      </w:pPr>
      <w:r w:rsidRPr="005804A5">
        <w:rPr>
          <w:rFonts w:asciiTheme="minorHAnsi" w:hAnsiTheme="minorHAnsi" w:cstheme="minorHAnsi"/>
          <w:sz w:val="24"/>
          <w:szCs w:val="24"/>
        </w:rPr>
        <w:t xml:space="preserve">Should the IV provider have </w:t>
      </w:r>
      <w:r>
        <w:rPr>
          <w:rFonts w:asciiTheme="minorHAnsi" w:hAnsiTheme="minorHAnsi" w:cstheme="minorHAnsi"/>
          <w:sz w:val="24"/>
          <w:szCs w:val="24"/>
        </w:rPr>
        <w:t xml:space="preserve">both auditing and professional development roles? </w:t>
      </w:r>
      <w:r w:rsidRPr="00900A52">
        <w:rPr>
          <w:rFonts w:asciiTheme="minorHAnsi" w:hAnsiTheme="minorHAnsi" w:cstheme="minorHAnsi"/>
          <w:sz w:val="24"/>
          <w:szCs w:val="24"/>
        </w:rPr>
        <w:t>Why/why not?</w:t>
      </w:r>
    </w:p>
    <w:p w14:paraId="59C0A82E" w14:textId="77777777" w:rsidR="00A757E1" w:rsidRDefault="00A757E1" w:rsidP="00A757E1">
      <w:pPr>
        <w:pStyle w:val="ListParagraph"/>
        <w:ind w:left="360"/>
        <w:rPr>
          <w:rFonts w:asciiTheme="minorHAnsi" w:hAnsiTheme="minorHAnsi" w:cstheme="minorHAnsi"/>
          <w:sz w:val="24"/>
          <w:szCs w:val="24"/>
        </w:rPr>
      </w:pPr>
    </w:p>
    <w:p w14:paraId="59C0A82F" w14:textId="77777777" w:rsidR="00A757E1" w:rsidRDefault="00A757E1" w:rsidP="009A4A3E">
      <w:pPr>
        <w:pStyle w:val="ListParagraph"/>
        <w:numPr>
          <w:ilvl w:val="0"/>
          <w:numId w:val="17"/>
        </w:numPr>
        <w:rPr>
          <w:rFonts w:asciiTheme="minorHAnsi" w:hAnsiTheme="minorHAnsi" w:cstheme="minorHAnsi"/>
          <w:sz w:val="24"/>
          <w:szCs w:val="24"/>
        </w:rPr>
      </w:pPr>
      <w:r>
        <w:rPr>
          <w:rFonts w:asciiTheme="minorHAnsi" w:hAnsiTheme="minorHAnsi" w:cstheme="minorHAnsi"/>
          <w:sz w:val="24"/>
          <w:szCs w:val="24"/>
        </w:rPr>
        <w:t>What would be the benefits or disadvantages of splitting this role to two organisations?</w:t>
      </w:r>
    </w:p>
    <w:p w14:paraId="59C0A830" w14:textId="77777777" w:rsidR="00A757E1" w:rsidRDefault="00A757E1" w:rsidP="00A757E1">
      <w:pPr>
        <w:pStyle w:val="ListParagraph"/>
        <w:ind w:left="360"/>
        <w:rPr>
          <w:rFonts w:asciiTheme="minorHAnsi" w:hAnsiTheme="minorHAnsi" w:cstheme="minorHAnsi"/>
          <w:sz w:val="24"/>
          <w:szCs w:val="24"/>
        </w:rPr>
      </w:pPr>
    </w:p>
    <w:p w14:paraId="59C0A831" w14:textId="77777777" w:rsidR="00A757E1" w:rsidRDefault="00A757E1" w:rsidP="009A4A3E">
      <w:pPr>
        <w:pStyle w:val="ListParagraph"/>
        <w:numPr>
          <w:ilvl w:val="0"/>
          <w:numId w:val="17"/>
        </w:numPr>
        <w:rPr>
          <w:rFonts w:asciiTheme="minorHAnsi" w:hAnsiTheme="minorHAnsi" w:cstheme="minorHAnsi"/>
          <w:sz w:val="24"/>
          <w:szCs w:val="24"/>
        </w:rPr>
      </w:pPr>
      <w:r w:rsidRPr="00D9723D">
        <w:rPr>
          <w:rFonts w:asciiTheme="minorHAnsi" w:hAnsiTheme="minorHAnsi" w:cstheme="minorHAnsi"/>
          <w:sz w:val="24"/>
          <w:szCs w:val="24"/>
        </w:rPr>
        <w:t xml:space="preserve">What do you believe would </w:t>
      </w:r>
      <w:r>
        <w:rPr>
          <w:rFonts w:asciiTheme="minorHAnsi" w:hAnsiTheme="minorHAnsi" w:cstheme="minorHAnsi"/>
          <w:sz w:val="24"/>
          <w:szCs w:val="24"/>
        </w:rPr>
        <w:t>reduce the administrative tasks associated with</w:t>
      </w:r>
      <w:r w:rsidRPr="00D9723D">
        <w:rPr>
          <w:rFonts w:asciiTheme="minorHAnsi" w:hAnsiTheme="minorHAnsi" w:cstheme="minorHAnsi"/>
          <w:sz w:val="24"/>
          <w:szCs w:val="24"/>
        </w:rPr>
        <w:t xml:space="preserve"> the IV process for LLNP providers?</w:t>
      </w:r>
    </w:p>
    <w:p w14:paraId="59C0A832" w14:textId="77777777" w:rsidR="00A757E1" w:rsidRPr="00D9723D" w:rsidRDefault="00A757E1" w:rsidP="00A757E1">
      <w:pPr>
        <w:pStyle w:val="ListParagraph"/>
        <w:ind w:left="360"/>
        <w:rPr>
          <w:rFonts w:asciiTheme="minorHAnsi" w:hAnsiTheme="minorHAnsi" w:cstheme="minorHAnsi"/>
          <w:sz w:val="24"/>
          <w:szCs w:val="24"/>
        </w:rPr>
      </w:pPr>
    </w:p>
    <w:p w14:paraId="59C0A833" w14:textId="77777777" w:rsidR="00A757E1" w:rsidRDefault="00A757E1" w:rsidP="009A4A3E">
      <w:pPr>
        <w:pStyle w:val="ListParagraph"/>
        <w:numPr>
          <w:ilvl w:val="0"/>
          <w:numId w:val="17"/>
        </w:numPr>
        <w:rPr>
          <w:rFonts w:asciiTheme="minorHAnsi" w:hAnsiTheme="minorHAnsi" w:cstheme="minorHAnsi"/>
          <w:sz w:val="24"/>
          <w:szCs w:val="24"/>
        </w:rPr>
      </w:pPr>
      <w:r w:rsidRPr="00D213C8">
        <w:rPr>
          <w:rFonts w:asciiTheme="minorHAnsi" w:hAnsiTheme="minorHAnsi" w:cstheme="minorHAnsi"/>
          <w:sz w:val="24"/>
          <w:szCs w:val="24"/>
        </w:rPr>
        <w:t xml:space="preserve">Do you think the IV provider should be able to undertake observational reviews as part of an on-site visit? </w:t>
      </w:r>
    </w:p>
    <w:p w14:paraId="59C0A834" w14:textId="77777777" w:rsidR="00A757E1" w:rsidRPr="00D213C8" w:rsidRDefault="00A757E1" w:rsidP="00A757E1">
      <w:pPr>
        <w:pStyle w:val="ListParagraph"/>
        <w:ind w:left="360"/>
        <w:rPr>
          <w:rFonts w:asciiTheme="minorHAnsi" w:hAnsiTheme="minorHAnsi" w:cstheme="minorHAnsi"/>
          <w:sz w:val="24"/>
          <w:szCs w:val="24"/>
        </w:rPr>
      </w:pPr>
    </w:p>
    <w:p w14:paraId="59C0A835" w14:textId="77777777" w:rsidR="00B160AF" w:rsidRPr="00C43179" w:rsidRDefault="00A757E1" w:rsidP="00F44359">
      <w:pPr>
        <w:pStyle w:val="ListParagraph"/>
        <w:numPr>
          <w:ilvl w:val="0"/>
          <w:numId w:val="17"/>
        </w:numPr>
        <w:rPr>
          <w:rFonts w:asciiTheme="minorHAnsi" w:hAnsiTheme="minorHAnsi" w:cstheme="minorHAnsi"/>
          <w:sz w:val="24"/>
          <w:szCs w:val="24"/>
        </w:rPr>
      </w:pPr>
      <w:r w:rsidRPr="00D213C8">
        <w:rPr>
          <w:rFonts w:asciiTheme="minorHAnsi" w:hAnsiTheme="minorHAnsi" w:cstheme="minorHAnsi"/>
          <w:sz w:val="24"/>
          <w:szCs w:val="24"/>
        </w:rPr>
        <w:t>Should the IV KPIs be reviewed?  If yes, which ones and why?</w:t>
      </w:r>
    </w:p>
    <w:sectPr w:rsidR="00B160AF" w:rsidRPr="00C43179" w:rsidSect="001A7364">
      <w:headerReference w:type="default" r:id="rId23"/>
      <w:type w:val="continuous"/>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0A842" w14:textId="77777777" w:rsidR="004079EE" w:rsidRDefault="004079EE" w:rsidP="00014852">
      <w:r>
        <w:separator/>
      </w:r>
    </w:p>
  </w:endnote>
  <w:endnote w:type="continuationSeparator" w:id="0">
    <w:p w14:paraId="59C0A843" w14:textId="77777777" w:rsidR="004079EE" w:rsidRDefault="004079EE" w:rsidP="00014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0A840" w14:textId="77777777" w:rsidR="004079EE" w:rsidRDefault="004079EE" w:rsidP="00014852">
      <w:r>
        <w:separator/>
      </w:r>
    </w:p>
  </w:footnote>
  <w:footnote w:type="continuationSeparator" w:id="0">
    <w:p w14:paraId="59C0A841" w14:textId="77777777" w:rsidR="004079EE" w:rsidRDefault="004079EE" w:rsidP="00014852">
      <w:r>
        <w:continuationSeparator/>
      </w:r>
    </w:p>
  </w:footnote>
  <w:footnote w:id="1">
    <w:p w14:paraId="59C0A848" w14:textId="77777777" w:rsidR="004079EE" w:rsidRPr="00FB269D" w:rsidRDefault="004079EE">
      <w:pPr>
        <w:pStyle w:val="FootnoteText"/>
        <w:rPr>
          <w:rFonts w:asciiTheme="minorHAnsi" w:hAnsiTheme="minorHAnsi" w:cstheme="minorHAnsi"/>
        </w:rPr>
      </w:pPr>
      <w:r w:rsidRPr="00FB269D">
        <w:rPr>
          <w:rStyle w:val="FootnoteReference"/>
          <w:rFonts w:asciiTheme="minorHAnsi" w:hAnsiTheme="minorHAnsi" w:cstheme="minorHAnsi"/>
        </w:rPr>
        <w:footnoteRef/>
      </w:r>
      <w:r w:rsidRPr="00FB269D">
        <w:rPr>
          <w:rFonts w:asciiTheme="minorHAnsi" w:hAnsiTheme="minorHAnsi" w:cstheme="minorHAnsi"/>
        </w:rPr>
        <w:t xml:space="preserve"> AQTF</w:t>
      </w:r>
      <w:r>
        <w:rPr>
          <w:rFonts w:asciiTheme="minorHAnsi" w:hAnsiTheme="minorHAnsi" w:cstheme="minorHAnsi"/>
        </w:rPr>
        <w:t xml:space="preserve"> Essential Conditions and Standards for Continuing Registration</w:t>
      </w:r>
    </w:p>
  </w:footnote>
  <w:footnote w:id="2">
    <w:p w14:paraId="59C0A849" w14:textId="77777777" w:rsidR="004079EE" w:rsidRPr="00FB269D" w:rsidRDefault="004079EE">
      <w:pPr>
        <w:pStyle w:val="FootnoteText"/>
        <w:rPr>
          <w:rFonts w:asciiTheme="minorHAnsi" w:hAnsiTheme="minorHAnsi" w:cstheme="minorHAnsi"/>
        </w:rPr>
      </w:pPr>
      <w:r w:rsidRPr="00FB269D">
        <w:rPr>
          <w:rStyle w:val="FootnoteReference"/>
          <w:rFonts w:asciiTheme="minorHAnsi" w:hAnsiTheme="minorHAnsi" w:cstheme="minorHAnsi"/>
        </w:rPr>
        <w:footnoteRef/>
      </w:r>
      <w:r w:rsidRPr="00FB269D">
        <w:rPr>
          <w:rFonts w:asciiTheme="minorHAnsi" w:hAnsiTheme="minorHAnsi" w:cstheme="minorHAnsi"/>
        </w:rPr>
        <w:t xml:space="preserve"> </w:t>
      </w:r>
      <w:r>
        <w:rPr>
          <w:rFonts w:asciiTheme="minorHAnsi" w:hAnsiTheme="minorHAnsi" w:cstheme="minorHAnsi"/>
        </w:rPr>
        <w:t xml:space="preserve">AQTF </w:t>
      </w:r>
      <w:r w:rsidRPr="00FB269D">
        <w:rPr>
          <w:rFonts w:asciiTheme="minorHAnsi" w:hAnsiTheme="minorHAnsi" w:cstheme="minorHAnsi"/>
        </w:rPr>
        <w:t xml:space="preserve">Standards for Registered </w:t>
      </w:r>
      <w:r>
        <w:rPr>
          <w:rFonts w:asciiTheme="minorHAnsi" w:hAnsiTheme="minorHAnsi" w:cstheme="minorHAnsi"/>
        </w:rPr>
        <w:t>Training Organisations - 2005</w:t>
      </w:r>
    </w:p>
  </w:footnote>
  <w:footnote w:id="3">
    <w:p w14:paraId="59C0A84A" w14:textId="77777777" w:rsidR="004079EE" w:rsidRDefault="004079EE" w:rsidP="007D2D23">
      <w:pPr>
        <w:pStyle w:val="FootnoteText"/>
      </w:pPr>
      <w:r>
        <w:rPr>
          <w:rStyle w:val="FootnoteReference"/>
        </w:rPr>
        <w:footnoteRef/>
      </w:r>
      <w:r>
        <w:t xml:space="preserve"> </w:t>
      </w:r>
      <w:r w:rsidRPr="00784190">
        <w:rPr>
          <w:rFonts w:asciiTheme="minorHAnsi" w:hAnsiTheme="minorHAnsi" w:cstheme="minorHAnsi"/>
        </w:rPr>
        <w:t>Training and</w:t>
      </w:r>
      <w:r>
        <w:rPr>
          <w:rFonts w:asciiTheme="minorHAnsi" w:hAnsiTheme="minorHAnsi" w:cstheme="minorHAnsi"/>
        </w:rPr>
        <w:t xml:space="preserve"> Assessment Package</w:t>
      </w:r>
      <w:r>
        <w:t xml:space="preserve"> </w:t>
      </w:r>
    </w:p>
  </w:footnote>
  <w:footnote w:id="4">
    <w:p w14:paraId="59C0A84B" w14:textId="77777777" w:rsidR="004079EE" w:rsidRDefault="004079EE" w:rsidP="007D2D23">
      <w:pPr>
        <w:pStyle w:val="FootnoteText"/>
      </w:pPr>
      <w:r>
        <w:rPr>
          <w:rStyle w:val="FootnoteReference"/>
        </w:rPr>
        <w:footnoteRef/>
      </w:r>
      <w:r>
        <w:t xml:space="preserve"> </w:t>
      </w:r>
      <w:r w:rsidRPr="00784190">
        <w:rPr>
          <w:rFonts w:asciiTheme="minorHAnsi" w:hAnsiTheme="minorHAnsi" w:cstheme="minorHAnsi"/>
          <w:bCs/>
        </w:rPr>
        <w:t>Certificate IV in Training and Assessment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0A844" w14:textId="77777777" w:rsidR="004079EE" w:rsidRDefault="002753C8" w:rsidP="00B41202">
    <w:pPr>
      <w:pStyle w:val="Header"/>
      <w:pBdr>
        <w:bottom w:val="single" w:sz="4" w:space="1" w:color="D9D9D9" w:themeColor="background1" w:themeShade="D9"/>
      </w:pBdr>
      <w:tabs>
        <w:tab w:val="clear" w:pos="4513"/>
        <w:tab w:val="clear" w:pos="9026"/>
        <w:tab w:val="left" w:pos="6730"/>
      </w:tabs>
      <w:rPr>
        <w:b/>
      </w:rPr>
    </w:pPr>
    <w:sdt>
      <w:sdtPr>
        <w:id w:val="1741990"/>
        <w:docPartObj>
          <w:docPartGallery w:val="Page Numbers (Top of Page)"/>
          <w:docPartUnique/>
        </w:docPartObj>
      </w:sdtPr>
      <w:sdtEndPr>
        <w:rPr>
          <w:color w:val="7F7F7F" w:themeColor="background1" w:themeShade="7F"/>
          <w:spacing w:val="60"/>
        </w:rPr>
      </w:sdtEndPr>
      <w:sdtContent>
        <w:r w:rsidR="001771AE">
          <w:fldChar w:fldCharType="begin"/>
        </w:r>
        <w:r w:rsidR="001771AE">
          <w:instrText xml:space="preserve"> PAGE   \* MERGEFORMAT </w:instrText>
        </w:r>
        <w:r w:rsidR="001771AE">
          <w:fldChar w:fldCharType="separate"/>
        </w:r>
        <w:r w:rsidRPr="002753C8">
          <w:rPr>
            <w:b/>
            <w:noProof/>
          </w:rPr>
          <w:t>2</w:t>
        </w:r>
        <w:r w:rsidR="001771AE">
          <w:rPr>
            <w:b/>
            <w:noProof/>
          </w:rPr>
          <w:fldChar w:fldCharType="end"/>
        </w:r>
        <w:r w:rsidR="004079EE">
          <w:rPr>
            <w:b/>
          </w:rPr>
          <w:t xml:space="preserve"> | </w:t>
        </w:r>
        <w:r w:rsidR="004079EE">
          <w:rPr>
            <w:color w:val="7F7F7F" w:themeColor="background1" w:themeShade="7F"/>
            <w:spacing w:val="60"/>
          </w:rPr>
          <w:t>Page                               LLNP discussion paper</w:t>
        </w:r>
      </w:sdtContent>
    </w:sdt>
  </w:p>
  <w:p w14:paraId="59C0A845" w14:textId="77777777" w:rsidR="004079EE" w:rsidRDefault="004079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0A846" w14:textId="77777777" w:rsidR="004079EE" w:rsidRDefault="002753C8" w:rsidP="00B41202">
    <w:pPr>
      <w:pStyle w:val="Header"/>
      <w:pBdr>
        <w:bottom w:val="single" w:sz="4" w:space="1" w:color="D9D9D9" w:themeColor="background1" w:themeShade="D9"/>
      </w:pBdr>
      <w:tabs>
        <w:tab w:val="clear" w:pos="4513"/>
        <w:tab w:val="clear" w:pos="9026"/>
        <w:tab w:val="left" w:pos="6730"/>
      </w:tabs>
      <w:rPr>
        <w:b/>
      </w:rPr>
    </w:pPr>
    <w:sdt>
      <w:sdtPr>
        <w:id w:val="16131346"/>
        <w:docPartObj>
          <w:docPartGallery w:val="Page Numbers (Top of Page)"/>
          <w:docPartUnique/>
        </w:docPartObj>
      </w:sdtPr>
      <w:sdtEndPr>
        <w:rPr>
          <w:color w:val="7F7F7F" w:themeColor="background1" w:themeShade="7F"/>
          <w:spacing w:val="60"/>
        </w:rPr>
      </w:sdtEndPr>
      <w:sdtContent>
        <w:r w:rsidR="001771AE">
          <w:fldChar w:fldCharType="begin"/>
        </w:r>
        <w:r w:rsidR="001771AE">
          <w:instrText xml:space="preserve"> PAGE   \* MERGEFORMAT </w:instrText>
        </w:r>
        <w:r w:rsidR="001771AE">
          <w:fldChar w:fldCharType="separate"/>
        </w:r>
        <w:r w:rsidRPr="002753C8">
          <w:rPr>
            <w:b/>
            <w:noProof/>
          </w:rPr>
          <w:t>33</w:t>
        </w:r>
        <w:r w:rsidR="001771AE">
          <w:rPr>
            <w:b/>
            <w:noProof/>
          </w:rPr>
          <w:fldChar w:fldCharType="end"/>
        </w:r>
        <w:r w:rsidR="004079EE">
          <w:rPr>
            <w:b/>
          </w:rPr>
          <w:t xml:space="preserve"> | </w:t>
        </w:r>
        <w:r w:rsidR="004079EE">
          <w:rPr>
            <w:color w:val="7F7F7F" w:themeColor="background1" w:themeShade="7F"/>
            <w:spacing w:val="60"/>
          </w:rPr>
          <w:t>Page                               LLNP discussion paper</w:t>
        </w:r>
      </w:sdtContent>
    </w:sdt>
  </w:p>
  <w:p w14:paraId="59C0A847" w14:textId="77777777" w:rsidR="004079EE" w:rsidRDefault="004079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62C1"/>
    <w:multiLevelType w:val="hybridMultilevel"/>
    <w:tmpl w:val="24F08946"/>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C93D2C"/>
    <w:multiLevelType w:val="multilevel"/>
    <w:tmpl w:val="0C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1C6302"/>
    <w:multiLevelType w:val="hybridMultilevel"/>
    <w:tmpl w:val="B01E0BE0"/>
    <w:lvl w:ilvl="0" w:tplc="E8686F6A">
      <w:start w:val="1"/>
      <w:numFmt w:val="bullet"/>
      <w:pStyle w:val="Brief-BULLET"/>
      <w:lvlText w:val=""/>
      <w:lvlJc w:val="left"/>
      <w:pPr>
        <w:tabs>
          <w:tab w:val="num" w:pos="360"/>
        </w:tabs>
        <w:ind w:left="360" w:hanging="360"/>
      </w:pPr>
      <w:rPr>
        <w:rFonts w:ascii="Symbol" w:hAnsi="Symbol" w:hint="default"/>
        <w:color w:val="auto"/>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
    <w:nsid w:val="151A3885"/>
    <w:multiLevelType w:val="hybridMultilevel"/>
    <w:tmpl w:val="BEAEC3DA"/>
    <w:lvl w:ilvl="0" w:tplc="0C090005">
      <w:start w:val="1"/>
      <w:numFmt w:val="bullet"/>
      <w:lvlText w:val=""/>
      <w:lvlJc w:val="left"/>
      <w:pPr>
        <w:ind w:left="785" w:hanging="360"/>
      </w:pPr>
      <w:rPr>
        <w:rFonts w:ascii="Wingdings" w:hAnsi="Wingding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4">
    <w:nsid w:val="193F2AB7"/>
    <w:multiLevelType w:val="hybridMultilevel"/>
    <w:tmpl w:val="19B4641A"/>
    <w:lvl w:ilvl="0" w:tplc="2E2CA73C">
      <w:start w:val="1"/>
      <w:numFmt w:val="decimal"/>
      <w:lvlText w:val="Q%1."/>
      <w:lvlJc w:val="left"/>
      <w:pPr>
        <w:ind w:left="360" w:hanging="360"/>
      </w:pPr>
      <w:rPr>
        <w:rFonts w:ascii="Calibri" w:hAnsi="Calibri" w:cs="Calibri" w:hint="default"/>
        <w:b w:val="0"/>
        <w:i/>
        <w:color w:val="auto"/>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32D3816"/>
    <w:multiLevelType w:val="hybridMultilevel"/>
    <w:tmpl w:val="9268491E"/>
    <w:lvl w:ilvl="0" w:tplc="5852CE2E">
      <w:start w:val="1"/>
      <w:numFmt w:val="decimal"/>
      <w:lvlText w:val="%1."/>
      <w:lvlJc w:val="left"/>
      <w:pPr>
        <w:ind w:left="360" w:hanging="360"/>
      </w:pPr>
      <w:rPr>
        <w:rFonts w:ascii="Calibri" w:hAnsi="Calibri" w:cs="Calibri" w:hint="default"/>
        <w:b w:val="0"/>
        <w:color w:val="auto"/>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23E258AE"/>
    <w:multiLevelType w:val="hybridMultilevel"/>
    <w:tmpl w:val="7674B6EA"/>
    <w:lvl w:ilvl="0" w:tplc="0C090001">
      <w:start w:val="1"/>
      <w:numFmt w:val="bullet"/>
      <w:lvlText w:val=""/>
      <w:lvlJc w:val="left"/>
      <w:pPr>
        <w:tabs>
          <w:tab w:val="num" w:pos="360"/>
        </w:tabs>
        <w:ind w:left="360" w:hanging="360"/>
      </w:pPr>
      <w:rPr>
        <w:rFonts w:ascii="Symbol" w:hAnsi="Symbol" w:hint="default"/>
        <w:color w:val="auto"/>
      </w:rPr>
    </w:lvl>
    <w:lvl w:ilvl="1" w:tplc="0C090005">
      <w:start w:val="1"/>
      <w:numFmt w:val="bullet"/>
      <w:lvlText w:val=""/>
      <w:lvlJc w:val="left"/>
      <w:pPr>
        <w:tabs>
          <w:tab w:val="num" w:pos="785"/>
        </w:tabs>
        <w:ind w:left="785" w:hanging="360"/>
      </w:pPr>
      <w:rPr>
        <w:rFonts w:ascii="Wingdings" w:hAnsi="Wingdings"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nsid w:val="3528097B"/>
    <w:multiLevelType w:val="hybridMultilevel"/>
    <w:tmpl w:val="BE5668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60A5C6A"/>
    <w:multiLevelType w:val="hybridMultilevel"/>
    <w:tmpl w:val="1D0CB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A2275D0"/>
    <w:multiLevelType w:val="hybridMultilevel"/>
    <w:tmpl w:val="07D4B734"/>
    <w:lvl w:ilvl="0" w:tplc="8DF6A3CA">
      <w:start w:val="1"/>
      <w:numFmt w:val="decimal"/>
      <w:lvlText w:val="3.%1"/>
      <w:lvlJc w:val="righ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0C910C8"/>
    <w:multiLevelType w:val="hybridMultilevel"/>
    <w:tmpl w:val="A84C0862"/>
    <w:lvl w:ilvl="0" w:tplc="0C090005">
      <w:start w:val="1"/>
      <w:numFmt w:val="bullet"/>
      <w:lvlText w:val=""/>
      <w:lvlJc w:val="left"/>
      <w:pPr>
        <w:ind w:left="644" w:hanging="360"/>
      </w:pPr>
      <w:rPr>
        <w:rFonts w:ascii="Wingdings" w:hAnsi="Wingdings" w:hint="default"/>
      </w:rPr>
    </w:lvl>
    <w:lvl w:ilvl="1" w:tplc="0C090003" w:tentative="1">
      <w:start w:val="1"/>
      <w:numFmt w:val="bullet"/>
      <w:lvlText w:val="o"/>
      <w:lvlJc w:val="left"/>
      <w:pPr>
        <w:ind w:left="1364" w:hanging="360"/>
      </w:pPr>
      <w:rPr>
        <w:rFonts w:ascii="Courier New" w:hAnsi="Courier New" w:cs="Courier New" w:hint="default"/>
      </w:rPr>
    </w:lvl>
    <w:lvl w:ilvl="2" w:tplc="0C090005">
      <w:start w:val="1"/>
      <w:numFmt w:val="bullet"/>
      <w:lvlText w:val=""/>
      <w:lvlJc w:val="left"/>
      <w:pPr>
        <w:ind w:left="64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1">
    <w:nsid w:val="4E4D1ABA"/>
    <w:multiLevelType w:val="hybridMultilevel"/>
    <w:tmpl w:val="C20CC94A"/>
    <w:lvl w:ilvl="0" w:tplc="0C090005">
      <w:start w:val="1"/>
      <w:numFmt w:val="bullet"/>
      <w:lvlText w:val=""/>
      <w:lvlJc w:val="left"/>
      <w:pPr>
        <w:ind w:left="786" w:hanging="360"/>
      </w:pPr>
      <w:rPr>
        <w:rFonts w:ascii="Wingdings" w:hAnsi="Wingding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2">
    <w:nsid w:val="51795906"/>
    <w:multiLevelType w:val="hybridMultilevel"/>
    <w:tmpl w:val="9BC0A532"/>
    <w:lvl w:ilvl="0" w:tplc="0C090019">
      <w:start w:val="1"/>
      <w:numFmt w:val="lowerLetter"/>
      <w:lvlText w:val="%1."/>
      <w:lvlJc w:val="left"/>
      <w:pPr>
        <w:ind w:left="644" w:hanging="360"/>
      </w:pPr>
      <w:rPr>
        <w:rFonts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3">
    <w:nsid w:val="53C8732D"/>
    <w:multiLevelType w:val="hybridMultilevel"/>
    <w:tmpl w:val="064E625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84E62E3"/>
    <w:multiLevelType w:val="hybridMultilevel"/>
    <w:tmpl w:val="23F8273E"/>
    <w:lvl w:ilvl="0" w:tplc="0E123E46">
      <w:start w:val="1"/>
      <w:numFmt w:val="bullet"/>
      <w:lvlText w:val="-"/>
      <w:lvlJc w:val="left"/>
      <w:pPr>
        <w:ind w:left="1211" w:hanging="360"/>
      </w:pPr>
      <w:rPr>
        <w:rFonts w:ascii="Calibri" w:eastAsia="Times New Roman" w:hAnsi="Calibri" w:cs="Calibri"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nsid w:val="5D317BDD"/>
    <w:multiLevelType w:val="hybridMultilevel"/>
    <w:tmpl w:val="C772E19A"/>
    <w:lvl w:ilvl="0" w:tplc="0C090005">
      <w:start w:val="1"/>
      <w:numFmt w:val="bullet"/>
      <w:lvlText w:val=""/>
      <w:lvlJc w:val="left"/>
      <w:pPr>
        <w:ind w:left="786"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5F2C66A1"/>
    <w:multiLevelType w:val="hybridMultilevel"/>
    <w:tmpl w:val="8DC4399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3C665A7"/>
    <w:multiLevelType w:val="hybridMultilevel"/>
    <w:tmpl w:val="6ED44958"/>
    <w:lvl w:ilvl="0" w:tplc="0C090005">
      <w:start w:val="1"/>
      <w:numFmt w:val="bullet"/>
      <w:lvlText w:val=""/>
      <w:lvlJc w:val="left"/>
      <w:pPr>
        <w:ind w:left="644" w:hanging="360"/>
      </w:pPr>
      <w:rPr>
        <w:rFonts w:ascii="Wingdings" w:hAnsi="Wingdings"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8">
    <w:nsid w:val="67851E36"/>
    <w:multiLevelType w:val="hybridMultilevel"/>
    <w:tmpl w:val="906863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A6D1387"/>
    <w:multiLevelType w:val="hybridMultilevel"/>
    <w:tmpl w:val="A8DED1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F2803B4"/>
    <w:multiLevelType w:val="hybridMultilevel"/>
    <w:tmpl w:val="7A348CE4"/>
    <w:lvl w:ilvl="0" w:tplc="0C090005">
      <w:start w:val="1"/>
      <w:numFmt w:val="bullet"/>
      <w:lvlText w:val=""/>
      <w:lvlJc w:val="left"/>
      <w:pPr>
        <w:ind w:left="644" w:hanging="360"/>
      </w:pPr>
      <w:rPr>
        <w:rFonts w:ascii="Wingdings" w:hAnsi="Wingdings" w:hint="default"/>
      </w:rPr>
    </w:lvl>
    <w:lvl w:ilvl="1" w:tplc="0C090003">
      <w:start w:val="1"/>
      <w:numFmt w:val="decimal"/>
      <w:lvlText w:val="%2."/>
      <w:lvlJc w:val="left"/>
      <w:pPr>
        <w:tabs>
          <w:tab w:val="num" w:pos="1319"/>
        </w:tabs>
        <w:ind w:left="1319" w:hanging="360"/>
      </w:pPr>
    </w:lvl>
    <w:lvl w:ilvl="2" w:tplc="0C090005">
      <w:start w:val="1"/>
      <w:numFmt w:val="decimal"/>
      <w:lvlText w:val="%3."/>
      <w:lvlJc w:val="left"/>
      <w:pPr>
        <w:tabs>
          <w:tab w:val="num" w:pos="2039"/>
        </w:tabs>
        <w:ind w:left="2039" w:hanging="360"/>
      </w:pPr>
    </w:lvl>
    <w:lvl w:ilvl="3" w:tplc="0C090001">
      <w:start w:val="1"/>
      <w:numFmt w:val="decimal"/>
      <w:lvlText w:val="%4."/>
      <w:lvlJc w:val="left"/>
      <w:pPr>
        <w:tabs>
          <w:tab w:val="num" w:pos="2759"/>
        </w:tabs>
        <w:ind w:left="2759" w:hanging="360"/>
      </w:pPr>
    </w:lvl>
    <w:lvl w:ilvl="4" w:tplc="0C090003">
      <w:start w:val="1"/>
      <w:numFmt w:val="decimal"/>
      <w:lvlText w:val="%5."/>
      <w:lvlJc w:val="left"/>
      <w:pPr>
        <w:tabs>
          <w:tab w:val="num" w:pos="3479"/>
        </w:tabs>
        <w:ind w:left="3479" w:hanging="360"/>
      </w:pPr>
    </w:lvl>
    <w:lvl w:ilvl="5" w:tplc="0C090005">
      <w:start w:val="1"/>
      <w:numFmt w:val="decimal"/>
      <w:lvlText w:val="%6."/>
      <w:lvlJc w:val="left"/>
      <w:pPr>
        <w:tabs>
          <w:tab w:val="num" w:pos="4199"/>
        </w:tabs>
        <w:ind w:left="4199" w:hanging="360"/>
      </w:pPr>
    </w:lvl>
    <w:lvl w:ilvl="6" w:tplc="0C090001">
      <w:start w:val="1"/>
      <w:numFmt w:val="decimal"/>
      <w:lvlText w:val="%7."/>
      <w:lvlJc w:val="left"/>
      <w:pPr>
        <w:tabs>
          <w:tab w:val="num" w:pos="4919"/>
        </w:tabs>
        <w:ind w:left="4919" w:hanging="360"/>
      </w:pPr>
    </w:lvl>
    <w:lvl w:ilvl="7" w:tplc="0C090003">
      <w:start w:val="1"/>
      <w:numFmt w:val="decimal"/>
      <w:lvlText w:val="%8."/>
      <w:lvlJc w:val="left"/>
      <w:pPr>
        <w:tabs>
          <w:tab w:val="num" w:pos="5639"/>
        </w:tabs>
        <w:ind w:left="5639" w:hanging="360"/>
      </w:pPr>
    </w:lvl>
    <w:lvl w:ilvl="8" w:tplc="0C090005">
      <w:start w:val="1"/>
      <w:numFmt w:val="decimal"/>
      <w:lvlText w:val="%9."/>
      <w:lvlJc w:val="left"/>
      <w:pPr>
        <w:tabs>
          <w:tab w:val="num" w:pos="6359"/>
        </w:tabs>
        <w:ind w:left="6359" w:hanging="360"/>
      </w:pPr>
    </w:lvl>
  </w:abstractNum>
  <w:num w:numId="1">
    <w:abstractNumId w:val="3"/>
  </w:num>
  <w:num w:numId="2">
    <w:abstractNumId w:val="14"/>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3"/>
  </w:num>
  <w:num w:numId="6">
    <w:abstractNumId w:val="19"/>
  </w:num>
  <w:num w:numId="7">
    <w:abstractNumId w:val="20"/>
  </w:num>
  <w:num w:numId="8">
    <w:abstractNumId w:val="17"/>
  </w:num>
  <w:num w:numId="9">
    <w:abstractNumId w:val="11"/>
  </w:num>
  <w:num w:numId="10">
    <w:abstractNumId w:val="15"/>
  </w:num>
  <w:num w:numId="11">
    <w:abstractNumId w:val="10"/>
  </w:num>
  <w:num w:numId="12">
    <w:abstractNumId w:val="16"/>
  </w:num>
  <w:num w:numId="13">
    <w:abstractNumId w:val="18"/>
  </w:num>
  <w:num w:numId="14">
    <w:abstractNumId w:val="1"/>
  </w:num>
  <w:num w:numId="15">
    <w:abstractNumId w:val="9"/>
  </w:num>
  <w:num w:numId="16">
    <w:abstractNumId w:val="7"/>
  </w:num>
  <w:num w:numId="17">
    <w:abstractNumId w:val="5"/>
  </w:num>
  <w:num w:numId="18">
    <w:abstractNumId w:val="4"/>
  </w:num>
  <w:num w:numId="1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0"/>
  </w:num>
  <w:num w:numId="22">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o+FMh33TUp1EWV2pNtTqi9hbxQc=" w:salt="+XNhZEkeK3hOzcOXvqoWqw=="/>
  <w:defaultTabStop w:val="720"/>
  <w:drawingGridHorizontalSpacing w:val="110"/>
  <w:displayHorizontalDrawingGridEvery w:val="2"/>
  <w:characterSpacingControl w:val="doNotCompress"/>
  <w:hdrShapeDefaults>
    <o:shapedefaults v:ext="edit" spidmax="2467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97D"/>
    <w:rsid w:val="00000D23"/>
    <w:rsid w:val="00001600"/>
    <w:rsid w:val="00001AC6"/>
    <w:rsid w:val="00002DCD"/>
    <w:rsid w:val="000036DA"/>
    <w:rsid w:val="00003798"/>
    <w:rsid w:val="000038DC"/>
    <w:rsid w:val="00004A96"/>
    <w:rsid w:val="0000565F"/>
    <w:rsid w:val="00005C87"/>
    <w:rsid w:val="000062BF"/>
    <w:rsid w:val="00006B6F"/>
    <w:rsid w:val="00007965"/>
    <w:rsid w:val="00010AC9"/>
    <w:rsid w:val="0001158C"/>
    <w:rsid w:val="000125CE"/>
    <w:rsid w:val="00012711"/>
    <w:rsid w:val="000129A1"/>
    <w:rsid w:val="00012B4C"/>
    <w:rsid w:val="00013389"/>
    <w:rsid w:val="00014852"/>
    <w:rsid w:val="00014F7E"/>
    <w:rsid w:val="00015746"/>
    <w:rsid w:val="00020B9C"/>
    <w:rsid w:val="00021739"/>
    <w:rsid w:val="000221A2"/>
    <w:rsid w:val="00022DA5"/>
    <w:rsid w:val="00023107"/>
    <w:rsid w:val="00023E74"/>
    <w:rsid w:val="000245CB"/>
    <w:rsid w:val="000245F0"/>
    <w:rsid w:val="0002518B"/>
    <w:rsid w:val="0003045E"/>
    <w:rsid w:val="00030675"/>
    <w:rsid w:val="00032B8F"/>
    <w:rsid w:val="00032EA2"/>
    <w:rsid w:val="0003409A"/>
    <w:rsid w:val="0003482D"/>
    <w:rsid w:val="00034A7F"/>
    <w:rsid w:val="00034CED"/>
    <w:rsid w:val="0003547E"/>
    <w:rsid w:val="00035B69"/>
    <w:rsid w:val="00035E9C"/>
    <w:rsid w:val="000364A7"/>
    <w:rsid w:val="00036F88"/>
    <w:rsid w:val="000378C7"/>
    <w:rsid w:val="00037FD9"/>
    <w:rsid w:val="00040B93"/>
    <w:rsid w:val="000420B2"/>
    <w:rsid w:val="000425CD"/>
    <w:rsid w:val="00043850"/>
    <w:rsid w:val="00043A71"/>
    <w:rsid w:val="000441F3"/>
    <w:rsid w:val="000446A1"/>
    <w:rsid w:val="000458EA"/>
    <w:rsid w:val="000469CA"/>
    <w:rsid w:val="00046A04"/>
    <w:rsid w:val="00046DF5"/>
    <w:rsid w:val="00046EB2"/>
    <w:rsid w:val="00050422"/>
    <w:rsid w:val="0005065B"/>
    <w:rsid w:val="00051DD4"/>
    <w:rsid w:val="000522F0"/>
    <w:rsid w:val="00052790"/>
    <w:rsid w:val="000528A5"/>
    <w:rsid w:val="000535D0"/>
    <w:rsid w:val="00053E09"/>
    <w:rsid w:val="00055627"/>
    <w:rsid w:val="00055E5A"/>
    <w:rsid w:val="00055F44"/>
    <w:rsid w:val="000560CC"/>
    <w:rsid w:val="00056B26"/>
    <w:rsid w:val="00056C50"/>
    <w:rsid w:val="00057AC2"/>
    <w:rsid w:val="00060A9B"/>
    <w:rsid w:val="00060FEE"/>
    <w:rsid w:val="000610A0"/>
    <w:rsid w:val="000613A1"/>
    <w:rsid w:val="00062103"/>
    <w:rsid w:val="00062B64"/>
    <w:rsid w:val="00062FDF"/>
    <w:rsid w:val="00063A74"/>
    <w:rsid w:val="00063ABC"/>
    <w:rsid w:val="00063B91"/>
    <w:rsid w:val="00063C40"/>
    <w:rsid w:val="0006401B"/>
    <w:rsid w:val="000642E3"/>
    <w:rsid w:val="00064498"/>
    <w:rsid w:val="00064757"/>
    <w:rsid w:val="00066EA9"/>
    <w:rsid w:val="00067E12"/>
    <w:rsid w:val="00070192"/>
    <w:rsid w:val="0007085E"/>
    <w:rsid w:val="000710AB"/>
    <w:rsid w:val="0007328B"/>
    <w:rsid w:val="00073901"/>
    <w:rsid w:val="00073B03"/>
    <w:rsid w:val="00074C34"/>
    <w:rsid w:val="000752D3"/>
    <w:rsid w:val="00075C9D"/>
    <w:rsid w:val="00075F3C"/>
    <w:rsid w:val="000767C4"/>
    <w:rsid w:val="00076A3C"/>
    <w:rsid w:val="00076F80"/>
    <w:rsid w:val="000801FD"/>
    <w:rsid w:val="00080331"/>
    <w:rsid w:val="00080C0A"/>
    <w:rsid w:val="0008160D"/>
    <w:rsid w:val="00083C76"/>
    <w:rsid w:val="00083CED"/>
    <w:rsid w:val="00084013"/>
    <w:rsid w:val="00084038"/>
    <w:rsid w:val="000841E9"/>
    <w:rsid w:val="00085464"/>
    <w:rsid w:val="000856C0"/>
    <w:rsid w:val="00085764"/>
    <w:rsid w:val="00085943"/>
    <w:rsid w:val="00085E83"/>
    <w:rsid w:val="0008629A"/>
    <w:rsid w:val="000866D0"/>
    <w:rsid w:val="00090885"/>
    <w:rsid w:val="000918DC"/>
    <w:rsid w:val="0009278F"/>
    <w:rsid w:val="00092BCD"/>
    <w:rsid w:val="00092CF7"/>
    <w:rsid w:val="00094103"/>
    <w:rsid w:val="0009458E"/>
    <w:rsid w:val="00094F6E"/>
    <w:rsid w:val="000951DF"/>
    <w:rsid w:val="00095C67"/>
    <w:rsid w:val="00096031"/>
    <w:rsid w:val="000970C5"/>
    <w:rsid w:val="00097F84"/>
    <w:rsid w:val="000A0D23"/>
    <w:rsid w:val="000A0D7D"/>
    <w:rsid w:val="000A1459"/>
    <w:rsid w:val="000A1E3D"/>
    <w:rsid w:val="000A1F07"/>
    <w:rsid w:val="000A2762"/>
    <w:rsid w:val="000A288B"/>
    <w:rsid w:val="000A31FA"/>
    <w:rsid w:val="000A4CB9"/>
    <w:rsid w:val="000A6A7B"/>
    <w:rsid w:val="000B0028"/>
    <w:rsid w:val="000B0CA0"/>
    <w:rsid w:val="000B16D9"/>
    <w:rsid w:val="000B2A55"/>
    <w:rsid w:val="000B2B27"/>
    <w:rsid w:val="000B2BA9"/>
    <w:rsid w:val="000B36FD"/>
    <w:rsid w:val="000B39B7"/>
    <w:rsid w:val="000B44B9"/>
    <w:rsid w:val="000B50B1"/>
    <w:rsid w:val="000B55BB"/>
    <w:rsid w:val="000B57A0"/>
    <w:rsid w:val="000B5FF8"/>
    <w:rsid w:val="000B62B1"/>
    <w:rsid w:val="000B6371"/>
    <w:rsid w:val="000B67B4"/>
    <w:rsid w:val="000B6A90"/>
    <w:rsid w:val="000B717C"/>
    <w:rsid w:val="000B74FB"/>
    <w:rsid w:val="000C0C89"/>
    <w:rsid w:val="000C11C3"/>
    <w:rsid w:val="000C165C"/>
    <w:rsid w:val="000C16BF"/>
    <w:rsid w:val="000C25AE"/>
    <w:rsid w:val="000C25E1"/>
    <w:rsid w:val="000C3E1B"/>
    <w:rsid w:val="000C4FC0"/>
    <w:rsid w:val="000C5BA0"/>
    <w:rsid w:val="000C727C"/>
    <w:rsid w:val="000C75B9"/>
    <w:rsid w:val="000C7C20"/>
    <w:rsid w:val="000D0124"/>
    <w:rsid w:val="000D1656"/>
    <w:rsid w:val="000D1CFC"/>
    <w:rsid w:val="000D1ECB"/>
    <w:rsid w:val="000D1F66"/>
    <w:rsid w:val="000D3B11"/>
    <w:rsid w:val="000D4D6A"/>
    <w:rsid w:val="000D5174"/>
    <w:rsid w:val="000D51F3"/>
    <w:rsid w:val="000D560D"/>
    <w:rsid w:val="000D5AC2"/>
    <w:rsid w:val="000D5F4F"/>
    <w:rsid w:val="000D658E"/>
    <w:rsid w:val="000D66F8"/>
    <w:rsid w:val="000D6B18"/>
    <w:rsid w:val="000D7375"/>
    <w:rsid w:val="000D74DB"/>
    <w:rsid w:val="000E0268"/>
    <w:rsid w:val="000E171E"/>
    <w:rsid w:val="000E17C6"/>
    <w:rsid w:val="000E2402"/>
    <w:rsid w:val="000E2FB1"/>
    <w:rsid w:val="000E350C"/>
    <w:rsid w:val="000E4368"/>
    <w:rsid w:val="000E5D44"/>
    <w:rsid w:val="000E5F0F"/>
    <w:rsid w:val="000E66DC"/>
    <w:rsid w:val="000F00F1"/>
    <w:rsid w:val="000F01C3"/>
    <w:rsid w:val="000F0237"/>
    <w:rsid w:val="000F11D9"/>
    <w:rsid w:val="000F1239"/>
    <w:rsid w:val="000F2F72"/>
    <w:rsid w:val="000F52B2"/>
    <w:rsid w:val="000F6863"/>
    <w:rsid w:val="000F6CE7"/>
    <w:rsid w:val="000F7355"/>
    <w:rsid w:val="000F73BC"/>
    <w:rsid w:val="001016B3"/>
    <w:rsid w:val="00102176"/>
    <w:rsid w:val="00102F2F"/>
    <w:rsid w:val="001031A8"/>
    <w:rsid w:val="001032A5"/>
    <w:rsid w:val="00105385"/>
    <w:rsid w:val="001053FB"/>
    <w:rsid w:val="00105609"/>
    <w:rsid w:val="00105A69"/>
    <w:rsid w:val="00106776"/>
    <w:rsid w:val="00107640"/>
    <w:rsid w:val="00107888"/>
    <w:rsid w:val="00111692"/>
    <w:rsid w:val="00111740"/>
    <w:rsid w:val="00111BF8"/>
    <w:rsid w:val="00112134"/>
    <w:rsid w:val="00112280"/>
    <w:rsid w:val="001125E0"/>
    <w:rsid w:val="00112C7B"/>
    <w:rsid w:val="00112D83"/>
    <w:rsid w:val="00116FC3"/>
    <w:rsid w:val="00117396"/>
    <w:rsid w:val="001175BF"/>
    <w:rsid w:val="00117A27"/>
    <w:rsid w:val="00117D4F"/>
    <w:rsid w:val="00120E30"/>
    <w:rsid w:val="00121265"/>
    <w:rsid w:val="00121CA7"/>
    <w:rsid w:val="00122F2C"/>
    <w:rsid w:val="00123018"/>
    <w:rsid w:val="0012350A"/>
    <w:rsid w:val="001238E4"/>
    <w:rsid w:val="0012434F"/>
    <w:rsid w:val="00124714"/>
    <w:rsid w:val="0012508E"/>
    <w:rsid w:val="00125C41"/>
    <w:rsid w:val="00125D37"/>
    <w:rsid w:val="0012626F"/>
    <w:rsid w:val="001268D5"/>
    <w:rsid w:val="00126BF7"/>
    <w:rsid w:val="001300B8"/>
    <w:rsid w:val="00130A0D"/>
    <w:rsid w:val="001310CC"/>
    <w:rsid w:val="0013131C"/>
    <w:rsid w:val="00132479"/>
    <w:rsid w:val="00132664"/>
    <w:rsid w:val="0013301A"/>
    <w:rsid w:val="00133143"/>
    <w:rsid w:val="001336BE"/>
    <w:rsid w:val="0013373F"/>
    <w:rsid w:val="0013474A"/>
    <w:rsid w:val="00134ABD"/>
    <w:rsid w:val="00134FB5"/>
    <w:rsid w:val="00135113"/>
    <w:rsid w:val="00136149"/>
    <w:rsid w:val="001369D5"/>
    <w:rsid w:val="0013716F"/>
    <w:rsid w:val="00137E55"/>
    <w:rsid w:val="00140023"/>
    <w:rsid w:val="00140938"/>
    <w:rsid w:val="00140CB6"/>
    <w:rsid w:val="0014107C"/>
    <w:rsid w:val="00141543"/>
    <w:rsid w:val="00141785"/>
    <w:rsid w:val="00144129"/>
    <w:rsid w:val="001442EA"/>
    <w:rsid w:val="001445E9"/>
    <w:rsid w:val="00144E82"/>
    <w:rsid w:val="00145056"/>
    <w:rsid w:val="00146809"/>
    <w:rsid w:val="00146FBF"/>
    <w:rsid w:val="00147683"/>
    <w:rsid w:val="001479EA"/>
    <w:rsid w:val="0015003D"/>
    <w:rsid w:val="00150562"/>
    <w:rsid w:val="001506A5"/>
    <w:rsid w:val="00151630"/>
    <w:rsid w:val="001523A8"/>
    <w:rsid w:val="001524DA"/>
    <w:rsid w:val="00153642"/>
    <w:rsid w:val="001536DF"/>
    <w:rsid w:val="00153E69"/>
    <w:rsid w:val="00154247"/>
    <w:rsid w:val="001550D8"/>
    <w:rsid w:val="0015576A"/>
    <w:rsid w:val="001557FA"/>
    <w:rsid w:val="00155B5A"/>
    <w:rsid w:val="0015640F"/>
    <w:rsid w:val="001565FE"/>
    <w:rsid w:val="00157F5C"/>
    <w:rsid w:val="0016044A"/>
    <w:rsid w:val="00160A95"/>
    <w:rsid w:val="00161448"/>
    <w:rsid w:val="00161939"/>
    <w:rsid w:val="00163E35"/>
    <w:rsid w:val="00164BD2"/>
    <w:rsid w:val="0016541C"/>
    <w:rsid w:val="00167B70"/>
    <w:rsid w:val="00167D81"/>
    <w:rsid w:val="00167E91"/>
    <w:rsid w:val="00170528"/>
    <w:rsid w:val="00170676"/>
    <w:rsid w:val="00170B68"/>
    <w:rsid w:val="00170E10"/>
    <w:rsid w:val="00171DFE"/>
    <w:rsid w:val="00172499"/>
    <w:rsid w:val="00172546"/>
    <w:rsid w:val="00175BE8"/>
    <w:rsid w:val="001760F1"/>
    <w:rsid w:val="00176D13"/>
    <w:rsid w:val="00176FEA"/>
    <w:rsid w:val="001771AE"/>
    <w:rsid w:val="001807CF"/>
    <w:rsid w:val="001808DD"/>
    <w:rsid w:val="00180CB3"/>
    <w:rsid w:val="00181EE5"/>
    <w:rsid w:val="00182E04"/>
    <w:rsid w:val="00183BD3"/>
    <w:rsid w:val="00183F28"/>
    <w:rsid w:val="001843A6"/>
    <w:rsid w:val="00184824"/>
    <w:rsid w:val="00184965"/>
    <w:rsid w:val="00184A35"/>
    <w:rsid w:val="00184EC0"/>
    <w:rsid w:val="0018555D"/>
    <w:rsid w:val="00186591"/>
    <w:rsid w:val="001870B8"/>
    <w:rsid w:val="001870BD"/>
    <w:rsid w:val="00187147"/>
    <w:rsid w:val="001873C2"/>
    <w:rsid w:val="00187567"/>
    <w:rsid w:val="001877D0"/>
    <w:rsid w:val="001877D4"/>
    <w:rsid w:val="00187CC5"/>
    <w:rsid w:val="00192B10"/>
    <w:rsid w:val="001931E9"/>
    <w:rsid w:val="00193582"/>
    <w:rsid w:val="00193DA4"/>
    <w:rsid w:val="0019484E"/>
    <w:rsid w:val="0019487C"/>
    <w:rsid w:val="001954E2"/>
    <w:rsid w:val="00195BA4"/>
    <w:rsid w:val="0019677A"/>
    <w:rsid w:val="001968BD"/>
    <w:rsid w:val="00196D37"/>
    <w:rsid w:val="00197718"/>
    <w:rsid w:val="001A000D"/>
    <w:rsid w:val="001A1AFB"/>
    <w:rsid w:val="001A1E4D"/>
    <w:rsid w:val="001A217D"/>
    <w:rsid w:val="001A365F"/>
    <w:rsid w:val="001A419D"/>
    <w:rsid w:val="001A49E9"/>
    <w:rsid w:val="001A4B2A"/>
    <w:rsid w:val="001A4DCA"/>
    <w:rsid w:val="001A533C"/>
    <w:rsid w:val="001A5423"/>
    <w:rsid w:val="001A5F23"/>
    <w:rsid w:val="001A6BF7"/>
    <w:rsid w:val="001A6CF4"/>
    <w:rsid w:val="001A70EB"/>
    <w:rsid w:val="001A7122"/>
    <w:rsid w:val="001A7364"/>
    <w:rsid w:val="001A7F36"/>
    <w:rsid w:val="001B06C4"/>
    <w:rsid w:val="001B131D"/>
    <w:rsid w:val="001B20EF"/>
    <w:rsid w:val="001B22B5"/>
    <w:rsid w:val="001B2B5E"/>
    <w:rsid w:val="001B2F8F"/>
    <w:rsid w:val="001B3423"/>
    <w:rsid w:val="001B3573"/>
    <w:rsid w:val="001B3939"/>
    <w:rsid w:val="001B3BBA"/>
    <w:rsid w:val="001B4B22"/>
    <w:rsid w:val="001B4E0E"/>
    <w:rsid w:val="001B5416"/>
    <w:rsid w:val="001B597B"/>
    <w:rsid w:val="001B5BC4"/>
    <w:rsid w:val="001B6509"/>
    <w:rsid w:val="001B6E5D"/>
    <w:rsid w:val="001B7072"/>
    <w:rsid w:val="001B77CD"/>
    <w:rsid w:val="001C02A6"/>
    <w:rsid w:val="001C02FA"/>
    <w:rsid w:val="001C0402"/>
    <w:rsid w:val="001C2786"/>
    <w:rsid w:val="001C2AFC"/>
    <w:rsid w:val="001C3135"/>
    <w:rsid w:val="001C3848"/>
    <w:rsid w:val="001C4172"/>
    <w:rsid w:val="001C48A0"/>
    <w:rsid w:val="001C4A4F"/>
    <w:rsid w:val="001C4B12"/>
    <w:rsid w:val="001C56FF"/>
    <w:rsid w:val="001C6437"/>
    <w:rsid w:val="001C6E45"/>
    <w:rsid w:val="001D07C6"/>
    <w:rsid w:val="001D1004"/>
    <w:rsid w:val="001D2445"/>
    <w:rsid w:val="001D2D8C"/>
    <w:rsid w:val="001D47CE"/>
    <w:rsid w:val="001D4B15"/>
    <w:rsid w:val="001D52CF"/>
    <w:rsid w:val="001D5987"/>
    <w:rsid w:val="001D5B25"/>
    <w:rsid w:val="001D5ED7"/>
    <w:rsid w:val="001E098C"/>
    <w:rsid w:val="001E1CC6"/>
    <w:rsid w:val="001E2ADF"/>
    <w:rsid w:val="001E540B"/>
    <w:rsid w:val="001E5D36"/>
    <w:rsid w:val="001E68B4"/>
    <w:rsid w:val="001E6CD5"/>
    <w:rsid w:val="001F09A8"/>
    <w:rsid w:val="001F1541"/>
    <w:rsid w:val="001F1ADE"/>
    <w:rsid w:val="001F270A"/>
    <w:rsid w:val="001F2DBE"/>
    <w:rsid w:val="001F4A68"/>
    <w:rsid w:val="001F4B9D"/>
    <w:rsid w:val="001F64CD"/>
    <w:rsid w:val="001F6EF3"/>
    <w:rsid w:val="001F7AF0"/>
    <w:rsid w:val="001F7BCF"/>
    <w:rsid w:val="00202E6B"/>
    <w:rsid w:val="00203432"/>
    <w:rsid w:val="00204C02"/>
    <w:rsid w:val="00204F07"/>
    <w:rsid w:val="00205A37"/>
    <w:rsid w:val="0020624D"/>
    <w:rsid w:val="00206714"/>
    <w:rsid w:val="00210DF9"/>
    <w:rsid w:val="00210E33"/>
    <w:rsid w:val="00212B47"/>
    <w:rsid w:val="00212E20"/>
    <w:rsid w:val="002137A6"/>
    <w:rsid w:val="002145CD"/>
    <w:rsid w:val="0021522F"/>
    <w:rsid w:val="002159BA"/>
    <w:rsid w:val="00215B3F"/>
    <w:rsid w:val="002165FB"/>
    <w:rsid w:val="002172A0"/>
    <w:rsid w:val="002173D7"/>
    <w:rsid w:val="0022051D"/>
    <w:rsid w:val="00220619"/>
    <w:rsid w:val="002207BC"/>
    <w:rsid w:val="002218CA"/>
    <w:rsid w:val="0022223A"/>
    <w:rsid w:val="00222B09"/>
    <w:rsid w:val="00224CBA"/>
    <w:rsid w:val="00224D33"/>
    <w:rsid w:val="00224DDC"/>
    <w:rsid w:val="002251FD"/>
    <w:rsid w:val="0022548C"/>
    <w:rsid w:val="002255E5"/>
    <w:rsid w:val="00225AE3"/>
    <w:rsid w:val="00225BEB"/>
    <w:rsid w:val="00227230"/>
    <w:rsid w:val="00227915"/>
    <w:rsid w:val="0023062D"/>
    <w:rsid w:val="00230A61"/>
    <w:rsid w:val="00231257"/>
    <w:rsid w:val="00231514"/>
    <w:rsid w:val="002331DD"/>
    <w:rsid w:val="00234844"/>
    <w:rsid w:val="002352F7"/>
    <w:rsid w:val="002357B3"/>
    <w:rsid w:val="00235854"/>
    <w:rsid w:val="00236855"/>
    <w:rsid w:val="00237B34"/>
    <w:rsid w:val="0024103A"/>
    <w:rsid w:val="00241861"/>
    <w:rsid w:val="00242389"/>
    <w:rsid w:val="002423D0"/>
    <w:rsid w:val="0024314A"/>
    <w:rsid w:val="0024398F"/>
    <w:rsid w:val="00243A95"/>
    <w:rsid w:val="00243E21"/>
    <w:rsid w:val="0024521D"/>
    <w:rsid w:val="00245757"/>
    <w:rsid w:val="00245BF5"/>
    <w:rsid w:val="002462F4"/>
    <w:rsid w:val="002466DA"/>
    <w:rsid w:val="0024699F"/>
    <w:rsid w:val="00246AAC"/>
    <w:rsid w:val="002500D3"/>
    <w:rsid w:val="00250216"/>
    <w:rsid w:val="00250625"/>
    <w:rsid w:val="002522A0"/>
    <w:rsid w:val="00252305"/>
    <w:rsid w:val="00253892"/>
    <w:rsid w:val="00256187"/>
    <w:rsid w:val="00257681"/>
    <w:rsid w:val="00260324"/>
    <w:rsid w:val="00260FB9"/>
    <w:rsid w:val="00261352"/>
    <w:rsid w:val="00261722"/>
    <w:rsid w:val="00261988"/>
    <w:rsid w:val="00261D45"/>
    <w:rsid w:val="00261F0E"/>
    <w:rsid w:val="002626EB"/>
    <w:rsid w:val="0026409F"/>
    <w:rsid w:val="002666E2"/>
    <w:rsid w:val="00267492"/>
    <w:rsid w:val="00270481"/>
    <w:rsid w:val="00270F54"/>
    <w:rsid w:val="002725AD"/>
    <w:rsid w:val="00272931"/>
    <w:rsid w:val="00272FC2"/>
    <w:rsid w:val="0027400E"/>
    <w:rsid w:val="00274A2D"/>
    <w:rsid w:val="00275193"/>
    <w:rsid w:val="002753C8"/>
    <w:rsid w:val="00276276"/>
    <w:rsid w:val="00277B22"/>
    <w:rsid w:val="00277F06"/>
    <w:rsid w:val="00281409"/>
    <w:rsid w:val="00281F6A"/>
    <w:rsid w:val="00282247"/>
    <w:rsid w:val="00282D3D"/>
    <w:rsid w:val="002831AB"/>
    <w:rsid w:val="002833FC"/>
    <w:rsid w:val="00283CBC"/>
    <w:rsid w:val="002848F5"/>
    <w:rsid w:val="002855BC"/>
    <w:rsid w:val="002859CE"/>
    <w:rsid w:val="002861B9"/>
    <w:rsid w:val="0028627D"/>
    <w:rsid w:val="00286405"/>
    <w:rsid w:val="002865B9"/>
    <w:rsid w:val="00286843"/>
    <w:rsid w:val="00286C35"/>
    <w:rsid w:val="002878B3"/>
    <w:rsid w:val="00290892"/>
    <w:rsid w:val="00290D15"/>
    <w:rsid w:val="002910EC"/>
    <w:rsid w:val="00291790"/>
    <w:rsid w:val="00291B8F"/>
    <w:rsid w:val="00292473"/>
    <w:rsid w:val="00292B3D"/>
    <w:rsid w:val="00292E67"/>
    <w:rsid w:val="0029306F"/>
    <w:rsid w:val="002931A6"/>
    <w:rsid w:val="002933CD"/>
    <w:rsid w:val="00293FC2"/>
    <w:rsid w:val="00294558"/>
    <w:rsid w:val="0029548A"/>
    <w:rsid w:val="00295605"/>
    <w:rsid w:val="00295FA0"/>
    <w:rsid w:val="002965F9"/>
    <w:rsid w:val="002972A5"/>
    <w:rsid w:val="002A0871"/>
    <w:rsid w:val="002A0F7A"/>
    <w:rsid w:val="002A32AB"/>
    <w:rsid w:val="002A3D79"/>
    <w:rsid w:val="002A4514"/>
    <w:rsid w:val="002A5160"/>
    <w:rsid w:val="002A55B0"/>
    <w:rsid w:val="002A55E2"/>
    <w:rsid w:val="002A60D9"/>
    <w:rsid w:val="002A6B44"/>
    <w:rsid w:val="002A74AE"/>
    <w:rsid w:val="002A7E3B"/>
    <w:rsid w:val="002B0E37"/>
    <w:rsid w:val="002B1F91"/>
    <w:rsid w:val="002B20F3"/>
    <w:rsid w:val="002B3886"/>
    <w:rsid w:val="002B3E36"/>
    <w:rsid w:val="002B4CDD"/>
    <w:rsid w:val="002B59F9"/>
    <w:rsid w:val="002B5B3E"/>
    <w:rsid w:val="002B65EC"/>
    <w:rsid w:val="002B7084"/>
    <w:rsid w:val="002B7318"/>
    <w:rsid w:val="002C0C06"/>
    <w:rsid w:val="002C1F92"/>
    <w:rsid w:val="002C2147"/>
    <w:rsid w:val="002C22A5"/>
    <w:rsid w:val="002C3762"/>
    <w:rsid w:val="002C4182"/>
    <w:rsid w:val="002C4245"/>
    <w:rsid w:val="002C43F2"/>
    <w:rsid w:val="002C4784"/>
    <w:rsid w:val="002C4AB9"/>
    <w:rsid w:val="002C4C87"/>
    <w:rsid w:val="002C4E31"/>
    <w:rsid w:val="002C5724"/>
    <w:rsid w:val="002C5A25"/>
    <w:rsid w:val="002C5B8D"/>
    <w:rsid w:val="002C64C2"/>
    <w:rsid w:val="002C666D"/>
    <w:rsid w:val="002C6953"/>
    <w:rsid w:val="002C72DE"/>
    <w:rsid w:val="002C7750"/>
    <w:rsid w:val="002C7E86"/>
    <w:rsid w:val="002D0BCA"/>
    <w:rsid w:val="002D20FC"/>
    <w:rsid w:val="002D3A40"/>
    <w:rsid w:val="002D4660"/>
    <w:rsid w:val="002D58B6"/>
    <w:rsid w:val="002D61E2"/>
    <w:rsid w:val="002D70D7"/>
    <w:rsid w:val="002D7A77"/>
    <w:rsid w:val="002E09BB"/>
    <w:rsid w:val="002E1C44"/>
    <w:rsid w:val="002E3103"/>
    <w:rsid w:val="002E334B"/>
    <w:rsid w:val="002E349F"/>
    <w:rsid w:val="002E35D4"/>
    <w:rsid w:val="002E360B"/>
    <w:rsid w:val="002E3632"/>
    <w:rsid w:val="002E4EA6"/>
    <w:rsid w:val="002E5147"/>
    <w:rsid w:val="002E6308"/>
    <w:rsid w:val="002E646B"/>
    <w:rsid w:val="002E6604"/>
    <w:rsid w:val="002E6A72"/>
    <w:rsid w:val="002E6CB2"/>
    <w:rsid w:val="002E7D51"/>
    <w:rsid w:val="002F0184"/>
    <w:rsid w:val="002F032D"/>
    <w:rsid w:val="002F0A89"/>
    <w:rsid w:val="002F0CEC"/>
    <w:rsid w:val="002F1023"/>
    <w:rsid w:val="002F1285"/>
    <w:rsid w:val="002F1295"/>
    <w:rsid w:val="002F3185"/>
    <w:rsid w:val="002F3449"/>
    <w:rsid w:val="002F37FD"/>
    <w:rsid w:val="002F471D"/>
    <w:rsid w:val="002F5A03"/>
    <w:rsid w:val="002F5A4D"/>
    <w:rsid w:val="002F5F9A"/>
    <w:rsid w:val="002F6080"/>
    <w:rsid w:val="002F6333"/>
    <w:rsid w:val="002F6887"/>
    <w:rsid w:val="002F7157"/>
    <w:rsid w:val="002F7B7B"/>
    <w:rsid w:val="003015A5"/>
    <w:rsid w:val="003021A0"/>
    <w:rsid w:val="003021F0"/>
    <w:rsid w:val="00302266"/>
    <w:rsid w:val="0030300C"/>
    <w:rsid w:val="00304D35"/>
    <w:rsid w:val="00306265"/>
    <w:rsid w:val="003073A3"/>
    <w:rsid w:val="00307934"/>
    <w:rsid w:val="00307A4E"/>
    <w:rsid w:val="00310201"/>
    <w:rsid w:val="00311185"/>
    <w:rsid w:val="003115FB"/>
    <w:rsid w:val="0031245C"/>
    <w:rsid w:val="00312984"/>
    <w:rsid w:val="0031381E"/>
    <w:rsid w:val="00313BCF"/>
    <w:rsid w:val="00313D06"/>
    <w:rsid w:val="00314769"/>
    <w:rsid w:val="00314922"/>
    <w:rsid w:val="00314FC2"/>
    <w:rsid w:val="0031557C"/>
    <w:rsid w:val="003157D0"/>
    <w:rsid w:val="00315C96"/>
    <w:rsid w:val="003163A1"/>
    <w:rsid w:val="00316F3B"/>
    <w:rsid w:val="00320573"/>
    <w:rsid w:val="00320ECE"/>
    <w:rsid w:val="003219C2"/>
    <w:rsid w:val="00322EE3"/>
    <w:rsid w:val="003231CF"/>
    <w:rsid w:val="00323A38"/>
    <w:rsid w:val="00324519"/>
    <w:rsid w:val="003249B7"/>
    <w:rsid w:val="0032636A"/>
    <w:rsid w:val="00326E95"/>
    <w:rsid w:val="00326F94"/>
    <w:rsid w:val="00327B87"/>
    <w:rsid w:val="0033091E"/>
    <w:rsid w:val="00330BC0"/>
    <w:rsid w:val="00331BCE"/>
    <w:rsid w:val="00332C42"/>
    <w:rsid w:val="003337A3"/>
    <w:rsid w:val="003337B4"/>
    <w:rsid w:val="00333A46"/>
    <w:rsid w:val="00335401"/>
    <w:rsid w:val="003359A1"/>
    <w:rsid w:val="00335CE3"/>
    <w:rsid w:val="00336877"/>
    <w:rsid w:val="00336BAA"/>
    <w:rsid w:val="00336FC8"/>
    <w:rsid w:val="00337119"/>
    <w:rsid w:val="00337784"/>
    <w:rsid w:val="003405E0"/>
    <w:rsid w:val="003408DE"/>
    <w:rsid w:val="00340E32"/>
    <w:rsid w:val="00341650"/>
    <w:rsid w:val="00342A55"/>
    <w:rsid w:val="00342C05"/>
    <w:rsid w:val="00342D7B"/>
    <w:rsid w:val="00343048"/>
    <w:rsid w:val="003436B5"/>
    <w:rsid w:val="00344929"/>
    <w:rsid w:val="00345405"/>
    <w:rsid w:val="003456B8"/>
    <w:rsid w:val="003458E8"/>
    <w:rsid w:val="00345D37"/>
    <w:rsid w:val="00346C46"/>
    <w:rsid w:val="00346E12"/>
    <w:rsid w:val="00346EAB"/>
    <w:rsid w:val="00347127"/>
    <w:rsid w:val="0034729A"/>
    <w:rsid w:val="00347FB7"/>
    <w:rsid w:val="00351389"/>
    <w:rsid w:val="003513E6"/>
    <w:rsid w:val="00351749"/>
    <w:rsid w:val="00351C93"/>
    <w:rsid w:val="00352045"/>
    <w:rsid w:val="0035220F"/>
    <w:rsid w:val="00352359"/>
    <w:rsid w:val="003525F7"/>
    <w:rsid w:val="00352A9D"/>
    <w:rsid w:val="00352CB6"/>
    <w:rsid w:val="00354B2E"/>
    <w:rsid w:val="003559C3"/>
    <w:rsid w:val="00355BE6"/>
    <w:rsid w:val="00357C10"/>
    <w:rsid w:val="003601AE"/>
    <w:rsid w:val="00361C3B"/>
    <w:rsid w:val="00361D16"/>
    <w:rsid w:val="003624E9"/>
    <w:rsid w:val="003631CC"/>
    <w:rsid w:val="00363B21"/>
    <w:rsid w:val="00364DEA"/>
    <w:rsid w:val="00365DE1"/>
    <w:rsid w:val="003664FD"/>
    <w:rsid w:val="0036696E"/>
    <w:rsid w:val="00366B15"/>
    <w:rsid w:val="00367C07"/>
    <w:rsid w:val="00367D45"/>
    <w:rsid w:val="00370716"/>
    <w:rsid w:val="003707EB"/>
    <w:rsid w:val="00371085"/>
    <w:rsid w:val="00371336"/>
    <w:rsid w:val="00371537"/>
    <w:rsid w:val="0037292A"/>
    <w:rsid w:val="00374576"/>
    <w:rsid w:val="003749B6"/>
    <w:rsid w:val="003749EA"/>
    <w:rsid w:val="003756BF"/>
    <w:rsid w:val="003757CE"/>
    <w:rsid w:val="00375F17"/>
    <w:rsid w:val="0037690A"/>
    <w:rsid w:val="00376CB7"/>
    <w:rsid w:val="00376D45"/>
    <w:rsid w:val="003807B9"/>
    <w:rsid w:val="00382908"/>
    <w:rsid w:val="0038363E"/>
    <w:rsid w:val="00383E5B"/>
    <w:rsid w:val="00384150"/>
    <w:rsid w:val="00384179"/>
    <w:rsid w:val="00385180"/>
    <w:rsid w:val="00385395"/>
    <w:rsid w:val="003855FB"/>
    <w:rsid w:val="00385909"/>
    <w:rsid w:val="00386509"/>
    <w:rsid w:val="00387076"/>
    <w:rsid w:val="00391DE9"/>
    <w:rsid w:val="00391F4D"/>
    <w:rsid w:val="00392E03"/>
    <w:rsid w:val="00393428"/>
    <w:rsid w:val="00393CAF"/>
    <w:rsid w:val="00393D2C"/>
    <w:rsid w:val="0039409C"/>
    <w:rsid w:val="003945EB"/>
    <w:rsid w:val="00394DBE"/>
    <w:rsid w:val="00395684"/>
    <w:rsid w:val="00395878"/>
    <w:rsid w:val="003959C0"/>
    <w:rsid w:val="003961A8"/>
    <w:rsid w:val="00396B8A"/>
    <w:rsid w:val="003972C9"/>
    <w:rsid w:val="003A01CD"/>
    <w:rsid w:val="003A0B9B"/>
    <w:rsid w:val="003A170E"/>
    <w:rsid w:val="003A1CAB"/>
    <w:rsid w:val="003A3EAB"/>
    <w:rsid w:val="003A50A4"/>
    <w:rsid w:val="003A5894"/>
    <w:rsid w:val="003A64D3"/>
    <w:rsid w:val="003B08CF"/>
    <w:rsid w:val="003B1843"/>
    <w:rsid w:val="003B2B92"/>
    <w:rsid w:val="003B2F81"/>
    <w:rsid w:val="003B42ED"/>
    <w:rsid w:val="003B4BC9"/>
    <w:rsid w:val="003B5637"/>
    <w:rsid w:val="003B5DF6"/>
    <w:rsid w:val="003B5FDC"/>
    <w:rsid w:val="003B6380"/>
    <w:rsid w:val="003B7192"/>
    <w:rsid w:val="003B738C"/>
    <w:rsid w:val="003B764E"/>
    <w:rsid w:val="003B76C2"/>
    <w:rsid w:val="003C0ADA"/>
    <w:rsid w:val="003C21D8"/>
    <w:rsid w:val="003C2EFD"/>
    <w:rsid w:val="003C3B51"/>
    <w:rsid w:val="003C3C99"/>
    <w:rsid w:val="003C427E"/>
    <w:rsid w:val="003C4BC1"/>
    <w:rsid w:val="003C5A10"/>
    <w:rsid w:val="003C5B3E"/>
    <w:rsid w:val="003C783D"/>
    <w:rsid w:val="003C78BA"/>
    <w:rsid w:val="003D0BB3"/>
    <w:rsid w:val="003D0E9E"/>
    <w:rsid w:val="003D199B"/>
    <w:rsid w:val="003D1AA1"/>
    <w:rsid w:val="003D3F9E"/>
    <w:rsid w:val="003D4244"/>
    <w:rsid w:val="003D4F5E"/>
    <w:rsid w:val="003D59E1"/>
    <w:rsid w:val="003D61BF"/>
    <w:rsid w:val="003D657C"/>
    <w:rsid w:val="003D685B"/>
    <w:rsid w:val="003D7060"/>
    <w:rsid w:val="003D7449"/>
    <w:rsid w:val="003D7E20"/>
    <w:rsid w:val="003E0301"/>
    <w:rsid w:val="003E0A34"/>
    <w:rsid w:val="003E15B9"/>
    <w:rsid w:val="003E2188"/>
    <w:rsid w:val="003E29F4"/>
    <w:rsid w:val="003E2C6E"/>
    <w:rsid w:val="003E35FC"/>
    <w:rsid w:val="003E36E7"/>
    <w:rsid w:val="003E3974"/>
    <w:rsid w:val="003E3CEF"/>
    <w:rsid w:val="003E3ED7"/>
    <w:rsid w:val="003E4CC2"/>
    <w:rsid w:val="003E6219"/>
    <w:rsid w:val="003E6A51"/>
    <w:rsid w:val="003F160E"/>
    <w:rsid w:val="003F219A"/>
    <w:rsid w:val="003F2589"/>
    <w:rsid w:val="003F27D6"/>
    <w:rsid w:val="003F2AF8"/>
    <w:rsid w:val="003F5FB4"/>
    <w:rsid w:val="003F7823"/>
    <w:rsid w:val="003F7B10"/>
    <w:rsid w:val="004025EE"/>
    <w:rsid w:val="00402781"/>
    <w:rsid w:val="00402FB4"/>
    <w:rsid w:val="00403205"/>
    <w:rsid w:val="004038F5"/>
    <w:rsid w:val="00404147"/>
    <w:rsid w:val="00404766"/>
    <w:rsid w:val="0040491F"/>
    <w:rsid w:val="00404F09"/>
    <w:rsid w:val="00404FF1"/>
    <w:rsid w:val="00407374"/>
    <w:rsid w:val="004079EE"/>
    <w:rsid w:val="00410BCA"/>
    <w:rsid w:val="00411494"/>
    <w:rsid w:val="00413223"/>
    <w:rsid w:val="00413B12"/>
    <w:rsid w:val="00414CED"/>
    <w:rsid w:val="0041520A"/>
    <w:rsid w:val="004159BB"/>
    <w:rsid w:val="00415A8B"/>
    <w:rsid w:val="00415D29"/>
    <w:rsid w:val="00416CE4"/>
    <w:rsid w:val="00417E13"/>
    <w:rsid w:val="00420158"/>
    <w:rsid w:val="00420CE0"/>
    <w:rsid w:val="00420E27"/>
    <w:rsid w:val="004213CC"/>
    <w:rsid w:val="004215E5"/>
    <w:rsid w:val="00421988"/>
    <w:rsid w:val="00421C45"/>
    <w:rsid w:val="00422087"/>
    <w:rsid w:val="004222B8"/>
    <w:rsid w:val="00422C56"/>
    <w:rsid w:val="00423414"/>
    <w:rsid w:val="00424A25"/>
    <w:rsid w:val="00426A0A"/>
    <w:rsid w:val="004275D4"/>
    <w:rsid w:val="00427932"/>
    <w:rsid w:val="00430957"/>
    <w:rsid w:val="0043193B"/>
    <w:rsid w:val="004329A8"/>
    <w:rsid w:val="00432A31"/>
    <w:rsid w:val="00432C70"/>
    <w:rsid w:val="0043309A"/>
    <w:rsid w:val="00433EF2"/>
    <w:rsid w:val="00434213"/>
    <w:rsid w:val="00434638"/>
    <w:rsid w:val="0043495C"/>
    <w:rsid w:val="004350B4"/>
    <w:rsid w:val="004356AC"/>
    <w:rsid w:val="00435FC3"/>
    <w:rsid w:val="0044098E"/>
    <w:rsid w:val="00440D7D"/>
    <w:rsid w:val="004411AF"/>
    <w:rsid w:val="0044230C"/>
    <w:rsid w:val="0044268A"/>
    <w:rsid w:val="00442B40"/>
    <w:rsid w:val="00442E78"/>
    <w:rsid w:val="00443713"/>
    <w:rsid w:val="00443FD9"/>
    <w:rsid w:val="0044560D"/>
    <w:rsid w:val="00447344"/>
    <w:rsid w:val="004476E5"/>
    <w:rsid w:val="00447999"/>
    <w:rsid w:val="00453508"/>
    <w:rsid w:val="00453F9D"/>
    <w:rsid w:val="00454D13"/>
    <w:rsid w:val="004556FE"/>
    <w:rsid w:val="00457318"/>
    <w:rsid w:val="00457462"/>
    <w:rsid w:val="00460D63"/>
    <w:rsid w:val="004611E2"/>
    <w:rsid w:val="0046238F"/>
    <w:rsid w:val="00462630"/>
    <w:rsid w:val="00462CD8"/>
    <w:rsid w:val="00463D25"/>
    <w:rsid w:val="00463F7E"/>
    <w:rsid w:val="00464A40"/>
    <w:rsid w:val="00464B72"/>
    <w:rsid w:val="00465B4B"/>
    <w:rsid w:val="00465E21"/>
    <w:rsid w:val="00467805"/>
    <w:rsid w:val="00467E23"/>
    <w:rsid w:val="0047093D"/>
    <w:rsid w:val="00470A6B"/>
    <w:rsid w:val="0047217F"/>
    <w:rsid w:val="00472FA7"/>
    <w:rsid w:val="00473446"/>
    <w:rsid w:val="004747F6"/>
    <w:rsid w:val="00474D0D"/>
    <w:rsid w:val="00475F5D"/>
    <w:rsid w:val="00477550"/>
    <w:rsid w:val="0047785D"/>
    <w:rsid w:val="0048060D"/>
    <w:rsid w:val="00480BAF"/>
    <w:rsid w:val="00483588"/>
    <w:rsid w:val="00483625"/>
    <w:rsid w:val="00483E37"/>
    <w:rsid w:val="004842A4"/>
    <w:rsid w:val="00484FB4"/>
    <w:rsid w:val="004858F8"/>
    <w:rsid w:val="0048684F"/>
    <w:rsid w:val="00486850"/>
    <w:rsid w:val="00486D1F"/>
    <w:rsid w:val="004909AE"/>
    <w:rsid w:val="00491411"/>
    <w:rsid w:val="00491624"/>
    <w:rsid w:val="0049205E"/>
    <w:rsid w:val="004926FA"/>
    <w:rsid w:val="00492E7B"/>
    <w:rsid w:val="004951A3"/>
    <w:rsid w:val="004953B4"/>
    <w:rsid w:val="00495CA1"/>
    <w:rsid w:val="00496AE8"/>
    <w:rsid w:val="004972F6"/>
    <w:rsid w:val="00497723"/>
    <w:rsid w:val="00497D0A"/>
    <w:rsid w:val="004A048D"/>
    <w:rsid w:val="004A0649"/>
    <w:rsid w:val="004A1092"/>
    <w:rsid w:val="004A241A"/>
    <w:rsid w:val="004A32EF"/>
    <w:rsid w:val="004A3609"/>
    <w:rsid w:val="004A3F40"/>
    <w:rsid w:val="004A5550"/>
    <w:rsid w:val="004A5645"/>
    <w:rsid w:val="004A57E0"/>
    <w:rsid w:val="004A5C3E"/>
    <w:rsid w:val="004A5DCD"/>
    <w:rsid w:val="004A7770"/>
    <w:rsid w:val="004B0378"/>
    <w:rsid w:val="004B1ADB"/>
    <w:rsid w:val="004B22BC"/>
    <w:rsid w:val="004B2442"/>
    <w:rsid w:val="004B2888"/>
    <w:rsid w:val="004B311C"/>
    <w:rsid w:val="004B3294"/>
    <w:rsid w:val="004B34E6"/>
    <w:rsid w:val="004B4112"/>
    <w:rsid w:val="004B4BB0"/>
    <w:rsid w:val="004B5682"/>
    <w:rsid w:val="004B5D49"/>
    <w:rsid w:val="004B601A"/>
    <w:rsid w:val="004C08BA"/>
    <w:rsid w:val="004C0FD5"/>
    <w:rsid w:val="004C1119"/>
    <w:rsid w:val="004C11D9"/>
    <w:rsid w:val="004C144C"/>
    <w:rsid w:val="004C15C3"/>
    <w:rsid w:val="004C21D4"/>
    <w:rsid w:val="004C2C07"/>
    <w:rsid w:val="004C2E96"/>
    <w:rsid w:val="004C301C"/>
    <w:rsid w:val="004C3037"/>
    <w:rsid w:val="004C4CE3"/>
    <w:rsid w:val="004C54A1"/>
    <w:rsid w:val="004C57EF"/>
    <w:rsid w:val="004C5B20"/>
    <w:rsid w:val="004C5CA7"/>
    <w:rsid w:val="004C6069"/>
    <w:rsid w:val="004C6236"/>
    <w:rsid w:val="004D17B7"/>
    <w:rsid w:val="004D232B"/>
    <w:rsid w:val="004D2FD0"/>
    <w:rsid w:val="004D3C07"/>
    <w:rsid w:val="004D582D"/>
    <w:rsid w:val="004D6D87"/>
    <w:rsid w:val="004D7701"/>
    <w:rsid w:val="004D7DF2"/>
    <w:rsid w:val="004D7EFE"/>
    <w:rsid w:val="004E02E2"/>
    <w:rsid w:val="004E1316"/>
    <w:rsid w:val="004E133D"/>
    <w:rsid w:val="004E1345"/>
    <w:rsid w:val="004E1619"/>
    <w:rsid w:val="004E1967"/>
    <w:rsid w:val="004E1B4F"/>
    <w:rsid w:val="004E353F"/>
    <w:rsid w:val="004E3AF8"/>
    <w:rsid w:val="004E64CA"/>
    <w:rsid w:val="004E6D1A"/>
    <w:rsid w:val="004E72FB"/>
    <w:rsid w:val="004E7F2C"/>
    <w:rsid w:val="004F0E59"/>
    <w:rsid w:val="004F1382"/>
    <w:rsid w:val="004F14FB"/>
    <w:rsid w:val="004F2E28"/>
    <w:rsid w:val="004F3BAD"/>
    <w:rsid w:val="004F3C63"/>
    <w:rsid w:val="004F4663"/>
    <w:rsid w:val="004F4BA0"/>
    <w:rsid w:val="004F4C90"/>
    <w:rsid w:val="004F55CA"/>
    <w:rsid w:val="004F6071"/>
    <w:rsid w:val="004F644B"/>
    <w:rsid w:val="004F74D6"/>
    <w:rsid w:val="004F7B0C"/>
    <w:rsid w:val="004F7CE6"/>
    <w:rsid w:val="004F7E71"/>
    <w:rsid w:val="0050098E"/>
    <w:rsid w:val="00500B79"/>
    <w:rsid w:val="0050183F"/>
    <w:rsid w:val="00501A51"/>
    <w:rsid w:val="00502016"/>
    <w:rsid w:val="00502449"/>
    <w:rsid w:val="00502D1D"/>
    <w:rsid w:val="00502F22"/>
    <w:rsid w:val="005036B1"/>
    <w:rsid w:val="0050557B"/>
    <w:rsid w:val="005055B6"/>
    <w:rsid w:val="00505979"/>
    <w:rsid w:val="005059AC"/>
    <w:rsid w:val="00505AD5"/>
    <w:rsid w:val="005064B2"/>
    <w:rsid w:val="00506C1C"/>
    <w:rsid w:val="00507A42"/>
    <w:rsid w:val="00511787"/>
    <w:rsid w:val="00511862"/>
    <w:rsid w:val="005122AE"/>
    <w:rsid w:val="00513A46"/>
    <w:rsid w:val="005149EC"/>
    <w:rsid w:val="005153A6"/>
    <w:rsid w:val="00515802"/>
    <w:rsid w:val="00515A57"/>
    <w:rsid w:val="00516255"/>
    <w:rsid w:val="00516287"/>
    <w:rsid w:val="00516CA7"/>
    <w:rsid w:val="00517203"/>
    <w:rsid w:val="00517546"/>
    <w:rsid w:val="00520269"/>
    <w:rsid w:val="00520A00"/>
    <w:rsid w:val="005213C6"/>
    <w:rsid w:val="00521C13"/>
    <w:rsid w:val="00522BEF"/>
    <w:rsid w:val="00523E95"/>
    <w:rsid w:val="005249F9"/>
    <w:rsid w:val="00524A56"/>
    <w:rsid w:val="0052512F"/>
    <w:rsid w:val="005254B2"/>
    <w:rsid w:val="0052552D"/>
    <w:rsid w:val="00525FD0"/>
    <w:rsid w:val="00526CAD"/>
    <w:rsid w:val="00530AA6"/>
    <w:rsid w:val="005311A7"/>
    <w:rsid w:val="005315C6"/>
    <w:rsid w:val="0053170B"/>
    <w:rsid w:val="00532084"/>
    <w:rsid w:val="005337C7"/>
    <w:rsid w:val="00533840"/>
    <w:rsid w:val="0053390B"/>
    <w:rsid w:val="00533CE4"/>
    <w:rsid w:val="005340CD"/>
    <w:rsid w:val="00534258"/>
    <w:rsid w:val="00535470"/>
    <w:rsid w:val="005359E4"/>
    <w:rsid w:val="00536E52"/>
    <w:rsid w:val="005422F1"/>
    <w:rsid w:val="0054246B"/>
    <w:rsid w:val="00542734"/>
    <w:rsid w:val="00542BAD"/>
    <w:rsid w:val="00542F71"/>
    <w:rsid w:val="00543086"/>
    <w:rsid w:val="00543AE7"/>
    <w:rsid w:val="00543B4F"/>
    <w:rsid w:val="00544110"/>
    <w:rsid w:val="0054434E"/>
    <w:rsid w:val="00545020"/>
    <w:rsid w:val="00545366"/>
    <w:rsid w:val="00545871"/>
    <w:rsid w:val="00545A48"/>
    <w:rsid w:val="0054688B"/>
    <w:rsid w:val="00550149"/>
    <w:rsid w:val="00552624"/>
    <w:rsid w:val="0055284B"/>
    <w:rsid w:val="00553208"/>
    <w:rsid w:val="005534A6"/>
    <w:rsid w:val="00553709"/>
    <w:rsid w:val="0055425E"/>
    <w:rsid w:val="00554602"/>
    <w:rsid w:val="00554B77"/>
    <w:rsid w:val="0055568E"/>
    <w:rsid w:val="00555FC1"/>
    <w:rsid w:val="00557D98"/>
    <w:rsid w:val="00560084"/>
    <w:rsid w:val="00562573"/>
    <w:rsid w:val="0056293B"/>
    <w:rsid w:val="0056393B"/>
    <w:rsid w:val="005645C4"/>
    <w:rsid w:val="005646E9"/>
    <w:rsid w:val="00564D06"/>
    <w:rsid w:val="005659CF"/>
    <w:rsid w:val="005662D6"/>
    <w:rsid w:val="00566D0D"/>
    <w:rsid w:val="00566FBA"/>
    <w:rsid w:val="0056709E"/>
    <w:rsid w:val="005705E5"/>
    <w:rsid w:val="00570701"/>
    <w:rsid w:val="0057087C"/>
    <w:rsid w:val="0057100F"/>
    <w:rsid w:val="005710FA"/>
    <w:rsid w:val="00571137"/>
    <w:rsid w:val="005719F5"/>
    <w:rsid w:val="005728E6"/>
    <w:rsid w:val="0057361E"/>
    <w:rsid w:val="005740E2"/>
    <w:rsid w:val="005754E2"/>
    <w:rsid w:val="005758CE"/>
    <w:rsid w:val="005760D7"/>
    <w:rsid w:val="005765AA"/>
    <w:rsid w:val="005767C7"/>
    <w:rsid w:val="00576A75"/>
    <w:rsid w:val="005819AD"/>
    <w:rsid w:val="00581B0D"/>
    <w:rsid w:val="00581B9B"/>
    <w:rsid w:val="00581E55"/>
    <w:rsid w:val="00583435"/>
    <w:rsid w:val="0058349C"/>
    <w:rsid w:val="00584252"/>
    <w:rsid w:val="00584B76"/>
    <w:rsid w:val="00584EB0"/>
    <w:rsid w:val="00585772"/>
    <w:rsid w:val="00585BB2"/>
    <w:rsid w:val="0058632D"/>
    <w:rsid w:val="00586352"/>
    <w:rsid w:val="00586428"/>
    <w:rsid w:val="00586758"/>
    <w:rsid w:val="00587A6E"/>
    <w:rsid w:val="00587CEE"/>
    <w:rsid w:val="00590A0D"/>
    <w:rsid w:val="005914F0"/>
    <w:rsid w:val="0059187C"/>
    <w:rsid w:val="00592A42"/>
    <w:rsid w:val="00593A09"/>
    <w:rsid w:val="00593F37"/>
    <w:rsid w:val="005940C8"/>
    <w:rsid w:val="005957C6"/>
    <w:rsid w:val="00596D4A"/>
    <w:rsid w:val="00596FD1"/>
    <w:rsid w:val="00597D0F"/>
    <w:rsid w:val="005A0248"/>
    <w:rsid w:val="005A04B6"/>
    <w:rsid w:val="005A0605"/>
    <w:rsid w:val="005A13C1"/>
    <w:rsid w:val="005A33DE"/>
    <w:rsid w:val="005A3766"/>
    <w:rsid w:val="005A3A91"/>
    <w:rsid w:val="005A514F"/>
    <w:rsid w:val="005A516A"/>
    <w:rsid w:val="005A558E"/>
    <w:rsid w:val="005A56D1"/>
    <w:rsid w:val="005A590F"/>
    <w:rsid w:val="005A5FB8"/>
    <w:rsid w:val="005A7B3D"/>
    <w:rsid w:val="005B1D47"/>
    <w:rsid w:val="005B20FA"/>
    <w:rsid w:val="005B4A73"/>
    <w:rsid w:val="005B4D76"/>
    <w:rsid w:val="005B4FFA"/>
    <w:rsid w:val="005B58C4"/>
    <w:rsid w:val="005B6B4A"/>
    <w:rsid w:val="005B75D3"/>
    <w:rsid w:val="005B7D85"/>
    <w:rsid w:val="005C1A9A"/>
    <w:rsid w:val="005C2116"/>
    <w:rsid w:val="005C2654"/>
    <w:rsid w:val="005C2D05"/>
    <w:rsid w:val="005C3132"/>
    <w:rsid w:val="005C3B04"/>
    <w:rsid w:val="005C4245"/>
    <w:rsid w:val="005C4C1D"/>
    <w:rsid w:val="005C4F96"/>
    <w:rsid w:val="005C6C04"/>
    <w:rsid w:val="005C7157"/>
    <w:rsid w:val="005C75B6"/>
    <w:rsid w:val="005D0264"/>
    <w:rsid w:val="005D034B"/>
    <w:rsid w:val="005D047B"/>
    <w:rsid w:val="005D2237"/>
    <w:rsid w:val="005D2E26"/>
    <w:rsid w:val="005D2F42"/>
    <w:rsid w:val="005D3060"/>
    <w:rsid w:val="005D5EFE"/>
    <w:rsid w:val="005D6B6A"/>
    <w:rsid w:val="005D6C46"/>
    <w:rsid w:val="005D7A27"/>
    <w:rsid w:val="005E165E"/>
    <w:rsid w:val="005E4253"/>
    <w:rsid w:val="005E69FE"/>
    <w:rsid w:val="005E7049"/>
    <w:rsid w:val="005F1AB4"/>
    <w:rsid w:val="005F31B8"/>
    <w:rsid w:val="005F3727"/>
    <w:rsid w:val="005F3B91"/>
    <w:rsid w:val="005F5306"/>
    <w:rsid w:val="005F5F34"/>
    <w:rsid w:val="005F62A7"/>
    <w:rsid w:val="005F62B3"/>
    <w:rsid w:val="005F7319"/>
    <w:rsid w:val="005F760D"/>
    <w:rsid w:val="005F7803"/>
    <w:rsid w:val="006003F5"/>
    <w:rsid w:val="00601875"/>
    <w:rsid w:val="00602828"/>
    <w:rsid w:val="00602CAC"/>
    <w:rsid w:val="00602DB1"/>
    <w:rsid w:val="00603A44"/>
    <w:rsid w:val="00603CF5"/>
    <w:rsid w:val="00603D83"/>
    <w:rsid w:val="0060480D"/>
    <w:rsid w:val="006061A1"/>
    <w:rsid w:val="00606EFD"/>
    <w:rsid w:val="00610389"/>
    <w:rsid w:val="006119DD"/>
    <w:rsid w:val="00611A0A"/>
    <w:rsid w:val="00612241"/>
    <w:rsid w:val="0061371F"/>
    <w:rsid w:val="00613B29"/>
    <w:rsid w:val="00615176"/>
    <w:rsid w:val="00615B9D"/>
    <w:rsid w:val="00617C93"/>
    <w:rsid w:val="00617D61"/>
    <w:rsid w:val="00617F38"/>
    <w:rsid w:val="0062139F"/>
    <w:rsid w:val="00621575"/>
    <w:rsid w:val="00621ED6"/>
    <w:rsid w:val="00623A1B"/>
    <w:rsid w:val="00623DFA"/>
    <w:rsid w:val="006257A1"/>
    <w:rsid w:val="006257AC"/>
    <w:rsid w:val="00627702"/>
    <w:rsid w:val="0063075C"/>
    <w:rsid w:val="006309A2"/>
    <w:rsid w:val="00631137"/>
    <w:rsid w:val="00631BBA"/>
    <w:rsid w:val="0063264F"/>
    <w:rsid w:val="00632FD1"/>
    <w:rsid w:val="006336EF"/>
    <w:rsid w:val="006338BF"/>
    <w:rsid w:val="00634025"/>
    <w:rsid w:val="006348BE"/>
    <w:rsid w:val="00634E4E"/>
    <w:rsid w:val="006357B6"/>
    <w:rsid w:val="00635E94"/>
    <w:rsid w:val="00637621"/>
    <w:rsid w:val="00637E17"/>
    <w:rsid w:val="00637F77"/>
    <w:rsid w:val="00641266"/>
    <w:rsid w:val="0064179A"/>
    <w:rsid w:val="0064220D"/>
    <w:rsid w:val="00642D10"/>
    <w:rsid w:val="006433FB"/>
    <w:rsid w:val="00643D7F"/>
    <w:rsid w:val="006441A3"/>
    <w:rsid w:val="006441F2"/>
    <w:rsid w:val="006443B6"/>
    <w:rsid w:val="006444D7"/>
    <w:rsid w:val="006458A2"/>
    <w:rsid w:val="00646893"/>
    <w:rsid w:val="00647943"/>
    <w:rsid w:val="006513F6"/>
    <w:rsid w:val="00652040"/>
    <w:rsid w:val="0065218B"/>
    <w:rsid w:val="006527F7"/>
    <w:rsid w:val="00654790"/>
    <w:rsid w:val="00654A94"/>
    <w:rsid w:val="00657022"/>
    <w:rsid w:val="00657822"/>
    <w:rsid w:val="006578F1"/>
    <w:rsid w:val="00657EA5"/>
    <w:rsid w:val="0066156C"/>
    <w:rsid w:val="006621C3"/>
    <w:rsid w:val="00662B73"/>
    <w:rsid w:val="0066382B"/>
    <w:rsid w:val="0066462A"/>
    <w:rsid w:val="006659CE"/>
    <w:rsid w:val="00665BE6"/>
    <w:rsid w:val="006667DB"/>
    <w:rsid w:val="00666BA5"/>
    <w:rsid w:val="00667E4F"/>
    <w:rsid w:val="006714CD"/>
    <w:rsid w:val="006720DC"/>
    <w:rsid w:val="006721BF"/>
    <w:rsid w:val="00672CEF"/>
    <w:rsid w:val="006741AE"/>
    <w:rsid w:val="00674AB6"/>
    <w:rsid w:val="00675776"/>
    <w:rsid w:val="0067588A"/>
    <w:rsid w:val="00675A06"/>
    <w:rsid w:val="00676E42"/>
    <w:rsid w:val="00677B6E"/>
    <w:rsid w:val="00680262"/>
    <w:rsid w:val="0068200F"/>
    <w:rsid w:val="006829F1"/>
    <w:rsid w:val="00683A9C"/>
    <w:rsid w:val="00684340"/>
    <w:rsid w:val="006845B9"/>
    <w:rsid w:val="00684852"/>
    <w:rsid w:val="00685805"/>
    <w:rsid w:val="00685AB4"/>
    <w:rsid w:val="0068634C"/>
    <w:rsid w:val="006874BF"/>
    <w:rsid w:val="00690F82"/>
    <w:rsid w:val="0069173E"/>
    <w:rsid w:val="0069237D"/>
    <w:rsid w:val="006926BA"/>
    <w:rsid w:val="00693EB4"/>
    <w:rsid w:val="00694A32"/>
    <w:rsid w:val="00695772"/>
    <w:rsid w:val="00695F13"/>
    <w:rsid w:val="00696929"/>
    <w:rsid w:val="00697DA3"/>
    <w:rsid w:val="006A03D3"/>
    <w:rsid w:val="006A082D"/>
    <w:rsid w:val="006A0A9B"/>
    <w:rsid w:val="006A1475"/>
    <w:rsid w:val="006A16A2"/>
    <w:rsid w:val="006A16F1"/>
    <w:rsid w:val="006A19B4"/>
    <w:rsid w:val="006A1C6D"/>
    <w:rsid w:val="006A3F98"/>
    <w:rsid w:val="006A45B4"/>
    <w:rsid w:val="006A4630"/>
    <w:rsid w:val="006A4B8D"/>
    <w:rsid w:val="006A4D2B"/>
    <w:rsid w:val="006A697D"/>
    <w:rsid w:val="006A7031"/>
    <w:rsid w:val="006A708C"/>
    <w:rsid w:val="006A7A58"/>
    <w:rsid w:val="006B03BC"/>
    <w:rsid w:val="006B0900"/>
    <w:rsid w:val="006B09D6"/>
    <w:rsid w:val="006B0B9C"/>
    <w:rsid w:val="006B0E41"/>
    <w:rsid w:val="006B183D"/>
    <w:rsid w:val="006B229E"/>
    <w:rsid w:val="006B2478"/>
    <w:rsid w:val="006B3B39"/>
    <w:rsid w:val="006B3BF9"/>
    <w:rsid w:val="006B50D4"/>
    <w:rsid w:val="006B53E9"/>
    <w:rsid w:val="006B66BD"/>
    <w:rsid w:val="006C031E"/>
    <w:rsid w:val="006C1744"/>
    <w:rsid w:val="006C1BA5"/>
    <w:rsid w:val="006C1CE0"/>
    <w:rsid w:val="006C5FAB"/>
    <w:rsid w:val="006C683C"/>
    <w:rsid w:val="006C68A3"/>
    <w:rsid w:val="006C6AA8"/>
    <w:rsid w:val="006D060C"/>
    <w:rsid w:val="006D0A35"/>
    <w:rsid w:val="006D0B63"/>
    <w:rsid w:val="006D0D3F"/>
    <w:rsid w:val="006D1924"/>
    <w:rsid w:val="006D28EB"/>
    <w:rsid w:val="006D29E8"/>
    <w:rsid w:val="006D39AF"/>
    <w:rsid w:val="006D5DE7"/>
    <w:rsid w:val="006D7D80"/>
    <w:rsid w:val="006E10B7"/>
    <w:rsid w:val="006E29C0"/>
    <w:rsid w:val="006E4CB5"/>
    <w:rsid w:val="006E517D"/>
    <w:rsid w:val="006E5707"/>
    <w:rsid w:val="006E5D33"/>
    <w:rsid w:val="006E5ECF"/>
    <w:rsid w:val="006E6983"/>
    <w:rsid w:val="006E765A"/>
    <w:rsid w:val="006E779E"/>
    <w:rsid w:val="006E7FF6"/>
    <w:rsid w:val="006F13D4"/>
    <w:rsid w:val="006F1D8A"/>
    <w:rsid w:val="006F66AD"/>
    <w:rsid w:val="006F693C"/>
    <w:rsid w:val="006F6E40"/>
    <w:rsid w:val="007000B5"/>
    <w:rsid w:val="00700495"/>
    <w:rsid w:val="0070212E"/>
    <w:rsid w:val="0070265A"/>
    <w:rsid w:val="007027A7"/>
    <w:rsid w:val="00702D46"/>
    <w:rsid w:val="00703260"/>
    <w:rsid w:val="00703406"/>
    <w:rsid w:val="007039B8"/>
    <w:rsid w:val="007040AB"/>
    <w:rsid w:val="0070417E"/>
    <w:rsid w:val="00704CB9"/>
    <w:rsid w:val="0070530F"/>
    <w:rsid w:val="00705733"/>
    <w:rsid w:val="007061DC"/>
    <w:rsid w:val="0070632C"/>
    <w:rsid w:val="007071B8"/>
    <w:rsid w:val="00707510"/>
    <w:rsid w:val="00707A89"/>
    <w:rsid w:val="00707AEF"/>
    <w:rsid w:val="00707B8F"/>
    <w:rsid w:val="00707E58"/>
    <w:rsid w:val="00710554"/>
    <w:rsid w:val="00710A8E"/>
    <w:rsid w:val="007115D1"/>
    <w:rsid w:val="007119DD"/>
    <w:rsid w:val="00711FCD"/>
    <w:rsid w:val="007123CB"/>
    <w:rsid w:val="00712BFC"/>
    <w:rsid w:val="00712F8E"/>
    <w:rsid w:val="00714334"/>
    <w:rsid w:val="00714628"/>
    <w:rsid w:val="00714FAF"/>
    <w:rsid w:val="00717192"/>
    <w:rsid w:val="0071728D"/>
    <w:rsid w:val="007177DA"/>
    <w:rsid w:val="007179B2"/>
    <w:rsid w:val="00720409"/>
    <w:rsid w:val="00720738"/>
    <w:rsid w:val="00721325"/>
    <w:rsid w:val="007213E6"/>
    <w:rsid w:val="0072223B"/>
    <w:rsid w:val="007222BC"/>
    <w:rsid w:val="00722D84"/>
    <w:rsid w:val="00724124"/>
    <w:rsid w:val="007242D3"/>
    <w:rsid w:val="00724FF3"/>
    <w:rsid w:val="007265F3"/>
    <w:rsid w:val="00727096"/>
    <w:rsid w:val="00727368"/>
    <w:rsid w:val="007322B2"/>
    <w:rsid w:val="007325C5"/>
    <w:rsid w:val="007377AB"/>
    <w:rsid w:val="00737CFD"/>
    <w:rsid w:val="00740B2D"/>
    <w:rsid w:val="007412EF"/>
    <w:rsid w:val="00741C11"/>
    <w:rsid w:val="007428CC"/>
    <w:rsid w:val="00742AD7"/>
    <w:rsid w:val="00742B1E"/>
    <w:rsid w:val="00744521"/>
    <w:rsid w:val="00744896"/>
    <w:rsid w:val="00744C60"/>
    <w:rsid w:val="0074504E"/>
    <w:rsid w:val="007457E0"/>
    <w:rsid w:val="00745835"/>
    <w:rsid w:val="007462A0"/>
    <w:rsid w:val="0074641A"/>
    <w:rsid w:val="0074777F"/>
    <w:rsid w:val="00751BB7"/>
    <w:rsid w:val="0075238D"/>
    <w:rsid w:val="00752607"/>
    <w:rsid w:val="007535D8"/>
    <w:rsid w:val="00754353"/>
    <w:rsid w:val="00754490"/>
    <w:rsid w:val="0075502F"/>
    <w:rsid w:val="0075573D"/>
    <w:rsid w:val="00755EED"/>
    <w:rsid w:val="0075673C"/>
    <w:rsid w:val="00756B0F"/>
    <w:rsid w:val="00757515"/>
    <w:rsid w:val="00757627"/>
    <w:rsid w:val="0075764B"/>
    <w:rsid w:val="00760217"/>
    <w:rsid w:val="00760C63"/>
    <w:rsid w:val="00761A40"/>
    <w:rsid w:val="00761BB1"/>
    <w:rsid w:val="00761BBF"/>
    <w:rsid w:val="007621B7"/>
    <w:rsid w:val="007633E8"/>
    <w:rsid w:val="00764C38"/>
    <w:rsid w:val="00765020"/>
    <w:rsid w:val="007661EF"/>
    <w:rsid w:val="00767114"/>
    <w:rsid w:val="00770060"/>
    <w:rsid w:val="00772790"/>
    <w:rsid w:val="00772941"/>
    <w:rsid w:val="00772A18"/>
    <w:rsid w:val="00772FA3"/>
    <w:rsid w:val="00773849"/>
    <w:rsid w:val="007738AA"/>
    <w:rsid w:val="007755C2"/>
    <w:rsid w:val="00775CEB"/>
    <w:rsid w:val="0077672D"/>
    <w:rsid w:val="00776DEE"/>
    <w:rsid w:val="00780635"/>
    <w:rsid w:val="00780640"/>
    <w:rsid w:val="007817D8"/>
    <w:rsid w:val="0078246C"/>
    <w:rsid w:val="007829C9"/>
    <w:rsid w:val="00783640"/>
    <w:rsid w:val="00784190"/>
    <w:rsid w:val="00784941"/>
    <w:rsid w:val="00784DE2"/>
    <w:rsid w:val="007859A8"/>
    <w:rsid w:val="00785A35"/>
    <w:rsid w:val="0078634F"/>
    <w:rsid w:val="0078692F"/>
    <w:rsid w:val="00786D9C"/>
    <w:rsid w:val="0079090E"/>
    <w:rsid w:val="00791028"/>
    <w:rsid w:val="00791175"/>
    <w:rsid w:val="00791583"/>
    <w:rsid w:val="00792002"/>
    <w:rsid w:val="0079343E"/>
    <w:rsid w:val="00793906"/>
    <w:rsid w:val="0079665D"/>
    <w:rsid w:val="00797A1C"/>
    <w:rsid w:val="007A085F"/>
    <w:rsid w:val="007A0F5A"/>
    <w:rsid w:val="007A16B6"/>
    <w:rsid w:val="007A1FE8"/>
    <w:rsid w:val="007A3725"/>
    <w:rsid w:val="007A3808"/>
    <w:rsid w:val="007A3AA9"/>
    <w:rsid w:val="007A6F5D"/>
    <w:rsid w:val="007A7AA9"/>
    <w:rsid w:val="007B08C3"/>
    <w:rsid w:val="007B09CE"/>
    <w:rsid w:val="007B0B4D"/>
    <w:rsid w:val="007B1FF8"/>
    <w:rsid w:val="007B2EA4"/>
    <w:rsid w:val="007B536A"/>
    <w:rsid w:val="007B5D9C"/>
    <w:rsid w:val="007B6335"/>
    <w:rsid w:val="007B6F5E"/>
    <w:rsid w:val="007B6FD3"/>
    <w:rsid w:val="007B753C"/>
    <w:rsid w:val="007C043C"/>
    <w:rsid w:val="007C0641"/>
    <w:rsid w:val="007C06E3"/>
    <w:rsid w:val="007C087E"/>
    <w:rsid w:val="007C166B"/>
    <w:rsid w:val="007C17EC"/>
    <w:rsid w:val="007C2625"/>
    <w:rsid w:val="007C2655"/>
    <w:rsid w:val="007C31A5"/>
    <w:rsid w:val="007C3395"/>
    <w:rsid w:val="007C380C"/>
    <w:rsid w:val="007C44EE"/>
    <w:rsid w:val="007C45A9"/>
    <w:rsid w:val="007C4811"/>
    <w:rsid w:val="007C4A13"/>
    <w:rsid w:val="007C50DC"/>
    <w:rsid w:val="007C53D1"/>
    <w:rsid w:val="007C7051"/>
    <w:rsid w:val="007C7569"/>
    <w:rsid w:val="007C7731"/>
    <w:rsid w:val="007C786D"/>
    <w:rsid w:val="007D0A85"/>
    <w:rsid w:val="007D0AE1"/>
    <w:rsid w:val="007D0F2B"/>
    <w:rsid w:val="007D1F21"/>
    <w:rsid w:val="007D1FFF"/>
    <w:rsid w:val="007D217A"/>
    <w:rsid w:val="007D2D23"/>
    <w:rsid w:val="007D3092"/>
    <w:rsid w:val="007D33C1"/>
    <w:rsid w:val="007D3B5A"/>
    <w:rsid w:val="007D4862"/>
    <w:rsid w:val="007D5389"/>
    <w:rsid w:val="007D5EBD"/>
    <w:rsid w:val="007D7659"/>
    <w:rsid w:val="007D7D96"/>
    <w:rsid w:val="007E0E10"/>
    <w:rsid w:val="007E3F5A"/>
    <w:rsid w:val="007E4B64"/>
    <w:rsid w:val="007E7499"/>
    <w:rsid w:val="007E7ADC"/>
    <w:rsid w:val="007F0288"/>
    <w:rsid w:val="007F0F5A"/>
    <w:rsid w:val="007F1A57"/>
    <w:rsid w:val="007F26E7"/>
    <w:rsid w:val="007F2F25"/>
    <w:rsid w:val="007F34E3"/>
    <w:rsid w:val="007F400C"/>
    <w:rsid w:val="007F45DB"/>
    <w:rsid w:val="007F4C2A"/>
    <w:rsid w:val="007F5AC6"/>
    <w:rsid w:val="007F6972"/>
    <w:rsid w:val="007F77E7"/>
    <w:rsid w:val="007F78FE"/>
    <w:rsid w:val="00800132"/>
    <w:rsid w:val="008004B8"/>
    <w:rsid w:val="00800BE1"/>
    <w:rsid w:val="0080168E"/>
    <w:rsid w:val="008017C6"/>
    <w:rsid w:val="00802255"/>
    <w:rsid w:val="00802667"/>
    <w:rsid w:val="008029E7"/>
    <w:rsid w:val="00802E85"/>
    <w:rsid w:val="00805660"/>
    <w:rsid w:val="008058F7"/>
    <w:rsid w:val="00806A36"/>
    <w:rsid w:val="00806D94"/>
    <w:rsid w:val="00810A02"/>
    <w:rsid w:val="00810B4A"/>
    <w:rsid w:val="0081135E"/>
    <w:rsid w:val="00811468"/>
    <w:rsid w:val="0081156C"/>
    <w:rsid w:val="0081225B"/>
    <w:rsid w:val="00812E70"/>
    <w:rsid w:val="00813062"/>
    <w:rsid w:val="00813F18"/>
    <w:rsid w:val="00815771"/>
    <w:rsid w:val="00815D07"/>
    <w:rsid w:val="00816D7E"/>
    <w:rsid w:val="00817563"/>
    <w:rsid w:val="008175DB"/>
    <w:rsid w:val="00817C28"/>
    <w:rsid w:val="00820B40"/>
    <w:rsid w:val="0082173D"/>
    <w:rsid w:val="00821797"/>
    <w:rsid w:val="00821D41"/>
    <w:rsid w:val="00821FD8"/>
    <w:rsid w:val="00822DED"/>
    <w:rsid w:val="00823992"/>
    <w:rsid w:val="00823D45"/>
    <w:rsid w:val="00824A33"/>
    <w:rsid w:val="008253C8"/>
    <w:rsid w:val="00825452"/>
    <w:rsid w:val="0082548B"/>
    <w:rsid w:val="008266F8"/>
    <w:rsid w:val="00826860"/>
    <w:rsid w:val="008274D4"/>
    <w:rsid w:val="0082772C"/>
    <w:rsid w:val="00827819"/>
    <w:rsid w:val="00827C17"/>
    <w:rsid w:val="00827E6F"/>
    <w:rsid w:val="00830AC2"/>
    <w:rsid w:val="00831C58"/>
    <w:rsid w:val="0083252A"/>
    <w:rsid w:val="008329F7"/>
    <w:rsid w:val="0083327C"/>
    <w:rsid w:val="0083377C"/>
    <w:rsid w:val="00834DCA"/>
    <w:rsid w:val="00834F16"/>
    <w:rsid w:val="008350F8"/>
    <w:rsid w:val="008352C8"/>
    <w:rsid w:val="00835DAB"/>
    <w:rsid w:val="00836012"/>
    <w:rsid w:val="0083694B"/>
    <w:rsid w:val="00837C61"/>
    <w:rsid w:val="00837CEC"/>
    <w:rsid w:val="00840B9F"/>
    <w:rsid w:val="00840FF1"/>
    <w:rsid w:val="008410BB"/>
    <w:rsid w:val="00841EF5"/>
    <w:rsid w:val="00842799"/>
    <w:rsid w:val="008428A7"/>
    <w:rsid w:val="0084303C"/>
    <w:rsid w:val="00843251"/>
    <w:rsid w:val="008433D7"/>
    <w:rsid w:val="0084438B"/>
    <w:rsid w:val="00845471"/>
    <w:rsid w:val="0084644D"/>
    <w:rsid w:val="00846C87"/>
    <w:rsid w:val="0084728A"/>
    <w:rsid w:val="00847457"/>
    <w:rsid w:val="00847BDD"/>
    <w:rsid w:val="00847CE4"/>
    <w:rsid w:val="00852444"/>
    <w:rsid w:val="00852B70"/>
    <w:rsid w:val="008538A6"/>
    <w:rsid w:val="00853C46"/>
    <w:rsid w:val="00854DAA"/>
    <w:rsid w:val="00856525"/>
    <w:rsid w:val="00856B6D"/>
    <w:rsid w:val="00856D13"/>
    <w:rsid w:val="008570B2"/>
    <w:rsid w:val="008605E0"/>
    <w:rsid w:val="00861F74"/>
    <w:rsid w:val="00862185"/>
    <w:rsid w:val="0086318B"/>
    <w:rsid w:val="008631E8"/>
    <w:rsid w:val="00863DBC"/>
    <w:rsid w:val="0086505D"/>
    <w:rsid w:val="008655CB"/>
    <w:rsid w:val="008670BE"/>
    <w:rsid w:val="0086782F"/>
    <w:rsid w:val="00870FF6"/>
    <w:rsid w:val="00871060"/>
    <w:rsid w:val="00871122"/>
    <w:rsid w:val="008712E0"/>
    <w:rsid w:val="0087317B"/>
    <w:rsid w:val="00873C9E"/>
    <w:rsid w:val="008745CC"/>
    <w:rsid w:val="00874F66"/>
    <w:rsid w:val="00875517"/>
    <w:rsid w:val="00876A2B"/>
    <w:rsid w:val="00877870"/>
    <w:rsid w:val="00877BBB"/>
    <w:rsid w:val="00877DBF"/>
    <w:rsid w:val="00880DCA"/>
    <w:rsid w:val="00883E83"/>
    <w:rsid w:val="0088513A"/>
    <w:rsid w:val="008853F7"/>
    <w:rsid w:val="008865A4"/>
    <w:rsid w:val="00886EBF"/>
    <w:rsid w:val="00887673"/>
    <w:rsid w:val="008901E0"/>
    <w:rsid w:val="008902BE"/>
    <w:rsid w:val="0089038B"/>
    <w:rsid w:val="0089073F"/>
    <w:rsid w:val="00890A46"/>
    <w:rsid w:val="00890C4C"/>
    <w:rsid w:val="00891C46"/>
    <w:rsid w:val="00894A2F"/>
    <w:rsid w:val="0089504F"/>
    <w:rsid w:val="008951D3"/>
    <w:rsid w:val="0089524D"/>
    <w:rsid w:val="008963C9"/>
    <w:rsid w:val="00896541"/>
    <w:rsid w:val="00897170"/>
    <w:rsid w:val="0089736F"/>
    <w:rsid w:val="008A014D"/>
    <w:rsid w:val="008A040F"/>
    <w:rsid w:val="008A09EF"/>
    <w:rsid w:val="008A11B9"/>
    <w:rsid w:val="008A1546"/>
    <w:rsid w:val="008A1729"/>
    <w:rsid w:val="008A2AEC"/>
    <w:rsid w:val="008A2B65"/>
    <w:rsid w:val="008A2E45"/>
    <w:rsid w:val="008A336C"/>
    <w:rsid w:val="008A488C"/>
    <w:rsid w:val="008A4AA6"/>
    <w:rsid w:val="008A4CB9"/>
    <w:rsid w:val="008A5507"/>
    <w:rsid w:val="008A5B8F"/>
    <w:rsid w:val="008A6681"/>
    <w:rsid w:val="008A7D9D"/>
    <w:rsid w:val="008A7E80"/>
    <w:rsid w:val="008B0192"/>
    <w:rsid w:val="008B08BD"/>
    <w:rsid w:val="008B0BF9"/>
    <w:rsid w:val="008B10E1"/>
    <w:rsid w:val="008B1928"/>
    <w:rsid w:val="008B1D19"/>
    <w:rsid w:val="008B4A17"/>
    <w:rsid w:val="008B52FD"/>
    <w:rsid w:val="008B6C99"/>
    <w:rsid w:val="008B7297"/>
    <w:rsid w:val="008B7CB2"/>
    <w:rsid w:val="008C0383"/>
    <w:rsid w:val="008C08D5"/>
    <w:rsid w:val="008C0B18"/>
    <w:rsid w:val="008C0B52"/>
    <w:rsid w:val="008C2175"/>
    <w:rsid w:val="008C376E"/>
    <w:rsid w:val="008C38EC"/>
    <w:rsid w:val="008C3BA9"/>
    <w:rsid w:val="008C404C"/>
    <w:rsid w:val="008C5280"/>
    <w:rsid w:val="008C5449"/>
    <w:rsid w:val="008C56D0"/>
    <w:rsid w:val="008C5A6C"/>
    <w:rsid w:val="008C658B"/>
    <w:rsid w:val="008C6DFE"/>
    <w:rsid w:val="008C6EB8"/>
    <w:rsid w:val="008D0186"/>
    <w:rsid w:val="008D07AA"/>
    <w:rsid w:val="008D1AA4"/>
    <w:rsid w:val="008D2312"/>
    <w:rsid w:val="008D28C0"/>
    <w:rsid w:val="008D2A9C"/>
    <w:rsid w:val="008D3051"/>
    <w:rsid w:val="008D3772"/>
    <w:rsid w:val="008D380C"/>
    <w:rsid w:val="008D3A54"/>
    <w:rsid w:val="008D3BE8"/>
    <w:rsid w:val="008D492E"/>
    <w:rsid w:val="008D53C2"/>
    <w:rsid w:val="008D5699"/>
    <w:rsid w:val="008D605E"/>
    <w:rsid w:val="008D6221"/>
    <w:rsid w:val="008D7D11"/>
    <w:rsid w:val="008E04FA"/>
    <w:rsid w:val="008E136C"/>
    <w:rsid w:val="008E1370"/>
    <w:rsid w:val="008E27E4"/>
    <w:rsid w:val="008E29B6"/>
    <w:rsid w:val="008E3C04"/>
    <w:rsid w:val="008E4A77"/>
    <w:rsid w:val="008E5FBF"/>
    <w:rsid w:val="008E68D0"/>
    <w:rsid w:val="008E6BD8"/>
    <w:rsid w:val="008E6DD2"/>
    <w:rsid w:val="008E7DA6"/>
    <w:rsid w:val="008E7EE1"/>
    <w:rsid w:val="008F0630"/>
    <w:rsid w:val="008F06D3"/>
    <w:rsid w:val="008F1228"/>
    <w:rsid w:val="008F13B1"/>
    <w:rsid w:val="008F1B5C"/>
    <w:rsid w:val="008F255E"/>
    <w:rsid w:val="008F25E5"/>
    <w:rsid w:val="008F291E"/>
    <w:rsid w:val="008F32F6"/>
    <w:rsid w:val="008F3F68"/>
    <w:rsid w:val="008F43D1"/>
    <w:rsid w:val="008F486D"/>
    <w:rsid w:val="008F4FA6"/>
    <w:rsid w:val="008F50D8"/>
    <w:rsid w:val="008F614D"/>
    <w:rsid w:val="008F6177"/>
    <w:rsid w:val="008F6E5D"/>
    <w:rsid w:val="008F6EE2"/>
    <w:rsid w:val="008F7CB0"/>
    <w:rsid w:val="009008F8"/>
    <w:rsid w:val="00900A52"/>
    <w:rsid w:val="009014D1"/>
    <w:rsid w:val="00901E91"/>
    <w:rsid w:val="00902009"/>
    <w:rsid w:val="00902DA9"/>
    <w:rsid w:val="0090341B"/>
    <w:rsid w:val="00906B9F"/>
    <w:rsid w:val="00907137"/>
    <w:rsid w:val="009071A3"/>
    <w:rsid w:val="00911B3F"/>
    <w:rsid w:val="00911C6D"/>
    <w:rsid w:val="00911E1E"/>
    <w:rsid w:val="00912F5B"/>
    <w:rsid w:val="00913DDE"/>
    <w:rsid w:val="009165AA"/>
    <w:rsid w:val="00917157"/>
    <w:rsid w:val="009175ED"/>
    <w:rsid w:val="00920866"/>
    <w:rsid w:val="0092500E"/>
    <w:rsid w:val="00925BEE"/>
    <w:rsid w:val="00925BF3"/>
    <w:rsid w:val="0092688C"/>
    <w:rsid w:val="00926B11"/>
    <w:rsid w:val="00926EC0"/>
    <w:rsid w:val="0092709D"/>
    <w:rsid w:val="00930499"/>
    <w:rsid w:val="00930675"/>
    <w:rsid w:val="009317C1"/>
    <w:rsid w:val="00931D31"/>
    <w:rsid w:val="00932166"/>
    <w:rsid w:val="00932D13"/>
    <w:rsid w:val="00933E17"/>
    <w:rsid w:val="00935370"/>
    <w:rsid w:val="00935D22"/>
    <w:rsid w:val="0093688F"/>
    <w:rsid w:val="00937D99"/>
    <w:rsid w:val="009412B7"/>
    <w:rsid w:val="00942101"/>
    <w:rsid w:val="0094244E"/>
    <w:rsid w:val="0094288E"/>
    <w:rsid w:val="009437DD"/>
    <w:rsid w:val="00944291"/>
    <w:rsid w:val="0094481F"/>
    <w:rsid w:val="00944C14"/>
    <w:rsid w:val="0094707E"/>
    <w:rsid w:val="009476BF"/>
    <w:rsid w:val="00947775"/>
    <w:rsid w:val="0095145C"/>
    <w:rsid w:val="0095163C"/>
    <w:rsid w:val="00951C0F"/>
    <w:rsid w:val="00952624"/>
    <w:rsid w:val="009541E0"/>
    <w:rsid w:val="00954D82"/>
    <w:rsid w:val="0095574B"/>
    <w:rsid w:val="0095624C"/>
    <w:rsid w:val="00961F9F"/>
    <w:rsid w:val="00961FE3"/>
    <w:rsid w:val="0096259E"/>
    <w:rsid w:val="00964F73"/>
    <w:rsid w:val="0096531D"/>
    <w:rsid w:val="00965A73"/>
    <w:rsid w:val="009667AC"/>
    <w:rsid w:val="00967265"/>
    <w:rsid w:val="00967DE4"/>
    <w:rsid w:val="00971137"/>
    <w:rsid w:val="009712C7"/>
    <w:rsid w:val="0097230D"/>
    <w:rsid w:val="00973026"/>
    <w:rsid w:val="00974DAC"/>
    <w:rsid w:val="00975405"/>
    <w:rsid w:val="00975CBE"/>
    <w:rsid w:val="00976083"/>
    <w:rsid w:val="00980B64"/>
    <w:rsid w:val="00980BB9"/>
    <w:rsid w:val="00982ADF"/>
    <w:rsid w:val="00983FCD"/>
    <w:rsid w:val="00984955"/>
    <w:rsid w:val="0098558F"/>
    <w:rsid w:val="0098728A"/>
    <w:rsid w:val="009876F9"/>
    <w:rsid w:val="00987EF1"/>
    <w:rsid w:val="009913BB"/>
    <w:rsid w:val="00991687"/>
    <w:rsid w:val="00992D21"/>
    <w:rsid w:val="0099345E"/>
    <w:rsid w:val="00993D08"/>
    <w:rsid w:val="00994209"/>
    <w:rsid w:val="009943C7"/>
    <w:rsid w:val="00994AE1"/>
    <w:rsid w:val="0099513E"/>
    <w:rsid w:val="00995267"/>
    <w:rsid w:val="00996FD9"/>
    <w:rsid w:val="00997BE6"/>
    <w:rsid w:val="00997E5C"/>
    <w:rsid w:val="009A02D3"/>
    <w:rsid w:val="009A049D"/>
    <w:rsid w:val="009A0A7E"/>
    <w:rsid w:val="009A16BF"/>
    <w:rsid w:val="009A1AE9"/>
    <w:rsid w:val="009A3134"/>
    <w:rsid w:val="009A3D6A"/>
    <w:rsid w:val="009A4A3E"/>
    <w:rsid w:val="009A4B5D"/>
    <w:rsid w:val="009A52AE"/>
    <w:rsid w:val="009A64F4"/>
    <w:rsid w:val="009A65CA"/>
    <w:rsid w:val="009A6E5A"/>
    <w:rsid w:val="009A7ED9"/>
    <w:rsid w:val="009A7FD2"/>
    <w:rsid w:val="009B02E3"/>
    <w:rsid w:val="009B1EC8"/>
    <w:rsid w:val="009B2B77"/>
    <w:rsid w:val="009B2CEF"/>
    <w:rsid w:val="009B2F66"/>
    <w:rsid w:val="009B34AC"/>
    <w:rsid w:val="009B36CD"/>
    <w:rsid w:val="009B3FD0"/>
    <w:rsid w:val="009B4094"/>
    <w:rsid w:val="009B44F9"/>
    <w:rsid w:val="009B4BCE"/>
    <w:rsid w:val="009B574D"/>
    <w:rsid w:val="009B5E49"/>
    <w:rsid w:val="009B633F"/>
    <w:rsid w:val="009B7712"/>
    <w:rsid w:val="009B7823"/>
    <w:rsid w:val="009B79D1"/>
    <w:rsid w:val="009B79E9"/>
    <w:rsid w:val="009C0D66"/>
    <w:rsid w:val="009C17E2"/>
    <w:rsid w:val="009C2885"/>
    <w:rsid w:val="009C32ED"/>
    <w:rsid w:val="009C3B2C"/>
    <w:rsid w:val="009C3E00"/>
    <w:rsid w:val="009C4076"/>
    <w:rsid w:val="009C43A9"/>
    <w:rsid w:val="009C4515"/>
    <w:rsid w:val="009C545D"/>
    <w:rsid w:val="009C5D1C"/>
    <w:rsid w:val="009C5DDD"/>
    <w:rsid w:val="009C5E33"/>
    <w:rsid w:val="009C6158"/>
    <w:rsid w:val="009C65A5"/>
    <w:rsid w:val="009C7021"/>
    <w:rsid w:val="009D02E9"/>
    <w:rsid w:val="009D0467"/>
    <w:rsid w:val="009D1225"/>
    <w:rsid w:val="009D2982"/>
    <w:rsid w:val="009D40F6"/>
    <w:rsid w:val="009D4944"/>
    <w:rsid w:val="009D52D5"/>
    <w:rsid w:val="009D61EE"/>
    <w:rsid w:val="009D6312"/>
    <w:rsid w:val="009D7C46"/>
    <w:rsid w:val="009E07DF"/>
    <w:rsid w:val="009E0826"/>
    <w:rsid w:val="009E1191"/>
    <w:rsid w:val="009E1525"/>
    <w:rsid w:val="009E1CBE"/>
    <w:rsid w:val="009E20DE"/>
    <w:rsid w:val="009E3698"/>
    <w:rsid w:val="009E4351"/>
    <w:rsid w:val="009E435D"/>
    <w:rsid w:val="009E4735"/>
    <w:rsid w:val="009E6980"/>
    <w:rsid w:val="009E77B2"/>
    <w:rsid w:val="009E7A9D"/>
    <w:rsid w:val="009F1011"/>
    <w:rsid w:val="009F22DA"/>
    <w:rsid w:val="009F2AA8"/>
    <w:rsid w:val="009F3EB1"/>
    <w:rsid w:val="009F4699"/>
    <w:rsid w:val="009F490B"/>
    <w:rsid w:val="009F497C"/>
    <w:rsid w:val="009F5D3D"/>
    <w:rsid w:val="009F667F"/>
    <w:rsid w:val="009F66ED"/>
    <w:rsid w:val="009F6AA9"/>
    <w:rsid w:val="009F6C77"/>
    <w:rsid w:val="009F6FCA"/>
    <w:rsid w:val="009F70CB"/>
    <w:rsid w:val="009F7490"/>
    <w:rsid w:val="009F7836"/>
    <w:rsid w:val="009F7FC2"/>
    <w:rsid w:val="00A00C6F"/>
    <w:rsid w:val="00A01359"/>
    <w:rsid w:val="00A0138D"/>
    <w:rsid w:val="00A0179F"/>
    <w:rsid w:val="00A02B9A"/>
    <w:rsid w:val="00A035CA"/>
    <w:rsid w:val="00A039CF"/>
    <w:rsid w:val="00A03B40"/>
    <w:rsid w:val="00A05101"/>
    <w:rsid w:val="00A05AF0"/>
    <w:rsid w:val="00A05B6C"/>
    <w:rsid w:val="00A060F3"/>
    <w:rsid w:val="00A06325"/>
    <w:rsid w:val="00A0736A"/>
    <w:rsid w:val="00A073C5"/>
    <w:rsid w:val="00A07571"/>
    <w:rsid w:val="00A07D59"/>
    <w:rsid w:val="00A1092F"/>
    <w:rsid w:val="00A1129B"/>
    <w:rsid w:val="00A11E67"/>
    <w:rsid w:val="00A11F2B"/>
    <w:rsid w:val="00A12B7B"/>
    <w:rsid w:val="00A131BC"/>
    <w:rsid w:val="00A149CA"/>
    <w:rsid w:val="00A158D9"/>
    <w:rsid w:val="00A15CE7"/>
    <w:rsid w:val="00A1611D"/>
    <w:rsid w:val="00A16B73"/>
    <w:rsid w:val="00A16E67"/>
    <w:rsid w:val="00A2028C"/>
    <w:rsid w:val="00A2036D"/>
    <w:rsid w:val="00A2043A"/>
    <w:rsid w:val="00A2079F"/>
    <w:rsid w:val="00A218C8"/>
    <w:rsid w:val="00A23979"/>
    <w:rsid w:val="00A241B1"/>
    <w:rsid w:val="00A242E3"/>
    <w:rsid w:val="00A2492F"/>
    <w:rsid w:val="00A25E28"/>
    <w:rsid w:val="00A260BA"/>
    <w:rsid w:val="00A26E0D"/>
    <w:rsid w:val="00A30B61"/>
    <w:rsid w:val="00A315E1"/>
    <w:rsid w:val="00A316CE"/>
    <w:rsid w:val="00A324B7"/>
    <w:rsid w:val="00A32BA0"/>
    <w:rsid w:val="00A32C4B"/>
    <w:rsid w:val="00A3354E"/>
    <w:rsid w:val="00A342A9"/>
    <w:rsid w:val="00A35300"/>
    <w:rsid w:val="00A35868"/>
    <w:rsid w:val="00A35E55"/>
    <w:rsid w:val="00A36622"/>
    <w:rsid w:val="00A36CCA"/>
    <w:rsid w:val="00A376CD"/>
    <w:rsid w:val="00A40346"/>
    <w:rsid w:val="00A4074D"/>
    <w:rsid w:val="00A40EAF"/>
    <w:rsid w:val="00A41C64"/>
    <w:rsid w:val="00A41D86"/>
    <w:rsid w:val="00A421A3"/>
    <w:rsid w:val="00A42ED3"/>
    <w:rsid w:val="00A436A2"/>
    <w:rsid w:val="00A43B1A"/>
    <w:rsid w:val="00A451AB"/>
    <w:rsid w:val="00A455FC"/>
    <w:rsid w:val="00A45F29"/>
    <w:rsid w:val="00A4699D"/>
    <w:rsid w:val="00A46EE9"/>
    <w:rsid w:val="00A47074"/>
    <w:rsid w:val="00A4787A"/>
    <w:rsid w:val="00A47DD1"/>
    <w:rsid w:val="00A50417"/>
    <w:rsid w:val="00A53113"/>
    <w:rsid w:val="00A5374F"/>
    <w:rsid w:val="00A544CC"/>
    <w:rsid w:val="00A54853"/>
    <w:rsid w:val="00A54FC1"/>
    <w:rsid w:val="00A56E04"/>
    <w:rsid w:val="00A576AC"/>
    <w:rsid w:val="00A57771"/>
    <w:rsid w:val="00A61E07"/>
    <w:rsid w:val="00A61F6A"/>
    <w:rsid w:val="00A62654"/>
    <w:rsid w:val="00A641C9"/>
    <w:rsid w:val="00A64D51"/>
    <w:rsid w:val="00A6579B"/>
    <w:rsid w:val="00A6653C"/>
    <w:rsid w:val="00A66B9E"/>
    <w:rsid w:val="00A671FA"/>
    <w:rsid w:val="00A71727"/>
    <w:rsid w:val="00A71BD0"/>
    <w:rsid w:val="00A71F82"/>
    <w:rsid w:val="00A71F99"/>
    <w:rsid w:val="00A727E6"/>
    <w:rsid w:val="00A729D2"/>
    <w:rsid w:val="00A73D54"/>
    <w:rsid w:val="00A757E1"/>
    <w:rsid w:val="00A76A51"/>
    <w:rsid w:val="00A77024"/>
    <w:rsid w:val="00A77081"/>
    <w:rsid w:val="00A77549"/>
    <w:rsid w:val="00A8163D"/>
    <w:rsid w:val="00A81A42"/>
    <w:rsid w:val="00A81E50"/>
    <w:rsid w:val="00A82045"/>
    <w:rsid w:val="00A82345"/>
    <w:rsid w:val="00A82ED1"/>
    <w:rsid w:val="00A84876"/>
    <w:rsid w:val="00A84F3C"/>
    <w:rsid w:val="00A856FC"/>
    <w:rsid w:val="00A86CA0"/>
    <w:rsid w:val="00A870E3"/>
    <w:rsid w:val="00A87389"/>
    <w:rsid w:val="00A9166E"/>
    <w:rsid w:val="00A9234D"/>
    <w:rsid w:val="00A93191"/>
    <w:rsid w:val="00A94DB4"/>
    <w:rsid w:val="00A95D3F"/>
    <w:rsid w:val="00A962A5"/>
    <w:rsid w:val="00A96FEA"/>
    <w:rsid w:val="00A9794C"/>
    <w:rsid w:val="00A97974"/>
    <w:rsid w:val="00AA090D"/>
    <w:rsid w:val="00AA2C10"/>
    <w:rsid w:val="00AA3FF9"/>
    <w:rsid w:val="00AA4536"/>
    <w:rsid w:val="00AA530C"/>
    <w:rsid w:val="00AA62A9"/>
    <w:rsid w:val="00AA63EC"/>
    <w:rsid w:val="00AA6A00"/>
    <w:rsid w:val="00AA7035"/>
    <w:rsid w:val="00AA7BB9"/>
    <w:rsid w:val="00AB000F"/>
    <w:rsid w:val="00AB01DA"/>
    <w:rsid w:val="00AB043C"/>
    <w:rsid w:val="00AB0799"/>
    <w:rsid w:val="00AB1206"/>
    <w:rsid w:val="00AB2E6C"/>
    <w:rsid w:val="00AB348C"/>
    <w:rsid w:val="00AB3630"/>
    <w:rsid w:val="00AB46A1"/>
    <w:rsid w:val="00AB4995"/>
    <w:rsid w:val="00AB4F80"/>
    <w:rsid w:val="00AB52CF"/>
    <w:rsid w:val="00AB56F9"/>
    <w:rsid w:val="00AB6CBD"/>
    <w:rsid w:val="00AC0885"/>
    <w:rsid w:val="00AC1DE5"/>
    <w:rsid w:val="00AC2A03"/>
    <w:rsid w:val="00AC2CAD"/>
    <w:rsid w:val="00AC308D"/>
    <w:rsid w:val="00AC3651"/>
    <w:rsid w:val="00AC4E5F"/>
    <w:rsid w:val="00AC501F"/>
    <w:rsid w:val="00AC667E"/>
    <w:rsid w:val="00AD0311"/>
    <w:rsid w:val="00AD0442"/>
    <w:rsid w:val="00AD1845"/>
    <w:rsid w:val="00AD237D"/>
    <w:rsid w:val="00AD2658"/>
    <w:rsid w:val="00AD26FD"/>
    <w:rsid w:val="00AD33DA"/>
    <w:rsid w:val="00AD4052"/>
    <w:rsid w:val="00AD47F4"/>
    <w:rsid w:val="00AD58F9"/>
    <w:rsid w:val="00AD5B86"/>
    <w:rsid w:val="00AD61D4"/>
    <w:rsid w:val="00AD6CB4"/>
    <w:rsid w:val="00AE011F"/>
    <w:rsid w:val="00AE0A6D"/>
    <w:rsid w:val="00AE1EC5"/>
    <w:rsid w:val="00AE2710"/>
    <w:rsid w:val="00AE2BA5"/>
    <w:rsid w:val="00AE2EAC"/>
    <w:rsid w:val="00AE3745"/>
    <w:rsid w:val="00AE45DC"/>
    <w:rsid w:val="00AE531D"/>
    <w:rsid w:val="00AE5E7A"/>
    <w:rsid w:val="00AE6451"/>
    <w:rsid w:val="00AE6FD6"/>
    <w:rsid w:val="00AE75EF"/>
    <w:rsid w:val="00AF051E"/>
    <w:rsid w:val="00AF062F"/>
    <w:rsid w:val="00AF0E6F"/>
    <w:rsid w:val="00AF1E19"/>
    <w:rsid w:val="00AF33C8"/>
    <w:rsid w:val="00AF4102"/>
    <w:rsid w:val="00AF594A"/>
    <w:rsid w:val="00AF5A69"/>
    <w:rsid w:val="00AF7083"/>
    <w:rsid w:val="00AF7117"/>
    <w:rsid w:val="00B005A8"/>
    <w:rsid w:val="00B007A4"/>
    <w:rsid w:val="00B018C1"/>
    <w:rsid w:val="00B02B5F"/>
    <w:rsid w:val="00B02D53"/>
    <w:rsid w:val="00B035B1"/>
    <w:rsid w:val="00B0489B"/>
    <w:rsid w:val="00B04ADE"/>
    <w:rsid w:val="00B04BB0"/>
    <w:rsid w:val="00B05DB6"/>
    <w:rsid w:val="00B06015"/>
    <w:rsid w:val="00B06F06"/>
    <w:rsid w:val="00B10731"/>
    <w:rsid w:val="00B108D8"/>
    <w:rsid w:val="00B1116D"/>
    <w:rsid w:val="00B120ED"/>
    <w:rsid w:val="00B13616"/>
    <w:rsid w:val="00B1392D"/>
    <w:rsid w:val="00B1396B"/>
    <w:rsid w:val="00B14A9C"/>
    <w:rsid w:val="00B14F64"/>
    <w:rsid w:val="00B160AF"/>
    <w:rsid w:val="00B161AD"/>
    <w:rsid w:val="00B16E17"/>
    <w:rsid w:val="00B21650"/>
    <w:rsid w:val="00B21D7A"/>
    <w:rsid w:val="00B223B8"/>
    <w:rsid w:val="00B22A92"/>
    <w:rsid w:val="00B236DA"/>
    <w:rsid w:val="00B23E40"/>
    <w:rsid w:val="00B24152"/>
    <w:rsid w:val="00B24978"/>
    <w:rsid w:val="00B2503F"/>
    <w:rsid w:val="00B25573"/>
    <w:rsid w:val="00B26405"/>
    <w:rsid w:val="00B31AD6"/>
    <w:rsid w:val="00B31B23"/>
    <w:rsid w:val="00B325D2"/>
    <w:rsid w:val="00B36448"/>
    <w:rsid w:val="00B36BE8"/>
    <w:rsid w:val="00B36C38"/>
    <w:rsid w:val="00B371A5"/>
    <w:rsid w:val="00B3731E"/>
    <w:rsid w:val="00B3747B"/>
    <w:rsid w:val="00B401E6"/>
    <w:rsid w:val="00B407BD"/>
    <w:rsid w:val="00B40F88"/>
    <w:rsid w:val="00B41100"/>
    <w:rsid w:val="00B41202"/>
    <w:rsid w:val="00B41446"/>
    <w:rsid w:val="00B42379"/>
    <w:rsid w:val="00B429A0"/>
    <w:rsid w:val="00B4370D"/>
    <w:rsid w:val="00B43E91"/>
    <w:rsid w:val="00B455C8"/>
    <w:rsid w:val="00B45938"/>
    <w:rsid w:val="00B45E58"/>
    <w:rsid w:val="00B46EA5"/>
    <w:rsid w:val="00B47F41"/>
    <w:rsid w:val="00B50DA8"/>
    <w:rsid w:val="00B50F9B"/>
    <w:rsid w:val="00B51593"/>
    <w:rsid w:val="00B51B75"/>
    <w:rsid w:val="00B51C31"/>
    <w:rsid w:val="00B51EB2"/>
    <w:rsid w:val="00B53047"/>
    <w:rsid w:val="00B535AC"/>
    <w:rsid w:val="00B54E83"/>
    <w:rsid w:val="00B554D1"/>
    <w:rsid w:val="00B55A74"/>
    <w:rsid w:val="00B565EA"/>
    <w:rsid w:val="00B57755"/>
    <w:rsid w:val="00B57BC7"/>
    <w:rsid w:val="00B57E46"/>
    <w:rsid w:val="00B6090D"/>
    <w:rsid w:val="00B61321"/>
    <w:rsid w:val="00B6262E"/>
    <w:rsid w:val="00B62758"/>
    <w:rsid w:val="00B629F6"/>
    <w:rsid w:val="00B63A48"/>
    <w:rsid w:val="00B646A4"/>
    <w:rsid w:val="00B656A5"/>
    <w:rsid w:val="00B65A11"/>
    <w:rsid w:val="00B65F74"/>
    <w:rsid w:val="00B6609A"/>
    <w:rsid w:val="00B66235"/>
    <w:rsid w:val="00B66BE4"/>
    <w:rsid w:val="00B66FAA"/>
    <w:rsid w:val="00B67628"/>
    <w:rsid w:val="00B70171"/>
    <w:rsid w:val="00B70961"/>
    <w:rsid w:val="00B70B84"/>
    <w:rsid w:val="00B71084"/>
    <w:rsid w:val="00B721A1"/>
    <w:rsid w:val="00B72649"/>
    <w:rsid w:val="00B7304D"/>
    <w:rsid w:val="00B736BB"/>
    <w:rsid w:val="00B737C0"/>
    <w:rsid w:val="00B7513B"/>
    <w:rsid w:val="00B755D1"/>
    <w:rsid w:val="00B75B4C"/>
    <w:rsid w:val="00B77C82"/>
    <w:rsid w:val="00B77CF6"/>
    <w:rsid w:val="00B77E75"/>
    <w:rsid w:val="00B803C8"/>
    <w:rsid w:val="00B810AE"/>
    <w:rsid w:val="00B81917"/>
    <w:rsid w:val="00B82028"/>
    <w:rsid w:val="00B821B2"/>
    <w:rsid w:val="00B822D5"/>
    <w:rsid w:val="00B828D8"/>
    <w:rsid w:val="00B82C40"/>
    <w:rsid w:val="00B82E45"/>
    <w:rsid w:val="00B84676"/>
    <w:rsid w:val="00B8489F"/>
    <w:rsid w:val="00B84F35"/>
    <w:rsid w:val="00B84FD7"/>
    <w:rsid w:val="00B84FFD"/>
    <w:rsid w:val="00B85964"/>
    <w:rsid w:val="00B861EA"/>
    <w:rsid w:val="00B865AD"/>
    <w:rsid w:val="00B876F6"/>
    <w:rsid w:val="00B9079E"/>
    <w:rsid w:val="00B90F0F"/>
    <w:rsid w:val="00B920B2"/>
    <w:rsid w:val="00B92492"/>
    <w:rsid w:val="00B9264F"/>
    <w:rsid w:val="00B92A24"/>
    <w:rsid w:val="00B92BC6"/>
    <w:rsid w:val="00B92F8E"/>
    <w:rsid w:val="00B93013"/>
    <w:rsid w:val="00B930E0"/>
    <w:rsid w:val="00B9382E"/>
    <w:rsid w:val="00B9428B"/>
    <w:rsid w:val="00B9499D"/>
    <w:rsid w:val="00B94D73"/>
    <w:rsid w:val="00B95721"/>
    <w:rsid w:val="00B95BD8"/>
    <w:rsid w:val="00B95DDF"/>
    <w:rsid w:val="00B967DC"/>
    <w:rsid w:val="00B9686C"/>
    <w:rsid w:val="00B97239"/>
    <w:rsid w:val="00BA02B1"/>
    <w:rsid w:val="00BA07D7"/>
    <w:rsid w:val="00BA08C5"/>
    <w:rsid w:val="00BA0C6F"/>
    <w:rsid w:val="00BA10D7"/>
    <w:rsid w:val="00BA1ADA"/>
    <w:rsid w:val="00BA25A2"/>
    <w:rsid w:val="00BA26D9"/>
    <w:rsid w:val="00BA2764"/>
    <w:rsid w:val="00BA32D3"/>
    <w:rsid w:val="00BA4741"/>
    <w:rsid w:val="00BA54F7"/>
    <w:rsid w:val="00BA5A4B"/>
    <w:rsid w:val="00BA5D87"/>
    <w:rsid w:val="00BA5FBC"/>
    <w:rsid w:val="00BA71F4"/>
    <w:rsid w:val="00BA7243"/>
    <w:rsid w:val="00BA72BE"/>
    <w:rsid w:val="00BB0923"/>
    <w:rsid w:val="00BB0B94"/>
    <w:rsid w:val="00BB0D51"/>
    <w:rsid w:val="00BB12B9"/>
    <w:rsid w:val="00BB2C6A"/>
    <w:rsid w:val="00BB3148"/>
    <w:rsid w:val="00BB3F80"/>
    <w:rsid w:val="00BB41A1"/>
    <w:rsid w:val="00BB65E5"/>
    <w:rsid w:val="00BB689B"/>
    <w:rsid w:val="00BB7D57"/>
    <w:rsid w:val="00BB7ED4"/>
    <w:rsid w:val="00BC0489"/>
    <w:rsid w:val="00BC05CD"/>
    <w:rsid w:val="00BC07B1"/>
    <w:rsid w:val="00BC0A26"/>
    <w:rsid w:val="00BC0B82"/>
    <w:rsid w:val="00BC1496"/>
    <w:rsid w:val="00BC182F"/>
    <w:rsid w:val="00BC1B80"/>
    <w:rsid w:val="00BC2327"/>
    <w:rsid w:val="00BC2AF0"/>
    <w:rsid w:val="00BC60B6"/>
    <w:rsid w:val="00BC6168"/>
    <w:rsid w:val="00BC6CD3"/>
    <w:rsid w:val="00BC7C12"/>
    <w:rsid w:val="00BD0503"/>
    <w:rsid w:val="00BD0E22"/>
    <w:rsid w:val="00BD1E92"/>
    <w:rsid w:val="00BD23A3"/>
    <w:rsid w:val="00BD2652"/>
    <w:rsid w:val="00BD301D"/>
    <w:rsid w:val="00BD33D9"/>
    <w:rsid w:val="00BD430E"/>
    <w:rsid w:val="00BD4D29"/>
    <w:rsid w:val="00BD513D"/>
    <w:rsid w:val="00BD5D52"/>
    <w:rsid w:val="00BD65D2"/>
    <w:rsid w:val="00BD717F"/>
    <w:rsid w:val="00BD79E9"/>
    <w:rsid w:val="00BD7A95"/>
    <w:rsid w:val="00BE04CD"/>
    <w:rsid w:val="00BE05E4"/>
    <w:rsid w:val="00BE325B"/>
    <w:rsid w:val="00BE3C2E"/>
    <w:rsid w:val="00BE444F"/>
    <w:rsid w:val="00BE4A41"/>
    <w:rsid w:val="00BE7217"/>
    <w:rsid w:val="00BF064B"/>
    <w:rsid w:val="00BF09A2"/>
    <w:rsid w:val="00BF13B0"/>
    <w:rsid w:val="00BF1BB9"/>
    <w:rsid w:val="00BF28EB"/>
    <w:rsid w:val="00BF2AC3"/>
    <w:rsid w:val="00BF2EE1"/>
    <w:rsid w:val="00BF316B"/>
    <w:rsid w:val="00BF3668"/>
    <w:rsid w:val="00BF7054"/>
    <w:rsid w:val="00BF7725"/>
    <w:rsid w:val="00C00084"/>
    <w:rsid w:val="00C00AA2"/>
    <w:rsid w:val="00C00E9F"/>
    <w:rsid w:val="00C024D1"/>
    <w:rsid w:val="00C0251C"/>
    <w:rsid w:val="00C027B4"/>
    <w:rsid w:val="00C035F7"/>
    <w:rsid w:val="00C03C54"/>
    <w:rsid w:val="00C03DF3"/>
    <w:rsid w:val="00C04518"/>
    <w:rsid w:val="00C04B92"/>
    <w:rsid w:val="00C05004"/>
    <w:rsid w:val="00C05D17"/>
    <w:rsid w:val="00C05F30"/>
    <w:rsid w:val="00C0615D"/>
    <w:rsid w:val="00C070F1"/>
    <w:rsid w:val="00C076EE"/>
    <w:rsid w:val="00C077EC"/>
    <w:rsid w:val="00C10EB5"/>
    <w:rsid w:val="00C11EF8"/>
    <w:rsid w:val="00C12A04"/>
    <w:rsid w:val="00C12AAB"/>
    <w:rsid w:val="00C12AD3"/>
    <w:rsid w:val="00C138F4"/>
    <w:rsid w:val="00C139A2"/>
    <w:rsid w:val="00C13A47"/>
    <w:rsid w:val="00C14BD6"/>
    <w:rsid w:val="00C15D66"/>
    <w:rsid w:val="00C162C4"/>
    <w:rsid w:val="00C17949"/>
    <w:rsid w:val="00C17C76"/>
    <w:rsid w:val="00C17D8F"/>
    <w:rsid w:val="00C20C2E"/>
    <w:rsid w:val="00C213D2"/>
    <w:rsid w:val="00C21562"/>
    <w:rsid w:val="00C24000"/>
    <w:rsid w:val="00C240C5"/>
    <w:rsid w:val="00C26142"/>
    <w:rsid w:val="00C2667F"/>
    <w:rsid w:val="00C26BB9"/>
    <w:rsid w:val="00C27ADA"/>
    <w:rsid w:val="00C30761"/>
    <w:rsid w:val="00C3086D"/>
    <w:rsid w:val="00C30C29"/>
    <w:rsid w:val="00C31305"/>
    <w:rsid w:val="00C31E5E"/>
    <w:rsid w:val="00C31F45"/>
    <w:rsid w:val="00C332E9"/>
    <w:rsid w:val="00C33A3B"/>
    <w:rsid w:val="00C33B56"/>
    <w:rsid w:val="00C3450E"/>
    <w:rsid w:val="00C3681D"/>
    <w:rsid w:val="00C36D52"/>
    <w:rsid w:val="00C40882"/>
    <w:rsid w:val="00C40AE4"/>
    <w:rsid w:val="00C40C3A"/>
    <w:rsid w:val="00C417CF"/>
    <w:rsid w:val="00C43179"/>
    <w:rsid w:val="00C43529"/>
    <w:rsid w:val="00C44A3B"/>
    <w:rsid w:val="00C44EA5"/>
    <w:rsid w:val="00C44F5A"/>
    <w:rsid w:val="00C4517D"/>
    <w:rsid w:val="00C4563C"/>
    <w:rsid w:val="00C45914"/>
    <w:rsid w:val="00C463E2"/>
    <w:rsid w:val="00C47696"/>
    <w:rsid w:val="00C476CA"/>
    <w:rsid w:val="00C5060B"/>
    <w:rsid w:val="00C50F8B"/>
    <w:rsid w:val="00C51C91"/>
    <w:rsid w:val="00C52619"/>
    <w:rsid w:val="00C527AE"/>
    <w:rsid w:val="00C52DF0"/>
    <w:rsid w:val="00C5303E"/>
    <w:rsid w:val="00C53BB0"/>
    <w:rsid w:val="00C54925"/>
    <w:rsid w:val="00C55339"/>
    <w:rsid w:val="00C55BA7"/>
    <w:rsid w:val="00C55E3F"/>
    <w:rsid w:val="00C571B3"/>
    <w:rsid w:val="00C57530"/>
    <w:rsid w:val="00C57A9E"/>
    <w:rsid w:val="00C60191"/>
    <w:rsid w:val="00C60BDD"/>
    <w:rsid w:val="00C61423"/>
    <w:rsid w:val="00C62492"/>
    <w:rsid w:val="00C63365"/>
    <w:rsid w:val="00C633E0"/>
    <w:rsid w:val="00C636D0"/>
    <w:rsid w:val="00C636D4"/>
    <w:rsid w:val="00C64069"/>
    <w:rsid w:val="00C65B98"/>
    <w:rsid w:val="00C66ADA"/>
    <w:rsid w:val="00C66B24"/>
    <w:rsid w:val="00C67188"/>
    <w:rsid w:val="00C705E0"/>
    <w:rsid w:val="00C706F2"/>
    <w:rsid w:val="00C71CA4"/>
    <w:rsid w:val="00C71EBE"/>
    <w:rsid w:val="00C725EB"/>
    <w:rsid w:val="00C72FDD"/>
    <w:rsid w:val="00C73411"/>
    <w:rsid w:val="00C739B6"/>
    <w:rsid w:val="00C74166"/>
    <w:rsid w:val="00C742A4"/>
    <w:rsid w:val="00C743BC"/>
    <w:rsid w:val="00C7464C"/>
    <w:rsid w:val="00C752F8"/>
    <w:rsid w:val="00C75496"/>
    <w:rsid w:val="00C76670"/>
    <w:rsid w:val="00C76BF2"/>
    <w:rsid w:val="00C77D54"/>
    <w:rsid w:val="00C80438"/>
    <w:rsid w:val="00C80555"/>
    <w:rsid w:val="00C80574"/>
    <w:rsid w:val="00C80B9E"/>
    <w:rsid w:val="00C818D1"/>
    <w:rsid w:val="00C82CE2"/>
    <w:rsid w:val="00C84061"/>
    <w:rsid w:val="00C8508E"/>
    <w:rsid w:val="00C863EB"/>
    <w:rsid w:val="00C86B9E"/>
    <w:rsid w:val="00C8711D"/>
    <w:rsid w:val="00C87F69"/>
    <w:rsid w:val="00C90568"/>
    <w:rsid w:val="00C90A11"/>
    <w:rsid w:val="00C9188F"/>
    <w:rsid w:val="00C91D23"/>
    <w:rsid w:val="00C91EFD"/>
    <w:rsid w:val="00C91F56"/>
    <w:rsid w:val="00C9381F"/>
    <w:rsid w:val="00C93B89"/>
    <w:rsid w:val="00C94C10"/>
    <w:rsid w:val="00C94FE5"/>
    <w:rsid w:val="00C9595D"/>
    <w:rsid w:val="00C95988"/>
    <w:rsid w:val="00C95C2A"/>
    <w:rsid w:val="00C97626"/>
    <w:rsid w:val="00CA03A0"/>
    <w:rsid w:val="00CA0561"/>
    <w:rsid w:val="00CA0A38"/>
    <w:rsid w:val="00CA0BF9"/>
    <w:rsid w:val="00CA208B"/>
    <w:rsid w:val="00CA28E6"/>
    <w:rsid w:val="00CA2D2E"/>
    <w:rsid w:val="00CA417E"/>
    <w:rsid w:val="00CA4A70"/>
    <w:rsid w:val="00CA59DA"/>
    <w:rsid w:val="00CA6FA9"/>
    <w:rsid w:val="00CA7604"/>
    <w:rsid w:val="00CA77B5"/>
    <w:rsid w:val="00CB0447"/>
    <w:rsid w:val="00CB3DFE"/>
    <w:rsid w:val="00CB40B3"/>
    <w:rsid w:val="00CB450E"/>
    <w:rsid w:val="00CB4558"/>
    <w:rsid w:val="00CB4647"/>
    <w:rsid w:val="00CB46B1"/>
    <w:rsid w:val="00CB604A"/>
    <w:rsid w:val="00CB6D7C"/>
    <w:rsid w:val="00CB6DEA"/>
    <w:rsid w:val="00CB7409"/>
    <w:rsid w:val="00CB7BB6"/>
    <w:rsid w:val="00CB7F56"/>
    <w:rsid w:val="00CC03ED"/>
    <w:rsid w:val="00CC05DD"/>
    <w:rsid w:val="00CC0846"/>
    <w:rsid w:val="00CC0B65"/>
    <w:rsid w:val="00CC0E52"/>
    <w:rsid w:val="00CC11B5"/>
    <w:rsid w:val="00CC16F3"/>
    <w:rsid w:val="00CC1993"/>
    <w:rsid w:val="00CC2D30"/>
    <w:rsid w:val="00CC3AAE"/>
    <w:rsid w:val="00CC48CF"/>
    <w:rsid w:val="00CC66C2"/>
    <w:rsid w:val="00CC68A8"/>
    <w:rsid w:val="00CC6BCC"/>
    <w:rsid w:val="00CD0BB5"/>
    <w:rsid w:val="00CD0F3C"/>
    <w:rsid w:val="00CD124B"/>
    <w:rsid w:val="00CD141F"/>
    <w:rsid w:val="00CD2362"/>
    <w:rsid w:val="00CD2C2E"/>
    <w:rsid w:val="00CD2D40"/>
    <w:rsid w:val="00CD4596"/>
    <w:rsid w:val="00CD56E9"/>
    <w:rsid w:val="00CD685A"/>
    <w:rsid w:val="00CD7263"/>
    <w:rsid w:val="00CD7C8D"/>
    <w:rsid w:val="00CE015E"/>
    <w:rsid w:val="00CE2AB1"/>
    <w:rsid w:val="00CE309B"/>
    <w:rsid w:val="00CE4D57"/>
    <w:rsid w:val="00CE596B"/>
    <w:rsid w:val="00CE5A5E"/>
    <w:rsid w:val="00CE5B87"/>
    <w:rsid w:val="00CE5BF5"/>
    <w:rsid w:val="00CE6CA5"/>
    <w:rsid w:val="00CE710A"/>
    <w:rsid w:val="00CE722F"/>
    <w:rsid w:val="00CE7D4C"/>
    <w:rsid w:val="00CF07F5"/>
    <w:rsid w:val="00CF08C8"/>
    <w:rsid w:val="00CF0B67"/>
    <w:rsid w:val="00CF12BC"/>
    <w:rsid w:val="00CF18CB"/>
    <w:rsid w:val="00CF2D61"/>
    <w:rsid w:val="00CF2E5E"/>
    <w:rsid w:val="00CF31FE"/>
    <w:rsid w:val="00CF36D5"/>
    <w:rsid w:val="00CF4C09"/>
    <w:rsid w:val="00CF4D08"/>
    <w:rsid w:val="00CF58ED"/>
    <w:rsid w:val="00CF771D"/>
    <w:rsid w:val="00D0022A"/>
    <w:rsid w:val="00D00395"/>
    <w:rsid w:val="00D023FE"/>
    <w:rsid w:val="00D026D1"/>
    <w:rsid w:val="00D036C3"/>
    <w:rsid w:val="00D039E6"/>
    <w:rsid w:val="00D04558"/>
    <w:rsid w:val="00D0489E"/>
    <w:rsid w:val="00D04E43"/>
    <w:rsid w:val="00D06136"/>
    <w:rsid w:val="00D06E83"/>
    <w:rsid w:val="00D07956"/>
    <w:rsid w:val="00D07CD2"/>
    <w:rsid w:val="00D100BB"/>
    <w:rsid w:val="00D106E4"/>
    <w:rsid w:val="00D10CE9"/>
    <w:rsid w:val="00D11502"/>
    <w:rsid w:val="00D11BAB"/>
    <w:rsid w:val="00D1213F"/>
    <w:rsid w:val="00D1231F"/>
    <w:rsid w:val="00D1270F"/>
    <w:rsid w:val="00D12D01"/>
    <w:rsid w:val="00D12DAC"/>
    <w:rsid w:val="00D13434"/>
    <w:rsid w:val="00D13B49"/>
    <w:rsid w:val="00D14792"/>
    <w:rsid w:val="00D1480D"/>
    <w:rsid w:val="00D14D2A"/>
    <w:rsid w:val="00D15933"/>
    <w:rsid w:val="00D16D1A"/>
    <w:rsid w:val="00D16FC7"/>
    <w:rsid w:val="00D17544"/>
    <w:rsid w:val="00D17C1C"/>
    <w:rsid w:val="00D20261"/>
    <w:rsid w:val="00D20309"/>
    <w:rsid w:val="00D2035D"/>
    <w:rsid w:val="00D213C8"/>
    <w:rsid w:val="00D214F4"/>
    <w:rsid w:val="00D22868"/>
    <w:rsid w:val="00D22FB7"/>
    <w:rsid w:val="00D23042"/>
    <w:rsid w:val="00D23472"/>
    <w:rsid w:val="00D23476"/>
    <w:rsid w:val="00D235BC"/>
    <w:rsid w:val="00D2402B"/>
    <w:rsid w:val="00D24548"/>
    <w:rsid w:val="00D24B73"/>
    <w:rsid w:val="00D258F9"/>
    <w:rsid w:val="00D25C00"/>
    <w:rsid w:val="00D25FA4"/>
    <w:rsid w:val="00D26114"/>
    <w:rsid w:val="00D26548"/>
    <w:rsid w:val="00D27679"/>
    <w:rsid w:val="00D27976"/>
    <w:rsid w:val="00D27987"/>
    <w:rsid w:val="00D302C3"/>
    <w:rsid w:val="00D317E3"/>
    <w:rsid w:val="00D31DF1"/>
    <w:rsid w:val="00D320EB"/>
    <w:rsid w:val="00D329DD"/>
    <w:rsid w:val="00D33C34"/>
    <w:rsid w:val="00D33E37"/>
    <w:rsid w:val="00D33EA7"/>
    <w:rsid w:val="00D34EA8"/>
    <w:rsid w:val="00D35248"/>
    <w:rsid w:val="00D36EBD"/>
    <w:rsid w:val="00D37DB5"/>
    <w:rsid w:val="00D37F08"/>
    <w:rsid w:val="00D37F13"/>
    <w:rsid w:val="00D40436"/>
    <w:rsid w:val="00D40CC3"/>
    <w:rsid w:val="00D4103F"/>
    <w:rsid w:val="00D41802"/>
    <w:rsid w:val="00D41D72"/>
    <w:rsid w:val="00D4296F"/>
    <w:rsid w:val="00D433E1"/>
    <w:rsid w:val="00D4399C"/>
    <w:rsid w:val="00D44687"/>
    <w:rsid w:val="00D447A0"/>
    <w:rsid w:val="00D44820"/>
    <w:rsid w:val="00D45C78"/>
    <w:rsid w:val="00D47B10"/>
    <w:rsid w:val="00D500B7"/>
    <w:rsid w:val="00D505A3"/>
    <w:rsid w:val="00D5111B"/>
    <w:rsid w:val="00D51981"/>
    <w:rsid w:val="00D52023"/>
    <w:rsid w:val="00D521DE"/>
    <w:rsid w:val="00D52412"/>
    <w:rsid w:val="00D5270D"/>
    <w:rsid w:val="00D52A16"/>
    <w:rsid w:val="00D52D24"/>
    <w:rsid w:val="00D52EF4"/>
    <w:rsid w:val="00D53278"/>
    <w:rsid w:val="00D53FE5"/>
    <w:rsid w:val="00D544A2"/>
    <w:rsid w:val="00D54601"/>
    <w:rsid w:val="00D556A8"/>
    <w:rsid w:val="00D55FBB"/>
    <w:rsid w:val="00D61611"/>
    <w:rsid w:val="00D62A2A"/>
    <w:rsid w:val="00D63431"/>
    <w:rsid w:val="00D63CC3"/>
    <w:rsid w:val="00D64C68"/>
    <w:rsid w:val="00D65568"/>
    <w:rsid w:val="00D65662"/>
    <w:rsid w:val="00D65D4E"/>
    <w:rsid w:val="00D66FF5"/>
    <w:rsid w:val="00D7091D"/>
    <w:rsid w:val="00D70F12"/>
    <w:rsid w:val="00D710DE"/>
    <w:rsid w:val="00D730F1"/>
    <w:rsid w:val="00D742FB"/>
    <w:rsid w:val="00D74D53"/>
    <w:rsid w:val="00D751CC"/>
    <w:rsid w:val="00D75D49"/>
    <w:rsid w:val="00D7627A"/>
    <w:rsid w:val="00D800A3"/>
    <w:rsid w:val="00D809D2"/>
    <w:rsid w:val="00D80A36"/>
    <w:rsid w:val="00D8116D"/>
    <w:rsid w:val="00D84A8F"/>
    <w:rsid w:val="00D84B2E"/>
    <w:rsid w:val="00D85EF8"/>
    <w:rsid w:val="00D862CB"/>
    <w:rsid w:val="00D86D6F"/>
    <w:rsid w:val="00D86EA8"/>
    <w:rsid w:val="00D87170"/>
    <w:rsid w:val="00D90460"/>
    <w:rsid w:val="00D90C66"/>
    <w:rsid w:val="00D91777"/>
    <w:rsid w:val="00D923DB"/>
    <w:rsid w:val="00D92604"/>
    <w:rsid w:val="00D9392E"/>
    <w:rsid w:val="00D942B8"/>
    <w:rsid w:val="00D94839"/>
    <w:rsid w:val="00D952D0"/>
    <w:rsid w:val="00D95DD1"/>
    <w:rsid w:val="00D96680"/>
    <w:rsid w:val="00D96852"/>
    <w:rsid w:val="00D96E1A"/>
    <w:rsid w:val="00D9723D"/>
    <w:rsid w:val="00D9764E"/>
    <w:rsid w:val="00D97955"/>
    <w:rsid w:val="00DA060D"/>
    <w:rsid w:val="00DA17DB"/>
    <w:rsid w:val="00DA32E4"/>
    <w:rsid w:val="00DA4775"/>
    <w:rsid w:val="00DA5652"/>
    <w:rsid w:val="00DA56AC"/>
    <w:rsid w:val="00DA5997"/>
    <w:rsid w:val="00DA59F8"/>
    <w:rsid w:val="00DA6576"/>
    <w:rsid w:val="00DA6AAB"/>
    <w:rsid w:val="00DA6CD1"/>
    <w:rsid w:val="00DA79D4"/>
    <w:rsid w:val="00DA7F09"/>
    <w:rsid w:val="00DB122D"/>
    <w:rsid w:val="00DB1557"/>
    <w:rsid w:val="00DB1EB5"/>
    <w:rsid w:val="00DB1EDF"/>
    <w:rsid w:val="00DB2B81"/>
    <w:rsid w:val="00DB32E6"/>
    <w:rsid w:val="00DB448E"/>
    <w:rsid w:val="00DB55F1"/>
    <w:rsid w:val="00DB706B"/>
    <w:rsid w:val="00DC012D"/>
    <w:rsid w:val="00DC0347"/>
    <w:rsid w:val="00DC0EE5"/>
    <w:rsid w:val="00DC10BD"/>
    <w:rsid w:val="00DC1100"/>
    <w:rsid w:val="00DC227B"/>
    <w:rsid w:val="00DC28F3"/>
    <w:rsid w:val="00DC2958"/>
    <w:rsid w:val="00DC33E6"/>
    <w:rsid w:val="00DC4A56"/>
    <w:rsid w:val="00DC5024"/>
    <w:rsid w:val="00DC5DFB"/>
    <w:rsid w:val="00DC5F85"/>
    <w:rsid w:val="00DC6758"/>
    <w:rsid w:val="00DC677B"/>
    <w:rsid w:val="00DC67FD"/>
    <w:rsid w:val="00DC68AA"/>
    <w:rsid w:val="00DC76F6"/>
    <w:rsid w:val="00DC777A"/>
    <w:rsid w:val="00DD085E"/>
    <w:rsid w:val="00DD1954"/>
    <w:rsid w:val="00DD1CDD"/>
    <w:rsid w:val="00DD2D6C"/>
    <w:rsid w:val="00DD31BC"/>
    <w:rsid w:val="00DD45CE"/>
    <w:rsid w:val="00DD4907"/>
    <w:rsid w:val="00DD4A56"/>
    <w:rsid w:val="00DD4DAF"/>
    <w:rsid w:val="00DD50F2"/>
    <w:rsid w:val="00DD55A3"/>
    <w:rsid w:val="00DD64D2"/>
    <w:rsid w:val="00DD6B2B"/>
    <w:rsid w:val="00DD777A"/>
    <w:rsid w:val="00DE0923"/>
    <w:rsid w:val="00DE0F69"/>
    <w:rsid w:val="00DE0FDD"/>
    <w:rsid w:val="00DE1AAE"/>
    <w:rsid w:val="00DE2545"/>
    <w:rsid w:val="00DE29A4"/>
    <w:rsid w:val="00DE2CD7"/>
    <w:rsid w:val="00DE3765"/>
    <w:rsid w:val="00DE39DC"/>
    <w:rsid w:val="00DE4EA9"/>
    <w:rsid w:val="00DE5AB9"/>
    <w:rsid w:val="00DE7F2A"/>
    <w:rsid w:val="00DF0341"/>
    <w:rsid w:val="00DF1D16"/>
    <w:rsid w:val="00DF1E08"/>
    <w:rsid w:val="00DF242E"/>
    <w:rsid w:val="00DF2C60"/>
    <w:rsid w:val="00DF2E9D"/>
    <w:rsid w:val="00DF422F"/>
    <w:rsid w:val="00DF5081"/>
    <w:rsid w:val="00DF508C"/>
    <w:rsid w:val="00DF58D3"/>
    <w:rsid w:val="00DF72E9"/>
    <w:rsid w:val="00E00821"/>
    <w:rsid w:val="00E00A79"/>
    <w:rsid w:val="00E016E5"/>
    <w:rsid w:val="00E0189A"/>
    <w:rsid w:val="00E018B1"/>
    <w:rsid w:val="00E0443E"/>
    <w:rsid w:val="00E04E16"/>
    <w:rsid w:val="00E066DA"/>
    <w:rsid w:val="00E06BFF"/>
    <w:rsid w:val="00E07462"/>
    <w:rsid w:val="00E10AF3"/>
    <w:rsid w:val="00E114E8"/>
    <w:rsid w:val="00E127AE"/>
    <w:rsid w:val="00E12E0E"/>
    <w:rsid w:val="00E143BB"/>
    <w:rsid w:val="00E1537E"/>
    <w:rsid w:val="00E15A6A"/>
    <w:rsid w:val="00E1614E"/>
    <w:rsid w:val="00E161E8"/>
    <w:rsid w:val="00E17271"/>
    <w:rsid w:val="00E17589"/>
    <w:rsid w:val="00E17C12"/>
    <w:rsid w:val="00E201BD"/>
    <w:rsid w:val="00E205ED"/>
    <w:rsid w:val="00E206A8"/>
    <w:rsid w:val="00E20C64"/>
    <w:rsid w:val="00E21445"/>
    <w:rsid w:val="00E229B7"/>
    <w:rsid w:val="00E22A0E"/>
    <w:rsid w:val="00E22F2D"/>
    <w:rsid w:val="00E24987"/>
    <w:rsid w:val="00E24FE4"/>
    <w:rsid w:val="00E27B00"/>
    <w:rsid w:val="00E27F04"/>
    <w:rsid w:val="00E30A7C"/>
    <w:rsid w:val="00E316FA"/>
    <w:rsid w:val="00E31E9C"/>
    <w:rsid w:val="00E32960"/>
    <w:rsid w:val="00E3364D"/>
    <w:rsid w:val="00E33673"/>
    <w:rsid w:val="00E3471E"/>
    <w:rsid w:val="00E3485E"/>
    <w:rsid w:val="00E35F32"/>
    <w:rsid w:val="00E35FC4"/>
    <w:rsid w:val="00E361AF"/>
    <w:rsid w:val="00E366D7"/>
    <w:rsid w:val="00E36A82"/>
    <w:rsid w:val="00E37416"/>
    <w:rsid w:val="00E40AC2"/>
    <w:rsid w:val="00E40B09"/>
    <w:rsid w:val="00E40F13"/>
    <w:rsid w:val="00E41A3A"/>
    <w:rsid w:val="00E426BB"/>
    <w:rsid w:val="00E43142"/>
    <w:rsid w:val="00E43610"/>
    <w:rsid w:val="00E4378D"/>
    <w:rsid w:val="00E44BD5"/>
    <w:rsid w:val="00E456E6"/>
    <w:rsid w:val="00E464F3"/>
    <w:rsid w:val="00E46680"/>
    <w:rsid w:val="00E47030"/>
    <w:rsid w:val="00E50FF1"/>
    <w:rsid w:val="00E5179D"/>
    <w:rsid w:val="00E51CE2"/>
    <w:rsid w:val="00E51F0E"/>
    <w:rsid w:val="00E526A4"/>
    <w:rsid w:val="00E52E67"/>
    <w:rsid w:val="00E5346E"/>
    <w:rsid w:val="00E55B66"/>
    <w:rsid w:val="00E55C31"/>
    <w:rsid w:val="00E5730B"/>
    <w:rsid w:val="00E60566"/>
    <w:rsid w:val="00E6089C"/>
    <w:rsid w:val="00E609E4"/>
    <w:rsid w:val="00E611BD"/>
    <w:rsid w:val="00E6141F"/>
    <w:rsid w:val="00E614E2"/>
    <w:rsid w:val="00E623FB"/>
    <w:rsid w:val="00E627A2"/>
    <w:rsid w:val="00E6288C"/>
    <w:rsid w:val="00E62F99"/>
    <w:rsid w:val="00E64DFC"/>
    <w:rsid w:val="00E65FF8"/>
    <w:rsid w:val="00E6655F"/>
    <w:rsid w:val="00E66C8A"/>
    <w:rsid w:val="00E67850"/>
    <w:rsid w:val="00E67D3E"/>
    <w:rsid w:val="00E70E95"/>
    <w:rsid w:val="00E7134E"/>
    <w:rsid w:val="00E73052"/>
    <w:rsid w:val="00E730E9"/>
    <w:rsid w:val="00E73929"/>
    <w:rsid w:val="00E73ADE"/>
    <w:rsid w:val="00E73D66"/>
    <w:rsid w:val="00E742CC"/>
    <w:rsid w:val="00E74A4D"/>
    <w:rsid w:val="00E761A5"/>
    <w:rsid w:val="00E76380"/>
    <w:rsid w:val="00E776EF"/>
    <w:rsid w:val="00E807F4"/>
    <w:rsid w:val="00E821E1"/>
    <w:rsid w:val="00E83388"/>
    <w:rsid w:val="00E83E2F"/>
    <w:rsid w:val="00E843B2"/>
    <w:rsid w:val="00E84A01"/>
    <w:rsid w:val="00E84BC9"/>
    <w:rsid w:val="00E84BFF"/>
    <w:rsid w:val="00E859BD"/>
    <w:rsid w:val="00E85FEA"/>
    <w:rsid w:val="00E86243"/>
    <w:rsid w:val="00E86B29"/>
    <w:rsid w:val="00E86CC5"/>
    <w:rsid w:val="00E872CE"/>
    <w:rsid w:val="00E87F26"/>
    <w:rsid w:val="00E9021C"/>
    <w:rsid w:val="00E91457"/>
    <w:rsid w:val="00E93348"/>
    <w:rsid w:val="00E93B80"/>
    <w:rsid w:val="00E93DFF"/>
    <w:rsid w:val="00E944A9"/>
    <w:rsid w:val="00E95E02"/>
    <w:rsid w:val="00E96A91"/>
    <w:rsid w:val="00E9710D"/>
    <w:rsid w:val="00E97296"/>
    <w:rsid w:val="00E976EC"/>
    <w:rsid w:val="00E978F8"/>
    <w:rsid w:val="00E97FE4"/>
    <w:rsid w:val="00EA0818"/>
    <w:rsid w:val="00EA100A"/>
    <w:rsid w:val="00EA13A3"/>
    <w:rsid w:val="00EA19BF"/>
    <w:rsid w:val="00EA235B"/>
    <w:rsid w:val="00EA24C3"/>
    <w:rsid w:val="00EA259E"/>
    <w:rsid w:val="00EA2AED"/>
    <w:rsid w:val="00EA2F3F"/>
    <w:rsid w:val="00EA3381"/>
    <w:rsid w:val="00EA4ED8"/>
    <w:rsid w:val="00EA5E6D"/>
    <w:rsid w:val="00EA72A9"/>
    <w:rsid w:val="00EB0501"/>
    <w:rsid w:val="00EB1124"/>
    <w:rsid w:val="00EB2372"/>
    <w:rsid w:val="00EB27D0"/>
    <w:rsid w:val="00EB297F"/>
    <w:rsid w:val="00EB438B"/>
    <w:rsid w:val="00EB4653"/>
    <w:rsid w:val="00EB6401"/>
    <w:rsid w:val="00EB742D"/>
    <w:rsid w:val="00EB745D"/>
    <w:rsid w:val="00EC02C8"/>
    <w:rsid w:val="00EC0594"/>
    <w:rsid w:val="00EC0A16"/>
    <w:rsid w:val="00EC1211"/>
    <w:rsid w:val="00EC15D9"/>
    <w:rsid w:val="00EC2425"/>
    <w:rsid w:val="00EC2A7E"/>
    <w:rsid w:val="00EC473C"/>
    <w:rsid w:val="00EC52AC"/>
    <w:rsid w:val="00EC71EF"/>
    <w:rsid w:val="00EC7830"/>
    <w:rsid w:val="00EC79A7"/>
    <w:rsid w:val="00ED0120"/>
    <w:rsid w:val="00ED020F"/>
    <w:rsid w:val="00ED1EDC"/>
    <w:rsid w:val="00ED2AC5"/>
    <w:rsid w:val="00ED2C38"/>
    <w:rsid w:val="00ED2D18"/>
    <w:rsid w:val="00ED3346"/>
    <w:rsid w:val="00ED366C"/>
    <w:rsid w:val="00ED3748"/>
    <w:rsid w:val="00ED5130"/>
    <w:rsid w:val="00ED691F"/>
    <w:rsid w:val="00ED6BE0"/>
    <w:rsid w:val="00ED6C57"/>
    <w:rsid w:val="00ED6F30"/>
    <w:rsid w:val="00EE0F0E"/>
    <w:rsid w:val="00EE21E4"/>
    <w:rsid w:val="00EE2D88"/>
    <w:rsid w:val="00EE36B3"/>
    <w:rsid w:val="00EE3AC9"/>
    <w:rsid w:val="00EE4667"/>
    <w:rsid w:val="00EE47A0"/>
    <w:rsid w:val="00EE72F7"/>
    <w:rsid w:val="00EF1288"/>
    <w:rsid w:val="00EF2B6A"/>
    <w:rsid w:val="00EF4227"/>
    <w:rsid w:val="00EF4CFD"/>
    <w:rsid w:val="00EF4DA2"/>
    <w:rsid w:val="00EF74C9"/>
    <w:rsid w:val="00EF794F"/>
    <w:rsid w:val="00F005B6"/>
    <w:rsid w:val="00F00AF6"/>
    <w:rsid w:val="00F01D0B"/>
    <w:rsid w:val="00F02322"/>
    <w:rsid w:val="00F023EA"/>
    <w:rsid w:val="00F03625"/>
    <w:rsid w:val="00F03BD8"/>
    <w:rsid w:val="00F03CAB"/>
    <w:rsid w:val="00F03D1C"/>
    <w:rsid w:val="00F03EF7"/>
    <w:rsid w:val="00F04F02"/>
    <w:rsid w:val="00F06809"/>
    <w:rsid w:val="00F06C7E"/>
    <w:rsid w:val="00F07453"/>
    <w:rsid w:val="00F10AA7"/>
    <w:rsid w:val="00F1128C"/>
    <w:rsid w:val="00F12229"/>
    <w:rsid w:val="00F12A25"/>
    <w:rsid w:val="00F13FD8"/>
    <w:rsid w:val="00F14204"/>
    <w:rsid w:val="00F14C2E"/>
    <w:rsid w:val="00F15473"/>
    <w:rsid w:val="00F169B1"/>
    <w:rsid w:val="00F16BF4"/>
    <w:rsid w:val="00F17955"/>
    <w:rsid w:val="00F20DC3"/>
    <w:rsid w:val="00F22C93"/>
    <w:rsid w:val="00F232B7"/>
    <w:rsid w:val="00F2347A"/>
    <w:rsid w:val="00F234D2"/>
    <w:rsid w:val="00F24C61"/>
    <w:rsid w:val="00F267CF"/>
    <w:rsid w:val="00F268DB"/>
    <w:rsid w:val="00F27161"/>
    <w:rsid w:val="00F27CF8"/>
    <w:rsid w:val="00F30234"/>
    <w:rsid w:val="00F306C1"/>
    <w:rsid w:val="00F32466"/>
    <w:rsid w:val="00F3265F"/>
    <w:rsid w:val="00F32664"/>
    <w:rsid w:val="00F3355E"/>
    <w:rsid w:val="00F35B69"/>
    <w:rsid w:val="00F36157"/>
    <w:rsid w:val="00F36654"/>
    <w:rsid w:val="00F36A1C"/>
    <w:rsid w:val="00F36BE0"/>
    <w:rsid w:val="00F37B55"/>
    <w:rsid w:val="00F40431"/>
    <w:rsid w:val="00F413C2"/>
    <w:rsid w:val="00F41E89"/>
    <w:rsid w:val="00F41F10"/>
    <w:rsid w:val="00F41F52"/>
    <w:rsid w:val="00F4280F"/>
    <w:rsid w:val="00F43910"/>
    <w:rsid w:val="00F44359"/>
    <w:rsid w:val="00F444B7"/>
    <w:rsid w:val="00F44B51"/>
    <w:rsid w:val="00F45313"/>
    <w:rsid w:val="00F473EA"/>
    <w:rsid w:val="00F474B4"/>
    <w:rsid w:val="00F47559"/>
    <w:rsid w:val="00F47ADF"/>
    <w:rsid w:val="00F47C29"/>
    <w:rsid w:val="00F51E0D"/>
    <w:rsid w:val="00F530DD"/>
    <w:rsid w:val="00F53ABC"/>
    <w:rsid w:val="00F542EA"/>
    <w:rsid w:val="00F54C7F"/>
    <w:rsid w:val="00F5542D"/>
    <w:rsid w:val="00F56662"/>
    <w:rsid w:val="00F56700"/>
    <w:rsid w:val="00F56C7B"/>
    <w:rsid w:val="00F57521"/>
    <w:rsid w:val="00F57A39"/>
    <w:rsid w:val="00F60F10"/>
    <w:rsid w:val="00F619D8"/>
    <w:rsid w:val="00F61B3A"/>
    <w:rsid w:val="00F62085"/>
    <w:rsid w:val="00F620DE"/>
    <w:rsid w:val="00F62755"/>
    <w:rsid w:val="00F6276D"/>
    <w:rsid w:val="00F6387F"/>
    <w:rsid w:val="00F63D39"/>
    <w:rsid w:val="00F63FF0"/>
    <w:rsid w:val="00F6479B"/>
    <w:rsid w:val="00F65197"/>
    <w:rsid w:val="00F665DC"/>
    <w:rsid w:val="00F665FB"/>
    <w:rsid w:val="00F66AD5"/>
    <w:rsid w:val="00F66D9E"/>
    <w:rsid w:val="00F70EB9"/>
    <w:rsid w:val="00F71A40"/>
    <w:rsid w:val="00F71E09"/>
    <w:rsid w:val="00F73105"/>
    <w:rsid w:val="00F73582"/>
    <w:rsid w:val="00F743A4"/>
    <w:rsid w:val="00F746D8"/>
    <w:rsid w:val="00F751E0"/>
    <w:rsid w:val="00F75513"/>
    <w:rsid w:val="00F757BB"/>
    <w:rsid w:val="00F76B6E"/>
    <w:rsid w:val="00F7780E"/>
    <w:rsid w:val="00F77C87"/>
    <w:rsid w:val="00F77F38"/>
    <w:rsid w:val="00F800D4"/>
    <w:rsid w:val="00F80990"/>
    <w:rsid w:val="00F81217"/>
    <w:rsid w:val="00F8143F"/>
    <w:rsid w:val="00F82542"/>
    <w:rsid w:val="00F828AB"/>
    <w:rsid w:val="00F83497"/>
    <w:rsid w:val="00F836FE"/>
    <w:rsid w:val="00F83D95"/>
    <w:rsid w:val="00F83EF7"/>
    <w:rsid w:val="00F842D1"/>
    <w:rsid w:val="00F847F0"/>
    <w:rsid w:val="00F8679C"/>
    <w:rsid w:val="00F86B81"/>
    <w:rsid w:val="00F86D00"/>
    <w:rsid w:val="00F87A32"/>
    <w:rsid w:val="00F87A56"/>
    <w:rsid w:val="00F9008F"/>
    <w:rsid w:val="00F900C0"/>
    <w:rsid w:val="00F90D05"/>
    <w:rsid w:val="00F91EE9"/>
    <w:rsid w:val="00F92082"/>
    <w:rsid w:val="00F9269C"/>
    <w:rsid w:val="00F93083"/>
    <w:rsid w:val="00F942B2"/>
    <w:rsid w:val="00F9537B"/>
    <w:rsid w:val="00F9552D"/>
    <w:rsid w:val="00F95A8C"/>
    <w:rsid w:val="00F96CAE"/>
    <w:rsid w:val="00F96D3E"/>
    <w:rsid w:val="00F97185"/>
    <w:rsid w:val="00F9779C"/>
    <w:rsid w:val="00F979F5"/>
    <w:rsid w:val="00FA04B1"/>
    <w:rsid w:val="00FA090A"/>
    <w:rsid w:val="00FA218D"/>
    <w:rsid w:val="00FA287A"/>
    <w:rsid w:val="00FA2EF6"/>
    <w:rsid w:val="00FA2FE2"/>
    <w:rsid w:val="00FA3328"/>
    <w:rsid w:val="00FA356F"/>
    <w:rsid w:val="00FA37F9"/>
    <w:rsid w:val="00FA3B4E"/>
    <w:rsid w:val="00FA3E80"/>
    <w:rsid w:val="00FA437C"/>
    <w:rsid w:val="00FA4EBD"/>
    <w:rsid w:val="00FA5AAD"/>
    <w:rsid w:val="00FA7986"/>
    <w:rsid w:val="00FB0144"/>
    <w:rsid w:val="00FB067B"/>
    <w:rsid w:val="00FB1686"/>
    <w:rsid w:val="00FB1FEF"/>
    <w:rsid w:val="00FB224C"/>
    <w:rsid w:val="00FB269D"/>
    <w:rsid w:val="00FB27AF"/>
    <w:rsid w:val="00FB2C54"/>
    <w:rsid w:val="00FB31AD"/>
    <w:rsid w:val="00FB3CE8"/>
    <w:rsid w:val="00FB4222"/>
    <w:rsid w:val="00FB5049"/>
    <w:rsid w:val="00FB536C"/>
    <w:rsid w:val="00FB5544"/>
    <w:rsid w:val="00FB578F"/>
    <w:rsid w:val="00FB5A77"/>
    <w:rsid w:val="00FB7256"/>
    <w:rsid w:val="00FB7493"/>
    <w:rsid w:val="00FB7544"/>
    <w:rsid w:val="00FC02D5"/>
    <w:rsid w:val="00FC0950"/>
    <w:rsid w:val="00FC117C"/>
    <w:rsid w:val="00FC11DC"/>
    <w:rsid w:val="00FC120C"/>
    <w:rsid w:val="00FC197C"/>
    <w:rsid w:val="00FC1DA6"/>
    <w:rsid w:val="00FC29F1"/>
    <w:rsid w:val="00FC33EF"/>
    <w:rsid w:val="00FC44E9"/>
    <w:rsid w:val="00FC4FCB"/>
    <w:rsid w:val="00FC5701"/>
    <w:rsid w:val="00FC585B"/>
    <w:rsid w:val="00FC615E"/>
    <w:rsid w:val="00FC6D0C"/>
    <w:rsid w:val="00FC70BD"/>
    <w:rsid w:val="00FD0B4D"/>
    <w:rsid w:val="00FD0C46"/>
    <w:rsid w:val="00FD0D2A"/>
    <w:rsid w:val="00FD11BA"/>
    <w:rsid w:val="00FD1FD4"/>
    <w:rsid w:val="00FD20A4"/>
    <w:rsid w:val="00FD2FCD"/>
    <w:rsid w:val="00FD3D59"/>
    <w:rsid w:val="00FD3ECE"/>
    <w:rsid w:val="00FD421F"/>
    <w:rsid w:val="00FD495B"/>
    <w:rsid w:val="00FD4EF2"/>
    <w:rsid w:val="00FD5116"/>
    <w:rsid w:val="00FD580B"/>
    <w:rsid w:val="00FD5982"/>
    <w:rsid w:val="00FD5D3E"/>
    <w:rsid w:val="00FD663B"/>
    <w:rsid w:val="00FD6ACA"/>
    <w:rsid w:val="00FD6BE9"/>
    <w:rsid w:val="00FD6C53"/>
    <w:rsid w:val="00FE06BF"/>
    <w:rsid w:val="00FE17C1"/>
    <w:rsid w:val="00FE2E05"/>
    <w:rsid w:val="00FE2EA2"/>
    <w:rsid w:val="00FE30F3"/>
    <w:rsid w:val="00FE3122"/>
    <w:rsid w:val="00FE4752"/>
    <w:rsid w:val="00FE5ABC"/>
    <w:rsid w:val="00FE615E"/>
    <w:rsid w:val="00FE6AFC"/>
    <w:rsid w:val="00FE7B43"/>
    <w:rsid w:val="00FF0266"/>
    <w:rsid w:val="00FF1652"/>
    <w:rsid w:val="00FF1827"/>
    <w:rsid w:val="00FF328E"/>
    <w:rsid w:val="00FF3622"/>
    <w:rsid w:val="00FF36E7"/>
    <w:rsid w:val="00FF43CD"/>
    <w:rsid w:val="00FF4F4A"/>
    <w:rsid w:val="00FF5295"/>
    <w:rsid w:val="00FF77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6785"/>
    <o:shapelayout v:ext="edit">
      <o:idmap v:ext="edit" data="1"/>
    </o:shapelayout>
  </w:shapeDefaults>
  <w:decimalSymbol w:val="."/>
  <w:listSeparator w:val=","/>
  <w14:docId w14:val="59C0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54E2"/>
    <w:rPr>
      <w:rFonts w:ascii="Calibri" w:hAnsi="Calibri" w:cs="Calibri"/>
      <w:sz w:val="22"/>
      <w:szCs w:val="22"/>
    </w:rPr>
  </w:style>
  <w:style w:type="paragraph" w:styleId="Heading1">
    <w:name w:val="heading 1"/>
    <w:basedOn w:val="Normal"/>
    <w:next w:val="Normal"/>
    <w:link w:val="Heading1Char"/>
    <w:qFormat/>
    <w:rsid w:val="003A64D3"/>
    <w:pPr>
      <w:keepNext/>
      <w:keepLines/>
      <w:spacing w:before="48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semiHidden/>
    <w:unhideWhenUsed/>
    <w:qFormat/>
    <w:rsid w:val="003A64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Heading2"/>
    <w:link w:val="Heading3Char"/>
    <w:uiPriority w:val="9"/>
    <w:qFormat/>
    <w:rsid w:val="003A64D3"/>
    <w:pPr>
      <w:outlineLvl w:val="2"/>
    </w:pPr>
    <w:rPr>
      <w:rFonts w:ascii="Century Gothic" w:hAnsi="Century Gothic"/>
      <w:color w:val="365F91" w:themeColor="accent1" w:themeShade="BF"/>
      <w:sz w:val="2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697D"/>
    <w:pPr>
      <w:ind w:left="720"/>
      <w:contextualSpacing/>
    </w:pPr>
  </w:style>
  <w:style w:type="paragraph" w:styleId="Header">
    <w:name w:val="header"/>
    <w:basedOn w:val="Normal"/>
    <w:link w:val="HeaderChar"/>
    <w:rsid w:val="00014852"/>
    <w:pPr>
      <w:tabs>
        <w:tab w:val="center" w:pos="4513"/>
        <w:tab w:val="right" w:pos="9026"/>
      </w:tabs>
    </w:pPr>
  </w:style>
  <w:style w:type="character" w:customStyle="1" w:styleId="HeaderChar">
    <w:name w:val="Header Char"/>
    <w:basedOn w:val="DefaultParagraphFont"/>
    <w:link w:val="Header"/>
    <w:rsid w:val="00014852"/>
    <w:rPr>
      <w:sz w:val="24"/>
      <w:szCs w:val="24"/>
    </w:rPr>
  </w:style>
  <w:style w:type="paragraph" w:styleId="Footer">
    <w:name w:val="footer"/>
    <w:basedOn w:val="Normal"/>
    <w:link w:val="FooterChar"/>
    <w:rsid w:val="00014852"/>
    <w:pPr>
      <w:tabs>
        <w:tab w:val="center" w:pos="4513"/>
        <w:tab w:val="right" w:pos="9026"/>
      </w:tabs>
    </w:pPr>
  </w:style>
  <w:style w:type="character" w:customStyle="1" w:styleId="FooterChar">
    <w:name w:val="Footer Char"/>
    <w:basedOn w:val="DefaultParagraphFont"/>
    <w:link w:val="Footer"/>
    <w:rsid w:val="00014852"/>
    <w:rPr>
      <w:sz w:val="24"/>
      <w:szCs w:val="24"/>
    </w:rPr>
  </w:style>
  <w:style w:type="table" w:styleId="TableGrid">
    <w:name w:val="Table Grid"/>
    <w:basedOn w:val="TableNormal"/>
    <w:rsid w:val="001C3848"/>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E3974"/>
    <w:pPr>
      <w:spacing w:before="100" w:beforeAutospacing="1" w:after="100" w:afterAutospacing="1"/>
    </w:pPr>
  </w:style>
  <w:style w:type="character" w:styleId="Hyperlink">
    <w:name w:val="Hyperlink"/>
    <w:basedOn w:val="DefaultParagraphFont"/>
    <w:uiPriority w:val="99"/>
    <w:unhideWhenUsed/>
    <w:rsid w:val="003E3974"/>
    <w:rPr>
      <w:color w:val="3344DD"/>
      <w:u w:val="single"/>
    </w:rPr>
  </w:style>
  <w:style w:type="character" w:customStyle="1" w:styleId="ListParagraphChar">
    <w:name w:val="List Paragraph Char"/>
    <w:basedOn w:val="DefaultParagraphFont"/>
    <w:link w:val="ListParagraph"/>
    <w:uiPriority w:val="34"/>
    <w:locked/>
    <w:rsid w:val="00F97185"/>
    <w:rPr>
      <w:sz w:val="24"/>
      <w:szCs w:val="24"/>
    </w:rPr>
  </w:style>
  <w:style w:type="character" w:styleId="CommentReference">
    <w:name w:val="annotation reference"/>
    <w:basedOn w:val="DefaultParagraphFont"/>
    <w:rsid w:val="00CF4C09"/>
    <w:rPr>
      <w:sz w:val="16"/>
      <w:szCs w:val="16"/>
    </w:rPr>
  </w:style>
  <w:style w:type="paragraph" w:styleId="CommentText">
    <w:name w:val="annotation text"/>
    <w:basedOn w:val="Normal"/>
    <w:link w:val="CommentTextChar"/>
    <w:rsid w:val="00CF4C09"/>
    <w:rPr>
      <w:sz w:val="20"/>
      <w:szCs w:val="20"/>
    </w:rPr>
  </w:style>
  <w:style w:type="character" w:customStyle="1" w:styleId="CommentTextChar">
    <w:name w:val="Comment Text Char"/>
    <w:basedOn w:val="DefaultParagraphFont"/>
    <w:link w:val="CommentText"/>
    <w:rsid w:val="00CF4C09"/>
  </w:style>
  <w:style w:type="paragraph" w:styleId="CommentSubject">
    <w:name w:val="annotation subject"/>
    <w:basedOn w:val="CommentText"/>
    <w:next w:val="CommentText"/>
    <w:link w:val="CommentSubjectChar"/>
    <w:rsid w:val="00CF4C09"/>
    <w:rPr>
      <w:b/>
      <w:bCs/>
    </w:rPr>
  </w:style>
  <w:style w:type="character" w:customStyle="1" w:styleId="CommentSubjectChar">
    <w:name w:val="Comment Subject Char"/>
    <w:basedOn w:val="CommentTextChar"/>
    <w:link w:val="CommentSubject"/>
    <w:rsid w:val="00CF4C09"/>
    <w:rPr>
      <w:b/>
      <w:bCs/>
    </w:rPr>
  </w:style>
  <w:style w:type="paragraph" w:styleId="BalloonText">
    <w:name w:val="Balloon Text"/>
    <w:basedOn w:val="Normal"/>
    <w:link w:val="BalloonTextChar"/>
    <w:rsid w:val="00CF4C09"/>
    <w:rPr>
      <w:rFonts w:ascii="Tahoma" w:hAnsi="Tahoma" w:cs="Tahoma"/>
      <w:sz w:val="16"/>
      <w:szCs w:val="16"/>
    </w:rPr>
  </w:style>
  <w:style w:type="character" w:customStyle="1" w:styleId="BalloonTextChar">
    <w:name w:val="Balloon Text Char"/>
    <w:basedOn w:val="DefaultParagraphFont"/>
    <w:link w:val="BalloonText"/>
    <w:rsid w:val="00CF4C09"/>
    <w:rPr>
      <w:rFonts w:ascii="Tahoma" w:hAnsi="Tahoma" w:cs="Tahoma"/>
      <w:sz w:val="16"/>
      <w:szCs w:val="16"/>
    </w:rPr>
  </w:style>
  <w:style w:type="character" w:customStyle="1" w:styleId="Heading3Char">
    <w:name w:val="Heading 3 Char"/>
    <w:basedOn w:val="DefaultParagraphFont"/>
    <w:link w:val="Heading3"/>
    <w:uiPriority w:val="9"/>
    <w:rsid w:val="003A64D3"/>
    <w:rPr>
      <w:rFonts w:ascii="Century Gothic" w:hAnsi="Century Gothic" w:cs="Calibri"/>
      <w:color w:val="365F91" w:themeColor="accent1" w:themeShade="BF"/>
      <w:sz w:val="28"/>
      <w:szCs w:val="34"/>
    </w:rPr>
  </w:style>
  <w:style w:type="character" w:styleId="Strong">
    <w:name w:val="Strong"/>
    <w:basedOn w:val="DefaultParagraphFont"/>
    <w:uiPriority w:val="22"/>
    <w:qFormat/>
    <w:rsid w:val="00B62758"/>
    <w:rPr>
      <w:b/>
      <w:bCs/>
    </w:rPr>
  </w:style>
  <w:style w:type="character" w:customStyle="1" w:styleId="style10">
    <w:name w:val="style1"/>
    <w:basedOn w:val="DefaultParagraphFont"/>
    <w:rsid w:val="00B62758"/>
  </w:style>
  <w:style w:type="paragraph" w:styleId="NoSpacing">
    <w:name w:val="No Spacing"/>
    <w:link w:val="NoSpacingChar"/>
    <w:uiPriority w:val="1"/>
    <w:qFormat/>
    <w:rsid w:val="0031118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311185"/>
    <w:rPr>
      <w:rFonts w:asciiTheme="minorHAnsi" w:eastAsiaTheme="minorEastAsia" w:hAnsiTheme="minorHAnsi" w:cstheme="minorBidi"/>
      <w:sz w:val="22"/>
      <w:szCs w:val="22"/>
      <w:lang w:val="en-US" w:eastAsia="en-US"/>
    </w:rPr>
  </w:style>
  <w:style w:type="paragraph" w:customStyle="1" w:styleId="Brief-BULLET">
    <w:name w:val="Brief - BULLET"/>
    <w:basedOn w:val="Normal"/>
    <w:rsid w:val="002159BA"/>
    <w:pPr>
      <w:numPr>
        <w:numId w:val="3"/>
      </w:numPr>
      <w:spacing w:line="230" w:lineRule="exact"/>
    </w:pPr>
    <w:rPr>
      <w:rFonts w:ascii="Times New Roman" w:hAnsi="Times New Roman" w:cs="Times New Roman"/>
      <w:szCs w:val="20"/>
      <w:lang w:eastAsia="en-US"/>
    </w:rPr>
  </w:style>
  <w:style w:type="paragraph" w:customStyle="1" w:styleId="Dotpoint">
    <w:name w:val="Dot point"/>
    <w:basedOn w:val="Normal"/>
    <w:next w:val="Normal"/>
    <w:rsid w:val="00617F38"/>
    <w:pPr>
      <w:autoSpaceDE w:val="0"/>
      <w:autoSpaceDN w:val="0"/>
      <w:adjustRightInd w:val="0"/>
    </w:pPr>
    <w:rPr>
      <w:rFonts w:ascii="Times New Roman" w:hAnsi="Times New Roman" w:cs="Times New Roman"/>
      <w:sz w:val="24"/>
      <w:szCs w:val="24"/>
    </w:rPr>
  </w:style>
  <w:style w:type="paragraph" w:styleId="Revision">
    <w:name w:val="Revision"/>
    <w:hidden/>
    <w:uiPriority w:val="99"/>
    <w:semiHidden/>
    <w:rsid w:val="00517203"/>
    <w:rPr>
      <w:rFonts w:ascii="Calibri" w:hAnsi="Calibri" w:cs="Calibri"/>
      <w:sz w:val="22"/>
      <w:szCs w:val="22"/>
    </w:rPr>
  </w:style>
  <w:style w:type="character" w:styleId="FollowedHyperlink">
    <w:name w:val="FollowedHyperlink"/>
    <w:basedOn w:val="DefaultParagraphFont"/>
    <w:rsid w:val="0075764B"/>
    <w:rPr>
      <w:color w:val="800080" w:themeColor="followedHyperlink"/>
      <w:u w:val="single"/>
    </w:rPr>
  </w:style>
  <w:style w:type="numbering" w:customStyle="1" w:styleId="Style1">
    <w:name w:val="Style1"/>
    <w:uiPriority w:val="99"/>
    <w:rsid w:val="00257681"/>
    <w:pPr>
      <w:numPr>
        <w:numId w:val="14"/>
      </w:numPr>
    </w:pPr>
  </w:style>
  <w:style w:type="paragraph" w:styleId="FootnoteText">
    <w:name w:val="footnote text"/>
    <w:basedOn w:val="Normal"/>
    <w:link w:val="FootnoteTextChar"/>
    <w:rsid w:val="00394DBE"/>
    <w:rPr>
      <w:rFonts w:ascii="Times New Roman" w:hAnsi="Times New Roman" w:cs="Times New Roman"/>
      <w:sz w:val="20"/>
      <w:szCs w:val="20"/>
    </w:rPr>
  </w:style>
  <w:style w:type="character" w:customStyle="1" w:styleId="FootnoteTextChar">
    <w:name w:val="Footnote Text Char"/>
    <w:basedOn w:val="DefaultParagraphFont"/>
    <w:link w:val="FootnoteText"/>
    <w:rsid w:val="00394DBE"/>
  </w:style>
  <w:style w:type="character" w:styleId="FootnoteReference">
    <w:name w:val="footnote reference"/>
    <w:basedOn w:val="DefaultParagraphFont"/>
    <w:rsid w:val="00394DBE"/>
    <w:rPr>
      <w:vertAlign w:val="superscript"/>
    </w:rPr>
  </w:style>
  <w:style w:type="paragraph" w:styleId="EndnoteText">
    <w:name w:val="endnote text"/>
    <w:basedOn w:val="Normal"/>
    <w:link w:val="EndnoteTextChar"/>
    <w:rsid w:val="00FD6BE9"/>
    <w:rPr>
      <w:sz w:val="20"/>
      <w:szCs w:val="20"/>
    </w:rPr>
  </w:style>
  <w:style w:type="character" w:customStyle="1" w:styleId="EndnoteTextChar">
    <w:name w:val="Endnote Text Char"/>
    <w:basedOn w:val="DefaultParagraphFont"/>
    <w:link w:val="EndnoteText"/>
    <w:rsid w:val="00FD6BE9"/>
    <w:rPr>
      <w:rFonts w:ascii="Calibri" w:hAnsi="Calibri" w:cs="Calibri"/>
    </w:rPr>
  </w:style>
  <w:style w:type="character" w:styleId="EndnoteReference">
    <w:name w:val="endnote reference"/>
    <w:basedOn w:val="DefaultParagraphFont"/>
    <w:rsid w:val="00FD6BE9"/>
    <w:rPr>
      <w:vertAlign w:val="superscript"/>
    </w:rPr>
  </w:style>
  <w:style w:type="character" w:customStyle="1" w:styleId="Heading1Char">
    <w:name w:val="Heading 1 Char"/>
    <w:basedOn w:val="DefaultParagraphFont"/>
    <w:link w:val="Heading1"/>
    <w:rsid w:val="003A64D3"/>
    <w:rPr>
      <w:rFonts w:ascii="Century Gothic" w:eastAsiaTheme="majorEastAsia" w:hAnsi="Century Gothic" w:cstheme="majorBidi"/>
      <w:bCs/>
      <w:color w:val="365F91" w:themeColor="accent1" w:themeShade="BF"/>
      <w:sz w:val="32"/>
      <w:szCs w:val="28"/>
    </w:rPr>
  </w:style>
  <w:style w:type="paragraph" w:styleId="TOCHeading">
    <w:name w:val="TOC Heading"/>
    <w:basedOn w:val="Heading1"/>
    <w:next w:val="Normal"/>
    <w:uiPriority w:val="39"/>
    <w:semiHidden/>
    <w:unhideWhenUsed/>
    <w:qFormat/>
    <w:rsid w:val="003A64D3"/>
    <w:pPr>
      <w:spacing w:line="276" w:lineRule="auto"/>
      <w:outlineLvl w:val="9"/>
    </w:pPr>
    <w:rPr>
      <w:lang w:val="en-US" w:eastAsia="en-US"/>
    </w:rPr>
  </w:style>
  <w:style w:type="paragraph" w:styleId="TOC1">
    <w:name w:val="toc 1"/>
    <w:basedOn w:val="Normal"/>
    <w:next w:val="Normal"/>
    <w:autoRedefine/>
    <w:uiPriority w:val="39"/>
    <w:rsid w:val="003A64D3"/>
    <w:pPr>
      <w:spacing w:after="100"/>
    </w:pPr>
  </w:style>
  <w:style w:type="character" w:customStyle="1" w:styleId="Heading2Char">
    <w:name w:val="Heading 2 Char"/>
    <w:basedOn w:val="DefaultParagraphFont"/>
    <w:link w:val="Heading2"/>
    <w:semiHidden/>
    <w:rsid w:val="003A64D3"/>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rsid w:val="003A64D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54E2"/>
    <w:rPr>
      <w:rFonts w:ascii="Calibri" w:hAnsi="Calibri" w:cs="Calibri"/>
      <w:sz w:val="22"/>
      <w:szCs w:val="22"/>
    </w:rPr>
  </w:style>
  <w:style w:type="paragraph" w:styleId="Heading1">
    <w:name w:val="heading 1"/>
    <w:basedOn w:val="Normal"/>
    <w:next w:val="Normal"/>
    <w:link w:val="Heading1Char"/>
    <w:qFormat/>
    <w:rsid w:val="003A64D3"/>
    <w:pPr>
      <w:keepNext/>
      <w:keepLines/>
      <w:spacing w:before="480"/>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semiHidden/>
    <w:unhideWhenUsed/>
    <w:qFormat/>
    <w:rsid w:val="003A64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Heading2"/>
    <w:link w:val="Heading3Char"/>
    <w:uiPriority w:val="9"/>
    <w:qFormat/>
    <w:rsid w:val="003A64D3"/>
    <w:pPr>
      <w:outlineLvl w:val="2"/>
    </w:pPr>
    <w:rPr>
      <w:rFonts w:ascii="Century Gothic" w:hAnsi="Century Gothic"/>
      <w:color w:val="365F91" w:themeColor="accent1" w:themeShade="BF"/>
      <w:sz w:val="2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697D"/>
    <w:pPr>
      <w:ind w:left="720"/>
      <w:contextualSpacing/>
    </w:pPr>
  </w:style>
  <w:style w:type="paragraph" w:styleId="Header">
    <w:name w:val="header"/>
    <w:basedOn w:val="Normal"/>
    <w:link w:val="HeaderChar"/>
    <w:rsid w:val="00014852"/>
    <w:pPr>
      <w:tabs>
        <w:tab w:val="center" w:pos="4513"/>
        <w:tab w:val="right" w:pos="9026"/>
      </w:tabs>
    </w:pPr>
  </w:style>
  <w:style w:type="character" w:customStyle="1" w:styleId="HeaderChar">
    <w:name w:val="Header Char"/>
    <w:basedOn w:val="DefaultParagraphFont"/>
    <w:link w:val="Header"/>
    <w:rsid w:val="00014852"/>
    <w:rPr>
      <w:sz w:val="24"/>
      <w:szCs w:val="24"/>
    </w:rPr>
  </w:style>
  <w:style w:type="paragraph" w:styleId="Footer">
    <w:name w:val="footer"/>
    <w:basedOn w:val="Normal"/>
    <w:link w:val="FooterChar"/>
    <w:rsid w:val="00014852"/>
    <w:pPr>
      <w:tabs>
        <w:tab w:val="center" w:pos="4513"/>
        <w:tab w:val="right" w:pos="9026"/>
      </w:tabs>
    </w:pPr>
  </w:style>
  <w:style w:type="character" w:customStyle="1" w:styleId="FooterChar">
    <w:name w:val="Footer Char"/>
    <w:basedOn w:val="DefaultParagraphFont"/>
    <w:link w:val="Footer"/>
    <w:rsid w:val="00014852"/>
    <w:rPr>
      <w:sz w:val="24"/>
      <w:szCs w:val="24"/>
    </w:rPr>
  </w:style>
  <w:style w:type="table" w:styleId="TableGrid">
    <w:name w:val="Table Grid"/>
    <w:basedOn w:val="TableNormal"/>
    <w:rsid w:val="001C3848"/>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3E3974"/>
    <w:pPr>
      <w:spacing w:before="100" w:beforeAutospacing="1" w:after="100" w:afterAutospacing="1"/>
    </w:pPr>
  </w:style>
  <w:style w:type="character" w:styleId="Hyperlink">
    <w:name w:val="Hyperlink"/>
    <w:basedOn w:val="DefaultParagraphFont"/>
    <w:uiPriority w:val="99"/>
    <w:unhideWhenUsed/>
    <w:rsid w:val="003E3974"/>
    <w:rPr>
      <w:color w:val="3344DD"/>
      <w:u w:val="single"/>
    </w:rPr>
  </w:style>
  <w:style w:type="character" w:customStyle="1" w:styleId="ListParagraphChar">
    <w:name w:val="List Paragraph Char"/>
    <w:basedOn w:val="DefaultParagraphFont"/>
    <w:link w:val="ListParagraph"/>
    <w:uiPriority w:val="34"/>
    <w:locked/>
    <w:rsid w:val="00F97185"/>
    <w:rPr>
      <w:sz w:val="24"/>
      <w:szCs w:val="24"/>
    </w:rPr>
  </w:style>
  <w:style w:type="character" w:styleId="CommentReference">
    <w:name w:val="annotation reference"/>
    <w:basedOn w:val="DefaultParagraphFont"/>
    <w:rsid w:val="00CF4C09"/>
    <w:rPr>
      <w:sz w:val="16"/>
      <w:szCs w:val="16"/>
    </w:rPr>
  </w:style>
  <w:style w:type="paragraph" w:styleId="CommentText">
    <w:name w:val="annotation text"/>
    <w:basedOn w:val="Normal"/>
    <w:link w:val="CommentTextChar"/>
    <w:rsid w:val="00CF4C09"/>
    <w:rPr>
      <w:sz w:val="20"/>
      <w:szCs w:val="20"/>
    </w:rPr>
  </w:style>
  <w:style w:type="character" w:customStyle="1" w:styleId="CommentTextChar">
    <w:name w:val="Comment Text Char"/>
    <w:basedOn w:val="DefaultParagraphFont"/>
    <w:link w:val="CommentText"/>
    <w:rsid w:val="00CF4C09"/>
  </w:style>
  <w:style w:type="paragraph" w:styleId="CommentSubject">
    <w:name w:val="annotation subject"/>
    <w:basedOn w:val="CommentText"/>
    <w:next w:val="CommentText"/>
    <w:link w:val="CommentSubjectChar"/>
    <w:rsid w:val="00CF4C09"/>
    <w:rPr>
      <w:b/>
      <w:bCs/>
    </w:rPr>
  </w:style>
  <w:style w:type="character" w:customStyle="1" w:styleId="CommentSubjectChar">
    <w:name w:val="Comment Subject Char"/>
    <w:basedOn w:val="CommentTextChar"/>
    <w:link w:val="CommentSubject"/>
    <w:rsid w:val="00CF4C09"/>
    <w:rPr>
      <w:b/>
      <w:bCs/>
    </w:rPr>
  </w:style>
  <w:style w:type="paragraph" w:styleId="BalloonText">
    <w:name w:val="Balloon Text"/>
    <w:basedOn w:val="Normal"/>
    <w:link w:val="BalloonTextChar"/>
    <w:rsid w:val="00CF4C09"/>
    <w:rPr>
      <w:rFonts w:ascii="Tahoma" w:hAnsi="Tahoma" w:cs="Tahoma"/>
      <w:sz w:val="16"/>
      <w:szCs w:val="16"/>
    </w:rPr>
  </w:style>
  <w:style w:type="character" w:customStyle="1" w:styleId="BalloonTextChar">
    <w:name w:val="Balloon Text Char"/>
    <w:basedOn w:val="DefaultParagraphFont"/>
    <w:link w:val="BalloonText"/>
    <w:rsid w:val="00CF4C09"/>
    <w:rPr>
      <w:rFonts w:ascii="Tahoma" w:hAnsi="Tahoma" w:cs="Tahoma"/>
      <w:sz w:val="16"/>
      <w:szCs w:val="16"/>
    </w:rPr>
  </w:style>
  <w:style w:type="character" w:customStyle="1" w:styleId="Heading3Char">
    <w:name w:val="Heading 3 Char"/>
    <w:basedOn w:val="DefaultParagraphFont"/>
    <w:link w:val="Heading3"/>
    <w:uiPriority w:val="9"/>
    <w:rsid w:val="003A64D3"/>
    <w:rPr>
      <w:rFonts w:ascii="Century Gothic" w:hAnsi="Century Gothic" w:cs="Calibri"/>
      <w:color w:val="365F91" w:themeColor="accent1" w:themeShade="BF"/>
      <w:sz w:val="28"/>
      <w:szCs w:val="34"/>
    </w:rPr>
  </w:style>
  <w:style w:type="character" w:styleId="Strong">
    <w:name w:val="Strong"/>
    <w:basedOn w:val="DefaultParagraphFont"/>
    <w:uiPriority w:val="22"/>
    <w:qFormat/>
    <w:rsid w:val="00B62758"/>
    <w:rPr>
      <w:b/>
      <w:bCs/>
    </w:rPr>
  </w:style>
  <w:style w:type="character" w:customStyle="1" w:styleId="style10">
    <w:name w:val="style1"/>
    <w:basedOn w:val="DefaultParagraphFont"/>
    <w:rsid w:val="00B62758"/>
  </w:style>
  <w:style w:type="paragraph" w:styleId="NoSpacing">
    <w:name w:val="No Spacing"/>
    <w:link w:val="NoSpacingChar"/>
    <w:uiPriority w:val="1"/>
    <w:qFormat/>
    <w:rsid w:val="0031118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311185"/>
    <w:rPr>
      <w:rFonts w:asciiTheme="minorHAnsi" w:eastAsiaTheme="minorEastAsia" w:hAnsiTheme="minorHAnsi" w:cstheme="minorBidi"/>
      <w:sz w:val="22"/>
      <w:szCs w:val="22"/>
      <w:lang w:val="en-US" w:eastAsia="en-US"/>
    </w:rPr>
  </w:style>
  <w:style w:type="paragraph" w:customStyle="1" w:styleId="Brief-BULLET">
    <w:name w:val="Brief - BULLET"/>
    <w:basedOn w:val="Normal"/>
    <w:rsid w:val="002159BA"/>
    <w:pPr>
      <w:numPr>
        <w:numId w:val="3"/>
      </w:numPr>
      <w:spacing w:line="230" w:lineRule="exact"/>
    </w:pPr>
    <w:rPr>
      <w:rFonts w:ascii="Times New Roman" w:hAnsi="Times New Roman" w:cs="Times New Roman"/>
      <w:szCs w:val="20"/>
      <w:lang w:eastAsia="en-US"/>
    </w:rPr>
  </w:style>
  <w:style w:type="paragraph" w:customStyle="1" w:styleId="Dotpoint">
    <w:name w:val="Dot point"/>
    <w:basedOn w:val="Normal"/>
    <w:next w:val="Normal"/>
    <w:rsid w:val="00617F38"/>
    <w:pPr>
      <w:autoSpaceDE w:val="0"/>
      <w:autoSpaceDN w:val="0"/>
      <w:adjustRightInd w:val="0"/>
    </w:pPr>
    <w:rPr>
      <w:rFonts w:ascii="Times New Roman" w:hAnsi="Times New Roman" w:cs="Times New Roman"/>
      <w:sz w:val="24"/>
      <w:szCs w:val="24"/>
    </w:rPr>
  </w:style>
  <w:style w:type="paragraph" w:styleId="Revision">
    <w:name w:val="Revision"/>
    <w:hidden/>
    <w:uiPriority w:val="99"/>
    <w:semiHidden/>
    <w:rsid w:val="00517203"/>
    <w:rPr>
      <w:rFonts w:ascii="Calibri" w:hAnsi="Calibri" w:cs="Calibri"/>
      <w:sz w:val="22"/>
      <w:szCs w:val="22"/>
    </w:rPr>
  </w:style>
  <w:style w:type="character" w:styleId="FollowedHyperlink">
    <w:name w:val="FollowedHyperlink"/>
    <w:basedOn w:val="DefaultParagraphFont"/>
    <w:rsid w:val="0075764B"/>
    <w:rPr>
      <w:color w:val="800080" w:themeColor="followedHyperlink"/>
      <w:u w:val="single"/>
    </w:rPr>
  </w:style>
  <w:style w:type="numbering" w:customStyle="1" w:styleId="Style1">
    <w:name w:val="Style1"/>
    <w:uiPriority w:val="99"/>
    <w:rsid w:val="00257681"/>
    <w:pPr>
      <w:numPr>
        <w:numId w:val="14"/>
      </w:numPr>
    </w:pPr>
  </w:style>
  <w:style w:type="paragraph" w:styleId="FootnoteText">
    <w:name w:val="footnote text"/>
    <w:basedOn w:val="Normal"/>
    <w:link w:val="FootnoteTextChar"/>
    <w:rsid w:val="00394DBE"/>
    <w:rPr>
      <w:rFonts w:ascii="Times New Roman" w:hAnsi="Times New Roman" w:cs="Times New Roman"/>
      <w:sz w:val="20"/>
      <w:szCs w:val="20"/>
    </w:rPr>
  </w:style>
  <w:style w:type="character" w:customStyle="1" w:styleId="FootnoteTextChar">
    <w:name w:val="Footnote Text Char"/>
    <w:basedOn w:val="DefaultParagraphFont"/>
    <w:link w:val="FootnoteText"/>
    <w:rsid w:val="00394DBE"/>
  </w:style>
  <w:style w:type="character" w:styleId="FootnoteReference">
    <w:name w:val="footnote reference"/>
    <w:basedOn w:val="DefaultParagraphFont"/>
    <w:rsid w:val="00394DBE"/>
    <w:rPr>
      <w:vertAlign w:val="superscript"/>
    </w:rPr>
  </w:style>
  <w:style w:type="paragraph" w:styleId="EndnoteText">
    <w:name w:val="endnote text"/>
    <w:basedOn w:val="Normal"/>
    <w:link w:val="EndnoteTextChar"/>
    <w:rsid w:val="00FD6BE9"/>
    <w:rPr>
      <w:sz w:val="20"/>
      <w:szCs w:val="20"/>
    </w:rPr>
  </w:style>
  <w:style w:type="character" w:customStyle="1" w:styleId="EndnoteTextChar">
    <w:name w:val="Endnote Text Char"/>
    <w:basedOn w:val="DefaultParagraphFont"/>
    <w:link w:val="EndnoteText"/>
    <w:rsid w:val="00FD6BE9"/>
    <w:rPr>
      <w:rFonts w:ascii="Calibri" w:hAnsi="Calibri" w:cs="Calibri"/>
    </w:rPr>
  </w:style>
  <w:style w:type="character" w:styleId="EndnoteReference">
    <w:name w:val="endnote reference"/>
    <w:basedOn w:val="DefaultParagraphFont"/>
    <w:rsid w:val="00FD6BE9"/>
    <w:rPr>
      <w:vertAlign w:val="superscript"/>
    </w:rPr>
  </w:style>
  <w:style w:type="character" w:customStyle="1" w:styleId="Heading1Char">
    <w:name w:val="Heading 1 Char"/>
    <w:basedOn w:val="DefaultParagraphFont"/>
    <w:link w:val="Heading1"/>
    <w:rsid w:val="003A64D3"/>
    <w:rPr>
      <w:rFonts w:ascii="Century Gothic" w:eastAsiaTheme="majorEastAsia" w:hAnsi="Century Gothic" w:cstheme="majorBidi"/>
      <w:bCs/>
      <w:color w:val="365F91" w:themeColor="accent1" w:themeShade="BF"/>
      <w:sz w:val="32"/>
      <w:szCs w:val="28"/>
    </w:rPr>
  </w:style>
  <w:style w:type="paragraph" w:styleId="TOCHeading">
    <w:name w:val="TOC Heading"/>
    <w:basedOn w:val="Heading1"/>
    <w:next w:val="Normal"/>
    <w:uiPriority w:val="39"/>
    <w:semiHidden/>
    <w:unhideWhenUsed/>
    <w:qFormat/>
    <w:rsid w:val="003A64D3"/>
    <w:pPr>
      <w:spacing w:line="276" w:lineRule="auto"/>
      <w:outlineLvl w:val="9"/>
    </w:pPr>
    <w:rPr>
      <w:lang w:val="en-US" w:eastAsia="en-US"/>
    </w:rPr>
  </w:style>
  <w:style w:type="paragraph" w:styleId="TOC1">
    <w:name w:val="toc 1"/>
    <w:basedOn w:val="Normal"/>
    <w:next w:val="Normal"/>
    <w:autoRedefine/>
    <w:uiPriority w:val="39"/>
    <w:rsid w:val="003A64D3"/>
    <w:pPr>
      <w:spacing w:after="100"/>
    </w:pPr>
  </w:style>
  <w:style w:type="character" w:customStyle="1" w:styleId="Heading2Char">
    <w:name w:val="Heading 2 Char"/>
    <w:basedOn w:val="DefaultParagraphFont"/>
    <w:link w:val="Heading2"/>
    <w:semiHidden/>
    <w:rsid w:val="003A64D3"/>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rsid w:val="003A64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1499">
      <w:bodyDiv w:val="1"/>
      <w:marLeft w:val="0"/>
      <w:marRight w:val="0"/>
      <w:marTop w:val="0"/>
      <w:marBottom w:val="0"/>
      <w:divBdr>
        <w:top w:val="none" w:sz="0" w:space="0" w:color="auto"/>
        <w:left w:val="none" w:sz="0" w:space="0" w:color="auto"/>
        <w:bottom w:val="none" w:sz="0" w:space="0" w:color="auto"/>
        <w:right w:val="none" w:sz="0" w:space="0" w:color="auto"/>
      </w:divBdr>
    </w:div>
    <w:div w:id="144205616">
      <w:bodyDiv w:val="1"/>
      <w:marLeft w:val="0"/>
      <w:marRight w:val="0"/>
      <w:marTop w:val="0"/>
      <w:marBottom w:val="0"/>
      <w:divBdr>
        <w:top w:val="none" w:sz="0" w:space="0" w:color="auto"/>
        <w:left w:val="none" w:sz="0" w:space="0" w:color="auto"/>
        <w:bottom w:val="none" w:sz="0" w:space="0" w:color="auto"/>
        <w:right w:val="none" w:sz="0" w:space="0" w:color="auto"/>
      </w:divBdr>
    </w:div>
    <w:div w:id="199710385">
      <w:bodyDiv w:val="1"/>
      <w:marLeft w:val="0"/>
      <w:marRight w:val="0"/>
      <w:marTop w:val="0"/>
      <w:marBottom w:val="0"/>
      <w:divBdr>
        <w:top w:val="none" w:sz="0" w:space="0" w:color="auto"/>
        <w:left w:val="none" w:sz="0" w:space="0" w:color="auto"/>
        <w:bottom w:val="none" w:sz="0" w:space="0" w:color="auto"/>
        <w:right w:val="none" w:sz="0" w:space="0" w:color="auto"/>
      </w:divBdr>
      <w:divsChild>
        <w:div w:id="817114456">
          <w:marLeft w:val="0"/>
          <w:marRight w:val="0"/>
          <w:marTop w:val="0"/>
          <w:marBottom w:val="0"/>
          <w:divBdr>
            <w:top w:val="none" w:sz="0" w:space="0" w:color="auto"/>
            <w:left w:val="none" w:sz="0" w:space="0" w:color="auto"/>
            <w:bottom w:val="none" w:sz="0" w:space="0" w:color="auto"/>
            <w:right w:val="none" w:sz="0" w:space="0" w:color="auto"/>
          </w:divBdr>
          <w:divsChild>
            <w:div w:id="2046783243">
              <w:marLeft w:val="0"/>
              <w:marRight w:val="0"/>
              <w:marTop w:val="0"/>
              <w:marBottom w:val="0"/>
              <w:divBdr>
                <w:top w:val="none" w:sz="0" w:space="0" w:color="auto"/>
                <w:left w:val="none" w:sz="0" w:space="0" w:color="auto"/>
                <w:bottom w:val="none" w:sz="0" w:space="0" w:color="auto"/>
                <w:right w:val="none" w:sz="0" w:space="0" w:color="auto"/>
              </w:divBdr>
              <w:divsChild>
                <w:div w:id="805203909">
                  <w:marLeft w:val="0"/>
                  <w:marRight w:val="0"/>
                  <w:marTop w:val="0"/>
                  <w:marBottom w:val="0"/>
                  <w:divBdr>
                    <w:top w:val="none" w:sz="0" w:space="0" w:color="auto"/>
                    <w:left w:val="none" w:sz="0" w:space="0" w:color="auto"/>
                    <w:bottom w:val="none" w:sz="0" w:space="0" w:color="auto"/>
                    <w:right w:val="none" w:sz="0" w:space="0" w:color="auto"/>
                  </w:divBdr>
                  <w:divsChild>
                    <w:div w:id="866328683">
                      <w:marLeft w:val="0"/>
                      <w:marRight w:val="0"/>
                      <w:marTop w:val="0"/>
                      <w:marBottom w:val="0"/>
                      <w:divBdr>
                        <w:top w:val="none" w:sz="0" w:space="0" w:color="auto"/>
                        <w:left w:val="none" w:sz="0" w:space="0" w:color="auto"/>
                        <w:bottom w:val="none" w:sz="0" w:space="0" w:color="auto"/>
                        <w:right w:val="none" w:sz="0" w:space="0" w:color="auto"/>
                      </w:divBdr>
                      <w:divsChild>
                        <w:div w:id="485054168">
                          <w:marLeft w:val="0"/>
                          <w:marRight w:val="0"/>
                          <w:marTop w:val="0"/>
                          <w:marBottom w:val="0"/>
                          <w:divBdr>
                            <w:top w:val="none" w:sz="0" w:space="0" w:color="auto"/>
                            <w:left w:val="none" w:sz="0" w:space="0" w:color="auto"/>
                            <w:bottom w:val="none" w:sz="0" w:space="0" w:color="auto"/>
                            <w:right w:val="none" w:sz="0" w:space="0" w:color="auto"/>
                          </w:divBdr>
                          <w:divsChild>
                            <w:div w:id="7465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01232">
      <w:bodyDiv w:val="1"/>
      <w:marLeft w:val="0"/>
      <w:marRight w:val="0"/>
      <w:marTop w:val="0"/>
      <w:marBottom w:val="0"/>
      <w:divBdr>
        <w:top w:val="none" w:sz="0" w:space="0" w:color="auto"/>
        <w:left w:val="none" w:sz="0" w:space="0" w:color="auto"/>
        <w:bottom w:val="none" w:sz="0" w:space="0" w:color="auto"/>
        <w:right w:val="none" w:sz="0" w:space="0" w:color="auto"/>
      </w:divBdr>
    </w:div>
    <w:div w:id="216669913">
      <w:bodyDiv w:val="1"/>
      <w:marLeft w:val="0"/>
      <w:marRight w:val="0"/>
      <w:marTop w:val="0"/>
      <w:marBottom w:val="0"/>
      <w:divBdr>
        <w:top w:val="none" w:sz="0" w:space="0" w:color="auto"/>
        <w:left w:val="none" w:sz="0" w:space="0" w:color="auto"/>
        <w:bottom w:val="none" w:sz="0" w:space="0" w:color="auto"/>
        <w:right w:val="none" w:sz="0" w:space="0" w:color="auto"/>
      </w:divBdr>
      <w:divsChild>
        <w:div w:id="1786541672">
          <w:marLeft w:val="0"/>
          <w:marRight w:val="0"/>
          <w:marTop w:val="0"/>
          <w:marBottom w:val="0"/>
          <w:divBdr>
            <w:top w:val="none" w:sz="0" w:space="0" w:color="auto"/>
            <w:left w:val="none" w:sz="0" w:space="0" w:color="auto"/>
            <w:bottom w:val="none" w:sz="0" w:space="0" w:color="auto"/>
            <w:right w:val="none" w:sz="0" w:space="0" w:color="auto"/>
          </w:divBdr>
          <w:divsChild>
            <w:div w:id="469785402">
              <w:marLeft w:val="0"/>
              <w:marRight w:val="0"/>
              <w:marTop w:val="0"/>
              <w:marBottom w:val="0"/>
              <w:divBdr>
                <w:top w:val="none" w:sz="0" w:space="0" w:color="auto"/>
                <w:left w:val="none" w:sz="0" w:space="0" w:color="auto"/>
                <w:bottom w:val="none" w:sz="0" w:space="0" w:color="auto"/>
                <w:right w:val="none" w:sz="0" w:space="0" w:color="auto"/>
              </w:divBdr>
              <w:divsChild>
                <w:div w:id="1094933181">
                  <w:marLeft w:val="0"/>
                  <w:marRight w:val="0"/>
                  <w:marTop w:val="0"/>
                  <w:marBottom w:val="0"/>
                  <w:divBdr>
                    <w:top w:val="none" w:sz="0" w:space="0" w:color="auto"/>
                    <w:left w:val="none" w:sz="0" w:space="0" w:color="auto"/>
                    <w:bottom w:val="none" w:sz="0" w:space="0" w:color="auto"/>
                    <w:right w:val="none" w:sz="0" w:space="0" w:color="auto"/>
                  </w:divBdr>
                  <w:divsChild>
                    <w:div w:id="1188443148">
                      <w:marLeft w:val="0"/>
                      <w:marRight w:val="0"/>
                      <w:marTop w:val="0"/>
                      <w:marBottom w:val="0"/>
                      <w:divBdr>
                        <w:top w:val="none" w:sz="0" w:space="0" w:color="auto"/>
                        <w:left w:val="none" w:sz="0" w:space="0" w:color="auto"/>
                        <w:bottom w:val="none" w:sz="0" w:space="0" w:color="auto"/>
                        <w:right w:val="none" w:sz="0" w:space="0" w:color="auto"/>
                      </w:divBdr>
                      <w:divsChild>
                        <w:div w:id="19202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684245">
      <w:bodyDiv w:val="1"/>
      <w:marLeft w:val="0"/>
      <w:marRight w:val="0"/>
      <w:marTop w:val="0"/>
      <w:marBottom w:val="0"/>
      <w:divBdr>
        <w:top w:val="none" w:sz="0" w:space="0" w:color="auto"/>
        <w:left w:val="none" w:sz="0" w:space="0" w:color="auto"/>
        <w:bottom w:val="none" w:sz="0" w:space="0" w:color="auto"/>
        <w:right w:val="none" w:sz="0" w:space="0" w:color="auto"/>
      </w:divBdr>
    </w:div>
    <w:div w:id="307634351">
      <w:bodyDiv w:val="1"/>
      <w:marLeft w:val="0"/>
      <w:marRight w:val="0"/>
      <w:marTop w:val="0"/>
      <w:marBottom w:val="0"/>
      <w:divBdr>
        <w:top w:val="none" w:sz="0" w:space="0" w:color="auto"/>
        <w:left w:val="none" w:sz="0" w:space="0" w:color="auto"/>
        <w:bottom w:val="none" w:sz="0" w:space="0" w:color="auto"/>
        <w:right w:val="none" w:sz="0" w:space="0" w:color="auto"/>
      </w:divBdr>
      <w:divsChild>
        <w:div w:id="505289340">
          <w:marLeft w:val="0"/>
          <w:marRight w:val="0"/>
          <w:marTop w:val="0"/>
          <w:marBottom w:val="0"/>
          <w:divBdr>
            <w:top w:val="none" w:sz="0" w:space="0" w:color="auto"/>
            <w:left w:val="none" w:sz="0" w:space="0" w:color="auto"/>
            <w:bottom w:val="none" w:sz="0" w:space="0" w:color="auto"/>
            <w:right w:val="none" w:sz="0" w:space="0" w:color="auto"/>
          </w:divBdr>
          <w:divsChild>
            <w:div w:id="980427292">
              <w:marLeft w:val="0"/>
              <w:marRight w:val="0"/>
              <w:marTop w:val="0"/>
              <w:marBottom w:val="0"/>
              <w:divBdr>
                <w:top w:val="none" w:sz="0" w:space="0" w:color="auto"/>
                <w:left w:val="none" w:sz="0" w:space="0" w:color="auto"/>
                <w:bottom w:val="none" w:sz="0" w:space="0" w:color="auto"/>
                <w:right w:val="none" w:sz="0" w:space="0" w:color="auto"/>
              </w:divBdr>
              <w:divsChild>
                <w:div w:id="773133985">
                  <w:marLeft w:val="0"/>
                  <w:marRight w:val="0"/>
                  <w:marTop w:val="0"/>
                  <w:marBottom w:val="0"/>
                  <w:divBdr>
                    <w:top w:val="none" w:sz="0" w:space="0" w:color="auto"/>
                    <w:left w:val="none" w:sz="0" w:space="0" w:color="auto"/>
                    <w:bottom w:val="none" w:sz="0" w:space="0" w:color="auto"/>
                    <w:right w:val="none" w:sz="0" w:space="0" w:color="auto"/>
                  </w:divBdr>
                  <w:divsChild>
                    <w:div w:id="394358446">
                      <w:marLeft w:val="0"/>
                      <w:marRight w:val="0"/>
                      <w:marTop w:val="0"/>
                      <w:marBottom w:val="0"/>
                      <w:divBdr>
                        <w:top w:val="none" w:sz="0" w:space="0" w:color="auto"/>
                        <w:left w:val="none" w:sz="0" w:space="0" w:color="auto"/>
                        <w:bottom w:val="none" w:sz="0" w:space="0" w:color="auto"/>
                        <w:right w:val="none" w:sz="0" w:space="0" w:color="auto"/>
                      </w:divBdr>
                      <w:divsChild>
                        <w:div w:id="544950177">
                          <w:marLeft w:val="0"/>
                          <w:marRight w:val="0"/>
                          <w:marTop w:val="0"/>
                          <w:marBottom w:val="0"/>
                          <w:divBdr>
                            <w:top w:val="none" w:sz="0" w:space="0" w:color="auto"/>
                            <w:left w:val="none" w:sz="0" w:space="0" w:color="auto"/>
                            <w:bottom w:val="none" w:sz="0" w:space="0" w:color="auto"/>
                            <w:right w:val="none" w:sz="0" w:space="0" w:color="auto"/>
                          </w:divBdr>
                          <w:divsChild>
                            <w:div w:id="1805347351">
                              <w:marLeft w:val="0"/>
                              <w:marRight w:val="0"/>
                              <w:marTop w:val="0"/>
                              <w:marBottom w:val="0"/>
                              <w:divBdr>
                                <w:top w:val="none" w:sz="0" w:space="0" w:color="auto"/>
                                <w:left w:val="none" w:sz="0" w:space="0" w:color="auto"/>
                                <w:bottom w:val="none" w:sz="0" w:space="0" w:color="auto"/>
                                <w:right w:val="none" w:sz="0" w:space="0" w:color="auto"/>
                              </w:divBdr>
                              <w:divsChild>
                                <w:div w:id="1130854922">
                                  <w:marLeft w:val="0"/>
                                  <w:marRight w:val="0"/>
                                  <w:marTop w:val="0"/>
                                  <w:marBottom w:val="0"/>
                                  <w:divBdr>
                                    <w:top w:val="none" w:sz="0" w:space="0" w:color="auto"/>
                                    <w:left w:val="none" w:sz="0" w:space="0" w:color="auto"/>
                                    <w:bottom w:val="none" w:sz="0" w:space="0" w:color="auto"/>
                                    <w:right w:val="none" w:sz="0" w:space="0" w:color="auto"/>
                                  </w:divBdr>
                                  <w:divsChild>
                                    <w:div w:id="562637759">
                                      <w:marLeft w:val="0"/>
                                      <w:marRight w:val="0"/>
                                      <w:marTop w:val="0"/>
                                      <w:marBottom w:val="0"/>
                                      <w:divBdr>
                                        <w:top w:val="none" w:sz="0" w:space="0" w:color="auto"/>
                                        <w:left w:val="none" w:sz="0" w:space="0" w:color="auto"/>
                                        <w:bottom w:val="none" w:sz="0" w:space="0" w:color="auto"/>
                                        <w:right w:val="none" w:sz="0" w:space="0" w:color="auto"/>
                                      </w:divBdr>
                                      <w:divsChild>
                                        <w:div w:id="1947037908">
                                          <w:marLeft w:val="0"/>
                                          <w:marRight w:val="0"/>
                                          <w:marTop w:val="0"/>
                                          <w:marBottom w:val="0"/>
                                          <w:divBdr>
                                            <w:top w:val="none" w:sz="0" w:space="0" w:color="auto"/>
                                            <w:left w:val="none" w:sz="0" w:space="0" w:color="auto"/>
                                            <w:bottom w:val="none" w:sz="0" w:space="0" w:color="auto"/>
                                            <w:right w:val="none" w:sz="0" w:space="0" w:color="auto"/>
                                          </w:divBdr>
                                          <w:divsChild>
                                            <w:div w:id="1248921443">
                                              <w:marLeft w:val="0"/>
                                              <w:marRight w:val="0"/>
                                              <w:marTop w:val="0"/>
                                              <w:marBottom w:val="0"/>
                                              <w:divBdr>
                                                <w:top w:val="none" w:sz="0" w:space="0" w:color="auto"/>
                                                <w:left w:val="none" w:sz="0" w:space="0" w:color="auto"/>
                                                <w:bottom w:val="none" w:sz="0" w:space="0" w:color="auto"/>
                                                <w:right w:val="none" w:sz="0" w:space="0" w:color="auto"/>
                                              </w:divBdr>
                                              <w:divsChild>
                                                <w:div w:id="711079031">
                                                  <w:marLeft w:val="0"/>
                                                  <w:marRight w:val="0"/>
                                                  <w:marTop w:val="0"/>
                                                  <w:marBottom w:val="0"/>
                                                  <w:divBdr>
                                                    <w:top w:val="none" w:sz="0" w:space="0" w:color="auto"/>
                                                    <w:left w:val="none" w:sz="0" w:space="0" w:color="auto"/>
                                                    <w:bottom w:val="none" w:sz="0" w:space="0" w:color="auto"/>
                                                    <w:right w:val="none" w:sz="0" w:space="0" w:color="auto"/>
                                                  </w:divBdr>
                                                  <w:divsChild>
                                                    <w:div w:id="476410706">
                                                      <w:marLeft w:val="0"/>
                                                      <w:marRight w:val="0"/>
                                                      <w:marTop w:val="0"/>
                                                      <w:marBottom w:val="0"/>
                                                      <w:divBdr>
                                                        <w:top w:val="none" w:sz="0" w:space="0" w:color="auto"/>
                                                        <w:left w:val="none" w:sz="0" w:space="0" w:color="auto"/>
                                                        <w:bottom w:val="none" w:sz="0" w:space="0" w:color="auto"/>
                                                        <w:right w:val="none" w:sz="0" w:space="0" w:color="auto"/>
                                                      </w:divBdr>
                                                      <w:divsChild>
                                                        <w:div w:id="17905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1833260">
      <w:bodyDiv w:val="1"/>
      <w:marLeft w:val="0"/>
      <w:marRight w:val="0"/>
      <w:marTop w:val="0"/>
      <w:marBottom w:val="0"/>
      <w:divBdr>
        <w:top w:val="none" w:sz="0" w:space="0" w:color="auto"/>
        <w:left w:val="none" w:sz="0" w:space="0" w:color="auto"/>
        <w:bottom w:val="none" w:sz="0" w:space="0" w:color="auto"/>
        <w:right w:val="none" w:sz="0" w:space="0" w:color="auto"/>
      </w:divBdr>
    </w:div>
    <w:div w:id="423377713">
      <w:bodyDiv w:val="1"/>
      <w:marLeft w:val="0"/>
      <w:marRight w:val="0"/>
      <w:marTop w:val="0"/>
      <w:marBottom w:val="0"/>
      <w:divBdr>
        <w:top w:val="none" w:sz="0" w:space="0" w:color="auto"/>
        <w:left w:val="none" w:sz="0" w:space="0" w:color="auto"/>
        <w:bottom w:val="none" w:sz="0" w:space="0" w:color="auto"/>
        <w:right w:val="none" w:sz="0" w:space="0" w:color="auto"/>
      </w:divBdr>
    </w:div>
    <w:div w:id="438720269">
      <w:bodyDiv w:val="1"/>
      <w:marLeft w:val="0"/>
      <w:marRight w:val="0"/>
      <w:marTop w:val="0"/>
      <w:marBottom w:val="0"/>
      <w:divBdr>
        <w:top w:val="none" w:sz="0" w:space="0" w:color="auto"/>
        <w:left w:val="none" w:sz="0" w:space="0" w:color="auto"/>
        <w:bottom w:val="none" w:sz="0" w:space="0" w:color="auto"/>
        <w:right w:val="none" w:sz="0" w:space="0" w:color="auto"/>
      </w:divBdr>
    </w:div>
    <w:div w:id="488836753">
      <w:bodyDiv w:val="1"/>
      <w:marLeft w:val="0"/>
      <w:marRight w:val="0"/>
      <w:marTop w:val="0"/>
      <w:marBottom w:val="0"/>
      <w:divBdr>
        <w:top w:val="none" w:sz="0" w:space="0" w:color="auto"/>
        <w:left w:val="none" w:sz="0" w:space="0" w:color="auto"/>
        <w:bottom w:val="none" w:sz="0" w:space="0" w:color="auto"/>
        <w:right w:val="none" w:sz="0" w:space="0" w:color="auto"/>
      </w:divBdr>
      <w:divsChild>
        <w:div w:id="1159928798">
          <w:marLeft w:val="0"/>
          <w:marRight w:val="0"/>
          <w:marTop w:val="0"/>
          <w:marBottom w:val="0"/>
          <w:divBdr>
            <w:top w:val="none" w:sz="0" w:space="0" w:color="auto"/>
            <w:left w:val="none" w:sz="0" w:space="0" w:color="auto"/>
            <w:bottom w:val="none" w:sz="0" w:space="0" w:color="auto"/>
            <w:right w:val="none" w:sz="0" w:space="0" w:color="auto"/>
          </w:divBdr>
          <w:divsChild>
            <w:div w:id="882670048">
              <w:marLeft w:val="0"/>
              <w:marRight w:val="0"/>
              <w:marTop w:val="0"/>
              <w:marBottom w:val="0"/>
              <w:divBdr>
                <w:top w:val="none" w:sz="0" w:space="0" w:color="auto"/>
                <w:left w:val="none" w:sz="0" w:space="0" w:color="auto"/>
                <w:bottom w:val="none" w:sz="0" w:space="0" w:color="auto"/>
                <w:right w:val="none" w:sz="0" w:space="0" w:color="auto"/>
              </w:divBdr>
              <w:divsChild>
                <w:div w:id="8333583">
                  <w:marLeft w:val="0"/>
                  <w:marRight w:val="0"/>
                  <w:marTop w:val="0"/>
                  <w:marBottom w:val="0"/>
                  <w:divBdr>
                    <w:top w:val="none" w:sz="0" w:space="0" w:color="auto"/>
                    <w:left w:val="none" w:sz="0" w:space="0" w:color="auto"/>
                    <w:bottom w:val="none" w:sz="0" w:space="0" w:color="auto"/>
                    <w:right w:val="none" w:sz="0" w:space="0" w:color="auto"/>
                  </w:divBdr>
                  <w:divsChild>
                    <w:div w:id="780690102">
                      <w:marLeft w:val="0"/>
                      <w:marRight w:val="0"/>
                      <w:marTop w:val="0"/>
                      <w:marBottom w:val="0"/>
                      <w:divBdr>
                        <w:top w:val="none" w:sz="0" w:space="0" w:color="auto"/>
                        <w:left w:val="none" w:sz="0" w:space="0" w:color="auto"/>
                        <w:bottom w:val="none" w:sz="0" w:space="0" w:color="auto"/>
                        <w:right w:val="none" w:sz="0" w:space="0" w:color="auto"/>
                      </w:divBdr>
                      <w:divsChild>
                        <w:div w:id="164982940">
                          <w:marLeft w:val="0"/>
                          <w:marRight w:val="0"/>
                          <w:marTop w:val="0"/>
                          <w:marBottom w:val="0"/>
                          <w:divBdr>
                            <w:top w:val="none" w:sz="0" w:space="0" w:color="auto"/>
                            <w:left w:val="none" w:sz="0" w:space="0" w:color="auto"/>
                            <w:bottom w:val="none" w:sz="0" w:space="0" w:color="auto"/>
                            <w:right w:val="none" w:sz="0" w:space="0" w:color="auto"/>
                          </w:divBdr>
                          <w:divsChild>
                            <w:div w:id="1182007406">
                              <w:marLeft w:val="0"/>
                              <w:marRight w:val="0"/>
                              <w:marTop w:val="0"/>
                              <w:marBottom w:val="0"/>
                              <w:divBdr>
                                <w:top w:val="none" w:sz="0" w:space="0" w:color="auto"/>
                                <w:left w:val="none" w:sz="0" w:space="0" w:color="auto"/>
                                <w:bottom w:val="none" w:sz="0" w:space="0" w:color="auto"/>
                                <w:right w:val="none" w:sz="0" w:space="0" w:color="auto"/>
                              </w:divBdr>
                              <w:divsChild>
                                <w:div w:id="1855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858334">
      <w:bodyDiv w:val="1"/>
      <w:marLeft w:val="0"/>
      <w:marRight w:val="0"/>
      <w:marTop w:val="0"/>
      <w:marBottom w:val="0"/>
      <w:divBdr>
        <w:top w:val="none" w:sz="0" w:space="0" w:color="auto"/>
        <w:left w:val="none" w:sz="0" w:space="0" w:color="auto"/>
        <w:bottom w:val="none" w:sz="0" w:space="0" w:color="auto"/>
        <w:right w:val="none" w:sz="0" w:space="0" w:color="auto"/>
      </w:divBdr>
      <w:divsChild>
        <w:div w:id="754935613">
          <w:marLeft w:val="0"/>
          <w:marRight w:val="0"/>
          <w:marTop w:val="0"/>
          <w:marBottom w:val="0"/>
          <w:divBdr>
            <w:top w:val="none" w:sz="0" w:space="0" w:color="auto"/>
            <w:left w:val="none" w:sz="0" w:space="0" w:color="auto"/>
            <w:bottom w:val="none" w:sz="0" w:space="0" w:color="auto"/>
            <w:right w:val="none" w:sz="0" w:space="0" w:color="auto"/>
          </w:divBdr>
          <w:divsChild>
            <w:div w:id="972835179">
              <w:marLeft w:val="0"/>
              <w:marRight w:val="0"/>
              <w:marTop w:val="0"/>
              <w:marBottom w:val="0"/>
              <w:divBdr>
                <w:top w:val="none" w:sz="0" w:space="0" w:color="auto"/>
                <w:left w:val="none" w:sz="0" w:space="0" w:color="auto"/>
                <w:bottom w:val="none" w:sz="0" w:space="0" w:color="auto"/>
                <w:right w:val="none" w:sz="0" w:space="0" w:color="auto"/>
              </w:divBdr>
              <w:divsChild>
                <w:div w:id="1471092339">
                  <w:marLeft w:val="0"/>
                  <w:marRight w:val="0"/>
                  <w:marTop w:val="0"/>
                  <w:marBottom w:val="0"/>
                  <w:divBdr>
                    <w:top w:val="none" w:sz="0" w:space="0" w:color="auto"/>
                    <w:left w:val="none" w:sz="0" w:space="0" w:color="auto"/>
                    <w:bottom w:val="none" w:sz="0" w:space="0" w:color="auto"/>
                    <w:right w:val="none" w:sz="0" w:space="0" w:color="auto"/>
                  </w:divBdr>
                  <w:divsChild>
                    <w:div w:id="1682388581">
                      <w:marLeft w:val="0"/>
                      <w:marRight w:val="0"/>
                      <w:marTop w:val="0"/>
                      <w:marBottom w:val="0"/>
                      <w:divBdr>
                        <w:top w:val="none" w:sz="0" w:space="0" w:color="auto"/>
                        <w:left w:val="none" w:sz="0" w:space="0" w:color="auto"/>
                        <w:bottom w:val="none" w:sz="0" w:space="0" w:color="auto"/>
                        <w:right w:val="none" w:sz="0" w:space="0" w:color="auto"/>
                      </w:divBdr>
                      <w:divsChild>
                        <w:div w:id="1716611929">
                          <w:marLeft w:val="0"/>
                          <w:marRight w:val="0"/>
                          <w:marTop w:val="0"/>
                          <w:marBottom w:val="0"/>
                          <w:divBdr>
                            <w:top w:val="none" w:sz="0" w:space="0" w:color="auto"/>
                            <w:left w:val="none" w:sz="0" w:space="0" w:color="auto"/>
                            <w:bottom w:val="none" w:sz="0" w:space="0" w:color="auto"/>
                            <w:right w:val="none" w:sz="0" w:space="0" w:color="auto"/>
                          </w:divBdr>
                          <w:divsChild>
                            <w:div w:id="4472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362380">
      <w:bodyDiv w:val="1"/>
      <w:marLeft w:val="0"/>
      <w:marRight w:val="0"/>
      <w:marTop w:val="0"/>
      <w:marBottom w:val="0"/>
      <w:divBdr>
        <w:top w:val="none" w:sz="0" w:space="0" w:color="auto"/>
        <w:left w:val="none" w:sz="0" w:space="0" w:color="auto"/>
        <w:bottom w:val="none" w:sz="0" w:space="0" w:color="auto"/>
        <w:right w:val="none" w:sz="0" w:space="0" w:color="auto"/>
      </w:divBdr>
    </w:div>
    <w:div w:id="735788744">
      <w:bodyDiv w:val="1"/>
      <w:marLeft w:val="0"/>
      <w:marRight w:val="0"/>
      <w:marTop w:val="0"/>
      <w:marBottom w:val="0"/>
      <w:divBdr>
        <w:top w:val="none" w:sz="0" w:space="0" w:color="auto"/>
        <w:left w:val="none" w:sz="0" w:space="0" w:color="auto"/>
        <w:bottom w:val="none" w:sz="0" w:space="0" w:color="auto"/>
        <w:right w:val="none" w:sz="0" w:space="0" w:color="auto"/>
      </w:divBdr>
    </w:div>
    <w:div w:id="745762800">
      <w:bodyDiv w:val="1"/>
      <w:marLeft w:val="0"/>
      <w:marRight w:val="0"/>
      <w:marTop w:val="0"/>
      <w:marBottom w:val="0"/>
      <w:divBdr>
        <w:top w:val="none" w:sz="0" w:space="0" w:color="auto"/>
        <w:left w:val="none" w:sz="0" w:space="0" w:color="auto"/>
        <w:bottom w:val="none" w:sz="0" w:space="0" w:color="auto"/>
        <w:right w:val="none" w:sz="0" w:space="0" w:color="auto"/>
      </w:divBdr>
      <w:divsChild>
        <w:div w:id="669261570">
          <w:marLeft w:val="0"/>
          <w:marRight w:val="0"/>
          <w:marTop w:val="0"/>
          <w:marBottom w:val="0"/>
          <w:divBdr>
            <w:top w:val="none" w:sz="0" w:space="0" w:color="auto"/>
            <w:left w:val="none" w:sz="0" w:space="0" w:color="auto"/>
            <w:bottom w:val="none" w:sz="0" w:space="0" w:color="auto"/>
            <w:right w:val="none" w:sz="0" w:space="0" w:color="auto"/>
          </w:divBdr>
          <w:divsChild>
            <w:div w:id="509952419">
              <w:marLeft w:val="0"/>
              <w:marRight w:val="0"/>
              <w:marTop w:val="0"/>
              <w:marBottom w:val="0"/>
              <w:divBdr>
                <w:top w:val="none" w:sz="0" w:space="0" w:color="auto"/>
                <w:left w:val="none" w:sz="0" w:space="0" w:color="auto"/>
                <w:bottom w:val="none" w:sz="0" w:space="0" w:color="auto"/>
                <w:right w:val="none" w:sz="0" w:space="0" w:color="auto"/>
              </w:divBdr>
              <w:divsChild>
                <w:div w:id="566691027">
                  <w:marLeft w:val="0"/>
                  <w:marRight w:val="0"/>
                  <w:marTop w:val="0"/>
                  <w:marBottom w:val="0"/>
                  <w:divBdr>
                    <w:top w:val="none" w:sz="0" w:space="0" w:color="auto"/>
                    <w:left w:val="none" w:sz="0" w:space="0" w:color="auto"/>
                    <w:bottom w:val="none" w:sz="0" w:space="0" w:color="auto"/>
                    <w:right w:val="none" w:sz="0" w:space="0" w:color="auto"/>
                  </w:divBdr>
                  <w:divsChild>
                    <w:div w:id="672686581">
                      <w:marLeft w:val="0"/>
                      <w:marRight w:val="0"/>
                      <w:marTop w:val="0"/>
                      <w:marBottom w:val="0"/>
                      <w:divBdr>
                        <w:top w:val="none" w:sz="0" w:space="0" w:color="auto"/>
                        <w:left w:val="none" w:sz="0" w:space="0" w:color="auto"/>
                        <w:bottom w:val="none" w:sz="0" w:space="0" w:color="auto"/>
                        <w:right w:val="none" w:sz="0" w:space="0" w:color="auto"/>
                      </w:divBdr>
                      <w:divsChild>
                        <w:div w:id="1675645275">
                          <w:marLeft w:val="0"/>
                          <w:marRight w:val="0"/>
                          <w:marTop w:val="0"/>
                          <w:marBottom w:val="0"/>
                          <w:divBdr>
                            <w:top w:val="none" w:sz="0" w:space="0" w:color="auto"/>
                            <w:left w:val="none" w:sz="0" w:space="0" w:color="auto"/>
                            <w:bottom w:val="none" w:sz="0" w:space="0" w:color="auto"/>
                            <w:right w:val="none" w:sz="0" w:space="0" w:color="auto"/>
                          </w:divBdr>
                          <w:divsChild>
                            <w:div w:id="20482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652962">
      <w:bodyDiv w:val="1"/>
      <w:marLeft w:val="0"/>
      <w:marRight w:val="0"/>
      <w:marTop w:val="0"/>
      <w:marBottom w:val="0"/>
      <w:divBdr>
        <w:top w:val="none" w:sz="0" w:space="0" w:color="auto"/>
        <w:left w:val="none" w:sz="0" w:space="0" w:color="auto"/>
        <w:bottom w:val="none" w:sz="0" w:space="0" w:color="auto"/>
        <w:right w:val="none" w:sz="0" w:space="0" w:color="auto"/>
      </w:divBdr>
    </w:div>
    <w:div w:id="755054222">
      <w:bodyDiv w:val="1"/>
      <w:marLeft w:val="0"/>
      <w:marRight w:val="0"/>
      <w:marTop w:val="0"/>
      <w:marBottom w:val="0"/>
      <w:divBdr>
        <w:top w:val="none" w:sz="0" w:space="0" w:color="auto"/>
        <w:left w:val="none" w:sz="0" w:space="0" w:color="auto"/>
        <w:bottom w:val="none" w:sz="0" w:space="0" w:color="auto"/>
        <w:right w:val="none" w:sz="0" w:space="0" w:color="auto"/>
      </w:divBdr>
      <w:divsChild>
        <w:div w:id="1815559530">
          <w:marLeft w:val="0"/>
          <w:marRight w:val="0"/>
          <w:marTop w:val="0"/>
          <w:marBottom w:val="0"/>
          <w:divBdr>
            <w:top w:val="none" w:sz="0" w:space="0" w:color="auto"/>
            <w:left w:val="none" w:sz="0" w:space="0" w:color="auto"/>
            <w:bottom w:val="none" w:sz="0" w:space="0" w:color="auto"/>
            <w:right w:val="none" w:sz="0" w:space="0" w:color="auto"/>
          </w:divBdr>
          <w:divsChild>
            <w:div w:id="1745492656">
              <w:marLeft w:val="0"/>
              <w:marRight w:val="0"/>
              <w:marTop w:val="0"/>
              <w:marBottom w:val="0"/>
              <w:divBdr>
                <w:top w:val="none" w:sz="0" w:space="0" w:color="auto"/>
                <w:left w:val="none" w:sz="0" w:space="0" w:color="auto"/>
                <w:bottom w:val="none" w:sz="0" w:space="0" w:color="auto"/>
                <w:right w:val="none" w:sz="0" w:space="0" w:color="auto"/>
              </w:divBdr>
              <w:divsChild>
                <w:div w:id="1921675908">
                  <w:marLeft w:val="0"/>
                  <w:marRight w:val="0"/>
                  <w:marTop w:val="0"/>
                  <w:marBottom w:val="0"/>
                  <w:divBdr>
                    <w:top w:val="none" w:sz="0" w:space="0" w:color="auto"/>
                    <w:left w:val="none" w:sz="0" w:space="0" w:color="auto"/>
                    <w:bottom w:val="none" w:sz="0" w:space="0" w:color="auto"/>
                    <w:right w:val="none" w:sz="0" w:space="0" w:color="auto"/>
                  </w:divBdr>
                  <w:divsChild>
                    <w:div w:id="2046516467">
                      <w:marLeft w:val="0"/>
                      <w:marRight w:val="0"/>
                      <w:marTop w:val="0"/>
                      <w:marBottom w:val="0"/>
                      <w:divBdr>
                        <w:top w:val="none" w:sz="0" w:space="0" w:color="auto"/>
                        <w:left w:val="none" w:sz="0" w:space="0" w:color="auto"/>
                        <w:bottom w:val="none" w:sz="0" w:space="0" w:color="auto"/>
                        <w:right w:val="none" w:sz="0" w:space="0" w:color="auto"/>
                      </w:divBdr>
                      <w:divsChild>
                        <w:div w:id="982471088">
                          <w:marLeft w:val="0"/>
                          <w:marRight w:val="0"/>
                          <w:marTop w:val="0"/>
                          <w:marBottom w:val="0"/>
                          <w:divBdr>
                            <w:top w:val="none" w:sz="0" w:space="0" w:color="auto"/>
                            <w:left w:val="none" w:sz="0" w:space="0" w:color="auto"/>
                            <w:bottom w:val="none" w:sz="0" w:space="0" w:color="auto"/>
                            <w:right w:val="none" w:sz="0" w:space="0" w:color="auto"/>
                          </w:divBdr>
                          <w:divsChild>
                            <w:div w:id="17609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410151">
      <w:bodyDiv w:val="1"/>
      <w:marLeft w:val="0"/>
      <w:marRight w:val="0"/>
      <w:marTop w:val="0"/>
      <w:marBottom w:val="0"/>
      <w:divBdr>
        <w:top w:val="none" w:sz="0" w:space="0" w:color="auto"/>
        <w:left w:val="none" w:sz="0" w:space="0" w:color="auto"/>
        <w:bottom w:val="none" w:sz="0" w:space="0" w:color="auto"/>
        <w:right w:val="none" w:sz="0" w:space="0" w:color="auto"/>
      </w:divBdr>
    </w:div>
    <w:div w:id="797799499">
      <w:bodyDiv w:val="1"/>
      <w:marLeft w:val="0"/>
      <w:marRight w:val="0"/>
      <w:marTop w:val="0"/>
      <w:marBottom w:val="0"/>
      <w:divBdr>
        <w:top w:val="none" w:sz="0" w:space="0" w:color="auto"/>
        <w:left w:val="none" w:sz="0" w:space="0" w:color="auto"/>
        <w:bottom w:val="none" w:sz="0" w:space="0" w:color="auto"/>
        <w:right w:val="none" w:sz="0" w:space="0" w:color="auto"/>
      </w:divBdr>
      <w:divsChild>
        <w:div w:id="805585679">
          <w:marLeft w:val="0"/>
          <w:marRight w:val="0"/>
          <w:marTop w:val="0"/>
          <w:marBottom w:val="0"/>
          <w:divBdr>
            <w:top w:val="none" w:sz="0" w:space="0" w:color="auto"/>
            <w:left w:val="none" w:sz="0" w:space="0" w:color="auto"/>
            <w:bottom w:val="none" w:sz="0" w:space="0" w:color="auto"/>
            <w:right w:val="none" w:sz="0" w:space="0" w:color="auto"/>
          </w:divBdr>
          <w:divsChild>
            <w:div w:id="391731731">
              <w:marLeft w:val="0"/>
              <w:marRight w:val="0"/>
              <w:marTop w:val="0"/>
              <w:marBottom w:val="0"/>
              <w:divBdr>
                <w:top w:val="none" w:sz="0" w:space="0" w:color="auto"/>
                <w:left w:val="none" w:sz="0" w:space="0" w:color="auto"/>
                <w:bottom w:val="none" w:sz="0" w:space="0" w:color="auto"/>
                <w:right w:val="none" w:sz="0" w:space="0" w:color="auto"/>
              </w:divBdr>
              <w:divsChild>
                <w:div w:id="1192498595">
                  <w:marLeft w:val="0"/>
                  <w:marRight w:val="0"/>
                  <w:marTop w:val="0"/>
                  <w:marBottom w:val="0"/>
                  <w:divBdr>
                    <w:top w:val="none" w:sz="0" w:space="0" w:color="auto"/>
                    <w:left w:val="none" w:sz="0" w:space="0" w:color="auto"/>
                    <w:bottom w:val="none" w:sz="0" w:space="0" w:color="auto"/>
                    <w:right w:val="none" w:sz="0" w:space="0" w:color="auto"/>
                  </w:divBdr>
                  <w:divsChild>
                    <w:div w:id="1269045445">
                      <w:marLeft w:val="0"/>
                      <w:marRight w:val="0"/>
                      <w:marTop w:val="0"/>
                      <w:marBottom w:val="0"/>
                      <w:divBdr>
                        <w:top w:val="none" w:sz="0" w:space="0" w:color="auto"/>
                        <w:left w:val="none" w:sz="0" w:space="0" w:color="auto"/>
                        <w:bottom w:val="none" w:sz="0" w:space="0" w:color="auto"/>
                        <w:right w:val="none" w:sz="0" w:space="0" w:color="auto"/>
                      </w:divBdr>
                      <w:divsChild>
                        <w:div w:id="9278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840946">
      <w:bodyDiv w:val="1"/>
      <w:marLeft w:val="0"/>
      <w:marRight w:val="0"/>
      <w:marTop w:val="0"/>
      <w:marBottom w:val="0"/>
      <w:divBdr>
        <w:top w:val="none" w:sz="0" w:space="0" w:color="auto"/>
        <w:left w:val="none" w:sz="0" w:space="0" w:color="auto"/>
        <w:bottom w:val="none" w:sz="0" w:space="0" w:color="auto"/>
        <w:right w:val="none" w:sz="0" w:space="0" w:color="auto"/>
      </w:divBdr>
    </w:div>
    <w:div w:id="848107629">
      <w:bodyDiv w:val="1"/>
      <w:marLeft w:val="0"/>
      <w:marRight w:val="0"/>
      <w:marTop w:val="0"/>
      <w:marBottom w:val="0"/>
      <w:divBdr>
        <w:top w:val="none" w:sz="0" w:space="0" w:color="auto"/>
        <w:left w:val="none" w:sz="0" w:space="0" w:color="auto"/>
        <w:bottom w:val="none" w:sz="0" w:space="0" w:color="auto"/>
        <w:right w:val="none" w:sz="0" w:space="0" w:color="auto"/>
      </w:divBdr>
      <w:divsChild>
        <w:div w:id="811412364">
          <w:marLeft w:val="0"/>
          <w:marRight w:val="0"/>
          <w:marTop w:val="0"/>
          <w:marBottom w:val="0"/>
          <w:divBdr>
            <w:top w:val="none" w:sz="0" w:space="0" w:color="auto"/>
            <w:left w:val="none" w:sz="0" w:space="0" w:color="auto"/>
            <w:bottom w:val="none" w:sz="0" w:space="0" w:color="auto"/>
            <w:right w:val="none" w:sz="0" w:space="0" w:color="auto"/>
          </w:divBdr>
          <w:divsChild>
            <w:div w:id="99761344">
              <w:marLeft w:val="0"/>
              <w:marRight w:val="0"/>
              <w:marTop w:val="0"/>
              <w:marBottom w:val="0"/>
              <w:divBdr>
                <w:top w:val="none" w:sz="0" w:space="0" w:color="auto"/>
                <w:left w:val="none" w:sz="0" w:space="0" w:color="auto"/>
                <w:bottom w:val="none" w:sz="0" w:space="0" w:color="auto"/>
                <w:right w:val="none" w:sz="0" w:space="0" w:color="auto"/>
              </w:divBdr>
              <w:divsChild>
                <w:div w:id="1413772319">
                  <w:marLeft w:val="0"/>
                  <w:marRight w:val="0"/>
                  <w:marTop w:val="0"/>
                  <w:marBottom w:val="0"/>
                  <w:divBdr>
                    <w:top w:val="none" w:sz="0" w:space="0" w:color="auto"/>
                    <w:left w:val="none" w:sz="0" w:space="0" w:color="auto"/>
                    <w:bottom w:val="none" w:sz="0" w:space="0" w:color="auto"/>
                    <w:right w:val="none" w:sz="0" w:space="0" w:color="auto"/>
                  </w:divBdr>
                  <w:divsChild>
                    <w:div w:id="261306688">
                      <w:marLeft w:val="0"/>
                      <w:marRight w:val="0"/>
                      <w:marTop w:val="0"/>
                      <w:marBottom w:val="0"/>
                      <w:divBdr>
                        <w:top w:val="none" w:sz="0" w:space="0" w:color="auto"/>
                        <w:left w:val="none" w:sz="0" w:space="0" w:color="auto"/>
                        <w:bottom w:val="none" w:sz="0" w:space="0" w:color="auto"/>
                        <w:right w:val="none" w:sz="0" w:space="0" w:color="auto"/>
                      </w:divBdr>
                      <w:divsChild>
                        <w:div w:id="516039896">
                          <w:marLeft w:val="0"/>
                          <w:marRight w:val="0"/>
                          <w:marTop w:val="0"/>
                          <w:marBottom w:val="0"/>
                          <w:divBdr>
                            <w:top w:val="none" w:sz="0" w:space="0" w:color="auto"/>
                            <w:left w:val="none" w:sz="0" w:space="0" w:color="auto"/>
                            <w:bottom w:val="none" w:sz="0" w:space="0" w:color="auto"/>
                            <w:right w:val="none" w:sz="0" w:space="0" w:color="auto"/>
                          </w:divBdr>
                          <w:divsChild>
                            <w:div w:id="3745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07486">
      <w:bodyDiv w:val="1"/>
      <w:marLeft w:val="0"/>
      <w:marRight w:val="0"/>
      <w:marTop w:val="0"/>
      <w:marBottom w:val="0"/>
      <w:divBdr>
        <w:top w:val="none" w:sz="0" w:space="0" w:color="auto"/>
        <w:left w:val="none" w:sz="0" w:space="0" w:color="auto"/>
        <w:bottom w:val="none" w:sz="0" w:space="0" w:color="auto"/>
        <w:right w:val="none" w:sz="0" w:space="0" w:color="auto"/>
      </w:divBdr>
    </w:div>
    <w:div w:id="859513110">
      <w:bodyDiv w:val="1"/>
      <w:marLeft w:val="0"/>
      <w:marRight w:val="0"/>
      <w:marTop w:val="0"/>
      <w:marBottom w:val="0"/>
      <w:divBdr>
        <w:top w:val="none" w:sz="0" w:space="0" w:color="auto"/>
        <w:left w:val="none" w:sz="0" w:space="0" w:color="auto"/>
        <w:bottom w:val="none" w:sz="0" w:space="0" w:color="auto"/>
        <w:right w:val="none" w:sz="0" w:space="0" w:color="auto"/>
      </w:divBdr>
    </w:div>
    <w:div w:id="1069155287">
      <w:bodyDiv w:val="1"/>
      <w:marLeft w:val="0"/>
      <w:marRight w:val="0"/>
      <w:marTop w:val="0"/>
      <w:marBottom w:val="0"/>
      <w:divBdr>
        <w:top w:val="none" w:sz="0" w:space="0" w:color="auto"/>
        <w:left w:val="none" w:sz="0" w:space="0" w:color="auto"/>
        <w:bottom w:val="none" w:sz="0" w:space="0" w:color="auto"/>
        <w:right w:val="none" w:sz="0" w:space="0" w:color="auto"/>
      </w:divBdr>
      <w:divsChild>
        <w:div w:id="1718814212">
          <w:marLeft w:val="0"/>
          <w:marRight w:val="0"/>
          <w:marTop w:val="0"/>
          <w:marBottom w:val="0"/>
          <w:divBdr>
            <w:top w:val="none" w:sz="0" w:space="0" w:color="auto"/>
            <w:left w:val="none" w:sz="0" w:space="0" w:color="auto"/>
            <w:bottom w:val="none" w:sz="0" w:space="0" w:color="auto"/>
            <w:right w:val="none" w:sz="0" w:space="0" w:color="auto"/>
          </w:divBdr>
          <w:divsChild>
            <w:div w:id="2011711789">
              <w:marLeft w:val="0"/>
              <w:marRight w:val="0"/>
              <w:marTop w:val="0"/>
              <w:marBottom w:val="0"/>
              <w:divBdr>
                <w:top w:val="none" w:sz="0" w:space="0" w:color="auto"/>
                <w:left w:val="none" w:sz="0" w:space="0" w:color="auto"/>
                <w:bottom w:val="none" w:sz="0" w:space="0" w:color="auto"/>
                <w:right w:val="none" w:sz="0" w:space="0" w:color="auto"/>
              </w:divBdr>
              <w:divsChild>
                <w:div w:id="302396132">
                  <w:marLeft w:val="0"/>
                  <w:marRight w:val="0"/>
                  <w:marTop w:val="0"/>
                  <w:marBottom w:val="0"/>
                  <w:divBdr>
                    <w:top w:val="none" w:sz="0" w:space="0" w:color="auto"/>
                    <w:left w:val="none" w:sz="0" w:space="0" w:color="auto"/>
                    <w:bottom w:val="none" w:sz="0" w:space="0" w:color="auto"/>
                    <w:right w:val="none" w:sz="0" w:space="0" w:color="auto"/>
                  </w:divBdr>
                  <w:divsChild>
                    <w:div w:id="1000891406">
                      <w:marLeft w:val="0"/>
                      <w:marRight w:val="0"/>
                      <w:marTop w:val="0"/>
                      <w:marBottom w:val="0"/>
                      <w:divBdr>
                        <w:top w:val="none" w:sz="0" w:space="0" w:color="auto"/>
                        <w:left w:val="none" w:sz="0" w:space="0" w:color="auto"/>
                        <w:bottom w:val="none" w:sz="0" w:space="0" w:color="auto"/>
                        <w:right w:val="none" w:sz="0" w:space="0" w:color="auto"/>
                      </w:divBdr>
                      <w:divsChild>
                        <w:div w:id="1564638405">
                          <w:marLeft w:val="0"/>
                          <w:marRight w:val="0"/>
                          <w:marTop w:val="0"/>
                          <w:marBottom w:val="0"/>
                          <w:divBdr>
                            <w:top w:val="none" w:sz="0" w:space="0" w:color="auto"/>
                            <w:left w:val="none" w:sz="0" w:space="0" w:color="auto"/>
                            <w:bottom w:val="none" w:sz="0" w:space="0" w:color="auto"/>
                            <w:right w:val="none" w:sz="0" w:space="0" w:color="auto"/>
                          </w:divBdr>
                          <w:divsChild>
                            <w:div w:id="527182927">
                              <w:marLeft w:val="0"/>
                              <w:marRight w:val="0"/>
                              <w:marTop w:val="0"/>
                              <w:marBottom w:val="0"/>
                              <w:divBdr>
                                <w:top w:val="none" w:sz="0" w:space="0" w:color="auto"/>
                                <w:left w:val="none" w:sz="0" w:space="0" w:color="auto"/>
                                <w:bottom w:val="none" w:sz="0" w:space="0" w:color="auto"/>
                                <w:right w:val="none" w:sz="0" w:space="0" w:color="auto"/>
                              </w:divBdr>
                              <w:divsChild>
                                <w:div w:id="1283152256">
                                  <w:marLeft w:val="0"/>
                                  <w:marRight w:val="0"/>
                                  <w:marTop w:val="0"/>
                                  <w:marBottom w:val="0"/>
                                  <w:divBdr>
                                    <w:top w:val="none" w:sz="0" w:space="0" w:color="auto"/>
                                    <w:left w:val="none" w:sz="0" w:space="0" w:color="auto"/>
                                    <w:bottom w:val="none" w:sz="0" w:space="0" w:color="auto"/>
                                    <w:right w:val="none" w:sz="0" w:space="0" w:color="auto"/>
                                  </w:divBdr>
                                  <w:divsChild>
                                    <w:div w:id="1930430076">
                                      <w:marLeft w:val="0"/>
                                      <w:marRight w:val="0"/>
                                      <w:marTop w:val="0"/>
                                      <w:marBottom w:val="0"/>
                                      <w:divBdr>
                                        <w:top w:val="none" w:sz="0" w:space="0" w:color="auto"/>
                                        <w:left w:val="none" w:sz="0" w:space="0" w:color="auto"/>
                                        <w:bottom w:val="none" w:sz="0" w:space="0" w:color="auto"/>
                                        <w:right w:val="none" w:sz="0" w:space="0" w:color="auto"/>
                                      </w:divBdr>
                                      <w:divsChild>
                                        <w:div w:id="1493449491">
                                          <w:marLeft w:val="0"/>
                                          <w:marRight w:val="0"/>
                                          <w:marTop w:val="0"/>
                                          <w:marBottom w:val="0"/>
                                          <w:divBdr>
                                            <w:top w:val="none" w:sz="0" w:space="0" w:color="auto"/>
                                            <w:left w:val="none" w:sz="0" w:space="0" w:color="auto"/>
                                            <w:bottom w:val="none" w:sz="0" w:space="0" w:color="auto"/>
                                            <w:right w:val="none" w:sz="0" w:space="0" w:color="auto"/>
                                          </w:divBdr>
                                          <w:divsChild>
                                            <w:div w:id="1909340463">
                                              <w:marLeft w:val="0"/>
                                              <w:marRight w:val="0"/>
                                              <w:marTop w:val="0"/>
                                              <w:marBottom w:val="0"/>
                                              <w:divBdr>
                                                <w:top w:val="none" w:sz="0" w:space="0" w:color="auto"/>
                                                <w:left w:val="none" w:sz="0" w:space="0" w:color="auto"/>
                                                <w:bottom w:val="none" w:sz="0" w:space="0" w:color="auto"/>
                                                <w:right w:val="none" w:sz="0" w:space="0" w:color="auto"/>
                                              </w:divBdr>
                                              <w:divsChild>
                                                <w:div w:id="1009137474">
                                                  <w:marLeft w:val="0"/>
                                                  <w:marRight w:val="0"/>
                                                  <w:marTop w:val="0"/>
                                                  <w:marBottom w:val="0"/>
                                                  <w:divBdr>
                                                    <w:top w:val="none" w:sz="0" w:space="0" w:color="auto"/>
                                                    <w:left w:val="none" w:sz="0" w:space="0" w:color="auto"/>
                                                    <w:bottom w:val="none" w:sz="0" w:space="0" w:color="auto"/>
                                                    <w:right w:val="none" w:sz="0" w:space="0" w:color="auto"/>
                                                  </w:divBdr>
                                                  <w:divsChild>
                                                    <w:div w:id="424502484">
                                                      <w:marLeft w:val="0"/>
                                                      <w:marRight w:val="0"/>
                                                      <w:marTop w:val="0"/>
                                                      <w:marBottom w:val="0"/>
                                                      <w:divBdr>
                                                        <w:top w:val="none" w:sz="0" w:space="0" w:color="auto"/>
                                                        <w:left w:val="none" w:sz="0" w:space="0" w:color="auto"/>
                                                        <w:bottom w:val="none" w:sz="0" w:space="0" w:color="auto"/>
                                                        <w:right w:val="none" w:sz="0" w:space="0" w:color="auto"/>
                                                      </w:divBdr>
                                                      <w:divsChild>
                                                        <w:div w:id="3332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6654630">
      <w:bodyDiv w:val="1"/>
      <w:marLeft w:val="0"/>
      <w:marRight w:val="0"/>
      <w:marTop w:val="0"/>
      <w:marBottom w:val="0"/>
      <w:divBdr>
        <w:top w:val="none" w:sz="0" w:space="0" w:color="auto"/>
        <w:left w:val="none" w:sz="0" w:space="0" w:color="auto"/>
        <w:bottom w:val="none" w:sz="0" w:space="0" w:color="auto"/>
        <w:right w:val="none" w:sz="0" w:space="0" w:color="auto"/>
      </w:divBdr>
    </w:div>
    <w:div w:id="1118335781">
      <w:bodyDiv w:val="1"/>
      <w:marLeft w:val="0"/>
      <w:marRight w:val="0"/>
      <w:marTop w:val="0"/>
      <w:marBottom w:val="0"/>
      <w:divBdr>
        <w:top w:val="none" w:sz="0" w:space="0" w:color="auto"/>
        <w:left w:val="none" w:sz="0" w:space="0" w:color="auto"/>
        <w:bottom w:val="none" w:sz="0" w:space="0" w:color="auto"/>
        <w:right w:val="none" w:sz="0" w:space="0" w:color="auto"/>
      </w:divBdr>
    </w:div>
    <w:div w:id="1202861351">
      <w:bodyDiv w:val="1"/>
      <w:marLeft w:val="0"/>
      <w:marRight w:val="0"/>
      <w:marTop w:val="0"/>
      <w:marBottom w:val="0"/>
      <w:divBdr>
        <w:top w:val="none" w:sz="0" w:space="0" w:color="auto"/>
        <w:left w:val="none" w:sz="0" w:space="0" w:color="auto"/>
        <w:bottom w:val="none" w:sz="0" w:space="0" w:color="auto"/>
        <w:right w:val="none" w:sz="0" w:space="0" w:color="auto"/>
      </w:divBdr>
      <w:divsChild>
        <w:div w:id="1052382625">
          <w:marLeft w:val="0"/>
          <w:marRight w:val="0"/>
          <w:marTop w:val="0"/>
          <w:marBottom w:val="0"/>
          <w:divBdr>
            <w:top w:val="none" w:sz="0" w:space="0" w:color="auto"/>
            <w:left w:val="none" w:sz="0" w:space="0" w:color="auto"/>
            <w:bottom w:val="none" w:sz="0" w:space="0" w:color="auto"/>
            <w:right w:val="none" w:sz="0" w:space="0" w:color="auto"/>
          </w:divBdr>
          <w:divsChild>
            <w:div w:id="487329861">
              <w:marLeft w:val="0"/>
              <w:marRight w:val="0"/>
              <w:marTop w:val="0"/>
              <w:marBottom w:val="0"/>
              <w:divBdr>
                <w:top w:val="none" w:sz="0" w:space="0" w:color="auto"/>
                <w:left w:val="none" w:sz="0" w:space="0" w:color="auto"/>
                <w:bottom w:val="none" w:sz="0" w:space="0" w:color="auto"/>
                <w:right w:val="none" w:sz="0" w:space="0" w:color="auto"/>
              </w:divBdr>
              <w:divsChild>
                <w:div w:id="1794209584">
                  <w:marLeft w:val="0"/>
                  <w:marRight w:val="0"/>
                  <w:marTop w:val="0"/>
                  <w:marBottom w:val="0"/>
                  <w:divBdr>
                    <w:top w:val="none" w:sz="0" w:space="0" w:color="auto"/>
                    <w:left w:val="none" w:sz="0" w:space="0" w:color="auto"/>
                    <w:bottom w:val="none" w:sz="0" w:space="0" w:color="auto"/>
                    <w:right w:val="none" w:sz="0" w:space="0" w:color="auto"/>
                  </w:divBdr>
                  <w:divsChild>
                    <w:div w:id="1049112565">
                      <w:marLeft w:val="0"/>
                      <w:marRight w:val="0"/>
                      <w:marTop w:val="0"/>
                      <w:marBottom w:val="0"/>
                      <w:divBdr>
                        <w:top w:val="none" w:sz="0" w:space="0" w:color="auto"/>
                        <w:left w:val="none" w:sz="0" w:space="0" w:color="auto"/>
                        <w:bottom w:val="none" w:sz="0" w:space="0" w:color="auto"/>
                        <w:right w:val="none" w:sz="0" w:space="0" w:color="auto"/>
                      </w:divBdr>
                      <w:divsChild>
                        <w:div w:id="1698386764">
                          <w:marLeft w:val="0"/>
                          <w:marRight w:val="0"/>
                          <w:marTop w:val="0"/>
                          <w:marBottom w:val="0"/>
                          <w:divBdr>
                            <w:top w:val="none" w:sz="0" w:space="0" w:color="auto"/>
                            <w:left w:val="none" w:sz="0" w:space="0" w:color="auto"/>
                            <w:bottom w:val="none" w:sz="0" w:space="0" w:color="auto"/>
                            <w:right w:val="none" w:sz="0" w:space="0" w:color="auto"/>
                          </w:divBdr>
                          <w:divsChild>
                            <w:div w:id="1811357414">
                              <w:marLeft w:val="0"/>
                              <w:marRight w:val="0"/>
                              <w:marTop w:val="0"/>
                              <w:marBottom w:val="0"/>
                              <w:divBdr>
                                <w:top w:val="none" w:sz="0" w:space="0" w:color="auto"/>
                                <w:left w:val="none" w:sz="0" w:space="0" w:color="auto"/>
                                <w:bottom w:val="none" w:sz="0" w:space="0" w:color="auto"/>
                                <w:right w:val="none" w:sz="0" w:space="0" w:color="auto"/>
                              </w:divBdr>
                              <w:divsChild>
                                <w:div w:id="6784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118140">
      <w:bodyDiv w:val="1"/>
      <w:marLeft w:val="0"/>
      <w:marRight w:val="0"/>
      <w:marTop w:val="0"/>
      <w:marBottom w:val="0"/>
      <w:divBdr>
        <w:top w:val="none" w:sz="0" w:space="0" w:color="auto"/>
        <w:left w:val="none" w:sz="0" w:space="0" w:color="auto"/>
        <w:bottom w:val="none" w:sz="0" w:space="0" w:color="auto"/>
        <w:right w:val="none" w:sz="0" w:space="0" w:color="auto"/>
      </w:divBdr>
    </w:div>
    <w:div w:id="1252735758">
      <w:bodyDiv w:val="1"/>
      <w:marLeft w:val="0"/>
      <w:marRight w:val="0"/>
      <w:marTop w:val="0"/>
      <w:marBottom w:val="0"/>
      <w:divBdr>
        <w:top w:val="none" w:sz="0" w:space="0" w:color="auto"/>
        <w:left w:val="none" w:sz="0" w:space="0" w:color="auto"/>
        <w:bottom w:val="none" w:sz="0" w:space="0" w:color="auto"/>
        <w:right w:val="none" w:sz="0" w:space="0" w:color="auto"/>
      </w:divBdr>
      <w:divsChild>
        <w:div w:id="797800465">
          <w:marLeft w:val="0"/>
          <w:marRight w:val="0"/>
          <w:marTop w:val="0"/>
          <w:marBottom w:val="0"/>
          <w:divBdr>
            <w:top w:val="none" w:sz="0" w:space="0" w:color="auto"/>
            <w:left w:val="none" w:sz="0" w:space="0" w:color="auto"/>
            <w:bottom w:val="none" w:sz="0" w:space="0" w:color="auto"/>
            <w:right w:val="none" w:sz="0" w:space="0" w:color="auto"/>
          </w:divBdr>
          <w:divsChild>
            <w:div w:id="62874802">
              <w:marLeft w:val="0"/>
              <w:marRight w:val="0"/>
              <w:marTop w:val="0"/>
              <w:marBottom w:val="0"/>
              <w:divBdr>
                <w:top w:val="none" w:sz="0" w:space="0" w:color="auto"/>
                <w:left w:val="none" w:sz="0" w:space="0" w:color="auto"/>
                <w:bottom w:val="none" w:sz="0" w:space="0" w:color="auto"/>
                <w:right w:val="none" w:sz="0" w:space="0" w:color="auto"/>
              </w:divBdr>
              <w:divsChild>
                <w:div w:id="727268960">
                  <w:marLeft w:val="0"/>
                  <w:marRight w:val="0"/>
                  <w:marTop w:val="0"/>
                  <w:marBottom w:val="0"/>
                  <w:divBdr>
                    <w:top w:val="none" w:sz="0" w:space="0" w:color="auto"/>
                    <w:left w:val="none" w:sz="0" w:space="0" w:color="auto"/>
                    <w:bottom w:val="none" w:sz="0" w:space="0" w:color="auto"/>
                    <w:right w:val="none" w:sz="0" w:space="0" w:color="auto"/>
                  </w:divBdr>
                  <w:divsChild>
                    <w:div w:id="103967055">
                      <w:marLeft w:val="0"/>
                      <w:marRight w:val="0"/>
                      <w:marTop w:val="0"/>
                      <w:marBottom w:val="0"/>
                      <w:divBdr>
                        <w:top w:val="none" w:sz="0" w:space="0" w:color="auto"/>
                        <w:left w:val="none" w:sz="0" w:space="0" w:color="auto"/>
                        <w:bottom w:val="none" w:sz="0" w:space="0" w:color="auto"/>
                        <w:right w:val="none" w:sz="0" w:space="0" w:color="auto"/>
                      </w:divBdr>
                      <w:divsChild>
                        <w:div w:id="709036306">
                          <w:marLeft w:val="0"/>
                          <w:marRight w:val="0"/>
                          <w:marTop w:val="0"/>
                          <w:marBottom w:val="0"/>
                          <w:divBdr>
                            <w:top w:val="none" w:sz="0" w:space="0" w:color="auto"/>
                            <w:left w:val="none" w:sz="0" w:space="0" w:color="auto"/>
                            <w:bottom w:val="none" w:sz="0" w:space="0" w:color="auto"/>
                            <w:right w:val="none" w:sz="0" w:space="0" w:color="auto"/>
                          </w:divBdr>
                          <w:divsChild>
                            <w:div w:id="1476023650">
                              <w:marLeft w:val="0"/>
                              <w:marRight w:val="0"/>
                              <w:marTop w:val="0"/>
                              <w:marBottom w:val="0"/>
                              <w:divBdr>
                                <w:top w:val="none" w:sz="0" w:space="0" w:color="auto"/>
                                <w:left w:val="none" w:sz="0" w:space="0" w:color="auto"/>
                                <w:bottom w:val="none" w:sz="0" w:space="0" w:color="auto"/>
                                <w:right w:val="none" w:sz="0" w:space="0" w:color="auto"/>
                              </w:divBdr>
                              <w:divsChild>
                                <w:div w:id="17535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609025">
      <w:bodyDiv w:val="1"/>
      <w:marLeft w:val="0"/>
      <w:marRight w:val="0"/>
      <w:marTop w:val="0"/>
      <w:marBottom w:val="0"/>
      <w:divBdr>
        <w:top w:val="none" w:sz="0" w:space="0" w:color="auto"/>
        <w:left w:val="none" w:sz="0" w:space="0" w:color="auto"/>
        <w:bottom w:val="none" w:sz="0" w:space="0" w:color="auto"/>
        <w:right w:val="none" w:sz="0" w:space="0" w:color="auto"/>
      </w:divBdr>
      <w:divsChild>
        <w:div w:id="1093474985">
          <w:marLeft w:val="0"/>
          <w:marRight w:val="0"/>
          <w:marTop w:val="0"/>
          <w:marBottom w:val="0"/>
          <w:divBdr>
            <w:top w:val="none" w:sz="0" w:space="0" w:color="auto"/>
            <w:left w:val="none" w:sz="0" w:space="0" w:color="auto"/>
            <w:bottom w:val="none" w:sz="0" w:space="0" w:color="auto"/>
            <w:right w:val="none" w:sz="0" w:space="0" w:color="auto"/>
          </w:divBdr>
          <w:divsChild>
            <w:div w:id="1409229311">
              <w:marLeft w:val="0"/>
              <w:marRight w:val="0"/>
              <w:marTop w:val="0"/>
              <w:marBottom w:val="0"/>
              <w:divBdr>
                <w:top w:val="none" w:sz="0" w:space="0" w:color="auto"/>
                <w:left w:val="none" w:sz="0" w:space="0" w:color="auto"/>
                <w:bottom w:val="none" w:sz="0" w:space="0" w:color="auto"/>
                <w:right w:val="none" w:sz="0" w:space="0" w:color="auto"/>
              </w:divBdr>
              <w:divsChild>
                <w:div w:id="2122843595">
                  <w:marLeft w:val="0"/>
                  <w:marRight w:val="0"/>
                  <w:marTop w:val="0"/>
                  <w:marBottom w:val="0"/>
                  <w:divBdr>
                    <w:top w:val="none" w:sz="0" w:space="0" w:color="auto"/>
                    <w:left w:val="none" w:sz="0" w:space="0" w:color="auto"/>
                    <w:bottom w:val="none" w:sz="0" w:space="0" w:color="auto"/>
                    <w:right w:val="none" w:sz="0" w:space="0" w:color="auto"/>
                  </w:divBdr>
                  <w:divsChild>
                    <w:div w:id="496581219">
                      <w:marLeft w:val="0"/>
                      <w:marRight w:val="0"/>
                      <w:marTop w:val="0"/>
                      <w:marBottom w:val="0"/>
                      <w:divBdr>
                        <w:top w:val="none" w:sz="0" w:space="0" w:color="auto"/>
                        <w:left w:val="none" w:sz="0" w:space="0" w:color="auto"/>
                        <w:bottom w:val="none" w:sz="0" w:space="0" w:color="auto"/>
                        <w:right w:val="none" w:sz="0" w:space="0" w:color="auto"/>
                      </w:divBdr>
                      <w:divsChild>
                        <w:div w:id="15822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3957">
      <w:bodyDiv w:val="1"/>
      <w:marLeft w:val="0"/>
      <w:marRight w:val="0"/>
      <w:marTop w:val="0"/>
      <w:marBottom w:val="0"/>
      <w:divBdr>
        <w:top w:val="none" w:sz="0" w:space="0" w:color="auto"/>
        <w:left w:val="none" w:sz="0" w:space="0" w:color="auto"/>
        <w:bottom w:val="none" w:sz="0" w:space="0" w:color="auto"/>
        <w:right w:val="none" w:sz="0" w:space="0" w:color="auto"/>
      </w:divBdr>
      <w:divsChild>
        <w:div w:id="2001804912">
          <w:marLeft w:val="0"/>
          <w:marRight w:val="0"/>
          <w:marTop w:val="0"/>
          <w:marBottom w:val="0"/>
          <w:divBdr>
            <w:top w:val="none" w:sz="0" w:space="0" w:color="auto"/>
            <w:left w:val="none" w:sz="0" w:space="0" w:color="auto"/>
            <w:bottom w:val="none" w:sz="0" w:space="0" w:color="auto"/>
            <w:right w:val="none" w:sz="0" w:space="0" w:color="auto"/>
          </w:divBdr>
          <w:divsChild>
            <w:div w:id="337192852">
              <w:marLeft w:val="0"/>
              <w:marRight w:val="0"/>
              <w:marTop w:val="0"/>
              <w:marBottom w:val="0"/>
              <w:divBdr>
                <w:top w:val="none" w:sz="0" w:space="0" w:color="auto"/>
                <w:left w:val="none" w:sz="0" w:space="0" w:color="auto"/>
                <w:bottom w:val="none" w:sz="0" w:space="0" w:color="auto"/>
                <w:right w:val="none" w:sz="0" w:space="0" w:color="auto"/>
              </w:divBdr>
              <w:divsChild>
                <w:div w:id="482476496">
                  <w:marLeft w:val="0"/>
                  <w:marRight w:val="0"/>
                  <w:marTop w:val="0"/>
                  <w:marBottom w:val="0"/>
                  <w:divBdr>
                    <w:top w:val="none" w:sz="0" w:space="0" w:color="auto"/>
                    <w:left w:val="none" w:sz="0" w:space="0" w:color="auto"/>
                    <w:bottom w:val="none" w:sz="0" w:space="0" w:color="auto"/>
                    <w:right w:val="none" w:sz="0" w:space="0" w:color="auto"/>
                  </w:divBdr>
                  <w:divsChild>
                    <w:div w:id="1993368447">
                      <w:marLeft w:val="0"/>
                      <w:marRight w:val="0"/>
                      <w:marTop w:val="0"/>
                      <w:marBottom w:val="0"/>
                      <w:divBdr>
                        <w:top w:val="none" w:sz="0" w:space="0" w:color="auto"/>
                        <w:left w:val="none" w:sz="0" w:space="0" w:color="auto"/>
                        <w:bottom w:val="none" w:sz="0" w:space="0" w:color="auto"/>
                        <w:right w:val="none" w:sz="0" w:space="0" w:color="auto"/>
                      </w:divBdr>
                      <w:divsChild>
                        <w:div w:id="6147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441291">
      <w:bodyDiv w:val="1"/>
      <w:marLeft w:val="0"/>
      <w:marRight w:val="0"/>
      <w:marTop w:val="0"/>
      <w:marBottom w:val="0"/>
      <w:divBdr>
        <w:top w:val="none" w:sz="0" w:space="0" w:color="auto"/>
        <w:left w:val="none" w:sz="0" w:space="0" w:color="auto"/>
        <w:bottom w:val="none" w:sz="0" w:space="0" w:color="auto"/>
        <w:right w:val="none" w:sz="0" w:space="0" w:color="auto"/>
      </w:divBdr>
      <w:divsChild>
        <w:div w:id="75129344">
          <w:marLeft w:val="0"/>
          <w:marRight w:val="0"/>
          <w:marTop w:val="0"/>
          <w:marBottom w:val="0"/>
          <w:divBdr>
            <w:top w:val="none" w:sz="0" w:space="0" w:color="auto"/>
            <w:left w:val="none" w:sz="0" w:space="0" w:color="auto"/>
            <w:bottom w:val="none" w:sz="0" w:space="0" w:color="auto"/>
            <w:right w:val="none" w:sz="0" w:space="0" w:color="auto"/>
          </w:divBdr>
          <w:divsChild>
            <w:div w:id="1040469464">
              <w:marLeft w:val="0"/>
              <w:marRight w:val="0"/>
              <w:marTop w:val="0"/>
              <w:marBottom w:val="0"/>
              <w:divBdr>
                <w:top w:val="none" w:sz="0" w:space="0" w:color="auto"/>
                <w:left w:val="none" w:sz="0" w:space="0" w:color="auto"/>
                <w:bottom w:val="none" w:sz="0" w:space="0" w:color="auto"/>
                <w:right w:val="none" w:sz="0" w:space="0" w:color="auto"/>
              </w:divBdr>
              <w:divsChild>
                <w:div w:id="1177573814">
                  <w:marLeft w:val="0"/>
                  <w:marRight w:val="0"/>
                  <w:marTop w:val="0"/>
                  <w:marBottom w:val="0"/>
                  <w:divBdr>
                    <w:top w:val="none" w:sz="0" w:space="0" w:color="auto"/>
                    <w:left w:val="none" w:sz="0" w:space="0" w:color="auto"/>
                    <w:bottom w:val="none" w:sz="0" w:space="0" w:color="auto"/>
                    <w:right w:val="none" w:sz="0" w:space="0" w:color="auto"/>
                  </w:divBdr>
                  <w:divsChild>
                    <w:div w:id="2002462578">
                      <w:marLeft w:val="0"/>
                      <w:marRight w:val="0"/>
                      <w:marTop w:val="0"/>
                      <w:marBottom w:val="0"/>
                      <w:divBdr>
                        <w:top w:val="none" w:sz="0" w:space="0" w:color="auto"/>
                        <w:left w:val="none" w:sz="0" w:space="0" w:color="auto"/>
                        <w:bottom w:val="none" w:sz="0" w:space="0" w:color="auto"/>
                        <w:right w:val="none" w:sz="0" w:space="0" w:color="auto"/>
                      </w:divBdr>
                      <w:divsChild>
                        <w:div w:id="1206217505">
                          <w:marLeft w:val="0"/>
                          <w:marRight w:val="0"/>
                          <w:marTop w:val="0"/>
                          <w:marBottom w:val="0"/>
                          <w:divBdr>
                            <w:top w:val="none" w:sz="0" w:space="0" w:color="auto"/>
                            <w:left w:val="none" w:sz="0" w:space="0" w:color="auto"/>
                            <w:bottom w:val="none" w:sz="0" w:space="0" w:color="auto"/>
                            <w:right w:val="none" w:sz="0" w:space="0" w:color="auto"/>
                          </w:divBdr>
                          <w:divsChild>
                            <w:div w:id="96681119">
                              <w:marLeft w:val="0"/>
                              <w:marRight w:val="0"/>
                              <w:marTop w:val="0"/>
                              <w:marBottom w:val="0"/>
                              <w:divBdr>
                                <w:top w:val="none" w:sz="0" w:space="0" w:color="auto"/>
                                <w:left w:val="none" w:sz="0" w:space="0" w:color="auto"/>
                                <w:bottom w:val="none" w:sz="0" w:space="0" w:color="auto"/>
                                <w:right w:val="none" w:sz="0" w:space="0" w:color="auto"/>
                              </w:divBdr>
                              <w:divsChild>
                                <w:div w:id="10769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811617">
      <w:bodyDiv w:val="1"/>
      <w:marLeft w:val="0"/>
      <w:marRight w:val="0"/>
      <w:marTop w:val="0"/>
      <w:marBottom w:val="0"/>
      <w:divBdr>
        <w:top w:val="none" w:sz="0" w:space="0" w:color="auto"/>
        <w:left w:val="none" w:sz="0" w:space="0" w:color="auto"/>
        <w:bottom w:val="none" w:sz="0" w:space="0" w:color="auto"/>
        <w:right w:val="none" w:sz="0" w:space="0" w:color="auto"/>
      </w:divBdr>
    </w:div>
    <w:div w:id="1447388767">
      <w:bodyDiv w:val="1"/>
      <w:marLeft w:val="0"/>
      <w:marRight w:val="0"/>
      <w:marTop w:val="0"/>
      <w:marBottom w:val="0"/>
      <w:divBdr>
        <w:top w:val="none" w:sz="0" w:space="0" w:color="auto"/>
        <w:left w:val="none" w:sz="0" w:space="0" w:color="auto"/>
        <w:bottom w:val="none" w:sz="0" w:space="0" w:color="auto"/>
        <w:right w:val="none" w:sz="0" w:space="0" w:color="auto"/>
      </w:divBdr>
    </w:div>
    <w:div w:id="1457018798">
      <w:bodyDiv w:val="1"/>
      <w:marLeft w:val="0"/>
      <w:marRight w:val="0"/>
      <w:marTop w:val="0"/>
      <w:marBottom w:val="0"/>
      <w:divBdr>
        <w:top w:val="none" w:sz="0" w:space="0" w:color="auto"/>
        <w:left w:val="none" w:sz="0" w:space="0" w:color="auto"/>
        <w:bottom w:val="none" w:sz="0" w:space="0" w:color="auto"/>
        <w:right w:val="none" w:sz="0" w:space="0" w:color="auto"/>
      </w:divBdr>
    </w:div>
    <w:div w:id="1483111366">
      <w:bodyDiv w:val="1"/>
      <w:marLeft w:val="0"/>
      <w:marRight w:val="0"/>
      <w:marTop w:val="0"/>
      <w:marBottom w:val="0"/>
      <w:divBdr>
        <w:top w:val="none" w:sz="0" w:space="0" w:color="auto"/>
        <w:left w:val="none" w:sz="0" w:space="0" w:color="auto"/>
        <w:bottom w:val="none" w:sz="0" w:space="0" w:color="auto"/>
        <w:right w:val="none" w:sz="0" w:space="0" w:color="auto"/>
      </w:divBdr>
    </w:div>
    <w:div w:id="1483697186">
      <w:bodyDiv w:val="1"/>
      <w:marLeft w:val="0"/>
      <w:marRight w:val="0"/>
      <w:marTop w:val="0"/>
      <w:marBottom w:val="0"/>
      <w:divBdr>
        <w:top w:val="none" w:sz="0" w:space="0" w:color="auto"/>
        <w:left w:val="none" w:sz="0" w:space="0" w:color="auto"/>
        <w:bottom w:val="none" w:sz="0" w:space="0" w:color="auto"/>
        <w:right w:val="none" w:sz="0" w:space="0" w:color="auto"/>
      </w:divBdr>
    </w:div>
    <w:div w:id="1527864215">
      <w:bodyDiv w:val="1"/>
      <w:marLeft w:val="0"/>
      <w:marRight w:val="0"/>
      <w:marTop w:val="0"/>
      <w:marBottom w:val="0"/>
      <w:divBdr>
        <w:top w:val="none" w:sz="0" w:space="0" w:color="auto"/>
        <w:left w:val="none" w:sz="0" w:space="0" w:color="auto"/>
        <w:bottom w:val="none" w:sz="0" w:space="0" w:color="auto"/>
        <w:right w:val="none" w:sz="0" w:space="0" w:color="auto"/>
      </w:divBdr>
      <w:divsChild>
        <w:div w:id="1559515801">
          <w:marLeft w:val="0"/>
          <w:marRight w:val="0"/>
          <w:marTop w:val="0"/>
          <w:marBottom w:val="0"/>
          <w:divBdr>
            <w:top w:val="none" w:sz="0" w:space="0" w:color="auto"/>
            <w:left w:val="none" w:sz="0" w:space="0" w:color="auto"/>
            <w:bottom w:val="none" w:sz="0" w:space="0" w:color="auto"/>
            <w:right w:val="none" w:sz="0" w:space="0" w:color="auto"/>
          </w:divBdr>
          <w:divsChild>
            <w:div w:id="619996827">
              <w:marLeft w:val="0"/>
              <w:marRight w:val="0"/>
              <w:marTop w:val="0"/>
              <w:marBottom w:val="0"/>
              <w:divBdr>
                <w:top w:val="none" w:sz="0" w:space="0" w:color="auto"/>
                <w:left w:val="none" w:sz="0" w:space="0" w:color="auto"/>
                <w:bottom w:val="none" w:sz="0" w:space="0" w:color="auto"/>
                <w:right w:val="none" w:sz="0" w:space="0" w:color="auto"/>
              </w:divBdr>
              <w:divsChild>
                <w:div w:id="1483154662">
                  <w:marLeft w:val="0"/>
                  <w:marRight w:val="0"/>
                  <w:marTop w:val="0"/>
                  <w:marBottom w:val="0"/>
                  <w:divBdr>
                    <w:top w:val="none" w:sz="0" w:space="0" w:color="auto"/>
                    <w:left w:val="none" w:sz="0" w:space="0" w:color="auto"/>
                    <w:bottom w:val="none" w:sz="0" w:space="0" w:color="auto"/>
                    <w:right w:val="none" w:sz="0" w:space="0" w:color="auto"/>
                  </w:divBdr>
                  <w:divsChild>
                    <w:div w:id="758410116">
                      <w:marLeft w:val="0"/>
                      <w:marRight w:val="0"/>
                      <w:marTop w:val="0"/>
                      <w:marBottom w:val="0"/>
                      <w:divBdr>
                        <w:top w:val="none" w:sz="0" w:space="0" w:color="auto"/>
                        <w:left w:val="none" w:sz="0" w:space="0" w:color="auto"/>
                        <w:bottom w:val="none" w:sz="0" w:space="0" w:color="auto"/>
                        <w:right w:val="none" w:sz="0" w:space="0" w:color="auto"/>
                      </w:divBdr>
                      <w:divsChild>
                        <w:div w:id="1924144618">
                          <w:marLeft w:val="0"/>
                          <w:marRight w:val="0"/>
                          <w:marTop w:val="0"/>
                          <w:marBottom w:val="0"/>
                          <w:divBdr>
                            <w:top w:val="none" w:sz="0" w:space="0" w:color="auto"/>
                            <w:left w:val="none" w:sz="0" w:space="0" w:color="auto"/>
                            <w:bottom w:val="none" w:sz="0" w:space="0" w:color="auto"/>
                            <w:right w:val="none" w:sz="0" w:space="0" w:color="auto"/>
                          </w:divBdr>
                          <w:divsChild>
                            <w:div w:id="1796749145">
                              <w:marLeft w:val="0"/>
                              <w:marRight w:val="0"/>
                              <w:marTop w:val="0"/>
                              <w:marBottom w:val="0"/>
                              <w:divBdr>
                                <w:top w:val="none" w:sz="0" w:space="0" w:color="auto"/>
                                <w:left w:val="none" w:sz="0" w:space="0" w:color="auto"/>
                                <w:bottom w:val="none" w:sz="0" w:space="0" w:color="auto"/>
                                <w:right w:val="none" w:sz="0" w:space="0" w:color="auto"/>
                              </w:divBdr>
                              <w:divsChild>
                                <w:div w:id="429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454">
      <w:bodyDiv w:val="1"/>
      <w:marLeft w:val="0"/>
      <w:marRight w:val="0"/>
      <w:marTop w:val="0"/>
      <w:marBottom w:val="0"/>
      <w:divBdr>
        <w:top w:val="none" w:sz="0" w:space="0" w:color="auto"/>
        <w:left w:val="none" w:sz="0" w:space="0" w:color="auto"/>
        <w:bottom w:val="none" w:sz="0" w:space="0" w:color="auto"/>
        <w:right w:val="none" w:sz="0" w:space="0" w:color="auto"/>
      </w:divBdr>
    </w:div>
    <w:div w:id="1588996865">
      <w:bodyDiv w:val="1"/>
      <w:marLeft w:val="0"/>
      <w:marRight w:val="0"/>
      <w:marTop w:val="0"/>
      <w:marBottom w:val="0"/>
      <w:divBdr>
        <w:top w:val="none" w:sz="0" w:space="0" w:color="auto"/>
        <w:left w:val="none" w:sz="0" w:space="0" w:color="auto"/>
        <w:bottom w:val="none" w:sz="0" w:space="0" w:color="auto"/>
        <w:right w:val="none" w:sz="0" w:space="0" w:color="auto"/>
      </w:divBdr>
      <w:divsChild>
        <w:div w:id="1054037624">
          <w:marLeft w:val="0"/>
          <w:marRight w:val="0"/>
          <w:marTop w:val="0"/>
          <w:marBottom w:val="0"/>
          <w:divBdr>
            <w:top w:val="none" w:sz="0" w:space="0" w:color="auto"/>
            <w:left w:val="none" w:sz="0" w:space="0" w:color="auto"/>
            <w:bottom w:val="none" w:sz="0" w:space="0" w:color="auto"/>
            <w:right w:val="none" w:sz="0" w:space="0" w:color="auto"/>
          </w:divBdr>
          <w:divsChild>
            <w:div w:id="1251626224">
              <w:marLeft w:val="0"/>
              <w:marRight w:val="0"/>
              <w:marTop w:val="0"/>
              <w:marBottom w:val="0"/>
              <w:divBdr>
                <w:top w:val="none" w:sz="0" w:space="0" w:color="auto"/>
                <w:left w:val="none" w:sz="0" w:space="0" w:color="auto"/>
                <w:bottom w:val="none" w:sz="0" w:space="0" w:color="auto"/>
                <w:right w:val="none" w:sz="0" w:space="0" w:color="auto"/>
              </w:divBdr>
              <w:divsChild>
                <w:div w:id="735662154">
                  <w:marLeft w:val="0"/>
                  <w:marRight w:val="0"/>
                  <w:marTop w:val="0"/>
                  <w:marBottom w:val="0"/>
                  <w:divBdr>
                    <w:top w:val="none" w:sz="0" w:space="0" w:color="auto"/>
                    <w:left w:val="none" w:sz="0" w:space="0" w:color="auto"/>
                    <w:bottom w:val="none" w:sz="0" w:space="0" w:color="auto"/>
                    <w:right w:val="none" w:sz="0" w:space="0" w:color="auto"/>
                  </w:divBdr>
                  <w:divsChild>
                    <w:div w:id="2067290006">
                      <w:marLeft w:val="0"/>
                      <w:marRight w:val="0"/>
                      <w:marTop w:val="0"/>
                      <w:marBottom w:val="0"/>
                      <w:divBdr>
                        <w:top w:val="none" w:sz="0" w:space="0" w:color="auto"/>
                        <w:left w:val="none" w:sz="0" w:space="0" w:color="auto"/>
                        <w:bottom w:val="none" w:sz="0" w:space="0" w:color="auto"/>
                        <w:right w:val="none" w:sz="0" w:space="0" w:color="auto"/>
                      </w:divBdr>
                      <w:divsChild>
                        <w:div w:id="499390832">
                          <w:marLeft w:val="0"/>
                          <w:marRight w:val="0"/>
                          <w:marTop w:val="0"/>
                          <w:marBottom w:val="0"/>
                          <w:divBdr>
                            <w:top w:val="none" w:sz="0" w:space="0" w:color="auto"/>
                            <w:left w:val="none" w:sz="0" w:space="0" w:color="auto"/>
                            <w:bottom w:val="none" w:sz="0" w:space="0" w:color="auto"/>
                            <w:right w:val="none" w:sz="0" w:space="0" w:color="auto"/>
                          </w:divBdr>
                          <w:divsChild>
                            <w:div w:id="146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91002">
      <w:bodyDiv w:val="1"/>
      <w:marLeft w:val="0"/>
      <w:marRight w:val="0"/>
      <w:marTop w:val="0"/>
      <w:marBottom w:val="0"/>
      <w:divBdr>
        <w:top w:val="none" w:sz="0" w:space="0" w:color="auto"/>
        <w:left w:val="none" w:sz="0" w:space="0" w:color="auto"/>
        <w:bottom w:val="none" w:sz="0" w:space="0" w:color="auto"/>
        <w:right w:val="none" w:sz="0" w:space="0" w:color="auto"/>
      </w:divBdr>
      <w:divsChild>
        <w:div w:id="742920602">
          <w:marLeft w:val="0"/>
          <w:marRight w:val="0"/>
          <w:marTop w:val="0"/>
          <w:marBottom w:val="0"/>
          <w:divBdr>
            <w:top w:val="none" w:sz="0" w:space="0" w:color="auto"/>
            <w:left w:val="none" w:sz="0" w:space="0" w:color="auto"/>
            <w:bottom w:val="none" w:sz="0" w:space="0" w:color="auto"/>
            <w:right w:val="none" w:sz="0" w:space="0" w:color="auto"/>
          </w:divBdr>
          <w:divsChild>
            <w:div w:id="687873991">
              <w:marLeft w:val="0"/>
              <w:marRight w:val="0"/>
              <w:marTop w:val="0"/>
              <w:marBottom w:val="0"/>
              <w:divBdr>
                <w:top w:val="none" w:sz="0" w:space="0" w:color="auto"/>
                <w:left w:val="none" w:sz="0" w:space="0" w:color="auto"/>
                <w:bottom w:val="none" w:sz="0" w:space="0" w:color="auto"/>
                <w:right w:val="none" w:sz="0" w:space="0" w:color="auto"/>
              </w:divBdr>
              <w:divsChild>
                <w:div w:id="214584727">
                  <w:marLeft w:val="0"/>
                  <w:marRight w:val="0"/>
                  <w:marTop w:val="0"/>
                  <w:marBottom w:val="0"/>
                  <w:divBdr>
                    <w:top w:val="none" w:sz="0" w:space="0" w:color="auto"/>
                    <w:left w:val="none" w:sz="0" w:space="0" w:color="auto"/>
                    <w:bottom w:val="none" w:sz="0" w:space="0" w:color="auto"/>
                    <w:right w:val="none" w:sz="0" w:space="0" w:color="auto"/>
                  </w:divBdr>
                  <w:divsChild>
                    <w:div w:id="1120682486">
                      <w:marLeft w:val="0"/>
                      <w:marRight w:val="0"/>
                      <w:marTop w:val="0"/>
                      <w:marBottom w:val="0"/>
                      <w:divBdr>
                        <w:top w:val="none" w:sz="0" w:space="0" w:color="auto"/>
                        <w:left w:val="none" w:sz="0" w:space="0" w:color="auto"/>
                        <w:bottom w:val="none" w:sz="0" w:space="0" w:color="auto"/>
                        <w:right w:val="none" w:sz="0" w:space="0" w:color="auto"/>
                      </w:divBdr>
                      <w:divsChild>
                        <w:div w:id="991368635">
                          <w:marLeft w:val="0"/>
                          <w:marRight w:val="0"/>
                          <w:marTop w:val="0"/>
                          <w:marBottom w:val="0"/>
                          <w:divBdr>
                            <w:top w:val="none" w:sz="0" w:space="0" w:color="auto"/>
                            <w:left w:val="none" w:sz="0" w:space="0" w:color="auto"/>
                            <w:bottom w:val="none" w:sz="0" w:space="0" w:color="auto"/>
                            <w:right w:val="none" w:sz="0" w:space="0" w:color="auto"/>
                          </w:divBdr>
                          <w:divsChild>
                            <w:div w:id="10785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760197">
      <w:bodyDiv w:val="1"/>
      <w:marLeft w:val="0"/>
      <w:marRight w:val="0"/>
      <w:marTop w:val="0"/>
      <w:marBottom w:val="0"/>
      <w:divBdr>
        <w:top w:val="none" w:sz="0" w:space="0" w:color="auto"/>
        <w:left w:val="none" w:sz="0" w:space="0" w:color="auto"/>
        <w:bottom w:val="none" w:sz="0" w:space="0" w:color="auto"/>
        <w:right w:val="none" w:sz="0" w:space="0" w:color="auto"/>
      </w:divBdr>
    </w:div>
    <w:div w:id="1642615215">
      <w:bodyDiv w:val="1"/>
      <w:marLeft w:val="0"/>
      <w:marRight w:val="0"/>
      <w:marTop w:val="0"/>
      <w:marBottom w:val="0"/>
      <w:divBdr>
        <w:top w:val="none" w:sz="0" w:space="0" w:color="auto"/>
        <w:left w:val="none" w:sz="0" w:space="0" w:color="auto"/>
        <w:bottom w:val="none" w:sz="0" w:space="0" w:color="auto"/>
        <w:right w:val="none" w:sz="0" w:space="0" w:color="auto"/>
      </w:divBdr>
    </w:div>
    <w:div w:id="1647053959">
      <w:bodyDiv w:val="1"/>
      <w:marLeft w:val="0"/>
      <w:marRight w:val="0"/>
      <w:marTop w:val="0"/>
      <w:marBottom w:val="0"/>
      <w:divBdr>
        <w:top w:val="none" w:sz="0" w:space="0" w:color="auto"/>
        <w:left w:val="none" w:sz="0" w:space="0" w:color="auto"/>
        <w:bottom w:val="none" w:sz="0" w:space="0" w:color="auto"/>
        <w:right w:val="none" w:sz="0" w:space="0" w:color="auto"/>
      </w:divBdr>
    </w:div>
    <w:div w:id="1696610970">
      <w:bodyDiv w:val="1"/>
      <w:marLeft w:val="0"/>
      <w:marRight w:val="0"/>
      <w:marTop w:val="0"/>
      <w:marBottom w:val="0"/>
      <w:divBdr>
        <w:top w:val="none" w:sz="0" w:space="0" w:color="auto"/>
        <w:left w:val="none" w:sz="0" w:space="0" w:color="auto"/>
        <w:bottom w:val="none" w:sz="0" w:space="0" w:color="auto"/>
        <w:right w:val="none" w:sz="0" w:space="0" w:color="auto"/>
      </w:divBdr>
    </w:div>
    <w:div w:id="1707637496">
      <w:bodyDiv w:val="1"/>
      <w:marLeft w:val="0"/>
      <w:marRight w:val="0"/>
      <w:marTop w:val="0"/>
      <w:marBottom w:val="0"/>
      <w:divBdr>
        <w:top w:val="none" w:sz="0" w:space="0" w:color="auto"/>
        <w:left w:val="none" w:sz="0" w:space="0" w:color="auto"/>
        <w:bottom w:val="none" w:sz="0" w:space="0" w:color="auto"/>
        <w:right w:val="none" w:sz="0" w:space="0" w:color="auto"/>
      </w:divBdr>
    </w:div>
    <w:div w:id="1708946920">
      <w:bodyDiv w:val="1"/>
      <w:marLeft w:val="0"/>
      <w:marRight w:val="0"/>
      <w:marTop w:val="0"/>
      <w:marBottom w:val="0"/>
      <w:divBdr>
        <w:top w:val="none" w:sz="0" w:space="0" w:color="auto"/>
        <w:left w:val="none" w:sz="0" w:space="0" w:color="auto"/>
        <w:bottom w:val="none" w:sz="0" w:space="0" w:color="auto"/>
        <w:right w:val="none" w:sz="0" w:space="0" w:color="auto"/>
      </w:divBdr>
    </w:div>
    <w:div w:id="1724400465">
      <w:bodyDiv w:val="1"/>
      <w:marLeft w:val="0"/>
      <w:marRight w:val="0"/>
      <w:marTop w:val="0"/>
      <w:marBottom w:val="0"/>
      <w:divBdr>
        <w:top w:val="none" w:sz="0" w:space="0" w:color="auto"/>
        <w:left w:val="none" w:sz="0" w:space="0" w:color="auto"/>
        <w:bottom w:val="none" w:sz="0" w:space="0" w:color="auto"/>
        <w:right w:val="none" w:sz="0" w:space="0" w:color="auto"/>
      </w:divBdr>
    </w:div>
    <w:div w:id="1743332466">
      <w:bodyDiv w:val="1"/>
      <w:marLeft w:val="0"/>
      <w:marRight w:val="0"/>
      <w:marTop w:val="0"/>
      <w:marBottom w:val="0"/>
      <w:divBdr>
        <w:top w:val="none" w:sz="0" w:space="0" w:color="auto"/>
        <w:left w:val="none" w:sz="0" w:space="0" w:color="auto"/>
        <w:bottom w:val="none" w:sz="0" w:space="0" w:color="auto"/>
        <w:right w:val="none" w:sz="0" w:space="0" w:color="auto"/>
      </w:divBdr>
      <w:divsChild>
        <w:div w:id="1392269264">
          <w:marLeft w:val="0"/>
          <w:marRight w:val="0"/>
          <w:marTop w:val="0"/>
          <w:marBottom w:val="0"/>
          <w:divBdr>
            <w:top w:val="none" w:sz="0" w:space="0" w:color="auto"/>
            <w:left w:val="none" w:sz="0" w:space="0" w:color="auto"/>
            <w:bottom w:val="none" w:sz="0" w:space="0" w:color="auto"/>
            <w:right w:val="none" w:sz="0" w:space="0" w:color="auto"/>
          </w:divBdr>
          <w:divsChild>
            <w:div w:id="1450127045">
              <w:marLeft w:val="0"/>
              <w:marRight w:val="0"/>
              <w:marTop w:val="0"/>
              <w:marBottom w:val="0"/>
              <w:divBdr>
                <w:top w:val="none" w:sz="0" w:space="0" w:color="auto"/>
                <w:left w:val="none" w:sz="0" w:space="0" w:color="auto"/>
                <w:bottom w:val="none" w:sz="0" w:space="0" w:color="auto"/>
                <w:right w:val="none" w:sz="0" w:space="0" w:color="auto"/>
              </w:divBdr>
              <w:divsChild>
                <w:div w:id="1054155010">
                  <w:marLeft w:val="0"/>
                  <w:marRight w:val="0"/>
                  <w:marTop w:val="0"/>
                  <w:marBottom w:val="0"/>
                  <w:divBdr>
                    <w:top w:val="none" w:sz="0" w:space="0" w:color="auto"/>
                    <w:left w:val="none" w:sz="0" w:space="0" w:color="auto"/>
                    <w:bottom w:val="none" w:sz="0" w:space="0" w:color="auto"/>
                    <w:right w:val="none" w:sz="0" w:space="0" w:color="auto"/>
                  </w:divBdr>
                  <w:divsChild>
                    <w:div w:id="549848683">
                      <w:marLeft w:val="0"/>
                      <w:marRight w:val="0"/>
                      <w:marTop w:val="0"/>
                      <w:marBottom w:val="0"/>
                      <w:divBdr>
                        <w:top w:val="none" w:sz="0" w:space="0" w:color="auto"/>
                        <w:left w:val="none" w:sz="0" w:space="0" w:color="auto"/>
                        <w:bottom w:val="none" w:sz="0" w:space="0" w:color="auto"/>
                        <w:right w:val="none" w:sz="0" w:space="0" w:color="auto"/>
                      </w:divBdr>
                      <w:divsChild>
                        <w:div w:id="1179471421">
                          <w:marLeft w:val="0"/>
                          <w:marRight w:val="0"/>
                          <w:marTop w:val="0"/>
                          <w:marBottom w:val="0"/>
                          <w:divBdr>
                            <w:top w:val="none" w:sz="0" w:space="0" w:color="auto"/>
                            <w:left w:val="none" w:sz="0" w:space="0" w:color="auto"/>
                            <w:bottom w:val="none" w:sz="0" w:space="0" w:color="auto"/>
                            <w:right w:val="none" w:sz="0" w:space="0" w:color="auto"/>
                          </w:divBdr>
                          <w:divsChild>
                            <w:div w:id="986055095">
                              <w:marLeft w:val="0"/>
                              <w:marRight w:val="0"/>
                              <w:marTop w:val="0"/>
                              <w:marBottom w:val="0"/>
                              <w:divBdr>
                                <w:top w:val="none" w:sz="0" w:space="0" w:color="auto"/>
                                <w:left w:val="none" w:sz="0" w:space="0" w:color="auto"/>
                                <w:bottom w:val="none" w:sz="0" w:space="0" w:color="auto"/>
                                <w:right w:val="none" w:sz="0" w:space="0" w:color="auto"/>
                              </w:divBdr>
                              <w:divsChild>
                                <w:div w:id="16272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105337">
      <w:bodyDiv w:val="1"/>
      <w:marLeft w:val="0"/>
      <w:marRight w:val="0"/>
      <w:marTop w:val="0"/>
      <w:marBottom w:val="0"/>
      <w:divBdr>
        <w:top w:val="none" w:sz="0" w:space="0" w:color="auto"/>
        <w:left w:val="none" w:sz="0" w:space="0" w:color="auto"/>
        <w:bottom w:val="none" w:sz="0" w:space="0" w:color="auto"/>
        <w:right w:val="none" w:sz="0" w:space="0" w:color="auto"/>
      </w:divBdr>
    </w:div>
    <w:div w:id="1950042928">
      <w:bodyDiv w:val="1"/>
      <w:marLeft w:val="0"/>
      <w:marRight w:val="0"/>
      <w:marTop w:val="0"/>
      <w:marBottom w:val="0"/>
      <w:divBdr>
        <w:top w:val="none" w:sz="0" w:space="0" w:color="auto"/>
        <w:left w:val="none" w:sz="0" w:space="0" w:color="auto"/>
        <w:bottom w:val="none" w:sz="0" w:space="0" w:color="auto"/>
        <w:right w:val="none" w:sz="0" w:space="0" w:color="auto"/>
      </w:divBdr>
      <w:divsChild>
        <w:div w:id="2010788767">
          <w:marLeft w:val="0"/>
          <w:marRight w:val="0"/>
          <w:marTop w:val="0"/>
          <w:marBottom w:val="0"/>
          <w:divBdr>
            <w:top w:val="none" w:sz="0" w:space="0" w:color="auto"/>
            <w:left w:val="none" w:sz="0" w:space="0" w:color="auto"/>
            <w:bottom w:val="none" w:sz="0" w:space="0" w:color="auto"/>
            <w:right w:val="none" w:sz="0" w:space="0" w:color="auto"/>
          </w:divBdr>
          <w:divsChild>
            <w:div w:id="249319539">
              <w:marLeft w:val="0"/>
              <w:marRight w:val="0"/>
              <w:marTop w:val="0"/>
              <w:marBottom w:val="0"/>
              <w:divBdr>
                <w:top w:val="none" w:sz="0" w:space="0" w:color="auto"/>
                <w:left w:val="none" w:sz="0" w:space="0" w:color="auto"/>
                <w:bottom w:val="none" w:sz="0" w:space="0" w:color="auto"/>
                <w:right w:val="none" w:sz="0" w:space="0" w:color="auto"/>
              </w:divBdr>
              <w:divsChild>
                <w:div w:id="107090138">
                  <w:marLeft w:val="0"/>
                  <w:marRight w:val="0"/>
                  <w:marTop w:val="0"/>
                  <w:marBottom w:val="0"/>
                  <w:divBdr>
                    <w:top w:val="none" w:sz="0" w:space="0" w:color="auto"/>
                    <w:left w:val="none" w:sz="0" w:space="0" w:color="auto"/>
                    <w:bottom w:val="none" w:sz="0" w:space="0" w:color="auto"/>
                    <w:right w:val="none" w:sz="0" w:space="0" w:color="auto"/>
                  </w:divBdr>
                  <w:divsChild>
                    <w:div w:id="2130659223">
                      <w:marLeft w:val="0"/>
                      <w:marRight w:val="0"/>
                      <w:marTop w:val="0"/>
                      <w:marBottom w:val="0"/>
                      <w:divBdr>
                        <w:top w:val="none" w:sz="0" w:space="0" w:color="auto"/>
                        <w:left w:val="none" w:sz="0" w:space="0" w:color="auto"/>
                        <w:bottom w:val="none" w:sz="0" w:space="0" w:color="auto"/>
                        <w:right w:val="none" w:sz="0" w:space="0" w:color="auto"/>
                      </w:divBdr>
                      <w:divsChild>
                        <w:div w:id="1541550894">
                          <w:marLeft w:val="0"/>
                          <w:marRight w:val="0"/>
                          <w:marTop w:val="0"/>
                          <w:marBottom w:val="0"/>
                          <w:divBdr>
                            <w:top w:val="none" w:sz="0" w:space="0" w:color="auto"/>
                            <w:left w:val="none" w:sz="0" w:space="0" w:color="auto"/>
                            <w:bottom w:val="none" w:sz="0" w:space="0" w:color="auto"/>
                            <w:right w:val="none" w:sz="0" w:space="0" w:color="auto"/>
                          </w:divBdr>
                          <w:divsChild>
                            <w:div w:id="1071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81271">
      <w:bodyDiv w:val="1"/>
      <w:marLeft w:val="0"/>
      <w:marRight w:val="0"/>
      <w:marTop w:val="0"/>
      <w:marBottom w:val="0"/>
      <w:divBdr>
        <w:top w:val="none" w:sz="0" w:space="0" w:color="auto"/>
        <w:left w:val="none" w:sz="0" w:space="0" w:color="auto"/>
        <w:bottom w:val="none" w:sz="0" w:space="0" w:color="auto"/>
        <w:right w:val="none" w:sz="0" w:space="0" w:color="auto"/>
      </w:divBdr>
    </w:div>
    <w:div w:id="1999990207">
      <w:bodyDiv w:val="1"/>
      <w:marLeft w:val="0"/>
      <w:marRight w:val="0"/>
      <w:marTop w:val="0"/>
      <w:marBottom w:val="0"/>
      <w:divBdr>
        <w:top w:val="none" w:sz="0" w:space="0" w:color="auto"/>
        <w:left w:val="none" w:sz="0" w:space="0" w:color="auto"/>
        <w:bottom w:val="none" w:sz="0" w:space="0" w:color="auto"/>
        <w:right w:val="none" w:sz="0" w:space="0" w:color="auto"/>
      </w:divBdr>
    </w:div>
    <w:div w:id="2035186905">
      <w:bodyDiv w:val="1"/>
      <w:marLeft w:val="0"/>
      <w:marRight w:val="0"/>
      <w:marTop w:val="0"/>
      <w:marBottom w:val="0"/>
      <w:divBdr>
        <w:top w:val="none" w:sz="0" w:space="0" w:color="auto"/>
        <w:left w:val="none" w:sz="0" w:space="0" w:color="auto"/>
        <w:bottom w:val="none" w:sz="0" w:space="0" w:color="auto"/>
        <w:right w:val="none" w:sz="0" w:space="0" w:color="auto"/>
      </w:divBdr>
      <w:divsChild>
        <w:div w:id="541482808">
          <w:marLeft w:val="0"/>
          <w:marRight w:val="0"/>
          <w:marTop w:val="0"/>
          <w:marBottom w:val="0"/>
          <w:divBdr>
            <w:top w:val="none" w:sz="0" w:space="0" w:color="auto"/>
            <w:left w:val="none" w:sz="0" w:space="0" w:color="auto"/>
            <w:bottom w:val="none" w:sz="0" w:space="0" w:color="auto"/>
            <w:right w:val="none" w:sz="0" w:space="0" w:color="auto"/>
          </w:divBdr>
          <w:divsChild>
            <w:div w:id="545333875">
              <w:marLeft w:val="0"/>
              <w:marRight w:val="0"/>
              <w:marTop w:val="0"/>
              <w:marBottom w:val="0"/>
              <w:divBdr>
                <w:top w:val="none" w:sz="0" w:space="0" w:color="auto"/>
                <w:left w:val="none" w:sz="0" w:space="0" w:color="auto"/>
                <w:bottom w:val="none" w:sz="0" w:space="0" w:color="auto"/>
                <w:right w:val="none" w:sz="0" w:space="0" w:color="auto"/>
              </w:divBdr>
              <w:divsChild>
                <w:div w:id="144972089">
                  <w:marLeft w:val="0"/>
                  <w:marRight w:val="0"/>
                  <w:marTop w:val="0"/>
                  <w:marBottom w:val="0"/>
                  <w:divBdr>
                    <w:top w:val="none" w:sz="0" w:space="0" w:color="auto"/>
                    <w:left w:val="none" w:sz="0" w:space="0" w:color="auto"/>
                    <w:bottom w:val="none" w:sz="0" w:space="0" w:color="auto"/>
                    <w:right w:val="none" w:sz="0" w:space="0" w:color="auto"/>
                  </w:divBdr>
                  <w:divsChild>
                    <w:div w:id="1751652417">
                      <w:marLeft w:val="0"/>
                      <w:marRight w:val="0"/>
                      <w:marTop w:val="0"/>
                      <w:marBottom w:val="0"/>
                      <w:divBdr>
                        <w:top w:val="none" w:sz="0" w:space="0" w:color="auto"/>
                        <w:left w:val="none" w:sz="0" w:space="0" w:color="auto"/>
                        <w:bottom w:val="none" w:sz="0" w:space="0" w:color="auto"/>
                        <w:right w:val="none" w:sz="0" w:space="0" w:color="auto"/>
                      </w:divBdr>
                      <w:divsChild>
                        <w:div w:id="164781495">
                          <w:marLeft w:val="0"/>
                          <w:marRight w:val="0"/>
                          <w:marTop w:val="0"/>
                          <w:marBottom w:val="0"/>
                          <w:divBdr>
                            <w:top w:val="none" w:sz="0" w:space="0" w:color="auto"/>
                            <w:left w:val="none" w:sz="0" w:space="0" w:color="auto"/>
                            <w:bottom w:val="none" w:sz="0" w:space="0" w:color="auto"/>
                            <w:right w:val="none" w:sz="0" w:space="0" w:color="auto"/>
                          </w:divBdr>
                          <w:divsChild>
                            <w:div w:id="2308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4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www.innovation.gov.au/llnp"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LLNPFeedback@deewr.gov.a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LLNPFeedback@deewr.gov.au"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nbne-learning.wikispaces.com/2012+Projec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rePublishingDocumentContact xmlns="0e53812e-6d8f-467a-9127-cd3590cd6a24">
      <UserInfo>
        <DisplayName/>
        <AccountId xsi:nil="true"/>
        <AccountType/>
      </UserInfo>
    </CorePublishingDocumentContact>
    <IncludeInNotificationsAndUpdates xmlns="0e53812e-6d8f-467a-9127-cd3590cd6a24">true</IncludeInNotificationsAndUpdates>
    <CorePublishingDocumentCategory xmlns="c0b4bd0a-f6ac-422c-a0b2-ddc3a705a698" xsi:nil="true"/>
    <KeywordsLookupField xmlns="c0b4bd0a-f6ac-422c-a0b2-ddc3a705a698"/>
    <SubjectLookupField xmlns="c0b4bd0a-f6ac-422c-a0b2-ddc3a705a698"/>
    <IncludeInRSSFeeds xmlns="0e53812e-6d8f-467a-9127-cd3590cd6a24">false</IncludeInRSSFeeds>
    <CorePublishingDocumentChangeDescription xmlns="0e53812e-6d8f-467a-9127-cd3590cd6a24" xsi:nil="true"/>
    <PublishingExpirationDate xmlns="http://schemas.microsoft.com/sharepoint/v3" xsi:nil="true"/>
    <CorePublishingComments xmlns="0e53812e-6d8f-467a-9127-cd3590cd6a24" xsi:nil="true"/>
    <PublishingStartDate xmlns="http://schemas.microsoft.com/sharepoint/v3" xsi:nil="true"/>
    <IPSCategory xmlns="0e53812e-6d8f-467a-9127-cd3590cd6a24" xsi:nil="true"/>
    <IncludeInContentRollups xmlns="0e53812e-6d8f-467a-9127-cd3590cd6a24">false</IncludeInContentRollups>
    <DocumentRollupCategory xmlns="c0b4bd0a-f6ac-422c-a0b2-ddc3a705a698"/>
    <CorePublishingFileReference xmlns="0e53812e-6d8f-467a-9127-cd3590cd6a2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9FC4BFB76461404CB9E7B63BC48D8325" ma:contentTypeVersion="77" ma:contentTypeDescription="Core Publishing Document, inherited from OOTB document." ma:contentTypeScope="" ma:versionID="39d802fbb56b3d0a30147edc23f46e1c">
  <xsd:schema xmlns:xsd="http://www.w3.org/2001/XMLSchema" xmlns:xs="http://www.w3.org/2001/XMLSchema" xmlns:p="http://schemas.microsoft.com/office/2006/metadata/properties" xmlns:ns1="http://schemas.microsoft.com/sharepoint/v3" xmlns:ns2="0e53812e-6d8f-467a-9127-cd3590cd6a24" xmlns:ns3="c0b4bd0a-f6ac-422c-a0b2-ddc3a705a698" targetNamespace="http://schemas.microsoft.com/office/2006/metadata/properties" ma:root="true" ma:fieldsID="5493b448e11f0330273ce1c086995a2f" ns1:_="" ns2:_="" ns3:_="">
    <xsd:import namespace="http://schemas.microsoft.com/sharepoint/v3"/>
    <xsd:import namespace="0e53812e-6d8f-467a-9127-cd3590cd6a24"/>
    <xsd:import namespace="c0b4bd0a-f6ac-422c-a0b2-ddc3a705a698"/>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minOccurs="0"/>
                <xsd:element ref="ns3:SubjectLookupField" minOccurs="0"/>
                <xsd:element ref="ns3:KeywordsLookupField" minOccurs="0"/>
                <xsd:element ref="ns3:CorePublishingDocumentCategory" minOccurs="0"/>
                <xsd:element ref="ns2:IPSCategory" minOccurs="0"/>
                <xsd:element ref="ns2:CorePublishingFileReference" minOccurs="0"/>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53812e-6d8f-467a-9127-cd3590cd6a24"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nillable="true" ma:displayName="Document Contact" ma:list="UserInfo" ma:internalName="CorePublishingDocumentContact"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nillable="true" ma:displayName="File Reference" ma:description="Audit Requirement." ma:internalName="CorePublishingFileReference" ma:readOnly="fals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0"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4bd0a-f6ac-422c-a0b2-ddc3a705a698" elementFormDefault="qualified">
    <xsd:import namespace="http://schemas.microsoft.com/office/2006/documentManagement/types"/>
    <xsd:import namespace="http://schemas.microsoft.com/office/infopath/2007/PartnerControls"/>
    <xsd:element name="SubjectLookupField" ma:index="12" nillable="true" ma:displayName="Subject" ma:list="4a441248-04bf-4c62-8747-8bfb61e5e21c" ma:internalName="SubjectLookupField" ma:showField="Title" ma:web="c0b4bd0a-f6ac-422c-a0b2-ddc3a705a698">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fbec0be5-db93-4c03-a796-ce5d02f374a3" ma:internalName="KeywordsLookupField" ma:showField="Title" ma:web="c0b4bd0a-f6ac-422c-a0b2-ddc3a705a698">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233fae74-8b6e-4f87-8db3-5052d625541f}" ma:internalName="CorePublishingDocumentCategory" ma:showField="Title" ma:web="{c0b4bd0a-f6ac-422c-a0b2-ddc3a705a698}">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6ca4ea36-3739-485e-8e04-ddf89b384e56}" ma:internalName="DocumentRollupCategory" ma:showField="Title" ma:web="{c0b4bd0a-f6ac-422c-a0b2-ddc3a705a6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0CD3-49D0-489C-A4D8-B4FFD5CB803D}"/>
</file>

<file path=customXml/itemProps2.xml><?xml version="1.0" encoding="utf-8"?>
<ds:datastoreItem xmlns:ds="http://schemas.openxmlformats.org/officeDocument/2006/customXml" ds:itemID="{D004689E-67EA-4F77-ACF2-0B253FAEC925}"/>
</file>

<file path=customXml/itemProps3.xml><?xml version="1.0" encoding="utf-8"?>
<ds:datastoreItem xmlns:ds="http://schemas.openxmlformats.org/officeDocument/2006/customXml" ds:itemID="{A108F808-A20A-41B7-9727-B8A78EF0662F}"/>
</file>

<file path=customXml/itemProps4.xml><?xml version="1.0" encoding="utf-8"?>
<ds:datastoreItem xmlns:ds="http://schemas.openxmlformats.org/officeDocument/2006/customXml" ds:itemID="{85F147CC-B618-4B61-B865-2BFE99532A64}"/>
</file>

<file path=customXml/itemProps5.xml><?xml version="1.0" encoding="utf-8"?>
<ds:datastoreItem xmlns:ds="http://schemas.openxmlformats.org/officeDocument/2006/customXml" ds:itemID="{14064B06-AD0A-433A-8DB9-885C1DFCD5B6}"/>
</file>

<file path=docProps/app.xml><?xml version="1.0" encoding="utf-8"?>
<Properties xmlns="http://schemas.openxmlformats.org/officeDocument/2006/extended-properties" xmlns:vt="http://schemas.openxmlformats.org/officeDocument/2006/docPropsVTypes">
  <Template>Normal.dotm</Template>
  <TotalTime>1</TotalTime>
  <Pages>33</Pages>
  <Words>10549</Words>
  <Characters>59930</Characters>
  <Application>Microsoft Office Word</Application>
  <DocSecurity>12</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70339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Petering</dc:creator>
  <cp:lastModifiedBy>McGrath, Mikaela</cp:lastModifiedBy>
  <cp:revision>2</cp:revision>
  <cp:lastPrinted>2012-07-19T03:13:00Z</cp:lastPrinted>
  <dcterms:created xsi:type="dcterms:W3CDTF">2013-07-15T02:21:00Z</dcterms:created>
  <dcterms:modified xsi:type="dcterms:W3CDTF">2013-07-15T02:21:00Z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0x01010097F86F0C24D64525B252BB20BD9D45A7009FC4BFB76461404CB9E7B63BC48D8325</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VersionNumber">
    <vt:i4>0</vt:i4>
  </property>
  <property fmtid="{D5CDD505-2E9C-101B-9397-08002B2CF9AE}" pid="7" name="ClassificationPty">
    <vt:lpwstr/>
  </property>
  <property fmtid="{D5CDD505-2E9C-101B-9397-08002B2CF9AE}" pid="8" name="FileNumberPty">
    <vt:lpwstr/>
  </property>
  <property fmtid="{D5CDD505-2E9C-101B-9397-08002B2CF9AE}" pid="9" name="CorporateTmplBased">
    <vt:lpwstr>No</vt:lpwstr>
  </property>
  <property fmtid="{D5CDD505-2E9C-101B-9397-08002B2CF9AE}" pid="10" name="_SharedFileIndex">
    <vt:lpwstr/>
  </property>
  <property fmtid="{D5CDD505-2E9C-101B-9397-08002B2CF9AE}" pid="11" name="_SourceUrl">
    <vt:lpwstr/>
  </property>
</Properties>
</file>