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rawings/drawing1.xml" ContentType="application/vnd.openxmlformats-officedocument.drawingml.chartshapes+xml"/>
  <Override PartName="/word/drawings/drawing3.xml" ContentType="application/vnd.openxmlformats-officedocument.drawingml.chartshapes+xml"/>
  <Override PartName="/word/drawings/drawing2.xml" ContentType="application/vnd.openxmlformats-officedocument.drawingml.chartshapes+xml"/>
  <Override PartName="/word/document.xml" ContentType="application/vnd.openxmlformats-officedocument.wordprocessingml.document.main+xml"/>
  <Override PartName="/word/header15.xml" ContentType="application/vnd.openxmlformats-officedocument.wordprocessingml.header+xml"/>
  <Override PartName="/word/header24.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oter24.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footer13.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theme/theme1.xml" ContentType="application/vnd.openxmlformats-officedocument.theme+xml"/>
  <Override PartName="/word/charts/chart4.xml" ContentType="application/vnd.openxmlformats-officedocument.drawingml.chart+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6.xml" ContentType="application/vnd.openxmlformats-officedocument.drawingml.chart+xml"/>
  <Override PartName="/word/theme/themeOverride3.xml" ContentType="application/vnd.openxmlformats-officedocument.themeOverride+xml"/>
  <Override PartName="/word/theme/themeOverride2.xml" ContentType="application/vnd.openxmlformats-officedocument.themeOverride+xml"/>
  <Override PartName="/word/charts/chart5.xml" ContentType="application/vnd.openxmlformats-officedocument.drawingml.chart+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B98E5" w14:textId="77777777" w:rsidR="00473688" w:rsidRDefault="00473688" w:rsidP="000E21BF">
      <w:pPr>
        <w:pStyle w:val="SpaceAbove"/>
      </w:pPr>
    </w:p>
    <w:sdt>
      <w:sdtPr>
        <w:rPr>
          <w:rFonts w:eastAsiaTheme="minorEastAsia" w:cstheme="minorBidi"/>
        </w:rPr>
        <w:id w:val="-1713338945"/>
        <w:docPartObj>
          <w:docPartGallery w:val="Cover Pages"/>
          <w:docPartUnique/>
        </w:docPartObj>
      </w:sdtPr>
      <w:sdtEndPr>
        <w:rPr>
          <w:rFonts w:eastAsia="Times New Roman" w:cs="Times New Roman"/>
        </w:rPr>
      </w:sdtEndPr>
      <w:sdtContent>
        <w:tbl>
          <w:tblPr>
            <w:tblStyle w:val="TableGrid"/>
            <w:tblW w:w="1020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83"/>
            <w:gridCol w:w="6023"/>
          </w:tblGrid>
          <w:tr w:rsidR="00473688" w14:paraId="79A281D2" w14:textId="77777777" w:rsidTr="003C37AA">
            <w:trPr>
              <w:cantSplit/>
              <w:trHeight w:hRule="exact" w:val="454"/>
            </w:trPr>
            <w:tc>
              <w:tcPr>
                <w:tcW w:w="4183" w:type="dxa"/>
                <w:shd w:val="clear" w:color="auto" w:fill="000000" w:themeFill="text1"/>
                <w:vAlign w:val="center"/>
              </w:tcPr>
              <w:p w14:paraId="4BE559AA" w14:textId="77777777" w:rsidR="00473688" w:rsidRDefault="00473688" w:rsidP="000E21BF"/>
            </w:tc>
            <w:tc>
              <w:tcPr>
                <w:tcW w:w="6023" w:type="dxa"/>
                <w:shd w:val="clear" w:color="auto" w:fill="000000" w:themeFill="text1"/>
                <w:vAlign w:val="center"/>
              </w:tcPr>
              <w:p w14:paraId="38ADABBF" w14:textId="77777777" w:rsidR="00473688" w:rsidRPr="005E798E" w:rsidRDefault="00473688" w:rsidP="003C37AA">
                <w:pPr>
                  <w:pStyle w:val="TextBrandingPurple"/>
                </w:pPr>
                <w:r w:rsidRPr="005E798E">
                  <w:t xml:space="preserve">Acil allen </w:t>
                </w:r>
                <w:r w:rsidRPr="005E798E">
                  <w:rPr>
                    <w:rStyle w:val="ACILAllenYellow"/>
                  </w:rPr>
                  <w:t>Consulting</w:t>
                </w:r>
              </w:p>
            </w:tc>
          </w:tr>
          <w:tr w:rsidR="00473688" w14:paraId="12F6B7FB" w14:textId="77777777" w:rsidTr="003C37AA">
            <w:trPr>
              <w:cantSplit/>
              <w:trHeight w:hRule="exact" w:val="794"/>
            </w:trPr>
            <w:tc>
              <w:tcPr>
                <w:tcW w:w="4183" w:type="dxa"/>
              </w:tcPr>
              <w:p w14:paraId="6A5B4169" w14:textId="77777777" w:rsidR="00473688" w:rsidRDefault="00473688"/>
            </w:tc>
            <w:tc>
              <w:tcPr>
                <w:tcW w:w="6023" w:type="dxa"/>
                <w:vAlign w:val="bottom"/>
              </w:tcPr>
              <w:p w14:paraId="49E9372E" w14:textId="77777777" w:rsidR="00473688" w:rsidRPr="00323B84" w:rsidRDefault="004F7E0F" w:rsidP="000603D9">
                <w:pPr>
                  <w:pStyle w:val="ReportTo"/>
                </w:pPr>
                <w:r>
                  <w:t xml:space="preserve">final </w:t>
                </w:r>
                <w:r w:rsidR="00473688">
                  <w:t>Report to</w:t>
                </w:r>
              </w:p>
            </w:tc>
          </w:tr>
          <w:tr w:rsidR="00473688" w14:paraId="0557DB11" w14:textId="77777777" w:rsidTr="003C37AA">
            <w:trPr>
              <w:cantSplit/>
              <w:trHeight w:val="737"/>
            </w:trPr>
            <w:tc>
              <w:tcPr>
                <w:tcW w:w="4183" w:type="dxa"/>
              </w:tcPr>
              <w:p w14:paraId="1DFCCA9D" w14:textId="77777777" w:rsidR="00473688" w:rsidRPr="00144EC5" w:rsidRDefault="00473688" w:rsidP="000E21BF">
                <w:pPr>
                  <w:rPr>
                    <w:rFonts w:ascii="Novecento Book" w:hAnsi="Novecento Book"/>
                    <w:sz w:val="24"/>
                  </w:rPr>
                </w:pPr>
              </w:p>
            </w:tc>
            <w:tc>
              <w:tcPr>
                <w:tcW w:w="6023" w:type="dxa"/>
                <w:tcBorders>
                  <w:bottom w:val="single" w:sz="4" w:space="0" w:color="auto"/>
                </w:tcBorders>
              </w:tcPr>
              <w:p w14:paraId="05F5A5E1" w14:textId="77777777" w:rsidR="00473688" w:rsidRDefault="00473688" w:rsidP="000E21BF">
                <w:pPr>
                  <w:pStyle w:val="PreparedFor0"/>
                </w:pPr>
                <w:r>
                  <w:t xml:space="preserve">Department of </w:t>
                </w:r>
                <w:r w:rsidR="008D3D6F">
                  <w:t>education and training</w:t>
                </w:r>
              </w:p>
              <w:p w14:paraId="3BE96F19" w14:textId="77777777" w:rsidR="00473688" w:rsidRPr="00323B84" w:rsidRDefault="00473688" w:rsidP="000E21BF">
                <w:pPr>
                  <w:pStyle w:val="PreparedFor0"/>
                </w:pPr>
              </w:p>
            </w:tc>
          </w:tr>
          <w:tr w:rsidR="00473688" w14:paraId="3EA6B996" w14:textId="77777777" w:rsidTr="003C37AA">
            <w:trPr>
              <w:cantSplit/>
              <w:trHeight w:hRule="exact" w:val="567"/>
            </w:trPr>
            <w:tc>
              <w:tcPr>
                <w:tcW w:w="4183" w:type="dxa"/>
              </w:tcPr>
              <w:p w14:paraId="167BCB82" w14:textId="77777777" w:rsidR="00473688" w:rsidRDefault="00473688" w:rsidP="000E21BF"/>
            </w:tc>
            <w:tc>
              <w:tcPr>
                <w:tcW w:w="6023" w:type="dxa"/>
                <w:tcBorders>
                  <w:top w:val="single" w:sz="4" w:space="0" w:color="auto"/>
                </w:tcBorders>
              </w:tcPr>
              <w:p w14:paraId="263AF3C6" w14:textId="6D060005" w:rsidR="00473688" w:rsidRPr="004E6210" w:rsidRDefault="00907436" w:rsidP="006703CA">
                <w:pPr>
                  <w:pStyle w:val="Date"/>
                </w:pPr>
                <w:r>
                  <w:t>2</w:t>
                </w:r>
                <w:r w:rsidR="00AE13AC">
                  <w:t>2</w:t>
                </w:r>
                <w:r w:rsidR="00473688" w:rsidRPr="004E6210">
                  <w:t xml:space="preserve"> </w:t>
                </w:r>
                <w:sdt>
                  <w:sdtPr>
                    <w:id w:val="1596049733"/>
                    <w:date w:fullDate="2015-05-22T00:00:00Z">
                      <w:dateFormat w:val="MMMM yyyy"/>
                      <w:lid w:val="en-AU"/>
                      <w:storeMappedDataAs w:val="dateTime"/>
                      <w:calendar w:val="gregorian"/>
                    </w:date>
                  </w:sdtPr>
                  <w:sdtEndPr/>
                  <w:sdtContent>
                    <w:r w:rsidR="006703CA">
                      <w:t>May 2015</w:t>
                    </w:r>
                  </w:sdtContent>
                </w:sdt>
              </w:p>
            </w:tc>
          </w:tr>
          <w:tr w:rsidR="00473688" w14:paraId="1577EF8B" w14:textId="77777777" w:rsidTr="006703CA">
            <w:trPr>
              <w:cantSplit/>
              <w:trHeight w:hRule="exact" w:val="3268"/>
            </w:trPr>
            <w:tc>
              <w:tcPr>
                <w:tcW w:w="4183" w:type="dxa"/>
                <w:tcBorders>
                  <w:bottom w:val="single" w:sz="4" w:space="0" w:color="auto"/>
                </w:tcBorders>
              </w:tcPr>
              <w:p w14:paraId="1D2A9459" w14:textId="77777777" w:rsidR="00473688" w:rsidRDefault="00473688"/>
            </w:tc>
            <w:tc>
              <w:tcPr>
                <w:tcW w:w="6023" w:type="dxa"/>
                <w:tcBorders>
                  <w:bottom w:val="single" w:sz="4" w:space="0" w:color="auto"/>
                </w:tcBorders>
              </w:tcPr>
              <w:p w14:paraId="0589E08B" w14:textId="77777777" w:rsidR="00473688" w:rsidRPr="000E21BF" w:rsidRDefault="00F22114" w:rsidP="00F81E97">
                <w:pPr>
                  <w:pStyle w:val="TitleShort"/>
                </w:pPr>
                <w:r>
                  <w:t>AMEP &amp; SEE</w:t>
                </w:r>
                <w:r w:rsidR="00A0163C">
                  <w:t xml:space="preserve"> Programme</w:t>
                </w:r>
                <w:r>
                  <w:t xml:space="preserve"> alignment</w:t>
                </w:r>
                <w:r w:rsidR="00F81E97">
                  <w:t xml:space="preserve"> </w:t>
                </w:r>
                <w:r>
                  <w:t>report</w:t>
                </w:r>
              </w:p>
            </w:tc>
          </w:tr>
          <w:tr w:rsidR="00473688" w14:paraId="1A15EFF2" w14:textId="77777777" w:rsidTr="003C37AA">
            <w:trPr>
              <w:cantSplit/>
              <w:trHeight w:hRule="exact" w:val="386"/>
            </w:trPr>
            <w:tc>
              <w:tcPr>
                <w:tcW w:w="4183" w:type="dxa"/>
                <w:tcBorders>
                  <w:top w:val="single" w:sz="4" w:space="0" w:color="auto"/>
                </w:tcBorders>
              </w:tcPr>
              <w:p w14:paraId="352D6011" w14:textId="5106C098" w:rsidR="00473688" w:rsidRPr="00D64897" w:rsidRDefault="00DC3C5E" w:rsidP="000E21BF">
                <w:pPr>
                  <w:pStyle w:val="CoverPageDeltas"/>
                </w:pPr>
                <w:r>
                  <w:rPr>
                    <w:noProof/>
                    <w:lang w:eastAsia="en-AU"/>
                  </w:rPr>
                  <w:drawing>
                    <wp:inline distT="0" distB="0" distL="0" distR="0" wp14:anchorId="0B17622F" wp14:editId="1B1E6C2F">
                      <wp:extent cx="539290" cy="26401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805" cy="279446"/>
                              </a:xfrm>
                              <a:prstGeom prst="rect">
                                <a:avLst/>
                              </a:prstGeom>
                            </pic:spPr>
                          </pic:pic>
                        </a:graphicData>
                      </a:graphic>
                    </wp:inline>
                  </w:drawing>
                </w:r>
              </w:p>
            </w:tc>
            <w:tc>
              <w:tcPr>
                <w:tcW w:w="6023" w:type="dxa"/>
                <w:tcBorders>
                  <w:top w:val="single" w:sz="4" w:space="0" w:color="auto"/>
                </w:tcBorders>
              </w:tcPr>
              <w:p w14:paraId="28CB4B56" w14:textId="77777777" w:rsidR="00473688" w:rsidRPr="00A9191A" w:rsidRDefault="00473688" w:rsidP="000E21BF">
                <w:pPr>
                  <w:pStyle w:val="CoverPageDeltas"/>
                </w:pPr>
              </w:p>
            </w:tc>
          </w:tr>
          <w:tr w:rsidR="00473688" w14:paraId="308FCF2A" w14:textId="77777777" w:rsidTr="003C37AA">
            <w:trPr>
              <w:cantSplit/>
              <w:trHeight w:hRule="exact" w:val="1134"/>
            </w:trPr>
            <w:tc>
              <w:tcPr>
                <w:tcW w:w="4183" w:type="dxa"/>
              </w:tcPr>
              <w:p w14:paraId="56A2D840" w14:textId="77777777" w:rsidR="00473688" w:rsidRDefault="00473688" w:rsidP="000E21BF">
                <w:pPr>
                  <w:jc w:val="right"/>
                </w:pPr>
              </w:p>
            </w:tc>
            <w:tc>
              <w:tcPr>
                <w:tcW w:w="6023" w:type="dxa"/>
              </w:tcPr>
              <w:p w14:paraId="404EF813" w14:textId="77777777" w:rsidR="00473688" w:rsidRPr="003D3E12" w:rsidRDefault="00473688" w:rsidP="003C37AA">
                <w:pPr>
                  <w:pStyle w:val="Title"/>
                </w:pPr>
              </w:p>
            </w:tc>
          </w:tr>
          <w:tr w:rsidR="00473688" w14:paraId="26139A63" w14:textId="77777777" w:rsidTr="003C37AA">
            <w:trPr>
              <w:cantSplit/>
              <w:trHeight w:hRule="exact" w:val="6803"/>
            </w:trPr>
            <w:tc>
              <w:tcPr>
                <w:tcW w:w="10206" w:type="dxa"/>
                <w:gridSpan w:val="2"/>
                <w:vAlign w:val="bottom"/>
              </w:tcPr>
              <w:p w14:paraId="2E1CE896" w14:textId="77777777" w:rsidR="00473688" w:rsidRDefault="00473688" w:rsidP="000E21BF">
                <w:pPr>
                  <w:pStyle w:val="Image"/>
                </w:pPr>
                <w:r>
                  <w:drawing>
                    <wp:inline distT="0" distB="0" distL="0" distR="0" wp14:anchorId="51BE3F9C" wp14:editId="0A9B2083">
                      <wp:extent cx="5939790" cy="4275455"/>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ur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4275455"/>
                              </a:xfrm>
                              <a:prstGeom prst="rect">
                                <a:avLst/>
                              </a:prstGeom>
                            </pic:spPr>
                          </pic:pic>
                        </a:graphicData>
                      </a:graphic>
                    </wp:inline>
                  </w:drawing>
                </w:r>
              </w:p>
            </w:tc>
          </w:tr>
        </w:tbl>
        <w:p w14:paraId="59167DE9" w14:textId="77777777" w:rsidR="00473688" w:rsidRDefault="00473688">
          <w:pPr>
            <w:spacing w:before="180" w:line="300" w:lineRule="exact"/>
          </w:pPr>
          <w:r>
            <w:br w:type="page"/>
          </w:r>
        </w:p>
        <w:tbl>
          <w:tblPr>
            <w:tblStyle w:val="TableGrid"/>
            <w:tblW w:w="0" w:type="auto"/>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7"/>
            <w:gridCol w:w="2687"/>
          </w:tblGrid>
          <w:tr w:rsidR="00473688" w14:paraId="1B074380" w14:textId="77777777" w:rsidTr="003C37AA">
            <w:trPr>
              <w:cantSplit/>
              <w:trHeight w:hRule="exact" w:val="778"/>
            </w:trPr>
            <w:tc>
              <w:tcPr>
                <w:tcW w:w="5622" w:type="dxa"/>
                <w:tcBorders>
                  <w:bottom w:val="single" w:sz="8" w:space="0" w:color="A6A6A6" w:themeColor="background1" w:themeShade="A6"/>
                </w:tcBorders>
              </w:tcPr>
              <w:p w14:paraId="4EE94B74" w14:textId="77777777" w:rsidR="00473688" w:rsidRDefault="00473688" w:rsidP="000E21BF">
                <w:pPr>
                  <w:pStyle w:val="ContactPageDeltas"/>
                </w:pPr>
              </w:p>
            </w:tc>
            <w:tc>
              <w:tcPr>
                <w:tcW w:w="2717" w:type="dxa"/>
                <w:tcBorders>
                  <w:bottom w:val="single" w:sz="8" w:space="0" w:color="A6A6A6" w:themeColor="background1" w:themeShade="A6"/>
                </w:tcBorders>
              </w:tcPr>
              <w:p w14:paraId="67008BFC" w14:textId="77777777" w:rsidR="00473688" w:rsidRDefault="00473688" w:rsidP="000E21BF">
                <w:pPr>
                  <w:pStyle w:val="ContactPageDeltas"/>
                </w:pPr>
                <w:r>
                  <w:rPr>
                    <w:noProof/>
                    <w:lang w:eastAsia="en-AU"/>
                  </w:rPr>
                  <w:drawing>
                    <wp:inline distT="0" distB="0" distL="0" distR="0" wp14:anchorId="7C3AF716" wp14:editId="7D25FB5A">
                      <wp:extent cx="882595" cy="4412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2184" cy="441092"/>
                              </a:xfrm>
                              <a:prstGeom prst="rect">
                                <a:avLst/>
                              </a:prstGeom>
                            </pic:spPr>
                          </pic:pic>
                        </a:graphicData>
                      </a:graphic>
                    </wp:inline>
                  </w:drawing>
                </w:r>
              </w:p>
            </w:tc>
          </w:tr>
          <w:tr w:rsidR="00473688" w:rsidRPr="008614D0" w14:paraId="50623D5B" w14:textId="77777777" w:rsidTr="003C37AA">
            <w:trPr>
              <w:cantSplit/>
              <w:trHeight w:hRule="exact" w:val="8347"/>
            </w:trPr>
            <w:tc>
              <w:tcPr>
                <w:tcW w:w="5622" w:type="dxa"/>
                <w:tcBorders>
                  <w:top w:val="single" w:sz="8" w:space="0" w:color="A6A6A6" w:themeColor="background1" w:themeShade="A6"/>
                </w:tcBorders>
                <w:vAlign w:val="bottom"/>
              </w:tcPr>
              <w:p w14:paraId="00B55022" w14:textId="77777777" w:rsidR="00473688" w:rsidRPr="008614D0" w:rsidRDefault="00473688" w:rsidP="003C37AA">
                <w:pPr>
                  <w:pStyle w:val="CoverInfo"/>
                  <w:ind w:left="1068" w:hanging="1068"/>
                  <w:rPr>
                    <w:lang w:val="en-AU"/>
                  </w:rPr>
                </w:pPr>
              </w:p>
            </w:tc>
            <w:tc>
              <w:tcPr>
                <w:tcW w:w="2717" w:type="dxa"/>
                <w:tcBorders>
                  <w:top w:val="single" w:sz="8" w:space="0" w:color="A6A6A6" w:themeColor="background1" w:themeShade="A6"/>
                </w:tcBorders>
              </w:tcPr>
              <w:p w14:paraId="46CFD888" w14:textId="77777777" w:rsidR="00473688" w:rsidRPr="008614D0" w:rsidRDefault="00473688" w:rsidP="003C37AA">
                <w:pPr>
                  <w:pStyle w:val="Contact"/>
                </w:pPr>
                <w:r w:rsidRPr="008614D0">
                  <w:t>ACIL ALLEN CONSULTING PTY LTD</w:t>
                </w:r>
                <w:r w:rsidRPr="008614D0">
                  <w:br/>
                  <w:t>ABN 68 102 652 148</w:t>
                </w:r>
              </w:p>
              <w:p w14:paraId="2EB2AB61" w14:textId="77777777" w:rsidR="00AE13AC" w:rsidRPr="00AE13AC" w:rsidRDefault="00AE13AC" w:rsidP="00AE13AC">
                <w:pPr>
                  <w:pStyle w:val="Contact"/>
                </w:pPr>
                <w:r w:rsidRPr="00AE13AC">
                  <w:t>61 Wakefield street</w:t>
                </w:r>
                <w:r w:rsidRPr="00AE13AC">
                  <w:br/>
                  <w:t>Adelaide sa 5000</w:t>
                </w:r>
                <w:r w:rsidRPr="00AE13AC">
                  <w:br/>
                  <w:t>AUSTRALIA</w:t>
                </w:r>
                <w:r w:rsidRPr="00AE13AC">
                  <w:br/>
                  <w:t>t +61 (0)412 089 043</w:t>
                </w:r>
              </w:p>
              <w:p w14:paraId="1765829B" w14:textId="77777777" w:rsidR="00473688" w:rsidRPr="008614D0" w:rsidRDefault="00473688" w:rsidP="003C37AA">
                <w:pPr>
                  <w:pStyle w:val="Contact"/>
                </w:pPr>
                <w:r w:rsidRPr="008614D0">
                  <w:t>Level FIFTEEN</w:t>
                </w:r>
                <w:r w:rsidRPr="008614D0">
                  <w:br/>
                  <w:t>127 Creek Street</w:t>
                </w:r>
                <w:r w:rsidRPr="008614D0">
                  <w:br/>
                  <w:t>Brisbane QLD 4000</w:t>
                </w:r>
                <w:r w:rsidRPr="008614D0">
                  <w:br/>
                  <w:t>Australia</w:t>
                </w:r>
                <w:r w:rsidRPr="008614D0">
                  <w:br/>
                  <w:t>T+61 7 3009 8700</w:t>
                </w:r>
                <w:r w:rsidRPr="008614D0">
                  <w:br/>
                  <w:t>F+61 7 3009 8799</w:t>
                </w:r>
              </w:p>
              <w:p w14:paraId="2C502A09" w14:textId="77777777" w:rsidR="00473688" w:rsidRPr="008614D0" w:rsidRDefault="00473688" w:rsidP="003C37AA">
                <w:pPr>
                  <w:pStyle w:val="Contact"/>
                </w:pPr>
                <w:r w:rsidRPr="008614D0">
                  <w:t>Level TWO</w:t>
                </w:r>
                <w:r w:rsidRPr="008614D0">
                  <w:br/>
                  <w:t>33 Ainslie Place</w:t>
                </w:r>
                <w:r w:rsidRPr="008614D0">
                  <w:br/>
                  <w:t>CANBERRA ACT 2600</w:t>
                </w:r>
                <w:r w:rsidRPr="008614D0">
                  <w:br/>
                  <w:t>AUSTRALIA</w:t>
                </w:r>
                <w:r w:rsidRPr="008614D0">
                  <w:br/>
                  <w:t>T+61 2 6103 8200</w:t>
                </w:r>
                <w:r w:rsidRPr="008614D0">
                  <w:br/>
                  <w:t>F+61 2 6103 8233</w:t>
                </w:r>
              </w:p>
              <w:p w14:paraId="1A6957D0" w14:textId="77777777" w:rsidR="00473688" w:rsidRPr="008614D0" w:rsidRDefault="00473688" w:rsidP="003C37AA">
                <w:pPr>
                  <w:pStyle w:val="Contact"/>
                </w:pPr>
                <w:r w:rsidRPr="008614D0">
                  <w:t>Level NINE</w:t>
                </w:r>
                <w:r w:rsidRPr="008614D0">
                  <w:br/>
                  <w:t>60 Collins Street</w:t>
                </w:r>
                <w:r w:rsidRPr="008614D0">
                  <w:br/>
                  <w:t>MELBOURNE VIC 3000</w:t>
                </w:r>
                <w:r w:rsidRPr="008614D0">
                  <w:br/>
                  <w:t>AUSTRALIA</w:t>
                </w:r>
                <w:r w:rsidRPr="008614D0">
                  <w:br/>
                  <w:t>T+61 3 8650 6000</w:t>
                </w:r>
                <w:r w:rsidRPr="008614D0">
                  <w:br/>
                  <w:t>F+61 3 9654 6363</w:t>
                </w:r>
              </w:p>
              <w:p w14:paraId="565A9769" w14:textId="77777777" w:rsidR="00473688" w:rsidRPr="008614D0" w:rsidRDefault="00473688" w:rsidP="003C37AA">
                <w:pPr>
                  <w:pStyle w:val="Contact"/>
                </w:pPr>
                <w:r w:rsidRPr="008614D0">
                  <w:t>Level one</w:t>
                </w:r>
                <w:r w:rsidRPr="008614D0">
                  <w:br/>
                  <w:t>50 Pitt Street</w:t>
                </w:r>
                <w:r w:rsidRPr="008614D0">
                  <w:br/>
                  <w:t>SYDNEY NSW 2000</w:t>
                </w:r>
                <w:r w:rsidRPr="008614D0">
                  <w:br/>
                  <w:t>AUSTRALIA</w:t>
                </w:r>
                <w:r w:rsidRPr="008614D0">
                  <w:br/>
                  <w:t>T+61 2 8272 5100</w:t>
                </w:r>
                <w:r w:rsidRPr="008614D0">
                  <w:br/>
                  <w:t>F+61 2 9247 2455</w:t>
                </w:r>
              </w:p>
              <w:p w14:paraId="6C6F709B" w14:textId="77777777" w:rsidR="00473688" w:rsidRPr="008614D0" w:rsidRDefault="00473688" w:rsidP="003C37AA">
                <w:pPr>
                  <w:pStyle w:val="Contact"/>
                </w:pPr>
                <w:r w:rsidRPr="008614D0">
                  <w:t>Suite C2 Centa Building</w:t>
                </w:r>
                <w:r w:rsidRPr="008614D0">
                  <w:br/>
                  <w:t>118 Railway Street</w:t>
                </w:r>
                <w:r w:rsidRPr="008614D0">
                  <w:br/>
                  <w:t>WEST PERTH WA 6005</w:t>
                </w:r>
                <w:r w:rsidRPr="008614D0">
                  <w:br/>
                  <w:t>AUSTRALIA</w:t>
                </w:r>
                <w:r w:rsidRPr="008614D0">
                  <w:br/>
                  <w:t>T+61 8 9449 9600</w:t>
                </w:r>
                <w:r w:rsidRPr="008614D0">
                  <w:br/>
                  <w:t>F+61 8 9322 3955</w:t>
                </w:r>
              </w:p>
              <w:p w14:paraId="0A3FE5DE" w14:textId="77777777" w:rsidR="00473688" w:rsidRPr="008614D0" w:rsidRDefault="00473688" w:rsidP="003C37AA">
                <w:pPr>
                  <w:pStyle w:val="Contact"/>
                </w:pPr>
                <w:r w:rsidRPr="008614D0">
                  <w:t>Acilallen.com.au</w:t>
                </w:r>
              </w:p>
            </w:tc>
          </w:tr>
          <w:tr w:rsidR="00473688" w:rsidRPr="008614D0" w14:paraId="70A6E773" w14:textId="77777777" w:rsidTr="00F22114">
            <w:trPr>
              <w:cantSplit/>
              <w:trHeight w:hRule="exact" w:val="1567"/>
            </w:trPr>
            <w:tc>
              <w:tcPr>
                <w:tcW w:w="5622" w:type="dxa"/>
                <w:vAlign w:val="bottom"/>
              </w:tcPr>
              <w:p w14:paraId="63D89F61" w14:textId="77777777" w:rsidR="00473688" w:rsidRPr="008614D0" w:rsidRDefault="00473688" w:rsidP="003C37AA">
                <w:pPr>
                  <w:pStyle w:val="CoverInfo"/>
                  <w:rPr>
                    <w:lang w:val="en-AU"/>
                  </w:rPr>
                </w:pPr>
                <w:bookmarkStart w:id="0" w:name="Consultant_Contact"/>
                <w:r>
                  <w:rPr>
                    <w:lang w:val="en-AU"/>
                  </w:rPr>
                  <w:t xml:space="preserve"> </w:t>
                </w:r>
                <w:bookmarkStart w:id="1" w:name="Contributing_Team_Members"/>
                <w:bookmarkEnd w:id="0"/>
                <w:r>
                  <w:rPr>
                    <w:lang w:val="en-AU"/>
                  </w:rPr>
                  <w:t xml:space="preserve"> </w:t>
                </w:r>
                <w:bookmarkEnd w:id="1"/>
              </w:p>
            </w:tc>
            <w:tc>
              <w:tcPr>
                <w:tcW w:w="2717" w:type="dxa"/>
                <w:tcBorders>
                  <w:top w:val="single" w:sz="8" w:space="0" w:color="A6A6A6" w:themeColor="background1" w:themeShade="A6"/>
                </w:tcBorders>
                <w:vAlign w:val="bottom"/>
              </w:tcPr>
              <w:p w14:paraId="0867257B" w14:textId="77777777" w:rsidR="00473688" w:rsidRPr="008614D0" w:rsidRDefault="00473688" w:rsidP="003C37AA">
                <w:pPr>
                  <w:pStyle w:val="Contact"/>
                </w:pPr>
                <w:r w:rsidRPr="008614D0">
                  <w:t>suggested citation for this report</w:t>
                </w:r>
                <w:r>
                  <w:t>:</w:t>
                </w:r>
              </w:p>
              <w:p w14:paraId="78159FF8" w14:textId="32855535" w:rsidR="00473688" w:rsidRPr="008614D0" w:rsidRDefault="00473688" w:rsidP="00FC706C">
                <w:pPr>
                  <w:pStyle w:val="Contact"/>
                </w:pPr>
                <w:r>
                  <w:t>Acil allen consulting 2015,</w:t>
                </w:r>
                <w:r>
                  <w:br/>
                  <w:t>‘</w:t>
                </w:r>
                <w:r w:rsidR="00D30F30">
                  <w:t xml:space="preserve">the </w:t>
                </w:r>
                <w:r w:rsidR="00F22114">
                  <w:t xml:space="preserve">amep &amp; SEE </w:t>
                </w:r>
                <w:r w:rsidR="00D30F30">
                  <w:t>program</w:t>
                </w:r>
                <w:r w:rsidR="006703CA">
                  <w:t>me</w:t>
                </w:r>
                <w:r w:rsidR="00D30F30">
                  <w:t xml:space="preserve"> </w:t>
                </w:r>
                <w:r w:rsidR="00FE1A4D">
                  <w:t>ALIGNMENT REPORT’</w:t>
                </w:r>
                <w:r w:rsidR="00F22114">
                  <w:t xml:space="preserve">, for the </w:t>
                </w:r>
                <w:r>
                  <w:t xml:space="preserve">department of </w:t>
                </w:r>
                <w:r w:rsidR="00B1278B">
                  <w:t xml:space="preserve">Education and </w:t>
                </w:r>
                <w:r w:rsidR="00907436">
                  <w:t>training</w:t>
                </w:r>
                <w:r w:rsidR="00B1278B">
                  <w:t>,</w:t>
                </w:r>
                <w:r w:rsidR="00907436">
                  <w:t xml:space="preserve"> </w:t>
                </w:r>
                <w:r>
                  <w:t>Melbourne.</w:t>
                </w:r>
              </w:p>
            </w:tc>
          </w:tr>
          <w:tr w:rsidR="00473688" w:rsidRPr="008614D0" w14:paraId="080D56CE" w14:textId="77777777" w:rsidTr="00F22114">
            <w:trPr>
              <w:cantSplit/>
              <w:trHeight w:hRule="exact" w:val="3512"/>
            </w:trPr>
            <w:tc>
              <w:tcPr>
                <w:tcW w:w="8339" w:type="dxa"/>
                <w:gridSpan w:val="2"/>
              </w:tcPr>
              <w:p w14:paraId="4E0A1871" w14:textId="77777777" w:rsidR="00F22114" w:rsidRDefault="00F22114" w:rsidP="000E21BF">
                <w:pPr>
                  <w:spacing w:after="40"/>
                  <w:rPr>
                    <w:rFonts w:asciiTheme="majorHAnsi" w:hAnsiTheme="majorHAnsi" w:cstheme="majorHAnsi"/>
                    <w:caps/>
                    <w:sz w:val="14"/>
                    <w:szCs w:val="16"/>
                  </w:rPr>
                </w:pPr>
              </w:p>
              <w:p w14:paraId="74589604" w14:textId="77777777" w:rsidR="00F22114" w:rsidRDefault="00F22114" w:rsidP="000E21BF">
                <w:pPr>
                  <w:spacing w:after="40"/>
                  <w:rPr>
                    <w:rFonts w:asciiTheme="majorHAnsi" w:hAnsiTheme="majorHAnsi" w:cstheme="majorHAnsi"/>
                    <w:caps/>
                    <w:sz w:val="14"/>
                    <w:szCs w:val="16"/>
                  </w:rPr>
                </w:pPr>
              </w:p>
              <w:p w14:paraId="05801809" w14:textId="77777777" w:rsidR="00F22114" w:rsidRDefault="00F22114" w:rsidP="000E21BF">
                <w:pPr>
                  <w:spacing w:after="40"/>
                  <w:rPr>
                    <w:rFonts w:asciiTheme="majorHAnsi" w:hAnsiTheme="majorHAnsi" w:cstheme="majorHAnsi"/>
                    <w:caps/>
                    <w:sz w:val="14"/>
                    <w:szCs w:val="16"/>
                  </w:rPr>
                </w:pPr>
              </w:p>
              <w:p w14:paraId="1E26B90F" w14:textId="77777777" w:rsidR="00F22114" w:rsidRDefault="00F22114" w:rsidP="000E21BF">
                <w:pPr>
                  <w:spacing w:after="40"/>
                  <w:rPr>
                    <w:rFonts w:asciiTheme="majorHAnsi" w:hAnsiTheme="majorHAnsi" w:cstheme="majorHAnsi"/>
                    <w:caps/>
                    <w:sz w:val="14"/>
                    <w:szCs w:val="16"/>
                  </w:rPr>
                </w:pPr>
              </w:p>
              <w:p w14:paraId="4E96393C" w14:textId="77777777" w:rsidR="00F22114" w:rsidRDefault="00F22114" w:rsidP="000E21BF">
                <w:pPr>
                  <w:spacing w:after="40"/>
                  <w:rPr>
                    <w:rFonts w:asciiTheme="majorHAnsi" w:hAnsiTheme="majorHAnsi" w:cstheme="majorHAnsi"/>
                    <w:caps/>
                    <w:sz w:val="14"/>
                    <w:szCs w:val="16"/>
                  </w:rPr>
                </w:pPr>
              </w:p>
              <w:p w14:paraId="741E82E4" w14:textId="77777777" w:rsidR="00F22114" w:rsidRDefault="00F22114" w:rsidP="000E21BF">
                <w:pPr>
                  <w:spacing w:after="40"/>
                  <w:rPr>
                    <w:rFonts w:asciiTheme="majorHAnsi" w:hAnsiTheme="majorHAnsi" w:cstheme="majorHAnsi"/>
                    <w:caps/>
                    <w:sz w:val="14"/>
                    <w:szCs w:val="16"/>
                  </w:rPr>
                </w:pPr>
              </w:p>
              <w:p w14:paraId="51906BB3" w14:textId="77777777" w:rsidR="00F22114" w:rsidRDefault="00F22114" w:rsidP="000E21BF">
                <w:pPr>
                  <w:spacing w:after="40"/>
                  <w:rPr>
                    <w:rFonts w:asciiTheme="majorHAnsi" w:hAnsiTheme="majorHAnsi" w:cstheme="majorHAnsi"/>
                    <w:caps/>
                    <w:sz w:val="14"/>
                    <w:szCs w:val="16"/>
                  </w:rPr>
                </w:pPr>
              </w:p>
              <w:p w14:paraId="2C808A12" w14:textId="77777777" w:rsidR="00F22114" w:rsidRDefault="00F22114" w:rsidP="000E21BF">
                <w:pPr>
                  <w:spacing w:after="40"/>
                  <w:rPr>
                    <w:rFonts w:asciiTheme="majorHAnsi" w:hAnsiTheme="majorHAnsi" w:cstheme="majorHAnsi"/>
                    <w:caps/>
                    <w:sz w:val="14"/>
                    <w:szCs w:val="16"/>
                  </w:rPr>
                </w:pPr>
              </w:p>
              <w:p w14:paraId="5A3D986C" w14:textId="77777777" w:rsidR="00473688" w:rsidRPr="00DF595B" w:rsidRDefault="00F22114" w:rsidP="00192DAF">
                <w:pPr>
                  <w:spacing w:after="40"/>
                  <w:jc w:val="right"/>
                  <w:rPr>
                    <w:rFonts w:asciiTheme="majorHAnsi" w:hAnsiTheme="majorHAnsi" w:cstheme="majorHAnsi"/>
                    <w:caps/>
                  </w:rPr>
                </w:pPr>
                <w:r w:rsidRPr="00DF595B">
                  <w:rPr>
                    <w:rFonts w:asciiTheme="majorHAnsi" w:hAnsiTheme="majorHAnsi" w:cstheme="majorHAnsi"/>
                    <w:caps/>
                    <w:sz w:val="14"/>
                    <w:szCs w:val="16"/>
                  </w:rPr>
                  <w:t>© Acil allen consulting 201</w:t>
                </w:r>
                <w:r w:rsidR="008D3D6F">
                  <w:rPr>
                    <w:rFonts w:asciiTheme="majorHAnsi" w:hAnsiTheme="majorHAnsi" w:cstheme="majorHAnsi"/>
                    <w:caps/>
                    <w:sz w:val="14"/>
                    <w:szCs w:val="16"/>
                  </w:rPr>
                  <w:t>5</w:t>
                </w:r>
              </w:p>
            </w:tc>
          </w:tr>
        </w:tbl>
        <w:p w14:paraId="02C7E213" w14:textId="77777777" w:rsidR="00473688" w:rsidRDefault="00902F05" w:rsidP="000E21BF">
          <w:pPr>
            <w:sectPr w:rsidR="00473688" w:rsidSect="000E21BF">
              <w:headerReference w:type="default" r:id="rId11"/>
              <w:pgSz w:w="11906" w:h="16838" w:code="9"/>
              <w:pgMar w:top="1134" w:right="851" w:bottom="907" w:left="1134" w:header="709" w:footer="567" w:gutter="567"/>
              <w:pgNumType w:start="0"/>
              <w:cols w:space="708"/>
              <w:titlePg/>
              <w:docGrid w:linePitch="360"/>
            </w:sectPr>
          </w:pPr>
        </w:p>
      </w:sdtContent>
    </w:sdt>
    <w:p w14:paraId="4938A015" w14:textId="77777777" w:rsidR="00473688" w:rsidRPr="00B4627C" w:rsidRDefault="00473688" w:rsidP="00B4627C">
      <w:pPr>
        <w:pStyle w:val="BodyText"/>
      </w:pPr>
    </w:p>
    <w:p w14:paraId="1C6233C7" w14:textId="77777777" w:rsidR="00473688" w:rsidRDefault="00473688" w:rsidP="003C37AA">
      <w:pPr>
        <w:pStyle w:val="SpaceAbove"/>
      </w:pPr>
    </w:p>
    <w:p w14:paraId="7E692438" w14:textId="77777777" w:rsidR="00473688" w:rsidRPr="00A33AF3" w:rsidRDefault="00473688" w:rsidP="003C37AA">
      <w:pPr>
        <w:pStyle w:val="Contents"/>
      </w:pPr>
      <w:r w:rsidRPr="00A33AF3">
        <w:t>Contents</w:t>
      </w:r>
    </w:p>
    <w:p w14:paraId="77565602" w14:textId="77777777" w:rsidR="00E97502" w:rsidRDefault="00473688">
      <w:pPr>
        <w:pStyle w:val="TOC6"/>
        <w:rPr>
          <w:rFonts w:asciiTheme="minorHAnsi" w:eastAsiaTheme="minorEastAsia" w:hAnsiTheme="minorHAnsi" w:cstheme="minorBidi"/>
          <w:noProof/>
          <w:sz w:val="22"/>
          <w:szCs w:val="22"/>
          <w:lang w:eastAsia="en-AU"/>
        </w:rPr>
      </w:pPr>
      <w:r w:rsidRPr="00A33AF3">
        <w:fldChar w:fldCharType="begin"/>
      </w:r>
      <w:r w:rsidRPr="00A33AF3">
        <w:instrText xml:space="preserve"> TOC \h \z \t "</w:instrText>
      </w:r>
      <w:r>
        <w:instrText>Exec Summary Heading</w:instrText>
      </w:r>
      <w:r w:rsidRPr="00A33AF3">
        <w:instrText xml:space="preserve">,6" </w:instrText>
      </w:r>
      <w:r w:rsidRPr="00A33AF3">
        <w:fldChar w:fldCharType="separate"/>
      </w:r>
      <w:hyperlink w:anchor="_Toc420078528" w:history="1">
        <w:r w:rsidR="00E97502" w:rsidRPr="000C7D18">
          <w:rPr>
            <w:rStyle w:val="Hyperlink"/>
            <w:noProof/>
          </w:rPr>
          <w:t>Executive summary</w:t>
        </w:r>
        <w:r w:rsidR="00E97502">
          <w:rPr>
            <w:noProof/>
            <w:webHidden/>
          </w:rPr>
          <w:tab/>
        </w:r>
        <w:r w:rsidR="00E97502">
          <w:rPr>
            <w:noProof/>
            <w:webHidden/>
          </w:rPr>
          <w:fldChar w:fldCharType="begin"/>
        </w:r>
        <w:r w:rsidR="00E97502">
          <w:rPr>
            <w:noProof/>
            <w:webHidden/>
          </w:rPr>
          <w:instrText xml:space="preserve"> PAGEREF _Toc420078528 \h </w:instrText>
        </w:r>
        <w:r w:rsidR="00E97502">
          <w:rPr>
            <w:noProof/>
            <w:webHidden/>
          </w:rPr>
        </w:r>
        <w:r w:rsidR="00E97502">
          <w:rPr>
            <w:noProof/>
            <w:webHidden/>
          </w:rPr>
          <w:fldChar w:fldCharType="separate"/>
        </w:r>
        <w:r w:rsidR="00902F05">
          <w:rPr>
            <w:noProof/>
            <w:webHidden/>
          </w:rPr>
          <w:t>vi</w:t>
        </w:r>
        <w:r w:rsidR="00E97502">
          <w:rPr>
            <w:noProof/>
            <w:webHidden/>
          </w:rPr>
          <w:fldChar w:fldCharType="end"/>
        </w:r>
      </w:hyperlink>
    </w:p>
    <w:p w14:paraId="58CF7C67" w14:textId="77777777" w:rsidR="00473688" w:rsidRDefault="00473688" w:rsidP="003C37AA">
      <w:pPr>
        <w:pStyle w:val="TOC6"/>
      </w:pPr>
      <w:r w:rsidRPr="00A33AF3">
        <w:fldChar w:fldCharType="end"/>
      </w:r>
    </w:p>
    <w:sdt>
      <w:sdtPr>
        <w:rPr>
          <w:rFonts w:ascii="Times New Roman" w:hAnsi="Times New Roman"/>
          <w:b w:val="0"/>
          <w:smallCaps/>
          <w:noProof w:val="0"/>
          <w:color w:val="9757A6" w:themeColor="text2"/>
          <w:lang w:eastAsia="zh-CN"/>
        </w:rPr>
        <w:id w:val="-1032650855"/>
        <w:docPartObj>
          <w:docPartGallery w:val="Table of Contents"/>
          <w:docPartUnique/>
        </w:docPartObj>
      </w:sdtPr>
      <w:sdtEndPr>
        <w:rPr>
          <w:smallCaps w:val="0"/>
          <w:color w:val="auto"/>
        </w:rPr>
      </w:sdtEndPr>
      <w:sdtContent>
        <w:p w14:paraId="6DF55140" w14:textId="77777777" w:rsidR="00E97502" w:rsidRDefault="00FD15AE">
          <w:pPr>
            <w:pStyle w:val="TOC1"/>
            <w:rPr>
              <w:rFonts w:asciiTheme="minorHAnsi" w:eastAsiaTheme="minorEastAsia" w:hAnsiTheme="minorHAnsi" w:cstheme="minorBidi"/>
              <w:b w:val="0"/>
              <w:color w:val="auto"/>
            </w:rPr>
          </w:pPr>
          <w:r>
            <w:rPr>
              <w:smallCaps/>
              <w:color w:val="9757A6" w:themeColor="text2"/>
            </w:rPr>
            <w:fldChar w:fldCharType="begin"/>
          </w:r>
          <w:r>
            <w:instrText xml:space="preserve"> TOC \h \z \t "Heading 1,1,Heading 2,2,</w:instrText>
          </w:r>
          <w:r w:rsidRPr="005E7B6E">
            <w:instrText xml:space="preserve"> </w:instrText>
          </w:r>
          <w:r>
            <w:instrText xml:space="preserve">Part,5," </w:instrText>
          </w:r>
          <w:r>
            <w:rPr>
              <w:smallCaps/>
              <w:color w:val="9757A6" w:themeColor="text2"/>
            </w:rPr>
            <w:fldChar w:fldCharType="separate"/>
          </w:r>
          <w:hyperlink w:anchor="_Toc420078529" w:history="1">
            <w:r w:rsidR="00E97502" w:rsidRPr="00914863">
              <w:rPr>
                <w:rStyle w:val="Hyperlink"/>
              </w:rPr>
              <w:t>1</w:t>
            </w:r>
            <w:r w:rsidR="00E97502">
              <w:rPr>
                <w:rFonts w:asciiTheme="minorHAnsi" w:eastAsiaTheme="minorEastAsia" w:hAnsiTheme="minorHAnsi" w:cstheme="minorBidi"/>
                <w:b w:val="0"/>
                <w:color w:val="auto"/>
              </w:rPr>
              <w:tab/>
            </w:r>
            <w:r w:rsidR="00E97502" w:rsidRPr="00914863">
              <w:rPr>
                <w:rStyle w:val="Hyperlink"/>
              </w:rPr>
              <w:t>Introduction</w:t>
            </w:r>
            <w:r w:rsidR="00E97502">
              <w:rPr>
                <w:webHidden/>
              </w:rPr>
              <w:tab/>
            </w:r>
            <w:r w:rsidR="00E97502">
              <w:rPr>
                <w:webHidden/>
              </w:rPr>
              <w:fldChar w:fldCharType="begin"/>
            </w:r>
            <w:r w:rsidR="00E97502">
              <w:rPr>
                <w:webHidden/>
              </w:rPr>
              <w:instrText xml:space="preserve"> PAGEREF _Toc420078529 \h </w:instrText>
            </w:r>
            <w:r w:rsidR="00E97502">
              <w:rPr>
                <w:webHidden/>
              </w:rPr>
            </w:r>
            <w:r w:rsidR="00E97502">
              <w:rPr>
                <w:webHidden/>
              </w:rPr>
              <w:fldChar w:fldCharType="separate"/>
            </w:r>
            <w:r w:rsidR="00902F05">
              <w:rPr>
                <w:webHidden/>
              </w:rPr>
              <w:t>1</w:t>
            </w:r>
            <w:r w:rsidR="00E97502">
              <w:rPr>
                <w:webHidden/>
              </w:rPr>
              <w:fldChar w:fldCharType="end"/>
            </w:r>
          </w:hyperlink>
        </w:p>
        <w:p w14:paraId="773AEB20" w14:textId="77777777" w:rsidR="00E97502" w:rsidRDefault="00902F05">
          <w:pPr>
            <w:pStyle w:val="TOC2"/>
            <w:rPr>
              <w:rFonts w:asciiTheme="minorHAnsi" w:eastAsiaTheme="minorEastAsia" w:hAnsiTheme="minorHAnsi" w:cstheme="minorBidi"/>
            </w:rPr>
          </w:pPr>
          <w:hyperlink w:anchor="_Toc420078530" w:history="1">
            <w:r w:rsidR="00E97502" w:rsidRPr="00914863">
              <w:rPr>
                <w:rStyle w:val="Hyperlink"/>
              </w:rPr>
              <w:t>1.1</w:t>
            </w:r>
            <w:r w:rsidR="00E97502">
              <w:rPr>
                <w:rFonts w:asciiTheme="minorHAnsi" w:eastAsiaTheme="minorEastAsia" w:hAnsiTheme="minorHAnsi" w:cstheme="minorBidi"/>
              </w:rPr>
              <w:tab/>
            </w:r>
            <w:r w:rsidR="00E97502" w:rsidRPr="00914863">
              <w:rPr>
                <w:rStyle w:val="Hyperlink"/>
              </w:rPr>
              <w:t>Evaluation overview</w:t>
            </w:r>
            <w:r w:rsidR="00E97502">
              <w:rPr>
                <w:webHidden/>
              </w:rPr>
              <w:tab/>
            </w:r>
            <w:r w:rsidR="00E97502">
              <w:rPr>
                <w:webHidden/>
              </w:rPr>
              <w:fldChar w:fldCharType="begin"/>
            </w:r>
            <w:r w:rsidR="00E97502">
              <w:rPr>
                <w:webHidden/>
              </w:rPr>
              <w:instrText xml:space="preserve"> PAGEREF _Toc420078530 \h </w:instrText>
            </w:r>
            <w:r w:rsidR="00E97502">
              <w:rPr>
                <w:webHidden/>
              </w:rPr>
            </w:r>
            <w:r w:rsidR="00E97502">
              <w:rPr>
                <w:webHidden/>
              </w:rPr>
              <w:fldChar w:fldCharType="separate"/>
            </w:r>
            <w:r>
              <w:rPr>
                <w:webHidden/>
              </w:rPr>
              <w:t>1</w:t>
            </w:r>
            <w:r w:rsidR="00E97502">
              <w:rPr>
                <w:webHidden/>
              </w:rPr>
              <w:fldChar w:fldCharType="end"/>
            </w:r>
          </w:hyperlink>
        </w:p>
        <w:p w14:paraId="2A5B139A" w14:textId="77777777" w:rsidR="00E97502" w:rsidRDefault="00902F05">
          <w:pPr>
            <w:pStyle w:val="TOC2"/>
            <w:rPr>
              <w:rFonts w:asciiTheme="minorHAnsi" w:eastAsiaTheme="minorEastAsia" w:hAnsiTheme="minorHAnsi" w:cstheme="minorBidi"/>
            </w:rPr>
          </w:pPr>
          <w:hyperlink w:anchor="_Toc420078531" w:history="1">
            <w:r w:rsidR="00E97502" w:rsidRPr="00914863">
              <w:rPr>
                <w:rStyle w:val="Hyperlink"/>
              </w:rPr>
              <w:t>1.2</w:t>
            </w:r>
            <w:r w:rsidR="00E97502">
              <w:rPr>
                <w:rFonts w:asciiTheme="minorHAnsi" w:eastAsiaTheme="minorEastAsia" w:hAnsiTheme="minorHAnsi" w:cstheme="minorBidi"/>
              </w:rPr>
              <w:tab/>
            </w:r>
            <w:r w:rsidR="00E97502" w:rsidRPr="00914863">
              <w:rPr>
                <w:rStyle w:val="Hyperlink"/>
              </w:rPr>
              <w:t>Research questions and report structure</w:t>
            </w:r>
            <w:r w:rsidR="00E97502">
              <w:rPr>
                <w:webHidden/>
              </w:rPr>
              <w:tab/>
            </w:r>
            <w:r w:rsidR="00E97502">
              <w:rPr>
                <w:webHidden/>
              </w:rPr>
              <w:fldChar w:fldCharType="begin"/>
            </w:r>
            <w:r w:rsidR="00E97502">
              <w:rPr>
                <w:webHidden/>
              </w:rPr>
              <w:instrText xml:space="preserve"> PAGEREF _Toc420078531 \h </w:instrText>
            </w:r>
            <w:r w:rsidR="00E97502">
              <w:rPr>
                <w:webHidden/>
              </w:rPr>
            </w:r>
            <w:r w:rsidR="00E97502">
              <w:rPr>
                <w:webHidden/>
              </w:rPr>
              <w:fldChar w:fldCharType="separate"/>
            </w:r>
            <w:r>
              <w:rPr>
                <w:webHidden/>
              </w:rPr>
              <w:t>2</w:t>
            </w:r>
            <w:r w:rsidR="00E97502">
              <w:rPr>
                <w:webHidden/>
              </w:rPr>
              <w:fldChar w:fldCharType="end"/>
            </w:r>
          </w:hyperlink>
        </w:p>
        <w:p w14:paraId="030BC0DC" w14:textId="77777777" w:rsidR="00E97502" w:rsidRDefault="00902F05">
          <w:pPr>
            <w:pStyle w:val="TOC1"/>
            <w:rPr>
              <w:rFonts w:asciiTheme="minorHAnsi" w:eastAsiaTheme="minorEastAsia" w:hAnsiTheme="minorHAnsi" w:cstheme="minorBidi"/>
              <w:b w:val="0"/>
              <w:color w:val="auto"/>
            </w:rPr>
          </w:pPr>
          <w:hyperlink w:anchor="_Toc420078532" w:history="1">
            <w:r w:rsidR="00E97502" w:rsidRPr="00914863">
              <w:rPr>
                <w:rStyle w:val="Hyperlink"/>
              </w:rPr>
              <w:t>2</w:t>
            </w:r>
            <w:r w:rsidR="00E97502">
              <w:rPr>
                <w:rFonts w:asciiTheme="minorHAnsi" w:eastAsiaTheme="minorEastAsia" w:hAnsiTheme="minorHAnsi" w:cstheme="minorBidi"/>
                <w:b w:val="0"/>
                <w:color w:val="auto"/>
              </w:rPr>
              <w:tab/>
            </w:r>
            <w:r w:rsidR="00E97502" w:rsidRPr="00914863">
              <w:rPr>
                <w:rStyle w:val="Hyperlink"/>
              </w:rPr>
              <w:t>Common clients and target groups</w:t>
            </w:r>
            <w:r w:rsidR="00E97502">
              <w:rPr>
                <w:webHidden/>
              </w:rPr>
              <w:tab/>
            </w:r>
            <w:r w:rsidR="00E97502">
              <w:rPr>
                <w:webHidden/>
              </w:rPr>
              <w:fldChar w:fldCharType="begin"/>
            </w:r>
            <w:r w:rsidR="00E97502">
              <w:rPr>
                <w:webHidden/>
              </w:rPr>
              <w:instrText xml:space="preserve"> PAGEREF _Toc420078532 \h </w:instrText>
            </w:r>
            <w:r w:rsidR="00E97502">
              <w:rPr>
                <w:webHidden/>
              </w:rPr>
            </w:r>
            <w:r w:rsidR="00E97502">
              <w:rPr>
                <w:webHidden/>
              </w:rPr>
              <w:fldChar w:fldCharType="separate"/>
            </w:r>
            <w:r>
              <w:rPr>
                <w:webHidden/>
              </w:rPr>
              <w:t>4</w:t>
            </w:r>
            <w:r w:rsidR="00E97502">
              <w:rPr>
                <w:webHidden/>
              </w:rPr>
              <w:fldChar w:fldCharType="end"/>
            </w:r>
          </w:hyperlink>
        </w:p>
        <w:p w14:paraId="74F25717" w14:textId="77777777" w:rsidR="00E97502" w:rsidRDefault="00902F05">
          <w:pPr>
            <w:pStyle w:val="TOC2"/>
            <w:rPr>
              <w:rFonts w:asciiTheme="minorHAnsi" w:eastAsiaTheme="minorEastAsia" w:hAnsiTheme="minorHAnsi" w:cstheme="minorBidi"/>
            </w:rPr>
          </w:pPr>
          <w:hyperlink w:anchor="_Toc420078533" w:history="1">
            <w:r w:rsidR="00E97502" w:rsidRPr="00914863">
              <w:rPr>
                <w:rStyle w:val="Hyperlink"/>
              </w:rPr>
              <w:t>2.1</w:t>
            </w:r>
            <w:r w:rsidR="00E97502">
              <w:rPr>
                <w:rFonts w:asciiTheme="minorHAnsi" w:eastAsiaTheme="minorEastAsia" w:hAnsiTheme="minorHAnsi" w:cstheme="minorBidi"/>
              </w:rPr>
              <w:tab/>
            </w:r>
            <w:r w:rsidR="00E97502" w:rsidRPr="00914863">
              <w:rPr>
                <w:rStyle w:val="Hyperlink"/>
              </w:rPr>
              <w:t>Target audience and points of intervention</w:t>
            </w:r>
            <w:r w:rsidR="00E97502">
              <w:rPr>
                <w:webHidden/>
              </w:rPr>
              <w:tab/>
            </w:r>
            <w:r w:rsidR="00E97502">
              <w:rPr>
                <w:webHidden/>
              </w:rPr>
              <w:fldChar w:fldCharType="begin"/>
            </w:r>
            <w:r w:rsidR="00E97502">
              <w:rPr>
                <w:webHidden/>
              </w:rPr>
              <w:instrText xml:space="preserve"> PAGEREF _Toc420078533 \h </w:instrText>
            </w:r>
            <w:r w:rsidR="00E97502">
              <w:rPr>
                <w:webHidden/>
              </w:rPr>
            </w:r>
            <w:r w:rsidR="00E97502">
              <w:rPr>
                <w:webHidden/>
              </w:rPr>
              <w:fldChar w:fldCharType="separate"/>
            </w:r>
            <w:r>
              <w:rPr>
                <w:webHidden/>
              </w:rPr>
              <w:t>4</w:t>
            </w:r>
            <w:r w:rsidR="00E97502">
              <w:rPr>
                <w:webHidden/>
              </w:rPr>
              <w:fldChar w:fldCharType="end"/>
            </w:r>
          </w:hyperlink>
        </w:p>
        <w:p w14:paraId="1003FCC8" w14:textId="77777777" w:rsidR="00E97502" w:rsidRDefault="00902F05">
          <w:pPr>
            <w:pStyle w:val="TOC2"/>
            <w:rPr>
              <w:rFonts w:asciiTheme="minorHAnsi" w:eastAsiaTheme="minorEastAsia" w:hAnsiTheme="minorHAnsi" w:cstheme="minorBidi"/>
            </w:rPr>
          </w:pPr>
          <w:hyperlink w:anchor="_Toc420078534" w:history="1">
            <w:r w:rsidR="00E97502" w:rsidRPr="00914863">
              <w:rPr>
                <w:rStyle w:val="Hyperlink"/>
              </w:rPr>
              <w:t>2.2</w:t>
            </w:r>
            <w:r w:rsidR="00E97502">
              <w:rPr>
                <w:rFonts w:asciiTheme="minorHAnsi" w:eastAsiaTheme="minorEastAsia" w:hAnsiTheme="minorHAnsi" w:cstheme="minorBidi"/>
              </w:rPr>
              <w:tab/>
            </w:r>
            <w:r w:rsidR="00E97502" w:rsidRPr="00914863">
              <w:rPr>
                <w:rStyle w:val="Hyperlink"/>
              </w:rPr>
              <w:t>Inconsistencies in eligibility criteria</w:t>
            </w:r>
            <w:r w:rsidR="00E97502">
              <w:rPr>
                <w:webHidden/>
              </w:rPr>
              <w:tab/>
            </w:r>
            <w:r w:rsidR="00E97502">
              <w:rPr>
                <w:webHidden/>
              </w:rPr>
              <w:fldChar w:fldCharType="begin"/>
            </w:r>
            <w:r w:rsidR="00E97502">
              <w:rPr>
                <w:webHidden/>
              </w:rPr>
              <w:instrText xml:space="preserve"> PAGEREF _Toc420078534 \h </w:instrText>
            </w:r>
            <w:r w:rsidR="00E97502">
              <w:rPr>
                <w:webHidden/>
              </w:rPr>
            </w:r>
            <w:r w:rsidR="00E97502">
              <w:rPr>
                <w:webHidden/>
              </w:rPr>
              <w:fldChar w:fldCharType="separate"/>
            </w:r>
            <w:r>
              <w:rPr>
                <w:webHidden/>
              </w:rPr>
              <w:t>5</w:t>
            </w:r>
            <w:r w:rsidR="00E97502">
              <w:rPr>
                <w:webHidden/>
              </w:rPr>
              <w:fldChar w:fldCharType="end"/>
            </w:r>
          </w:hyperlink>
        </w:p>
        <w:p w14:paraId="04052C99" w14:textId="77777777" w:rsidR="00E97502" w:rsidRDefault="00902F05">
          <w:pPr>
            <w:pStyle w:val="TOC2"/>
            <w:rPr>
              <w:rFonts w:asciiTheme="minorHAnsi" w:eastAsiaTheme="minorEastAsia" w:hAnsiTheme="minorHAnsi" w:cstheme="minorBidi"/>
            </w:rPr>
          </w:pPr>
          <w:hyperlink w:anchor="_Toc420078535" w:history="1">
            <w:r w:rsidR="00E97502" w:rsidRPr="00914863">
              <w:rPr>
                <w:rStyle w:val="Hyperlink"/>
              </w:rPr>
              <w:t>2.3</w:t>
            </w:r>
            <w:r w:rsidR="00E97502">
              <w:rPr>
                <w:rFonts w:asciiTheme="minorHAnsi" w:eastAsiaTheme="minorEastAsia" w:hAnsiTheme="minorHAnsi" w:cstheme="minorBidi"/>
              </w:rPr>
              <w:tab/>
            </w:r>
            <w:r w:rsidR="00E97502" w:rsidRPr="00914863">
              <w:rPr>
                <w:rStyle w:val="Hyperlink"/>
              </w:rPr>
              <w:t>Target levels of proficiency</w:t>
            </w:r>
            <w:r w:rsidR="00E97502">
              <w:rPr>
                <w:webHidden/>
              </w:rPr>
              <w:tab/>
            </w:r>
            <w:r w:rsidR="00E97502">
              <w:rPr>
                <w:webHidden/>
              </w:rPr>
              <w:fldChar w:fldCharType="begin"/>
            </w:r>
            <w:r w:rsidR="00E97502">
              <w:rPr>
                <w:webHidden/>
              </w:rPr>
              <w:instrText xml:space="preserve"> PAGEREF _Toc420078535 \h </w:instrText>
            </w:r>
            <w:r w:rsidR="00E97502">
              <w:rPr>
                <w:webHidden/>
              </w:rPr>
            </w:r>
            <w:r w:rsidR="00E97502">
              <w:rPr>
                <w:webHidden/>
              </w:rPr>
              <w:fldChar w:fldCharType="separate"/>
            </w:r>
            <w:r>
              <w:rPr>
                <w:webHidden/>
              </w:rPr>
              <w:t>7</w:t>
            </w:r>
            <w:r w:rsidR="00E97502">
              <w:rPr>
                <w:webHidden/>
              </w:rPr>
              <w:fldChar w:fldCharType="end"/>
            </w:r>
          </w:hyperlink>
        </w:p>
        <w:p w14:paraId="558C95F0" w14:textId="77777777" w:rsidR="00E97502" w:rsidRDefault="00902F05">
          <w:pPr>
            <w:pStyle w:val="TOC2"/>
            <w:rPr>
              <w:rFonts w:asciiTheme="minorHAnsi" w:eastAsiaTheme="minorEastAsia" w:hAnsiTheme="minorHAnsi" w:cstheme="minorBidi"/>
            </w:rPr>
          </w:pPr>
          <w:hyperlink w:anchor="_Toc420078536" w:history="1">
            <w:r w:rsidR="00E97502" w:rsidRPr="00914863">
              <w:rPr>
                <w:rStyle w:val="Hyperlink"/>
              </w:rPr>
              <w:t>2.4</w:t>
            </w:r>
            <w:r w:rsidR="00E97502">
              <w:rPr>
                <w:rFonts w:asciiTheme="minorHAnsi" w:eastAsiaTheme="minorEastAsia" w:hAnsiTheme="minorHAnsi" w:cstheme="minorBidi"/>
              </w:rPr>
              <w:tab/>
            </w:r>
            <w:r w:rsidR="00E97502" w:rsidRPr="00914863">
              <w:rPr>
                <w:rStyle w:val="Hyperlink"/>
              </w:rPr>
              <w:t>Participant profile</w:t>
            </w:r>
            <w:r w:rsidR="00E97502">
              <w:rPr>
                <w:webHidden/>
              </w:rPr>
              <w:tab/>
            </w:r>
            <w:r w:rsidR="00E97502">
              <w:rPr>
                <w:webHidden/>
              </w:rPr>
              <w:fldChar w:fldCharType="begin"/>
            </w:r>
            <w:r w:rsidR="00E97502">
              <w:rPr>
                <w:webHidden/>
              </w:rPr>
              <w:instrText xml:space="preserve"> PAGEREF _Toc420078536 \h </w:instrText>
            </w:r>
            <w:r w:rsidR="00E97502">
              <w:rPr>
                <w:webHidden/>
              </w:rPr>
            </w:r>
            <w:r w:rsidR="00E97502">
              <w:rPr>
                <w:webHidden/>
              </w:rPr>
              <w:fldChar w:fldCharType="separate"/>
            </w:r>
            <w:r>
              <w:rPr>
                <w:webHidden/>
              </w:rPr>
              <w:t>9</w:t>
            </w:r>
            <w:r w:rsidR="00E97502">
              <w:rPr>
                <w:webHidden/>
              </w:rPr>
              <w:fldChar w:fldCharType="end"/>
            </w:r>
          </w:hyperlink>
        </w:p>
        <w:p w14:paraId="0D610669" w14:textId="77777777" w:rsidR="00E97502" w:rsidRDefault="00902F05">
          <w:pPr>
            <w:pStyle w:val="TOC2"/>
            <w:rPr>
              <w:rFonts w:asciiTheme="minorHAnsi" w:eastAsiaTheme="minorEastAsia" w:hAnsiTheme="minorHAnsi" w:cstheme="minorBidi"/>
            </w:rPr>
          </w:pPr>
          <w:hyperlink w:anchor="_Toc420078537" w:history="1">
            <w:r w:rsidR="00E97502" w:rsidRPr="00914863">
              <w:rPr>
                <w:rStyle w:val="Hyperlink"/>
              </w:rPr>
              <w:t>2.5</w:t>
            </w:r>
            <w:r w:rsidR="00E97502">
              <w:rPr>
                <w:rFonts w:asciiTheme="minorHAnsi" w:eastAsiaTheme="minorEastAsia" w:hAnsiTheme="minorHAnsi" w:cstheme="minorBidi"/>
              </w:rPr>
              <w:tab/>
            </w:r>
            <w:r w:rsidR="00E97502" w:rsidRPr="00914863">
              <w:rPr>
                <w:rStyle w:val="Hyperlink"/>
              </w:rPr>
              <w:t>Gender and age profile</w:t>
            </w:r>
            <w:r w:rsidR="00E97502">
              <w:rPr>
                <w:webHidden/>
              </w:rPr>
              <w:tab/>
            </w:r>
            <w:r w:rsidR="00E97502">
              <w:rPr>
                <w:webHidden/>
              </w:rPr>
              <w:fldChar w:fldCharType="begin"/>
            </w:r>
            <w:r w:rsidR="00E97502">
              <w:rPr>
                <w:webHidden/>
              </w:rPr>
              <w:instrText xml:space="preserve"> PAGEREF _Toc420078537 \h </w:instrText>
            </w:r>
            <w:r w:rsidR="00E97502">
              <w:rPr>
                <w:webHidden/>
              </w:rPr>
            </w:r>
            <w:r w:rsidR="00E97502">
              <w:rPr>
                <w:webHidden/>
              </w:rPr>
              <w:fldChar w:fldCharType="separate"/>
            </w:r>
            <w:r>
              <w:rPr>
                <w:webHidden/>
              </w:rPr>
              <w:t>11</w:t>
            </w:r>
            <w:r w:rsidR="00E97502">
              <w:rPr>
                <w:webHidden/>
              </w:rPr>
              <w:fldChar w:fldCharType="end"/>
            </w:r>
          </w:hyperlink>
        </w:p>
        <w:p w14:paraId="5E3FA509" w14:textId="77777777" w:rsidR="00E97502" w:rsidRDefault="00902F05">
          <w:pPr>
            <w:pStyle w:val="TOC1"/>
            <w:rPr>
              <w:rFonts w:asciiTheme="minorHAnsi" w:eastAsiaTheme="minorEastAsia" w:hAnsiTheme="minorHAnsi" w:cstheme="minorBidi"/>
              <w:b w:val="0"/>
              <w:color w:val="auto"/>
            </w:rPr>
          </w:pPr>
          <w:hyperlink w:anchor="_Toc420078538" w:history="1">
            <w:r w:rsidR="00E97502" w:rsidRPr="00914863">
              <w:rPr>
                <w:rStyle w:val="Hyperlink"/>
              </w:rPr>
              <w:t>3</w:t>
            </w:r>
            <w:r w:rsidR="00E97502">
              <w:rPr>
                <w:rFonts w:asciiTheme="minorHAnsi" w:eastAsiaTheme="minorEastAsia" w:hAnsiTheme="minorHAnsi" w:cstheme="minorBidi"/>
                <w:b w:val="0"/>
                <w:color w:val="auto"/>
              </w:rPr>
              <w:tab/>
            </w:r>
            <w:r w:rsidR="00E97502" w:rsidRPr="00914863">
              <w:rPr>
                <w:rStyle w:val="Hyperlink"/>
              </w:rPr>
              <w:t>Participant outcomes and pathways</w:t>
            </w:r>
            <w:r w:rsidR="00E97502">
              <w:rPr>
                <w:webHidden/>
              </w:rPr>
              <w:tab/>
            </w:r>
            <w:r w:rsidR="00E97502">
              <w:rPr>
                <w:webHidden/>
              </w:rPr>
              <w:fldChar w:fldCharType="begin"/>
            </w:r>
            <w:r w:rsidR="00E97502">
              <w:rPr>
                <w:webHidden/>
              </w:rPr>
              <w:instrText xml:space="preserve"> PAGEREF _Toc420078538 \h </w:instrText>
            </w:r>
            <w:r w:rsidR="00E97502">
              <w:rPr>
                <w:webHidden/>
              </w:rPr>
            </w:r>
            <w:r w:rsidR="00E97502">
              <w:rPr>
                <w:webHidden/>
              </w:rPr>
              <w:fldChar w:fldCharType="separate"/>
            </w:r>
            <w:r>
              <w:rPr>
                <w:webHidden/>
              </w:rPr>
              <w:t>14</w:t>
            </w:r>
            <w:r w:rsidR="00E97502">
              <w:rPr>
                <w:webHidden/>
              </w:rPr>
              <w:fldChar w:fldCharType="end"/>
            </w:r>
          </w:hyperlink>
        </w:p>
        <w:p w14:paraId="4AAB41A1" w14:textId="77777777" w:rsidR="00E97502" w:rsidRDefault="00902F05">
          <w:pPr>
            <w:pStyle w:val="TOC2"/>
            <w:rPr>
              <w:rFonts w:asciiTheme="minorHAnsi" w:eastAsiaTheme="minorEastAsia" w:hAnsiTheme="minorHAnsi" w:cstheme="minorBidi"/>
            </w:rPr>
          </w:pPr>
          <w:hyperlink w:anchor="_Toc420078539" w:history="1">
            <w:r w:rsidR="00E97502" w:rsidRPr="00914863">
              <w:rPr>
                <w:rStyle w:val="Hyperlink"/>
              </w:rPr>
              <w:t>3.1</w:t>
            </w:r>
            <w:r w:rsidR="00E97502">
              <w:rPr>
                <w:rFonts w:asciiTheme="minorHAnsi" w:eastAsiaTheme="minorEastAsia" w:hAnsiTheme="minorHAnsi" w:cstheme="minorBidi"/>
              </w:rPr>
              <w:tab/>
            </w:r>
            <w:r w:rsidR="00E97502" w:rsidRPr="00914863">
              <w:rPr>
                <w:rStyle w:val="Hyperlink"/>
              </w:rPr>
              <w:t>Participant hours</w:t>
            </w:r>
            <w:r w:rsidR="00E97502">
              <w:rPr>
                <w:webHidden/>
              </w:rPr>
              <w:tab/>
            </w:r>
            <w:r w:rsidR="00E97502">
              <w:rPr>
                <w:webHidden/>
              </w:rPr>
              <w:fldChar w:fldCharType="begin"/>
            </w:r>
            <w:r w:rsidR="00E97502">
              <w:rPr>
                <w:webHidden/>
              </w:rPr>
              <w:instrText xml:space="preserve"> PAGEREF _Toc420078539 \h </w:instrText>
            </w:r>
            <w:r w:rsidR="00E97502">
              <w:rPr>
                <w:webHidden/>
              </w:rPr>
            </w:r>
            <w:r w:rsidR="00E97502">
              <w:rPr>
                <w:webHidden/>
              </w:rPr>
              <w:fldChar w:fldCharType="separate"/>
            </w:r>
            <w:r>
              <w:rPr>
                <w:webHidden/>
              </w:rPr>
              <w:t>14</w:t>
            </w:r>
            <w:r w:rsidR="00E97502">
              <w:rPr>
                <w:webHidden/>
              </w:rPr>
              <w:fldChar w:fldCharType="end"/>
            </w:r>
          </w:hyperlink>
        </w:p>
        <w:p w14:paraId="2701A4E4" w14:textId="77777777" w:rsidR="00E97502" w:rsidRDefault="00902F05">
          <w:pPr>
            <w:pStyle w:val="TOC2"/>
            <w:rPr>
              <w:rFonts w:asciiTheme="minorHAnsi" w:eastAsiaTheme="minorEastAsia" w:hAnsiTheme="minorHAnsi" w:cstheme="minorBidi"/>
            </w:rPr>
          </w:pPr>
          <w:hyperlink w:anchor="_Toc420078540" w:history="1">
            <w:r w:rsidR="00E97502" w:rsidRPr="00914863">
              <w:rPr>
                <w:rStyle w:val="Hyperlink"/>
              </w:rPr>
              <w:t>3.2</w:t>
            </w:r>
            <w:r w:rsidR="00E97502">
              <w:rPr>
                <w:rFonts w:asciiTheme="minorHAnsi" w:eastAsiaTheme="minorEastAsia" w:hAnsiTheme="minorHAnsi" w:cstheme="minorBidi"/>
              </w:rPr>
              <w:tab/>
            </w:r>
            <w:r w:rsidR="00E97502" w:rsidRPr="00914863">
              <w:rPr>
                <w:rStyle w:val="Hyperlink"/>
              </w:rPr>
              <w:t>Employment outcomes and alignment with industry needs</w:t>
            </w:r>
            <w:r w:rsidR="00E97502">
              <w:rPr>
                <w:webHidden/>
              </w:rPr>
              <w:tab/>
            </w:r>
            <w:r w:rsidR="00E97502">
              <w:rPr>
                <w:webHidden/>
              </w:rPr>
              <w:fldChar w:fldCharType="begin"/>
            </w:r>
            <w:r w:rsidR="00E97502">
              <w:rPr>
                <w:webHidden/>
              </w:rPr>
              <w:instrText xml:space="preserve"> PAGEREF _Toc420078540 \h </w:instrText>
            </w:r>
            <w:r w:rsidR="00E97502">
              <w:rPr>
                <w:webHidden/>
              </w:rPr>
            </w:r>
            <w:r w:rsidR="00E97502">
              <w:rPr>
                <w:webHidden/>
              </w:rPr>
              <w:fldChar w:fldCharType="separate"/>
            </w:r>
            <w:r>
              <w:rPr>
                <w:webHidden/>
              </w:rPr>
              <w:t>15</w:t>
            </w:r>
            <w:r w:rsidR="00E97502">
              <w:rPr>
                <w:webHidden/>
              </w:rPr>
              <w:fldChar w:fldCharType="end"/>
            </w:r>
          </w:hyperlink>
        </w:p>
        <w:p w14:paraId="051F8BC9" w14:textId="77777777" w:rsidR="00E97502" w:rsidRDefault="00902F05">
          <w:pPr>
            <w:pStyle w:val="TOC2"/>
            <w:rPr>
              <w:rFonts w:asciiTheme="minorHAnsi" w:eastAsiaTheme="minorEastAsia" w:hAnsiTheme="minorHAnsi" w:cstheme="minorBidi"/>
            </w:rPr>
          </w:pPr>
          <w:hyperlink w:anchor="_Toc420078541" w:history="1">
            <w:r w:rsidR="00E97502" w:rsidRPr="00914863">
              <w:rPr>
                <w:rStyle w:val="Hyperlink"/>
              </w:rPr>
              <w:t>3.3</w:t>
            </w:r>
            <w:r w:rsidR="00E97502">
              <w:rPr>
                <w:rFonts w:asciiTheme="minorHAnsi" w:eastAsiaTheme="minorEastAsia" w:hAnsiTheme="minorHAnsi" w:cstheme="minorBidi"/>
              </w:rPr>
              <w:tab/>
            </w:r>
            <w:r w:rsidR="00E97502" w:rsidRPr="00914863">
              <w:rPr>
                <w:rStyle w:val="Hyperlink"/>
              </w:rPr>
              <w:t>Programme pathways</w:t>
            </w:r>
            <w:r w:rsidR="00E97502">
              <w:rPr>
                <w:webHidden/>
              </w:rPr>
              <w:tab/>
            </w:r>
            <w:r w:rsidR="00E97502">
              <w:rPr>
                <w:webHidden/>
              </w:rPr>
              <w:fldChar w:fldCharType="begin"/>
            </w:r>
            <w:r w:rsidR="00E97502">
              <w:rPr>
                <w:webHidden/>
              </w:rPr>
              <w:instrText xml:space="preserve"> PAGEREF _Toc420078541 \h </w:instrText>
            </w:r>
            <w:r w:rsidR="00E97502">
              <w:rPr>
                <w:webHidden/>
              </w:rPr>
            </w:r>
            <w:r w:rsidR="00E97502">
              <w:rPr>
                <w:webHidden/>
              </w:rPr>
              <w:fldChar w:fldCharType="separate"/>
            </w:r>
            <w:r>
              <w:rPr>
                <w:webHidden/>
              </w:rPr>
              <w:t>16</w:t>
            </w:r>
            <w:r w:rsidR="00E97502">
              <w:rPr>
                <w:webHidden/>
              </w:rPr>
              <w:fldChar w:fldCharType="end"/>
            </w:r>
          </w:hyperlink>
        </w:p>
        <w:p w14:paraId="2642400A" w14:textId="77777777" w:rsidR="00E97502" w:rsidRDefault="00902F05">
          <w:pPr>
            <w:pStyle w:val="TOC1"/>
            <w:rPr>
              <w:rFonts w:asciiTheme="minorHAnsi" w:eastAsiaTheme="minorEastAsia" w:hAnsiTheme="minorHAnsi" w:cstheme="minorBidi"/>
              <w:b w:val="0"/>
              <w:color w:val="auto"/>
            </w:rPr>
          </w:pPr>
          <w:hyperlink w:anchor="_Toc420078542" w:history="1">
            <w:r w:rsidR="00E97502" w:rsidRPr="00914863">
              <w:rPr>
                <w:rStyle w:val="Hyperlink"/>
              </w:rPr>
              <w:t>4</w:t>
            </w:r>
            <w:r w:rsidR="00E97502">
              <w:rPr>
                <w:rFonts w:asciiTheme="minorHAnsi" w:eastAsiaTheme="minorEastAsia" w:hAnsiTheme="minorHAnsi" w:cstheme="minorBidi"/>
                <w:b w:val="0"/>
                <w:color w:val="auto"/>
              </w:rPr>
              <w:tab/>
            </w:r>
            <w:r w:rsidR="00E97502" w:rsidRPr="00914863">
              <w:rPr>
                <w:rStyle w:val="Hyperlink"/>
              </w:rPr>
              <w:t>Opportunities to improve client outcomes</w:t>
            </w:r>
            <w:r w:rsidR="00E97502">
              <w:rPr>
                <w:webHidden/>
              </w:rPr>
              <w:tab/>
            </w:r>
            <w:r w:rsidR="00E97502">
              <w:rPr>
                <w:webHidden/>
              </w:rPr>
              <w:fldChar w:fldCharType="begin"/>
            </w:r>
            <w:r w:rsidR="00E97502">
              <w:rPr>
                <w:webHidden/>
              </w:rPr>
              <w:instrText xml:space="preserve"> PAGEREF _Toc420078542 \h </w:instrText>
            </w:r>
            <w:r w:rsidR="00E97502">
              <w:rPr>
                <w:webHidden/>
              </w:rPr>
            </w:r>
            <w:r w:rsidR="00E97502">
              <w:rPr>
                <w:webHidden/>
              </w:rPr>
              <w:fldChar w:fldCharType="separate"/>
            </w:r>
            <w:r>
              <w:rPr>
                <w:webHidden/>
              </w:rPr>
              <w:t>20</w:t>
            </w:r>
            <w:r w:rsidR="00E97502">
              <w:rPr>
                <w:webHidden/>
              </w:rPr>
              <w:fldChar w:fldCharType="end"/>
            </w:r>
          </w:hyperlink>
        </w:p>
        <w:p w14:paraId="569F84F1" w14:textId="77777777" w:rsidR="00E97502" w:rsidRDefault="00902F05">
          <w:pPr>
            <w:pStyle w:val="TOC2"/>
            <w:rPr>
              <w:rFonts w:asciiTheme="minorHAnsi" w:eastAsiaTheme="minorEastAsia" w:hAnsiTheme="minorHAnsi" w:cstheme="minorBidi"/>
            </w:rPr>
          </w:pPr>
          <w:hyperlink w:anchor="_Toc420078543" w:history="1">
            <w:r w:rsidR="00E97502" w:rsidRPr="00914863">
              <w:rPr>
                <w:rStyle w:val="Hyperlink"/>
              </w:rPr>
              <w:t>4.1</w:t>
            </w:r>
            <w:r w:rsidR="00E97502">
              <w:rPr>
                <w:rFonts w:asciiTheme="minorHAnsi" w:eastAsiaTheme="minorEastAsia" w:hAnsiTheme="minorHAnsi" w:cstheme="minorBidi"/>
              </w:rPr>
              <w:tab/>
            </w:r>
            <w:r w:rsidR="00E97502" w:rsidRPr="00914863">
              <w:rPr>
                <w:rStyle w:val="Hyperlink"/>
              </w:rPr>
              <w:t>Addressing the eligibility gap</w:t>
            </w:r>
            <w:r w:rsidR="00E97502">
              <w:rPr>
                <w:webHidden/>
              </w:rPr>
              <w:tab/>
            </w:r>
            <w:r w:rsidR="00E97502">
              <w:rPr>
                <w:webHidden/>
              </w:rPr>
              <w:fldChar w:fldCharType="begin"/>
            </w:r>
            <w:r w:rsidR="00E97502">
              <w:rPr>
                <w:webHidden/>
              </w:rPr>
              <w:instrText xml:space="preserve"> PAGEREF _Toc420078543 \h </w:instrText>
            </w:r>
            <w:r w:rsidR="00E97502">
              <w:rPr>
                <w:webHidden/>
              </w:rPr>
            </w:r>
            <w:r w:rsidR="00E97502">
              <w:rPr>
                <w:webHidden/>
              </w:rPr>
              <w:fldChar w:fldCharType="separate"/>
            </w:r>
            <w:r>
              <w:rPr>
                <w:webHidden/>
              </w:rPr>
              <w:t>20</w:t>
            </w:r>
            <w:r w:rsidR="00E97502">
              <w:rPr>
                <w:webHidden/>
              </w:rPr>
              <w:fldChar w:fldCharType="end"/>
            </w:r>
          </w:hyperlink>
        </w:p>
        <w:p w14:paraId="40BBEC10" w14:textId="77777777" w:rsidR="00E97502" w:rsidRDefault="00902F05">
          <w:pPr>
            <w:pStyle w:val="TOC2"/>
            <w:rPr>
              <w:rFonts w:asciiTheme="minorHAnsi" w:eastAsiaTheme="minorEastAsia" w:hAnsiTheme="minorHAnsi" w:cstheme="minorBidi"/>
            </w:rPr>
          </w:pPr>
          <w:hyperlink w:anchor="_Toc420078544" w:history="1">
            <w:r w:rsidR="00E97502" w:rsidRPr="00914863">
              <w:rPr>
                <w:rStyle w:val="Hyperlink"/>
              </w:rPr>
              <w:t>4.2</w:t>
            </w:r>
            <w:r w:rsidR="00E97502">
              <w:rPr>
                <w:rFonts w:asciiTheme="minorHAnsi" w:eastAsiaTheme="minorEastAsia" w:hAnsiTheme="minorHAnsi" w:cstheme="minorBidi"/>
              </w:rPr>
              <w:tab/>
            </w:r>
            <w:r w:rsidR="00E97502" w:rsidRPr="00914863">
              <w:rPr>
                <w:rStyle w:val="Hyperlink"/>
              </w:rPr>
              <w:t>Addressing the proficiency gap</w:t>
            </w:r>
            <w:r w:rsidR="00E97502">
              <w:rPr>
                <w:webHidden/>
              </w:rPr>
              <w:tab/>
            </w:r>
            <w:r w:rsidR="00E97502">
              <w:rPr>
                <w:webHidden/>
              </w:rPr>
              <w:fldChar w:fldCharType="begin"/>
            </w:r>
            <w:r w:rsidR="00E97502">
              <w:rPr>
                <w:webHidden/>
              </w:rPr>
              <w:instrText xml:space="preserve"> PAGEREF _Toc420078544 \h </w:instrText>
            </w:r>
            <w:r w:rsidR="00E97502">
              <w:rPr>
                <w:webHidden/>
              </w:rPr>
            </w:r>
            <w:r w:rsidR="00E97502">
              <w:rPr>
                <w:webHidden/>
              </w:rPr>
              <w:fldChar w:fldCharType="separate"/>
            </w:r>
            <w:r>
              <w:rPr>
                <w:webHidden/>
              </w:rPr>
              <w:t>20</w:t>
            </w:r>
            <w:r w:rsidR="00E97502">
              <w:rPr>
                <w:webHidden/>
              </w:rPr>
              <w:fldChar w:fldCharType="end"/>
            </w:r>
          </w:hyperlink>
        </w:p>
        <w:p w14:paraId="045C0BD7" w14:textId="77777777" w:rsidR="00E97502" w:rsidRDefault="00902F05">
          <w:pPr>
            <w:pStyle w:val="TOC2"/>
            <w:rPr>
              <w:rFonts w:asciiTheme="minorHAnsi" w:eastAsiaTheme="minorEastAsia" w:hAnsiTheme="minorHAnsi" w:cstheme="minorBidi"/>
            </w:rPr>
          </w:pPr>
          <w:hyperlink w:anchor="_Toc420078545" w:history="1">
            <w:r w:rsidR="00E97502" w:rsidRPr="00914863">
              <w:rPr>
                <w:rStyle w:val="Hyperlink"/>
              </w:rPr>
              <w:t>4.3</w:t>
            </w:r>
            <w:r w:rsidR="00E97502">
              <w:rPr>
                <w:rFonts w:asciiTheme="minorHAnsi" w:eastAsiaTheme="minorEastAsia" w:hAnsiTheme="minorHAnsi" w:cstheme="minorBidi"/>
              </w:rPr>
              <w:tab/>
            </w:r>
            <w:r w:rsidR="00E97502" w:rsidRPr="00914863">
              <w:rPr>
                <w:rStyle w:val="Hyperlink"/>
              </w:rPr>
              <w:t>Improving transitions to employment</w:t>
            </w:r>
            <w:r w:rsidR="00E97502">
              <w:rPr>
                <w:webHidden/>
              </w:rPr>
              <w:tab/>
            </w:r>
            <w:r w:rsidR="00E97502">
              <w:rPr>
                <w:webHidden/>
              </w:rPr>
              <w:fldChar w:fldCharType="begin"/>
            </w:r>
            <w:r w:rsidR="00E97502">
              <w:rPr>
                <w:webHidden/>
              </w:rPr>
              <w:instrText xml:space="preserve"> PAGEREF _Toc420078545 \h </w:instrText>
            </w:r>
            <w:r w:rsidR="00E97502">
              <w:rPr>
                <w:webHidden/>
              </w:rPr>
            </w:r>
            <w:r w:rsidR="00E97502">
              <w:rPr>
                <w:webHidden/>
              </w:rPr>
              <w:fldChar w:fldCharType="separate"/>
            </w:r>
            <w:r>
              <w:rPr>
                <w:webHidden/>
              </w:rPr>
              <w:t>22</w:t>
            </w:r>
            <w:r w:rsidR="00E97502">
              <w:rPr>
                <w:webHidden/>
              </w:rPr>
              <w:fldChar w:fldCharType="end"/>
            </w:r>
          </w:hyperlink>
        </w:p>
        <w:p w14:paraId="5A3EEB67" w14:textId="77777777" w:rsidR="00E97502" w:rsidRDefault="00902F05">
          <w:pPr>
            <w:pStyle w:val="TOC2"/>
            <w:rPr>
              <w:rFonts w:asciiTheme="minorHAnsi" w:eastAsiaTheme="minorEastAsia" w:hAnsiTheme="minorHAnsi" w:cstheme="minorBidi"/>
            </w:rPr>
          </w:pPr>
          <w:hyperlink w:anchor="_Toc420078546" w:history="1">
            <w:r w:rsidR="00E97502" w:rsidRPr="00914863">
              <w:rPr>
                <w:rStyle w:val="Hyperlink"/>
              </w:rPr>
              <w:t>4.4</w:t>
            </w:r>
            <w:r w:rsidR="00E97502">
              <w:rPr>
                <w:rFonts w:asciiTheme="minorHAnsi" w:eastAsiaTheme="minorEastAsia" w:hAnsiTheme="minorHAnsi" w:cstheme="minorBidi"/>
              </w:rPr>
              <w:tab/>
            </w:r>
            <w:r w:rsidR="00E97502" w:rsidRPr="00914863">
              <w:rPr>
                <w:rStyle w:val="Hyperlink"/>
              </w:rPr>
              <w:t>Addressing the gaps in pathways</w:t>
            </w:r>
            <w:r w:rsidR="00E97502">
              <w:rPr>
                <w:webHidden/>
              </w:rPr>
              <w:tab/>
            </w:r>
            <w:r w:rsidR="00E97502">
              <w:rPr>
                <w:webHidden/>
              </w:rPr>
              <w:fldChar w:fldCharType="begin"/>
            </w:r>
            <w:r w:rsidR="00E97502">
              <w:rPr>
                <w:webHidden/>
              </w:rPr>
              <w:instrText xml:space="preserve"> PAGEREF _Toc420078546 \h </w:instrText>
            </w:r>
            <w:r w:rsidR="00E97502">
              <w:rPr>
                <w:webHidden/>
              </w:rPr>
            </w:r>
            <w:r w:rsidR="00E97502">
              <w:rPr>
                <w:webHidden/>
              </w:rPr>
              <w:fldChar w:fldCharType="separate"/>
            </w:r>
            <w:r>
              <w:rPr>
                <w:webHidden/>
              </w:rPr>
              <w:t>23</w:t>
            </w:r>
            <w:r w:rsidR="00E97502">
              <w:rPr>
                <w:webHidden/>
              </w:rPr>
              <w:fldChar w:fldCharType="end"/>
            </w:r>
          </w:hyperlink>
        </w:p>
        <w:p w14:paraId="3AD9C661" w14:textId="77777777" w:rsidR="00E97502" w:rsidRDefault="00902F05">
          <w:pPr>
            <w:pStyle w:val="TOC2"/>
            <w:rPr>
              <w:rFonts w:asciiTheme="minorHAnsi" w:eastAsiaTheme="minorEastAsia" w:hAnsiTheme="minorHAnsi" w:cstheme="minorBidi"/>
            </w:rPr>
          </w:pPr>
          <w:hyperlink w:anchor="_Toc420078547" w:history="1">
            <w:r w:rsidR="00E97502" w:rsidRPr="00914863">
              <w:rPr>
                <w:rStyle w:val="Hyperlink"/>
              </w:rPr>
              <w:t>4.5</w:t>
            </w:r>
            <w:r w:rsidR="00E97502">
              <w:rPr>
                <w:rFonts w:asciiTheme="minorHAnsi" w:eastAsiaTheme="minorEastAsia" w:hAnsiTheme="minorHAnsi" w:cstheme="minorBidi"/>
              </w:rPr>
              <w:tab/>
            </w:r>
            <w:r w:rsidR="00E97502" w:rsidRPr="00914863">
              <w:rPr>
                <w:rStyle w:val="Hyperlink"/>
              </w:rPr>
              <w:t>Opportunities for aligning providers and provider management</w:t>
            </w:r>
            <w:r w:rsidR="00E97502">
              <w:rPr>
                <w:webHidden/>
              </w:rPr>
              <w:tab/>
            </w:r>
            <w:r w:rsidR="00E97502">
              <w:rPr>
                <w:webHidden/>
              </w:rPr>
              <w:fldChar w:fldCharType="begin"/>
            </w:r>
            <w:r w:rsidR="00E97502">
              <w:rPr>
                <w:webHidden/>
              </w:rPr>
              <w:instrText xml:space="preserve"> PAGEREF _Toc420078547 \h </w:instrText>
            </w:r>
            <w:r w:rsidR="00E97502">
              <w:rPr>
                <w:webHidden/>
              </w:rPr>
            </w:r>
            <w:r w:rsidR="00E97502">
              <w:rPr>
                <w:webHidden/>
              </w:rPr>
              <w:fldChar w:fldCharType="separate"/>
            </w:r>
            <w:r>
              <w:rPr>
                <w:webHidden/>
              </w:rPr>
              <w:t>24</w:t>
            </w:r>
            <w:r w:rsidR="00E97502">
              <w:rPr>
                <w:webHidden/>
              </w:rPr>
              <w:fldChar w:fldCharType="end"/>
            </w:r>
          </w:hyperlink>
        </w:p>
        <w:p w14:paraId="4F9C49A9" w14:textId="77777777" w:rsidR="00E97502" w:rsidRDefault="00902F05">
          <w:pPr>
            <w:pStyle w:val="TOC2"/>
            <w:rPr>
              <w:rFonts w:asciiTheme="minorHAnsi" w:eastAsiaTheme="minorEastAsia" w:hAnsiTheme="minorHAnsi" w:cstheme="minorBidi"/>
            </w:rPr>
          </w:pPr>
          <w:hyperlink w:anchor="_Toc420078548" w:history="1">
            <w:r w:rsidR="00E97502" w:rsidRPr="00914863">
              <w:rPr>
                <w:rStyle w:val="Hyperlink"/>
              </w:rPr>
              <w:t>4.6</w:t>
            </w:r>
            <w:r w:rsidR="00E97502">
              <w:rPr>
                <w:rFonts w:asciiTheme="minorHAnsi" w:eastAsiaTheme="minorEastAsia" w:hAnsiTheme="minorHAnsi" w:cstheme="minorBidi"/>
              </w:rPr>
              <w:tab/>
            </w:r>
            <w:r w:rsidR="00E97502" w:rsidRPr="00914863">
              <w:rPr>
                <w:rStyle w:val="Hyperlink"/>
              </w:rPr>
              <w:t>Addressing the differences in the curriculum and benchmark instruments</w:t>
            </w:r>
            <w:r w:rsidR="00E97502">
              <w:rPr>
                <w:webHidden/>
              </w:rPr>
              <w:tab/>
            </w:r>
            <w:r w:rsidR="00E97502">
              <w:rPr>
                <w:webHidden/>
              </w:rPr>
              <w:fldChar w:fldCharType="begin"/>
            </w:r>
            <w:r w:rsidR="00E97502">
              <w:rPr>
                <w:webHidden/>
              </w:rPr>
              <w:instrText xml:space="preserve"> PAGEREF _Toc420078548 \h </w:instrText>
            </w:r>
            <w:r w:rsidR="00E97502">
              <w:rPr>
                <w:webHidden/>
              </w:rPr>
            </w:r>
            <w:r w:rsidR="00E97502">
              <w:rPr>
                <w:webHidden/>
              </w:rPr>
              <w:fldChar w:fldCharType="separate"/>
            </w:r>
            <w:r>
              <w:rPr>
                <w:webHidden/>
              </w:rPr>
              <w:t>25</w:t>
            </w:r>
            <w:r w:rsidR="00E97502">
              <w:rPr>
                <w:webHidden/>
              </w:rPr>
              <w:fldChar w:fldCharType="end"/>
            </w:r>
          </w:hyperlink>
        </w:p>
        <w:p w14:paraId="39C2AABE" w14:textId="77777777" w:rsidR="00E97502" w:rsidRDefault="00902F05">
          <w:pPr>
            <w:pStyle w:val="TOC1"/>
            <w:rPr>
              <w:rFonts w:asciiTheme="minorHAnsi" w:eastAsiaTheme="minorEastAsia" w:hAnsiTheme="minorHAnsi" w:cstheme="minorBidi"/>
              <w:b w:val="0"/>
              <w:color w:val="auto"/>
            </w:rPr>
          </w:pPr>
          <w:hyperlink w:anchor="_Toc420078549" w:history="1">
            <w:r w:rsidR="00E97502" w:rsidRPr="00914863">
              <w:rPr>
                <w:rStyle w:val="Hyperlink"/>
              </w:rPr>
              <w:t>5</w:t>
            </w:r>
            <w:r w:rsidR="00E97502">
              <w:rPr>
                <w:rFonts w:asciiTheme="minorHAnsi" w:eastAsiaTheme="minorEastAsia" w:hAnsiTheme="minorHAnsi" w:cstheme="minorBidi"/>
                <w:b w:val="0"/>
                <w:color w:val="auto"/>
              </w:rPr>
              <w:tab/>
            </w:r>
            <w:r w:rsidR="00E97502" w:rsidRPr="00914863">
              <w:rPr>
                <w:rStyle w:val="Hyperlink"/>
              </w:rPr>
              <w:t>Strengthening the strategic alignment of the AMEP and the SEE programme</w:t>
            </w:r>
            <w:r w:rsidR="00E97502">
              <w:rPr>
                <w:webHidden/>
              </w:rPr>
              <w:tab/>
            </w:r>
            <w:r w:rsidR="00E97502">
              <w:rPr>
                <w:webHidden/>
              </w:rPr>
              <w:fldChar w:fldCharType="begin"/>
            </w:r>
            <w:r w:rsidR="00E97502">
              <w:rPr>
                <w:webHidden/>
              </w:rPr>
              <w:instrText xml:space="preserve"> PAGEREF _Toc420078549 \h </w:instrText>
            </w:r>
            <w:r w:rsidR="00E97502">
              <w:rPr>
                <w:webHidden/>
              </w:rPr>
            </w:r>
            <w:r w:rsidR="00E97502">
              <w:rPr>
                <w:webHidden/>
              </w:rPr>
              <w:fldChar w:fldCharType="separate"/>
            </w:r>
            <w:r>
              <w:rPr>
                <w:webHidden/>
              </w:rPr>
              <w:t>27</w:t>
            </w:r>
            <w:r w:rsidR="00E97502">
              <w:rPr>
                <w:webHidden/>
              </w:rPr>
              <w:fldChar w:fldCharType="end"/>
            </w:r>
          </w:hyperlink>
        </w:p>
        <w:p w14:paraId="7C1D0666" w14:textId="77777777" w:rsidR="00E97502" w:rsidRDefault="00902F05">
          <w:pPr>
            <w:pStyle w:val="TOC2"/>
            <w:rPr>
              <w:rFonts w:asciiTheme="minorHAnsi" w:eastAsiaTheme="minorEastAsia" w:hAnsiTheme="minorHAnsi" w:cstheme="minorBidi"/>
            </w:rPr>
          </w:pPr>
          <w:hyperlink w:anchor="_Toc420078550" w:history="1">
            <w:r w:rsidR="00E97502" w:rsidRPr="00914863">
              <w:rPr>
                <w:rStyle w:val="Hyperlink"/>
              </w:rPr>
              <w:t>5.1</w:t>
            </w:r>
            <w:r w:rsidR="00E97502">
              <w:rPr>
                <w:rFonts w:asciiTheme="minorHAnsi" w:eastAsiaTheme="minorEastAsia" w:hAnsiTheme="minorHAnsi" w:cstheme="minorBidi"/>
              </w:rPr>
              <w:tab/>
            </w:r>
            <w:r w:rsidR="00E97502" w:rsidRPr="00914863">
              <w:rPr>
                <w:rStyle w:val="Hyperlink"/>
              </w:rPr>
              <w:t>Context for alignment</w:t>
            </w:r>
            <w:r w:rsidR="00E97502">
              <w:rPr>
                <w:webHidden/>
              </w:rPr>
              <w:tab/>
            </w:r>
            <w:r w:rsidR="00E97502">
              <w:rPr>
                <w:webHidden/>
              </w:rPr>
              <w:fldChar w:fldCharType="begin"/>
            </w:r>
            <w:r w:rsidR="00E97502">
              <w:rPr>
                <w:webHidden/>
              </w:rPr>
              <w:instrText xml:space="preserve"> PAGEREF _Toc420078550 \h </w:instrText>
            </w:r>
            <w:r w:rsidR="00E97502">
              <w:rPr>
                <w:webHidden/>
              </w:rPr>
            </w:r>
            <w:r w:rsidR="00E97502">
              <w:rPr>
                <w:webHidden/>
              </w:rPr>
              <w:fldChar w:fldCharType="separate"/>
            </w:r>
            <w:r>
              <w:rPr>
                <w:webHidden/>
              </w:rPr>
              <w:t>27</w:t>
            </w:r>
            <w:r w:rsidR="00E97502">
              <w:rPr>
                <w:webHidden/>
              </w:rPr>
              <w:fldChar w:fldCharType="end"/>
            </w:r>
          </w:hyperlink>
        </w:p>
        <w:p w14:paraId="008B6CEC" w14:textId="77777777" w:rsidR="00E97502" w:rsidRDefault="00902F05">
          <w:pPr>
            <w:pStyle w:val="TOC2"/>
            <w:rPr>
              <w:rFonts w:asciiTheme="minorHAnsi" w:eastAsiaTheme="minorEastAsia" w:hAnsiTheme="minorHAnsi" w:cstheme="minorBidi"/>
            </w:rPr>
          </w:pPr>
          <w:hyperlink w:anchor="_Toc420078551" w:history="1">
            <w:r w:rsidR="00E97502" w:rsidRPr="00914863">
              <w:rPr>
                <w:rStyle w:val="Hyperlink"/>
              </w:rPr>
              <w:t>5.2</w:t>
            </w:r>
            <w:r w:rsidR="00E97502">
              <w:rPr>
                <w:rFonts w:asciiTheme="minorHAnsi" w:eastAsiaTheme="minorEastAsia" w:hAnsiTheme="minorHAnsi" w:cstheme="minorBidi"/>
              </w:rPr>
              <w:tab/>
            </w:r>
            <w:r w:rsidR="00E97502" w:rsidRPr="00914863">
              <w:rPr>
                <w:rStyle w:val="Hyperlink"/>
              </w:rPr>
              <w:t>Recent developments in skills policies and programmes in Australia</w:t>
            </w:r>
            <w:r w:rsidR="00E97502">
              <w:rPr>
                <w:webHidden/>
              </w:rPr>
              <w:tab/>
            </w:r>
            <w:r w:rsidR="00E97502">
              <w:rPr>
                <w:webHidden/>
              </w:rPr>
              <w:fldChar w:fldCharType="begin"/>
            </w:r>
            <w:r w:rsidR="00E97502">
              <w:rPr>
                <w:webHidden/>
              </w:rPr>
              <w:instrText xml:space="preserve"> PAGEREF _Toc420078551 \h </w:instrText>
            </w:r>
            <w:r w:rsidR="00E97502">
              <w:rPr>
                <w:webHidden/>
              </w:rPr>
            </w:r>
            <w:r w:rsidR="00E97502">
              <w:rPr>
                <w:webHidden/>
              </w:rPr>
              <w:fldChar w:fldCharType="separate"/>
            </w:r>
            <w:r>
              <w:rPr>
                <w:webHidden/>
              </w:rPr>
              <w:t>27</w:t>
            </w:r>
            <w:r w:rsidR="00E97502">
              <w:rPr>
                <w:webHidden/>
              </w:rPr>
              <w:fldChar w:fldCharType="end"/>
            </w:r>
          </w:hyperlink>
        </w:p>
        <w:p w14:paraId="7FDE4291" w14:textId="77777777" w:rsidR="00E97502" w:rsidRDefault="00902F05">
          <w:pPr>
            <w:pStyle w:val="TOC2"/>
            <w:rPr>
              <w:rFonts w:asciiTheme="minorHAnsi" w:eastAsiaTheme="minorEastAsia" w:hAnsiTheme="minorHAnsi" w:cstheme="minorBidi"/>
            </w:rPr>
          </w:pPr>
          <w:hyperlink w:anchor="_Toc420078552" w:history="1">
            <w:r w:rsidR="00E97502" w:rsidRPr="00914863">
              <w:rPr>
                <w:rStyle w:val="Hyperlink"/>
              </w:rPr>
              <w:t>5.3</w:t>
            </w:r>
            <w:r w:rsidR="00E97502">
              <w:rPr>
                <w:rFonts w:asciiTheme="minorHAnsi" w:eastAsiaTheme="minorEastAsia" w:hAnsiTheme="minorHAnsi" w:cstheme="minorBidi"/>
              </w:rPr>
              <w:tab/>
            </w:r>
            <w:r w:rsidR="00E97502" w:rsidRPr="00914863">
              <w:rPr>
                <w:rStyle w:val="Hyperlink"/>
              </w:rPr>
              <w:t>Strengthening the strategic alignment of the AMEP and SEE programme with government policy</w:t>
            </w:r>
            <w:r w:rsidR="00E97502">
              <w:rPr>
                <w:webHidden/>
              </w:rPr>
              <w:tab/>
            </w:r>
            <w:r w:rsidR="00E97502">
              <w:rPr>
                <w:webHidden/>
              </w:rPr>
              <w:fldChar w:fldCharType="begin"/>
            </w:r>
            <w:r w:rsidR="00E97502">
              <w:rPr>
                <w:webHidden/>
              </w:rPr>
              <w:instrText xml:space="preserve"> PAGEREF _Toc420078552 \h </w:instrText>
            </w:r>
            <w:r w:rsidR="00E97502">
              <w:rPr>
                <w:webHidden/>
              </w:rPr>
            </w:r>
            <w:r w:rsidR="00E97502">
              <w:rPr>
                <w:webHidden/>
              </w:rPr>
              <w:fldChar w:fldCharType="separate"/>
            </w:r>
            <w:r>
              <w:rPr>
                <w:webHidden/>
              </w:rPr>
              <w:t>29</w:t>
            </w:r>
            <w:r w:rsidR="00E97502">
              <w:rPr>
                <w:webHidden/>
              </w:rPr>
              <w:fldChar w:fldCharType="end"/>
            </w:r>
          </w:hyperlink>
        </w:p>
        <w:p w14:paraId="0CACB4A8" w14:textId="77777777" w:rsidR="00E97502" w:rsidRDefault="00902F05">
          <w:pPr>
            <w:pStyle w:val="TOC1"/>
            <w:rPr>
              <w:rFonts w:asciiTheme="minorHAnsi" w:eastAsiaTheme="minorEastAsia" w:hAnsiTheme="minorHAnsi" w:cstheme="minorBidi"/>
              <w:b w:val="0"/>
              <w:color w:val="auto"/>
            </w:rPr>
          </w:pPr>
          <w:hyperlink w:anchor="_Toc420078553" w:history="1">
            <w:r w:rsidR="00E97502" w:rsidRPr="00914863">
              <w:rPr>
                <w:rStyle w:val="Hyperlink"/>
              </w:rPr>
              <w:t>References</w:t>
            </w:r>
            <w:r w:rsidR="00E97502">
              <w:rPr>
                <w:webHidden/>
              </w:rPr>
              <w:tab/>
            </w:r>
            <w:r w:rsidR="00E97502">
              <w:rPr>
                <w:webHidden/>
              </w:rPr>
              <w:fldChar w:fldCharType="begin"/>
            </w:r>
            <w:r w:rsidR="00E97502">
              <w:rPr>
                <w:webHidden/>
              </w:rPr>
              <w:instrText xml:space="preserve"> PAGEREF _Toc420078553 \h </w:instrText>
            </w:r>
            <w:r w:rsidR="00E97502">
              <w:rPr>
                <w:webHidden/>
              </w:rPr>
            </w:r>
            <w:r w:rsidR="00E97502">
              <w:rPr>
                <w:webHidden/>
              </w:rPr>
              <w:fldChar w:fldCharType="separate"/>
            </w:r>
            <w:r>
              <w:rPr>
                <w:webHidden/>
              </w:rPr>
              <w:t>34</w:t>
            </w:r>
            <w:r w:rsidR="00E97502">
              <w:rPr>
                <w:webHidden/>
              </w:rPr>
              <w:fldChar w:fldCharType="end"/>
            </w:r>
          </w:hyperlink>
        </w:p>
        <w:p w14:paraId="4C7571DB" w14:textId="77777777" w:rsidR="00473688" w:rsidRPr="00F370F2" w:rsidRDefault="00FD15AE" w:rsidP="003C37AA">
          <w:r>
            <w:fldChar w:fldCharType="end"/>
          </w:r>
        </w:p>
      </w:sdtContent>
    </w:sdt>
    <w:p w14:paraId="1CD84118" w14:textId="77777777" w:rsidR="00E97502" w:rsidRDefault="00DE0756">
      <w:pPr>
        <w:pStyle w:val="TOC7"/>
        <w:rPr>
          <w:rFonts w:asciiTheme="minorHAnsi" w:eastAsiaTheme="minorEastAsia" w:hAnsiTheme="minorHAnsi" w:cstheme="minorBidi"/>
          <w:lang w:eastAsia="en-AU"/>
        </w:rPr>
      </w:pPr>
      <w:r>
        <w:fldChar w:fldCharType="begin"/>
      </w:r>
      <w:r>
        <w:instrText xml:space="preserve"> TOC \o "7-7" \h \z </w:instrText>
      </w:r>
      <w:r>
        <w:fldChar w:fldCharType="separate"/>
      </w:r>
      <w:hyperlink w:anchor="_Toc420078554" w:history="1">
        <w:r w:rsidR="00E97502" w:rsidRPr="00C502C0">
          <w:rPr>
            <w:rStyle w:val="Hyperlink"/>
          </w:rPr>
          <w:t>Appendix A</w:t>
        </w:r>
        <w:r w:rsidR="00E97502">
          <w:rPr>
            <w:rFonts w:asciiTheme="minorHAnsi" w:eastAsiaTheme="minorEastAsia" w:hAnsiTheme="minorHAnsi" w:cstheme="minorBidi"/>
            <w:lang w:eastAsia="en-AU"/>
          </w:rPr>
          <w:tab/>
        </w:r>
        <w:r w:rsidR="00E97502" w:rsidRPr="00C502C0">
          <w:rPr>
            <w:rStyle w:val="Hyperlink"/>
          </w:rPr>
          <w:t>Mapping outcomes to the Australian Core Skills Framework</w:t>
        </w:r>
        <w:r w:rsidR="00E97502">
          <w:rPr>
            <w:webHidden/>
          </w:rPr>
          <w:tab/>
        </w:r>
        <w:r w:rsidR="00E97502">
          <w:rPr>
            <w:webHidden/>
          </w:rPr>
          <w:fldChar w:fldCharType="begin"/>
        </w:r>
        <w:r w:rsidR="00E97502">
          <w:rPr>
            <w:webHidden/>
          </w:rPr>
          <w:instrText xml:space="preserve"> PAGEREF _Toc420078554 \h </w:instrText>
        </w:r>
        <w:r w:rsidR="00E97502">
          <w:rPr>
            <w:webHidden/>
          </w:rPr>
        </w:r>
        <w:r w:rsidR="00E97502">
          <w:rPr>
            <w:webHidden/>
          </w:rPr>
          <w:fldChar w:fldCharType="separate"/>
        </w:r>
        <w:r w:rsidR="00902F05">
          <w:rPr>
            <w:webHidden/>
          </w:rPr>
          <w:t>A-1</w:t>
        </w:r>
        <w:r w:rsidR="00E97502">
          <w:rPr>
            <w:webHidden/>
          </w:rPr>
          <w:fldChar w:fldCharType="end"/>
        </w:r>
      </w:hyperlink>
    </w:p>
    <w:p w14:paraId="4FC03B51" w14:textId="77777777" w:rsidR="00473688" w:rsidRPr="000504DD" w:rsidRDefault="00DE0756" w:rsidP="003C37AA">
      <w:pPr>
        <w:pStyle w:val="BodyText"/>
      </w:pPr>
      <w:r>
        <w:rPr>
          <w:b/>
          <w:bCs/>
          <w:noProof/>
          <w:szCs w:val="24"/>
          <w:lang w:val="en-US" w:eastAsia="en-US"/>
        </w:rPr>
        <w:fldChar w:fldCharType="end"/>
      </w:r>
    </w:p>
    <w:p w14:paraId="1CB0812C" w14:textId="77777777" w:rsidR="00473688" w:rsidRPr="00AA18E5" w:rsidRDefault="00473688" w:rsidP="003C37AA">
      <w:pPr>
        <w:pStyle w:val="SpaceAboveInTOC"/>
      </w:pPr>
    </w:p>
    <w:p w14:paraId="3A583A4B" w14:textId="77777777" w:rsidR="00473688" w:rsidRPr="00BF4425" w:rsidRDefault="00473688" w:rsidP="003C37AA">
      <w:pPr>
        <w:pStyle w:val="TOAHeading"/>
      </w:pPr>
      <w:r w:rsidRPr="00BF4425">
        <w:t>List of boxes</w:t>
      </w:r>
    </w:p>
    <w:p w14:paraId="4F7D8455" w14:textId="77777777" w:rsidR="00E97502" w:rsidRDefault="00473688">
      <w:pPr>
        <w:pStyle w:val="TableofFigures"/>
        <w:rPr>
          <w:rFonts w:asciiTheme="minorHAnsi" w:eastAsiaTheme="minorEastAsia" w:hAnsiTheme="minorHAnsi" w:cstheme="minorBidi"/>
          <w:noProof/>
          <w:sz w:val="22"/>
        </w:rPr>
      </w:pPr>
      <w:r w:rsidRPr="004D18B4">
        <w:fldChar w:fldCharType="begin"/>
      </w:r>
      <w:r w:rsidRPr="004D18B4">
        <w:instrText xml:space="preserve"> TOC </w:instrText>
      </w:r>
      <w:r>
        <w:instrText xml:space="preserve">\h \z </w:instrText>
      </w:r>
      <w:r w:rsidRPr="004D18B4">
        <w:instrText xml:space="preserve">\c "Box" </w:instrText>
      </w:r>
      <w:r>
        <w:instrText>\*FirstCap</w:instrText>
      </w:r>
      <w:r w:rsidRPr="004D18B4">
        <w:instrText xml:space="preserve"> </w:instrText>
      </w:r>
      <w:r w:rsidRPr="004D18B4">
        <w:fldChar w:fldCharType="separate"/>
      </w:r>
      <w:hyperlink w:anchor="_Toc420078555" w:history="1">
        <w:r w:rsidR="00E97502" w:rsidRPr="00435DB1">
          <w:rPr>
            <w:rStyle w:val="Hyperlink"/>
            <w:noProof/>
          </w:rPr>
          <w:t>Box 1</w:t>
        </w:r>
        <w:r w:rsidR="00E97502">
          <w:rPr>
            <w:rFonts w:asciiTheme="minorHAnsi" w:eastAsiaTheme="minorEastAsia" w:hAnsiTheme="minorHAnsi" w:cstheme="minorBidi"/>
            <w:noProof/>
            <w:sz w:val="22"/>
          </w:rPr>
          <w:tab/>
        </w:r>
        <w:r w:rsidR="00E97502" w:rsidRPr="00435DB1">
          <w:rPr>
            <w:rStyle w:val="Hyperlink"/>
            <w:b/>
            <w:noProof/>
          </w:rPr>
          <w:t>The VET reform vision</w:t>
        </w:r>
        <w:r w:rsidR="00E97502">
          <w:rPr>
            <w:noProof/>
            <w:webHidden/>
          </w:rPr>
          <w:tab/>
        </w:r>
        <w:r w:rsidR="00E97502">
          <w:rPr>
            <w:noProof/>
            <w:webHidden/>
          </w:rPr>
          <w:fldChar w:fldCharType="begin"/>
        </w:r>
        <w:r w:rsidR="00E97502">
          <w:rPr>
            <w:noProof/>
            <w:webHidden/>
          </w:rPr>
          <w:instrText xml:space="preserve"> PAGEREF _Toc420078555 \h </w:instrText>
        </w:r>
        <w:r w:rsidR="00E97502">
          <w:rPr>
            <w:noProof/>
            <w:webHidden/>
          </w:rPr>
        </w:r>
        <w:r w:rsidR="00E97502">
          <w:rPr>
            <w:noProof/>
            <w:webHidden/>
          </w:rPr>
          <w:fldChar w:fldCharType="separate"/>
        </w:r>
        <w:r w:rsidR="00902F05">
          <w:rPr>
            <w:noProof/>
            <w:webHidden/>
          </w:rPr>
          <w:t>29</w:t>
        </w:r>
        <w:r w:rsidR="00E97502">
          <w:rPr>
            <w:noProof/>
            <w:webHidden/>
          </w:rPr>
          <w:fldChar w:fldCharType="end"/>
        </w:r>
      </w:hyperlink>
    </w:p>
    <w:p w14:paraId="3E6BE180" w14:textId="77777777" w:rsidR="00473688" w:rsidRDefault="00473688" w:rsidP="006C7B38">
      <w:pPr>
        <w:pStyle w:val="TableofFigures"/>
      </w:pPr>
      <w:r w:rsidRPr="004D18B4">
        <w:fldChar w:fldCharType="end"/>
      </w:r>
    </w:p>
    <w:p w14:paraId="4BB6C62A" w14:textId="77777777" w:rsidR="00473688" w:rsidRDefault="00473688" w:rsidP="003C37AA">
      <w:pPr>
        <w:pStyle w:val="TOAHeading"/>
      </w:pPr>
      <w:r>
        <w:t>List of figures</w:t>
      </w:r>
    </w:p>
    <w:p w14:paraId="7B0BD127" w14:textId="77777777" w:rsidR="00E97502" w:rsidRDefault="00473688">
      <w:pPr>
        <w:pStyle w:val="TableofFigures"/>
        <w:rPr>
          <w:rFonts w:asciiTheme="minorHAnsi" w:eastAsiaTheme="minorEastAsia" w:hAnsiTheme="minorHAnsi" w:cstheme="minorBidi"/>
          <w:noProof/>
          <w:sz w:val="22"/>
        </w:rPr>
      </w:pPr>
      <w:r w:rsidRPr="004D18B4">
        <w:fldChar w:fldCharType="begin"/>
      </w:r>
      <w:r w:rsidRPr="004D18B4">
        <w:instrText xml:space="preserve"> TOC </w:instrText>
      </w:r>
      <w:r>
        <w:instrText>\h \z</w:instrText>
      </w:r>
      <w:r w:rsidRPr="004D18B4">
        <w:instrText xml:space="preserve"> \c "Figure" </w:instrText>
      </w:r>
      <w:r>
        <w:instrText>\*FirstCap</w:instrText>
      </w:r>
      <w:r w:rsidRPr="004D18B4">
        <w:instrText xml:space="preserve"> </w:instrText>
      </w:r>
      <w:r w:rsidRPr="004D18B4">
        <w:fldChar w:fldCharType="separate"/>
      </w:r>
      <w:hyperlink w:anchor="_Toc420078556" w:history="1">
        <w:r w:rsidR="00E97502" w:rsidRPr="0044546F">
          <w:rPr>
            <w:rStyle w:val="Hyperlink"/>
            <w:noProof/>
          </w:rPr>
          <w:t>Figure 1</w:t>
        </w:r>
        <w:r w:rsidR="00E97502">
          <w:rPr>
            <w:rFonts w:asciiTheme="minorHAnsi" w:eastAsiaTheme="minorEastAsia" w:hAnsiTheme="minorHAnsi" w:cstheme="minorBidi"/>
            <w:noProof/>
            <w:sz w:val="22"/>
          </w:rPr>
          <w:tab/>
        </w:r>
        <w:r w:rsidR="00E97502" w:rsidRPr="0044546F">
          <w:rPr>
            <w:rStyle w:val="Hyperlink"/>
            <w:b/>
            <w:noProof/>
          </w:rPr>
          <w:t>Eligibility differences between AMEP and the SEE programme</w:t>
        </w:r>
        <w:r w:rsidR="00E97502">
          <w:rPr>
            <w:noProof/>
            <w:webHidden/>
          </w:rPr>
          <w:tab/>
        </w:r>
        <w:r w:rsidR="00E97502">
          <w:rPr>
            <w:noProof/>
            <w:webHidden/>
          </w:rPr>
          <w:fldChar w:fldCharType="begin"/>
        </w:r>
        <w:r w:rsidR="00E97502">
          <w:rPr>
            <w:noProof/>
            <w:webHidden/>
          </w:rPr>
          <w:instrText xml:space="preserve"> PAGEREF _Toc420078556 \h </w:instrText>
        </w:r>
        <w:r w:rsidR="00E97502">
          <w:rPr>
            <w:noProof/>
            <w:webHidden/>
          </w:rPr>
        </w:r>
        <w:r w:rsidR="00E97502">
          <w:rPr>
            <w:noProof/>
            <w:webHidden/>
          </w:rPr>
          <w:fldChar w:fldCharType="separate"/>
        </w:r>
        <w:r w:rsidR="00902F05">
          <w:rPr>
            <w:noProof/>
            <w:webHidden/>
          </w:rPr>
          <w:t>6</w:t>
        </w:r>
        <w:r w:rsidR="00E97502">
          <w:rPr>
            <w:noProof/>
            <w:webHidden/>
          </w:rPr>
          <w:fldChar w:fldCharType="end"/>
        </w:r>
      </w:hyperlink>
    </w:p>
    <w:p w14:paraId="0F63C2E7" w14:textId="77777777" w:rsidR="00E97502" w:rsidRDefault="00902F05">
      <w:pPr>
        <w:pStyle w:val="TableofFigures"/>
        <w:rPr>
          <w:rFonts w:asciiTheme="minorHAnsi" w:eastAsiaTheme="minorEastAsia" w:hAnsiTheme="minorHAnsi" w:cstheme="minorBidi"/>
          <w:noProof/>
          <w:sz w:val="22"/>
        </w:rPr>
      </w:pPr>
      <w:hyperlink w:anchor="_Toc420078557" w:history="1">
        <w:r w:rsidR="00E97502" w:rsidRPr="0044546F">
          <w:rPr>
            <w:rStyle w:val="Hyperlink"/>
            <w:rFonts w:cs="Arial"/>
            <w:noProof/>
          </w:rPr>
          <w:t>Figure 2</w:t>
        </w:r>
        <w:r w:rsidR="00E97502">
          <w:rPr>
            <w:rFonts w:asciiTheme="minorHAnsi" w:eastAsiaTheme="minorEastAsia" w:hAnsiTheme="minorHAnsi" w:cstheme="minorBidi"/>
            <w:noProof/>
            <w:sz w:val="22"/>
          </w:rPr>
          <w:tab/>
        </w:r>
        <w:r w:rsidR="00E97502" w:rsidRPr="0044546F">
          <w:rPr>
            <w:rStyle w:val="Hyperlink"/>
            <w:rFonts w:cs="Arial"/>
            <w:b/>
            <w:noProof/>
          </w:rPr>
          <w:t>AMEP enrolments by visa stream</w:t>
        </w:r>
        <w:r w:rsidR="00E97502">
          <w:rPr>
            <w:noProof/>
            <w:webHidden/>
          </w:rPr>
          <w:tab/>
        </w:r>
        <w:r w:rsidR="00E97502">
          <w:rPr>
            <w:noProof/>
            <w:webHidden/>
          </w:rPr>
          <w:fldChar w:fldCharType="begin"/>
        </w:r>
        <w:r w:rsidR="00E97502">
          <w:rPr>
            <w:noProof/>
            <w:webHidden/>
          </w:rPr>
          <w:instrText xml:space="preserve"> PAGEREF _Toc420078557 \h </w:instrText>
        </w:r>
        <w:r w:rsidR="00E97502">
          <w:rPr>
            <w:noProof/>
            <w:webHidden/>
          </w:rPr>
        </w:r>
        <w:r w:rsidR="00E97502">
          <w:rPr>
            <w:noProof/>
            <w:webHidden/>
          </w:rPr>
          <w:fldChar w:fldCharType="separate"/>
        </w:r>
        <w:r>
          <w:rPr>
            <w:noProof/>
            <w:webHidden/>
          </w:rPr>
          <w:t>7</w:t>
        </w:r>
        <w:r w:rsidR="00E97502">
          <w:rPr>
            <w:noProof/>
            <w:webHidden/>
          </w:rPr>
          <w:fldChar w:fldCharType="end"/>
        </w:r>
      </w:hyperlink>
    </w:p>
    <w:p w14:paraId="0138C39B" w14:textId="77777777" w:rsidR="00E97502" w:rsidRDefault="00902F05">
      <w:pPr>
        <w:pStyle w:val="TableofFigures"/>
        <w:rPr>
          <w:rFonts w:asciiTheme="minorHAnsi" w:eastAsiaTheme="minorEastAsia" w:hAnsiTheme="minorHAnsi" w:cstheme="minorBidi"/>
          <w:noProof/>
          <w:sz w:val="22"/>
        </w:rPr>
      </w:pPr>
      <w:hyperlink w:anchor="_Toc420078558" w:history="1">
        <w:r w:rsidR="00E97502" w:rsidRPr="0044546F">
          <w:rPr>
            <w:rStyle w:val="Hyperlink"/>
            <w:noProof/>
          </w:rPr>
          <w:t>Figure 3</w:t>
        </w:r>
        <w:r w:rsidR="00E97502">
          <w:rPr>
            <w:rFonts w:asciiTheme="minorHAnsi" w:eastAsiaTheme="minorEastAsia" w:hAnsiTheme="minorHAnsi" w:cstheme="minorBidi"/>
            <w:noProof/>
            <w:sz w:val="22"/>
          </w:rPr>
          <w:tab/>
        </w:r>
        <w:r w:rsidR="00E97502" w:rsidRPr="0044546F">
          <w:rPr>
            <w:rStyle w:val="Hyperlink"/>
            <w:b/>
            <w:noProof/>
          </w:rPr>
          <w:t>AMEP and SEE programme target proficiency levels</w:t>
        </w:r>
        <w:r w:rsidR="00E97502">
          <w:rPr>
            <w:noProof/>
            <w:webHidden/>
          </w:rPr>
          <w:tab/>
        </w:r>
        <w:r w:rsidR="00E97502">
          <w:rPr>
            <w:noProof/>
            <w:webHidden/>
          </w:rPr>
          <w:fldChar w:fldCharType="begin"/>
        </w:r>
        <w:r w:rsidR="00E97502">
          <w:rPr>
            <w:noProof/>
            <w:webHidden/>
          </w:rPr>
          <w:instrText xml:space="preserve"> PAGEREF _Toc420078558 \h </w:instrText>
        </w:r>
        <w:r w:rsidR="00E97502">
          <w:rPr>
            <w:noProof/>
            <w:webHidden/>
          </w:rPr>
        </w:r>
        <w:r w:rsidR="00E97502">
          <w:rPr>
            <w:noProof/>
            <w:webHidden/>
          </w:rPr>
          <w:fldChar w:fldCharType="separate"/>
        </w:r>
        <w:r>
          <w:rPr>
            <w:noProof/>
            <w:webHidden/>
          </w:rPr>
          <w:t>8</w:t>
        </w:r>
        <w:r w:rsidR="00E97502">
          <w:rPr>
            <w:noProof/>
            <w:webHidden/>
          </w:rPr>
          <w:fldChar w:fldCharType="end"/>
        </w:r>
      </w:hyperlink>
    </w:p>
    <w:p w14:paraId="79B4C0CF" w14:textId="77777777" w:rsidR="00E97502" w:rsidRDefault="00902F05">
      <w:pPr>
        <w:pStyle w:val="TableofFigures"/>
        <w:rPr>
          <w:rFonts w:asciiTheme="minorHAnsi" w:eastAsiaTheme="minorEastAsia" w:hAnsiTheme="minorHAnsi" w:cstheme="minorBidi"/>
          <w:noProof/>
          <w:sz w:val="22"/>
        </w:rPr>
      </w:pPr>
      <w:hyperlink w:anchor="_Toc420078559" w:history="1">
        <w:r w:rsidR="00E97502" w:rsidRPr="0044546F">
          <w:rPr>
            <w:rStyle w:val="Hyperlink"/>
            <w:noProof/>
          </w:rPr>
          <w:t>Figure 4</w:t>
        </w:r>
        <w:r w:rsidR="00E97502">
          <w:rPr>
            <w:rFonts w:asciiTheme="minorHAnsi" w:eastAsiaTheme="minorEastAsia" w:hAnsiTheme="minorHAnsi" w:cstheme="minorBidi"/>
            <w:noProof/>
            <w:sz w:val="22"/>
          </w:rPr>
          <w:tab/>
        </w:r>
        <w:r w:rsidR="00E97502" w:rsidRPr="0044546F">
          <w:rPr>
            <w:rStyle w:val="Hyperlink"/>
            <w:b/>
            <w:noProof/>
          </w:rPr>
          <w:t>AMEP and SEE programme total new clients (2010-11 to 2013-14)</w:t>
        </w:r>
        <w:r w:rsidR="00E97502">
          <w:rPr>
            <w:noProof/>
            <w:webHidden/>
          </w:rPr>
          <w:tab/>
        </w:r>
        <w:r w:rsidR="00E97502">
          <w:rPr>
            <w:noProof/>
            <w:webHidden/>
          </w:rPr>
          <w:fldChar w:fldCharType="begin"/>
        </w:r>
        <w:r w:rsidR="00E97502">
          <w:rPr>
            <w:noProof/>
            <w:webHidden/>
          </w:rPr>
          <w:instrText xml:space="preserve"> PAGEREF _Toc420078559 \h </w:instrText>
        </w:r>
        <w:r w:rsidR="00E97502">
          <w:rPr>
            <w:noProof/>
            <w:webHidden/>
          </w:rPr>
        </w:r>
        <w:r w:rsidR="00E97502">
          <w:rPr>
            <w:noProof/>
            <w:webHidden/>
          </w:rPr>
          <w:fldChar w:fldCharType="separate"/>
        </w:r>
        <w:r>
          <w:rPr>
            <w:noProof/>
            <w:webHidden/>
          </w:rPr>
          <w:t>9</w:t>
        </w:r>
        <w:r w:rsidR="00E97502">
          <w:rPr>
            <w:noProof/>
            <w:webHidden/>
          </w:rPr>
          <w:fldChar w:fldCharType="end"/>
        </w:r>
      </w:hyperlink>
    </w:p>
    <w:p w14:paraId="2655CB8C" w14:textId="77777777" w:rsidR="00E97502" w:rsidRDefault="00902F05">
      <w:pPr>
        <w:pStyle w:val="TableofFigures"/>
        <w:rPr>
          <w:rFonts w:asciiTheme="minorHAnsi" w:eastAsiaTheme="minorEastAsia" w:hAnsiTheme="minorHAnsi" w:cstheme="minorBidi"/>
          <w:noProof/>
          <w:sz w:val="22"/>
        </w:rPr>
      </w:pPr>
      <w:hyperlink w:anchor="_Toc420078560" w:history="1">
        <w:r w:rsidR="00E97502" w:rsidRPr="0044546F">
          <w:rPr>
            <w:rStyle w:val="Hyperlink"/>
            <w:rFonts w:cs="Arial"/>
            <w:noProof/>
          </w:rPr>
          <w:t>Figure 5</w:t>
        </w:r>
        <w:r w:rsidR="00E97502">
          <w:rPr>
            <w:rFonts w:asciiTheme="minorHAnsi" w:eastAsiaTheme="minorEastAsia" w:hAnsiTheme="minorHAnsi" w:cstheme="minorBidi"/>
            <w:noProof/>
            <w:sz w:val="22"/>
          </w:rPr>
          <w:tab/>
        </w:r>
        <w:r w:rsidR="00E97502" w:rsidRPr="0044546F">
          <w:rPr>
            <w:rStyle w:val="Hyperlink"/>
            <w:rFonts w:cs="Arial"/>
            <w:b/>
            <w:noProof/>
          </w:rPr>
          <w:t>Proportion of CALD SEE programme clients, by age group</w:t>
        </w:r>
        <w:r w:rsidR="00E97502">
          <w:rPr>
            <w:noProof/>
            <w:webHidden/>
          </w:rPr>
          <w:tab/>
        </w:r>
        <w:r w:rsidR="00E97502">
          <w:rPr>
            <w:noProof/>
            <w:webHidden/>
          </w:rPr>
          <w:fldChar w:fldCharType="begin"/>
        </w:r>
        <w:r w:rsidR="00E97502">
          <w:rPr>
            <w:noProof/>
            <w:webHidden/>
          </w:rPr>
          <w:instrText xml:space="preserve"> PAGEREF _Toc420078560 \h </w:instrText>
        </w:r>
        <w:r w:rsidR="00E97502">
          <w:rPr>
            <w:noProof/>
            <w:webHidden/>
          </w:rPr>
        </w:r>
        <w:r w:rsidR="00E97502">
          <w:rPr>
            <w:noProof/>
            <w:webHidden/>
          </w:rPr>
          <w:fldChar w:fldCharType="separate"/>
        </w:r>
        <w:r>
          <w:rPr>
            <w:noProof/>
            <w:webHidden/>
          </w:rPr>
          <w:t>11</w:t>
        </w:r>
        <w:r w:rsidR="00E97502">
          <w:rPr>
            <w:noProof/>
            <w:webHidden/>
          </w:rPr>
          <w:fldChar w:fldCharType="end"/>
        </w:r>
      </w:hyperlink>
    </w:p>
    <w:p w14:paraId="446E9319" w14:textId="77777777" w:rsidR="00E97502" w:rsidRDefault="00902F05">
      <w:pPr>
        <w:pStyle w:val="TableofFigures"/>
        <w:rPr>
          <w:rFonts w:asciiTheme="minorHAnsi" w:eastAsiaTheme="minorEastAsia" w:hAnsiTheme="minorHAnsi" w:cstheme="minorBidi"/>
          <w:noProof/>
          <w:sz w:val="22"/>
        </w:rPr>
      </w:pPr>
      <w:hyperlink w:anchor="_Toc420078561" w:history="1">
        <w:r w:rsidR="00E97502" w:rsidRPr="0044546F">
          <w:rPr>
            <w:rStyle w:val="Hyperlink"/>
            <w:rFonts w:cs="Arial"/>
            <w:noProof/>
          </w:rPr>
          <w:t>Figure 6</w:t>
        </w:r>
        <w:r w:rsidR="00E97502">
          <w:rPr>
            <w:rFonts w:asciiTheme="minorHAnsi" w:eastAsiaTheme="minorEastAsia" w:hAnsiTheme="minorHAnsi" w:cstheme="minorBidi"/>
            <w:noProof/>
            <w:sz w:val="22"/>
          </w:rPr>
          <w:tab/>
        </w:r>
        <w:r w:rsidR="00E97502" w:rsidRPr="0044546F">
          <w:rPr>
            <w:rStyle w:val="Hyperlink"/>
            <w:rFonts w:cs="Arial"/>
            <w:b/>
            <w:noProof/>
          </w:rPr>
          <w:t>Gender balance of the AMEP and SEE programme clients</w:t>
        </w:r>
        <w:r w:rsidR="00E97502">
          <w:rPr>
            <w:noProof/>
            <w:webHidden/>
          </w:rPr>
          <w:tab/>
        </w:r>
        <w:r w:rsidR="00E97502">
          <w:rPr>
            <w:noProof/>
            <w:webHidden/>
          </w:rPr>
          <w:fldChar w:fldCharType="begin"/>
        </w:r>
        <w:r w:rsidR="00E97502">
          <w:rPr>
            <w:noProof/>
            <w:webHidden/>
          </w:rPr>
          <w:instrText xml:space="preserve"> PAGEREF _Toc420078561 \h </w:instrText>
        </w:r>
        <w:r w:rsidR="00E97502">
          <w:rPr>
            <w:noProof/>
            <w:webHidden/>
          </w:rPr>
        </w:r>
        <w:r w:rsidR="00E97502">
          <w:rPr>
            <w:noProof/>
            <w:webHidden/>
          </w:rPr>
          <w:fldChar w:fldCharType="separate"/>
        </w:r>
        <w:r>
          <w:rPr>
            <w:noProof/>
            <w:webHidden/>
          </w:rPr>
          <w:t>12</w:t>
        </w:r>
        <w:r w:rsidR="00E97502">
          <w:rPr>
            <w:noProof/>
            <w:webHidden/>
          </w:rPr>
          <w:fldChar w:fldCharType="end"/>
        </w:r>
      </w:hyperlink>
    </w:p>
    <w:p w14:paraId="610E0CBB" w14:textId="77777777" w:rsidR="00E97502" w:rsidRDefault="00902F05">
      <w:pPr>
        <w:pStyle w:val="TableofFigures"/>
        <w:rPr>
          <w:rFonts w:asciiTheme="minorHAnsi" w:eastAsiaTheme="minorEastAsia" w:hAnsiTheme="minorHAnsi" w:cstheme="minorBidi"/>
          <w:noProof/>
          <w:sz w:val="22"/>
        </w:rPr>
      </w:pPr>
      <w:hyperlink w:anchor="_Toc420078562" w:history="1">
        <w:r w:rsidR="00E97502" w:rsidRPr="0044546F">
          <w:rPr>
            <w:rStyle w:val="Hyperlink"/>
            <w:noProof/>
          </w:rPr>
          <w:t>Figure 7</w:t>
        </w:r>
        <w:r w:rsidR="00E97502">
          <w:rPr>
            <w:rFonts w:asciiTheme="minorHAnsi" w:eastAsiaTheme="minorEastAsia" w:hAnsiTheme="minorHAnsi" w:cstheme="minorBidi"/>
            <w:noProof/>
            <w:sz w:val="22"/>
          </w:rPr>
          <w:tab/>
        </w:r>
        <w:r w:rsidR="00E97502" w:rsidRPr="0044546F">
          <w:rPr>
            <w:rStyle w:val="Hyperlink"/>
            <w:b/>
            <w:noProof/>
          </w:rPr>
          <w:t>Age profile of AMEP and SEE programme clients (2010-11 to 2013-14)</w:t>
        </w:r>
        <w:r w:rsidR="00E97502">
          <w:rPr>
            <w:noProof/>
            <w:webHidden/>
          </w:rPr>
          <w:tab/>
        </w:r>
        <w:r w:rsidR="00E97502">
          <w:rPr>
            <w:noProof/>
            <w:webHidden/>
          </w:rPr>
          <w:fldChar w:fldCharType="begin"/>
        </w:r>
        <w:r w:rsidR="00E97502">
          <w:rPr>
            <w:noProof/>
            <w:webHidden/>
          </w:rPr>
          <w:instrText xml:space="preserve"> PAGEREF _Toc420078562 \h </w:instrText>
        </w:r>
        <w:r w:rsidR="00E97502">
          <w:rPr>
            <w:noProof/>
            <w:webHidden/>
          </w:rPr>
        </w:r>
        <w:r w:rsidR="00E97502">
          <w:rPr>
            <w:noProof/>
            <w:webHidden/>
          </w:rPr>
          <w:fldChar w:fldCharType="separate"/>
        </w:r>
        <w:r>
          <w:rPr>
            <w:noProof/>
            <w:webHidden/>
          </w:rPr>
          <w:t>13</w:t>
        </w:r>
        <w:r w:rsidR="00E97502">
          <w:rPr>
            <w:noProof/>
            <w:webHidden/>
          </w:rPr>
          <w:fldChar w:fldCharType="end"/>
        </w:r>
      </w:hyperlink>
    </w:p>
    <w:p w14:paraId="730B5C4A" w14:textId="77777777" w:rsidR="00E97502" w:rsidRDefault="00902F05">
      <w:pPr>
        <w:pStyle w:val="TableofFigures"/>
        <w:rPr>
          <w:rFonts w:asciiTheme="minorHAnsi" w:eastAsiaTheme="minorEastAsia" w:hAnsiTheme="minorHAnsi" w:cstheme="minorBidi"/>
          <w:noProof/>
          <w:sz w:val="22"/>
        </w:rPr>
      </w:pPr>
      <w:hyperlink w:anchor="_Toc420078563" w:history="1">
        <w:r w:rsidR="00E97502" w:rsidRPr="0044546F">
          <w:rPr>
            <w:rStyle w:val="Hyperlink"/>
            <w:rFonts w:cs="Arial"/>
            <w:noProof/>
          </w:rPr>
          <w:t>Figure 8</w:t>
        </w:r>
        <w:r w:rsidR="00E97502">
          <w:rPr>
            <w:rFonts w:asciiTheme="minorHAnsi" w:eastAsiaTheme="minorEastAsia" w:hAnsiTheme="minorHAnsi" w:cstheme="minorBidi"/>
            <w:noProof/>
            <w:sz w:val="22"/>
          </w:rPr>
          <w:tab/>
        </w:r>
        <w:r w:rsidR="00E97502" w:rsidRPr="0044546F">
          <w:rPr>
            <w:rStyle w:val="Hyperlink"/>
            <w:rFonts w:cs="Arial"/>
            <w:b/>
            <w:noProof/>
          </w:rPr>
          <w:t>All AMEP and CALD SEE programme clients hours used</w:t>
        </w:r>
        <w:r w:rsidR="00E97502">
          <w:rPr>
            <w:noProof/>
            <w:webHidden/>
          </w:rPr>
          <w:tab/>
        </w:r>
        <w:r w:rsidR="00E97502">
          <w:rPr>
            <w:noProof/>
            <w:webHidden/>
          </w:rPr>
          <w:fldChar w:fldCharType="begin"/>
        </w:r>
        <w:r w:rsidR="00E97502">
          <w:rPr>
            <w:noProof/>
            <w:webHidden/>
          </w:rPr>
          <w:instrText xml:space="preserve"> PAGEREF _Toc420078563 \h </w:instrText>
        </w:r>
        <w:r w:rsidR="00E97502">
          <w:rPr>
            <w:noProof/>
            <w:webHidden/>
          </w:rPr>
        </w:r>
        <w:r w:rsidR="00E97502">
          <w:rPr>
            <w:noProof/>
            <w:webHidden/>
          </w:rPr>
          <w:fldChar w:fldCharType="separate"/>
        </w:r>
        <w:r>
          <w:rPr>
            <w:noProof/>
            <w:webHidden/>
          </w:rPr>
          <w:t>15</w:t>
        </w:r>
        <w:r w:rsidR="00E97502">
          <w:rPr>
            <w:noProof/>
            <w:webHidden/>
          </w:rPr>
          <w:fldChar w:fldCharType="end"/>
        </w:r>
      </w:hyperlink>
    </w:p>
    <w:p w14:paraId="15E0747A" w14:textId="77777777" w:rsidR="00E97502" w:rsidRDefault="00902F05">
      <w:pPr>
        <w:pStyle w:val="TableofFigures"/>
        <w:rPr>
          <w:rFonts w:asciiTheme="minorHAnsi" w:eastAsiaTheme="minorEastAsia" w:hAnsiTheme="minorHAnsi" w:cstheme="minorBidi"/>
          <w:noProof/>
          <w:sz w:val="22"/>
        </w:rPr>
      </w:pPr>
      <w:hyperlink w:anchor="_Toc420078564" w:history="1">
        <w:r w:rsidR="00E97502" w:rsidRPr="0044546F">
          <w:rPr>
            <w:rStyle w:val="Hyperlink"/>
            <w:noProof/>
          </w:rPr>
          <w:t>Figure 9</w:t>
        </w:r>
        <w:r w:rsidR="00E97502">
          <w:rPr>
            <w:rFonts w:asciiTheme="minorHAnsi" w:eastAsiaTheme="minorEastAsia" w:hAnsiTheme="minorHAnsi" w:cstheme="minorBidi"/>
            <w:noProof/>
            <w:sz w:val="22"/>
          </w:rPr>
          <w:tab/>
        </w:r>
        <w:r w:rsidR="00E97502" w:rsidRPr="0044546F">
          <w:rPr>
            <w:rStyle w:val="Hyperlink"/>
            <w:b/>
            <w:noProof/>
          </w:rPr>
          <w:t>AMEP and SEE providers and subcontractors</w:t>
        </w:r>
        <w:r w:rsidR="00E97502">
          <w:rPr>
            <w:noProof/>
            <w:webHidden/>
          </w:rPr>
          <w:tab/>
        </w:r>
        <w:r w:rsidR="00E97502">
          <w:rPr>
            <w:noProof/>
            <w:webHidden/>
          </w:rPr>
          <w:fldChar w:fldCharType="begin"/>
        </w:r>
        <w:r w:rsidR="00E97502">
          <w:rPr>
            <w:noProof/>
            <w:webHidden/>
          </w:rPr>
          <w:instrText xml:space="preserve"> PAGEREF _Toc420078564 \h </w:instrText>
        </w:r>
        <w:r w:rsidR="00E97502">
          <w:rPr>
            <w:noProof/>
            <w:webHidden/>
          </w:rPr>
        </w:r>
        <w:r w:rsidR="00E97502">
          <w:rPr>
            <w:noProof/>
            <w:webHidden/>
          </w:rPr>
          <w:fldChar w:fldCharType="separate"/>
        </w:r>
        <w:r>
          <w:rPr>
            <w:noProof/>
            <w:webHidden/>
          </w:rPr>
          <w:t>19</w:t>
        </w:r>
        <w:r w:rsidR="00E97502">
          <w:rPr>
            <w:noProof/>
            <w:webHidden/>
          </w:rPr>
          <w:fldChar w:fldCharType="end"/>
        </w:r>
      </w:hyperlink>
    </w:p>
    <w:p w14:paraId="5EE12DE2" w14:textId="77777777" w:rsidR="00E97502" w:rsidRDefault="00902F05">
      <w:pPr>
        <w:pStyle w:val="TableofFigures"/>
        <w:rPr>
          <w:rFonts w:asciiTheme="minorHAnsi" w:eastAsiaTheme="minorEastAsia" w:hAnsiTheme="minorHAnsi" w:cstheme="minorBidi"/>
          <w:noProof/>
          <w:sz w:val="22"/>
        </w:rPr>
      </w:pPr>
      <w:hyperlink w:anchor="_Toc420078565" w:history="1">
        <w:r w:rsidR="00E97502" w:rsidRPr="0044546F">
          <w:rPr>
            <w:rStyle w:val="Hyperlink"/>
            <w:noProof/>
          </w:rPr>
          <w:t>Figure 10</w:t>
        </w:r>
        <w:r w:rsidR="00E97502">
          <w:rPr>
            <w:rFonts w:asciiTheme="minorHAnsi" w:eastAsiaTheme="minorEastAsia" w:hAnsiTheme="minorHAnsi" w:cstheme="minorBidi"/>
            <w:noProof/>
            <w:sz w:val="22"/>
          </w:rPr>
          <w:tab/>
        </w:r>
        <w:r w:rsidR="00E97502" w:rsidRPr="0044546F">
          <w:rPr>
            <w:rStyle w:val="Hyperlink"/>
            <w:b/>
            <w:noProof/>
          </w:rPr>
          <w:t>Addressing the proficiency gap</w:t>
        </w:r>
        <w:r w:rsidR="00E97502">
          <w:rPr>
            <w:noProof/>
            <w:webHidden/>
          </w:rPr>
          <w:tab/>
        </w:r>
        <w:r w:rsidR="00E97502">
          <w:rPr>
            <w:noProof/>
            <w:webHidden/>
          </w:rPr>
          <w:fldChar w:fldCharType="begin"/>
        </w:r>
        <w:r w:rsidR="00E97502">
          <w:rPr>
            <w:noProof/>
            <w:webHidden/>
          </w:rPr>
          <w:instrText xml:space="preserve"> PAGEREF _Toc420078565 \h </w:instrText>
        </w:r>
        <w:r w:rsidR="00E97502">
          <w:rPr>
            <w:noProof/>
            <w:webHidden/>
          </w:rPr>
        </w:r>
        <w:r w:rsidR="00E97502">
          <w:rPr>
            <w:noProof/>
            <w:webHidden/>
          </w:rPr>
          <w:fldChar w:fldCharType="separate"/>
        </w:r>
        <w:r>
          <w:rPr>
            <w:noProof/>
            <w:webHidden/>
          </w:rPr>
          <w:t>21</w:t>
        </w:r>
        <w:r w:rsidR="00E97502">
          <w:rPr>
            <w:noProof/>
            <w:webHidden/>
          </w:rPr>
          <w:fldChar w:fldCharType="end"/>
        </w:r>
      </w:hyperlink>
    </w:p>
    <w:p w14:paraId="5DEC0AB7" w14:textId="77777777" w:rsidR="00473688" w:rsidRDefault="00473688" w:rsidP="00EB55F6">
      <w:pPr>
        <w:pStyle w:val="TableofFigures"/>
      </w:pPr>
      <w:r w:rsidRPr="004D18B4">
        <w:fldChar w:fldCharType="end"/>
      </w:r>
    </w:p>
    <w:p w14:paraId="4363E3F9" w14:textId="77777777" w:rsidR="00473688" w:rsidRDefault="00473688" w:rsidP="003C37AA">
      <w:pPr>
        <w:pStyle w:val="TOAHeading"/>
      </w:pPr>
      <w:r>
        <w:t>List of tables</w:t>
      </w:r>
    </w:p>
    <w:p w14:paraId="7AFEE89E" w14:textId="77777777" w:rsidR="00E97502" w:rsidRDefault="00473688">
      <w:pPr>
        <w:pStyle w:val="TableofFigures"/>
        <w:rPr>
          <w:rFonts w:asciiTheme="minorHAnsi" w:eastAsiaTheme="minorEastAsia" w:hAnsiTheme="minorHAnsi" w:cstheme="minorBidi"/>
          <w:noProof/>
          <w:sz w:val="22"/>
        </w:rPr>
      </w:pPr>
      <w:r w:rsidRPr="004D18B4">
        <w:fldChar w:fldCharType="begin"/>
      </w:r>
      <w:r w:rsidRPr="004D18B4">
        <w:instrText xml:space="preserve"> TOC </w:instrText>
      </w:r>
      <w:r>
        <w:instrText>\h \z</w:instrText>
      </w:r>
      <w:r w:rsidRPr="004D18B4">
        <w:instrText xml:space="preserve"> \c "Table" </w:instrText>
      </w:r>
      <w:r>
        <w:instrText>\*FirstCap</w:instrText>
      </w:r>
      <w:r w:rsidRPr="004D18B4">
        <w:fldChar w:fldCharType="separate"/>
      </w:r>
      <w:hyperlink w:anchor="_Toc420078566" w:history="1">
        <w:r w:rsidR="00E97502" w:rsidRPr="0098078B">
          <w:rPr>
            <w:rStyle w:val="Hyperlink"/>
            <w:noProof/>
          </w:rPr>
          <w:t>Table 1</w:t>
        </w:r>
        <w:r w:rsidR="00E97502">
          <w:rPr>
            <w:rFonts w:asciiTheme="minorHAnsi" w:eastAsiaTheme="minorEastAsia" w:hAnsiTheme="minorHAnsi" w:cstheme="minorBidi"/>
            <w:noProof/>
            <w:sz w:val="22"/>
          </w:rPr>
          <w:tab/>
        </w:r>
        <w:r w:rsidR="00E97502" w:rsidRPr="0098078B">
          <w:rPr>
            <w:rStyle w:val="Hyperlink"/>
            <w:b/>
            <w:noProof/>
          </w:rPr>
          <w:t>Target groups of the AMEP and the SEE programme</w:t>
        </w:r>
        <w:r w:rsidR="00E97502">
          <w:rPr>
            <w:noProof/>
            <w:webHidden/>
          </w:rPr>
          <w:tab/>
        </w:r>
        <w:r w:rsidR="00E97502">
          <w:rPr>
            <w:noProof/>
            <w:webHidden/>
          </w:rPr>
          <w:fldChar w:fldCharType="begin"/>
        </w:r>
        <w:r w:rsidR="00E97502">
          <w:rPr>
            <w:noProof/>
            <w:webHidden/>
          </w:rPr>
          <w:instrText xml:space="preserve"> PAGEREF _Toc420078566 \h </w:instrText>
        </w:r>
        <w:r w:rsidR="00E97502">
          <w:rPr>
            <w:noProof/>
            <w:webHidden/>
          </w:rPr>
        </w:r>
        <w:r w:rsidR="00E97502">
          <w:rPr>
            <w:noProof/>
            <w:webHidden/>
          </w:rPr>
          <w:fldChar w:fldCharType="separate"/>
        </w:r>
        <w:r w:rsidR="00902F05">
          <w:rPr>
            <w:noProof/>
            <w:webHidden/>
          </w:rPr>
          <w:t>4</w:t>
        </w:r>
        <w:r w:rsidR="00E97502">
          <w:rPr>
            <w:noProof/>
            <w:webHidden/>
          </w:rPr>
          <w:fldChar w:fldCharType="end"/>
        </w:r>
      </w:hyperlink>
    </w:p>
    <w:p w14:paraId="202EE4D2" w14:textId="77777777" w:rsidR="00E97502" w:rsidRDefault="00902F05">
      <w:pPr>
        <w:pStyle w:val="TableofFigures"/>
        <w:rPr>
          <w:rFonts w:asciiTheme="minorHAnsi" w:eastAsiaTheme="minorEastAsia" w:hAnsiTheme="minorHAnsi" w:cstheme="minorBidi"/>
          <w:noProof/>
          <w:sz w:val="22"/>
        </w:rPr>
      </w:pPr>
      <w:hyperlink w:anchor="_Toc420078567" w:history="1">
        <w:r w:rsidR="00E97502" w:rsidRPr="0098078B">
          <w:rPr>
            <w:rStyle w:val="Hyperlink"/>
            <w:noProof/>
          </w:rPr>
          <w:t>Table 2</w:t>
        </w:r>
        <w:r w:rsidR="00E97502">
          <w:rPr>
            <w:rFonts w:asciiTheme="minorHAnsi" w:eastAsiaTheme="minorEastAsia" w:hAnsiTheme="minorHAnsi" w:cstheme="minorBidi"/>
            <w:noProof/>
            <w:sz w:val="22"/>
          </w:rPr>
          <w:tab/>
        </w:r>
        <w:r w:rsidR="00E97502" w:rsidRPr="0098078B">
          <w:rPr>
            <w:rStyle w:val="Hyperlink"/>
            <w:b/>
            <w:noProof/>
          </w:rPr>
          <w:t>Approach to training for employment and work experience</w:t>
        </w:r>
        <w:r w:rsidR="00E97502">
          <w:rPr>
            <w:noProof/>
            <w:webHidden/>
          </w:rPr>
          <w:tab/>
        </w:r>
        <w:r w:rsidR="00E97502">
          <w:rPr>
            <w:noProof/>
            <w:webHidden/>
          </w:rPr>
          <w:fldChar w:fldCharType="begin"/>
        </w:r>
        <w:r w:rsidR="00E97502">
          <w:rPr>
            <w:noProof/>
            <w:webHidden/>
          </w:rPr>
          <w:instrText xml:space="preserve"> PAGEREF _Toc420078567 \h </w:instrText>
        </w:r>
        <w:r w:rsidR="00E97502">
          <w:rPr>
            <w:noProof/>
            <w:webHidden/>
          </w:rPr>
        </w:r>
        <w:r w:rsidR="00E97502">
          <w:rPr>
            <w:noProof/>
            <w:webHidden/>
          </w:rPr>
          <w:fldChar w:fldCharType="separate"/>
        </w:r>
        <w:r>
          <w:rPr>
            <w:noProof/>
            <w:webHidden/>
          </w:rPr>
          <w:t>16</w:t>
        </w:r>
        <w:r w:rsidR="00E97502">
          <w:rPr>
            <w:noProof/>
            <w:webHidden/>
          </w:rPr>
          <w:fldChar w:fldCharType="end"/>
        </w:r>
      </w:hyperlink>
    </w:p>
    <w:p w14:paraId="420D03A9" w14:textId="77777777" w:rsidR="00E97502" w:rsidRDefault="00902F05">
      <w:pPr>
        <w:pStyle w:val="TableofFigures"/>
        <w:rPr>
          <w:rFonts w:asciiTheme="minorHAnsi" w:eastAsiaTheme="minorEastAsia" w:hAnsiTheme="minorHAnsi" w:cstheme="minorBidi"/>
          <w:noProof/>
          <w:sz w:val="22"/>
        </w:rPr>
      </w:pPr>
      <w:hyperlink w:anchor="_Toc420078568" w:history="1">
        <w:r w:rsidR="00E97502" w:rsidRPr="0098078B">
          <w:rPr>
            <w:rStyle w:val="Hyperlink"/>
            <w:noProof/>
          </w:rPr>
          <w:t>Table 3</w:t>
        </w:r>
        <w:r w:rsidR="00E97502">
          <w:rPr>
            <w:rFonts w:asciiTheme="minorHAnsi" w:eastAsiaTheme="minorEastAsia" w:hAnsiTheme="minorHAnsi" w:cstheme="minorBidi"/>
            <w:noProof/>
            <w:sz w:val="22"/>
          </w:rPr>
          <w:tab/>
        </w:r>
        <w:r w:rsidR="00E97502" w:rsidRPr="0098078B">
          <w:rPr>
            <w:rStyle w:val="Hyperlink"/>
            <w:b/>
            <w:noProof/>
          </w:rPr>
          <w:t>Preliminary mapping of LLN and ESL courses and test bands to ACSF</w:t>
        </w:r>
        <w:r w:rsidR="00E97502">
          <w:rPr>
            <w:noProof/>
            <w:webHidden/>
          </w:rPr>
          <w:tab/>
        </w:r>
        <w:r w:rsidR="00E97502">
          <w:rPr>
            <w:noProof/>
            <w:webHidden/>
          </w:rPr>
          <w:fldChar w:fldCharType="begin"/>
        </w:r>
        <w:r w:rsidR="00E97502">
          <w:rPr>
            <w:noProof/>
            <w:webHidden/>
          </w:rPr>
          <w:instrText xml:space="preserve"> PAGEREF _Toc420078568 \h </w:instrText>
        </w:r>
        <w:r w:rsidR="00E97502">
          <w:rPr>
            <w:noProof/>
            <w:webHidden/>
          </w:rPr>
        </w:r>
        <w:r w:rsidR="00E97502">
          <w:rPr>
            <w:noProof/>
            <w:webHidden/>
          </w:rPr>
          <w:fldChar w:fldCharType="separate"/>
        </w:r>
        <w:r>
          <w:rPr>
            <w:noProof/>
            <w:webHidden/>
          </w:rPr>
          <w:t>2</w:t>
        </w:r>
        <w:r w:rsidR="00E97502">
          <w:rPr>
            <w:noProof/>
            <w:webHidden/>
          </w:rPr>
          <w:fldChar w:fldCharType="end"/>
        </w:r>
      </w:hyperlink>
    </w:p>
    <w:p w14:paraId="3A2D2C64" w14:textId="77777777" w:rsidR="00473688" w:rsidRDefault="00473688" w:rsidP="0070776B">
      <w:pPr>
        <w:pStyle w:val="TableofFigures"/>
        <w:rPr>
          <w:noProof/>
        </w:rPr>
      </w:pPr>
      <w:r w:rsidRPr="004D18B4">
        <w:fldChar w:fldCharType="end"/>
      </w:r>
    </w:p>
    <w:p w14:paraId="720CD815" w14:textId="77777777" w:rsidR="00473688" w:rsidRDefault="00473688" w:rsidP="003C37AA">
      <w:pPr>
        <w:pStyle w:val="BodyText"/>
      </w:pPr>
    </w:p>
    <w:p w14:paraId="71CAA313" w14:textId="77777777" w:rsidR="00473688" w:rsidRDefault="00473688" w:rsidP="003C37AA">
      <w:pPr>
        <w:pStyle w:val="BodyText"/>
      </w:pPr>
    </w:p>
    <w:p w14:paraId="05DEFD14" w14:textId="77777777" w:rsidR="00473688" w:rsidRDefault="00473688" w:rsidP="003C37AA">
      <w:pPr>
        <w:pStyle w:val="BodyText"/>
      </w:pPr>
    </w:p>
    <w:p w14:paraId="569F8E67" w14:textId="77777777" w:rsidR="00473688" w:rsidRDefault="00473688">
      <w:pPr>
        <w:pStyle w:val="BodyText"/>
        <w:sectPr w:rsidR="00473688" w:rsidSect="003C37AA">
          <w:headerReference w:type="even" r:id="rId12"/>
          <w:headerReference w:type="default" r:id="rId13"/>
          <w:footerReference w:type="even" r:id="rId14"/>
          <w:footerReference w:type="default" r:id="rId15"/>
          <w:headerReference w:type="first" r:id="rId16"/>
          <w:footerReference w:type="first" r:id="rId17"/>
          <w:pgSz w:w="11907" w:h="16839" w:code="9"/>
          <w:pgMar w:top="1134" w:right="850" w:bottom="907" w:left="3118" w:header="709" w:footer="567" w:gutter="567"/>
          <w:pgNumType w:fmt="lowerRoman"/>
          <w:cols w:space="720"/>
          <w:docGrid w:linePitch="272"/>
        </w:sectPr>
      </w:pPr>
    </w:p>
    <w:p w14:paraId="4226F0B7" w14:textId="77777777" w:rsidR="00473688" w:rsidRDefault="001B016C" w:rsidP="001B016C">
      <w:pPr>
        <w:pStyle w:val="Heading1nonumber"/>
      </w:pPr>
      <w:r>
        <w:lastRenderedPageBreak/>
        <w:t>Acknowledgements</w:t>
      </w:r>
    </w:p>
    <w:p w14:paraId="6AED7A83" w14:textId="3465A4F5" w:rsidR="001B016C" w:rsidRDefault="00AA1B1E" w:rsidP="001B016C">
      <w:pPr>
        <w:pStyle w:val="BodyText"/>
      </w:pPr>
      <w:r>
        <w:t xml:space="preserve">The project team would like to thank all those who participated in consultations, provided public submissions and completed surveys. </w:t>
      </w:r>
      <w:r w:rsidR="001B016C">
        <w:t xml:space="preserve">All participants were welcoming and generous with their time, and provided useful and interesting insights into the </w:t>
      </w:r>
      <w:r w:rsidR="009B56B2">
        <w:t>AMEP</w:t>
      </w:r>
      <w:r w:rsidR="0039003B">
        <w:t xml:space="preserve"> and </w:t>
      </w:r>
      <w:r w:rsidR="00AE13AC">
        <w:t>SEE programme</w:t>
      </w:r>
      <w:r w:rsidR="009B56B2">
        <w:t>.</w:t>
      </w:r>
    </w:p>
    <w:p w14:paraId="3381F238" w14:textId="77777777" w:rsidR="009B56B2" w:rsidRDefault="009B56B2" w:rsidP="003C37AA">
      <w:pPr>
        <w:pStyle w:val="BodyText"/>
        <w:tabs>
          <w:tab w:val="left" w:pos="4643"/>
        </w:tabs>
        <w:sectPr w:rsidR="009B56B2" w:rsidSect="003C37AA">
          <w:headerReference w:type="even" r:id="rId18"/>
          <w:headerReference w:type="default" r:id="rId19"/>
          <w:footerReference w:type="even" r:id="rId20"/>
          <w:footerReference w:type="default" r:id="rId21"/>
          <w:headerReference w:type="first" r:id="rId22"/>
          <w:footerReference w:type="first" r:id="rId23"/>
          <w:pgSz w:w="11907" w:h="16839" w:code="9"/>
          <w:pgMar w:top="1134" w:right="850" w:bottom="907" w:left="3118" w:header="709" w:footer="567" w:gutter="567"/>
          <w:pgNumType w:fmt="lowerRoman"/>
          <w:cols w:space="720"/>
          <w:docGrid w:linePitch="272"/>
        </w:sectPr>
      </w:pPr>
    </w:p>
    <w:p w14:paraId="1B362749" w14:textId="77777777" w:rsidR="009B56B2" w:rsidRPr="00661FF5" w:rsidRDefault="009B56B2" w:rsidP="009B56B2">
      <w:pPr>
        <w:keepNext/>
        <w:spacing w:before="300" w:after="0" w:line="240" w:lineRule="auto"/>
        <w:outlineLvl w:val="2"/>
        <w:rPr>
          <w:rFonts w:asciiTheme="majorHAnsi" w:hAnsiTheme="majorHAnsi"/>
          <w:b/>
          <w:color w:val="9757A6" w:themeColor="text2"/>
          <w:sz w:val="36"/>
          <w:szCs w:val="36"/>
          <w:lang w:eastAsia="en-AU"/>
        </w:rPr>
      </w:pPr>
      <w:r w:rsidRPr="00661FF5">
        <w:rPr>
          <w:rFonts w:asciiTheme="majorHAnsi" w:hAnsiTheme="majorHAnsi"/>
          <w:b/>
          <w:color w:val="9757A6" w:themeColor="text2"/>
          <w:sz w:val="36"/>
          <w:szCs w:val="36"/>
          <w:lang w:eastAsia="en-AU"/>
        </w:rPr>
        <w:lastRenderedPageBreak/>
        <w:t>Ac</w:t>
      </w:r>
      <w:r>
        <w:rPr>
          <w:rFonts w:asciiTheme="majorHAnsi" w:hAnsiTheme="majorHAnsi"/>
          <w:b/>
          <w:color w:val="9757A6" w:themeColor="text2"/>
          <w:sz w:val="36"/>
          <w:szCs w:val="36"/>
          <w:lang w:eastAsia="en-AU"/>
        </w:rPr>
        <w:t xml:space="preserve">ronyms </w:t>
      </w:r>
    </w:p>
    <w:p w14:paraId="078DE64D" w14:textId="77777777" w:rsidR="009B56B2" w:rsidRPr="00806743" w:rsidRDefault="009B56B2" w:rsidP="009B56B2">
      <w:pPr>
        <w:spacing w:line="260" w:lineRule="exact"/>
        <w:rPr>
          <w:rFonts w:ascii="Arial Narrow" w:hAnsi="Arial Narrow"/>
          <w:lang w:eastAsia="en-AU"/>
        </w:rPr>
      </w:pPr>
    </w:p>
    <w:tbl>
      <w:tblPr>
        <w:tblW w:w="7513" w:type="dxa"/>
        <w:tblLayout w:type="fixed"/>
        <w:tblCellMar>
          <w:left w:w="142" w:type="dxa"/>
          <w:right w:w="56" w:type="dxa"/>
        </w:tblCellMar>
        <w:tblLook w:val="0000" w:firstRow="0" w:lastRow="0" w:firstColumn="0" w:lastColumn="0" w:noHBand="0" w:noVBand="0"/>
      </w:tblPr>
      <w:tblGrid>
        <w:gridCol w:w="1560"/>
        <w:gridCol w:w="5953"/>
      </w:tblGrid>
      <w:tr w:rsidR="00B1278B" w:rsidRPr="00806743" w14:paraId="578BEDA4" w14:textId="77777777" w:rsidTr="003C37AA">
        <w:trPr>
          <w:cantSplit/>
        </w:trPr>
        <w:tc>
          <w:tcPr>
            <w:tcW w:w="1560" w:type="dxa"/>
            <w:shd w:val="clear" w:color="auto" w:fill="auto"/>
          </w:tcPr>
          <w:p w14:paraId="69C8D616" w14:textId="77777777" w:rsidR="00B1278B" w:rsidRPr="00806743" w:rsidRDefault="00B1278B" w:rsidP="008B04E9">
            <w:pPr>
              <w:pStyle w:val="BodyText"/>
            </w:pPr>
            <w:r>
              <w:t>AMEP</w:t>
            </w:r>
          </w:p>
        </w:tc>
        <w:tc>
          <w:tcPr>
            <w:tcW w:w="5953" w:type="dxa"/>
            <w:shd w:val="clear" w:color="auto" w:fill="auto"/>
          </w:tcPr>
          <w:p w14:paraId="58C9FA15" w14:textId="77777777" w:rsidR="00B1278B" w:rsidRPr="00806743" w:rsidRDefault="00B1278B" w:rsidP="008B04E9">
            <w:pPr>
              <w:pStyle w:val="BodyText"/>
            </w:pPr>
            <w:r>
              <w:t>Adult Migrant English Program</w:t>
            </w:r>
          </w:p>
        </w:tc>
      </w:tr>
      <w:tr w:rsidR="00B1278B" w:rsidRPr="00806743" w14:paraId="658BDF2F" w14:textId="77777777" w:rsidTr="003C37AA">
        <w:trPr>
          <w:cantSplit/>
        </w:trPr>
        <w:tc>
          <w:tcPr>
            <w:tcW w:w="1560" w:type="dxa"/>
            <w:shd w:val="clear" w:color="auto" w:fill="auto"/>
          </w:tcPr>
          <w:p w14:paraId="2E2889A4" w14:textId="77777777" w:rsidR="00B1278B" w:rsidRPr="00806743" w:rsidRDefault="00B1278B" w:rsidP="008B04E9">
            <w:pPr>
              <w:pStyle w:val="BodyText"/>
            </w:pPr>
            <w:r>
              <w:t>ASQA</w:t>
            </w:r>
          </w:p>
        </w:tc>
        <w:tc>
          <w:tcPr>
            <w:tcW w:w="5953" w:type="dxa"/>
            <w:shd w:val="clear" w:color="auto" w:fill="auto"/>
          </w:tcPr>
          <w:p w14:paraId="643522FB" w14:textId="77777777" w:rsidR="00B1278B" w:rsidRPr="00806743" w:rsidRDefault="00B1278B" w:rsidP="008B04E9">
            <w:pPr>
              <w:pStyle w:val="BodyText"/>
              <w:rPr>
                <w:rFonts w:ascii="Arial" w:hAnsi="Arial"/>
                <w:color w:val="000000"/>
                <w:sz w:val="16"/>
                <w:lang w:eastAsia="en-US"/>
              </w:rPr>
            </w:pPr>
            <w:r w:rsidRPr="00944EDA">
              <w:t>Australian Skills Quality Authority</w:t>
            </w:r>
          </w:p>
        </w:tc>
      </w:tr>
      <w:tr w:rsidR="00B1278B" w:rsidRPr="00806743" w14:paraId="0C7E370B" w14:textId="77777777" w:rsidTr="003C37AA">
        <w:trPr>
          <w:cantSplit/>
        </w:trPr>
        <w:tc>
          <w:tcPr>
            <w:tcW w:w="1560" w:type="dxa"/>
            <w:shd w:val="clear" w:color="auto" w:fill="auto"/>
          </w:tcPr>
          <w:p w14:paraId="41FDEC69" w14:textId="77777777" w:rsidR="00B1278B" w:rsidRPr="00806743" w:rsidRDefault="00B1278B" w:rsidP="008B04E9">
            <w:pPr>
              <w:pStyle w:val="BodyText"/>
              <w:rPr>
                <w:rFonts w:ascii="Arial" w:hAnsi="Arial"/>
                <w:color w:val="000000"/>
                <w:sz w:val="16"/>
                <w:lang w:eastAsia="en-US"/>
              </w:rPr>
            </w:pPr>
            <w:r>
              <w:t>CALD</w:t>
            </w:r>
          </w:p>
        </w:tc>
        <w:tc>
          <w:tcPr>
            <w:tcW w:w="5953" w:type="dxa"/>
            <w:shd w:val="clear" w:color="auto" w:fill="auto"/>
          </w:tcPr>
          <w:p w14:paraId="456345EC" w14:textId="77777777" w:rsidR="00B1278B" w:rsidRPr="00806743" w:rsidRDefault="00B1278B" w:rsidP="008B04E9">
            <w:pPr>
              <w:pStyle w:val="BodyText"/>
              <w:rPr>
                <w:rFonts w:ascii="Arial" w:hAnsi="Arial"/>
                <w:color w:val="000000"/>
                <w:sz w:val="16"/>
                <w:lang w:eastAsia="en-US"/>
              </w:rPr>
            </w:pPr>
            <w:r w:rsidRPr="003F37FD">
              <w:t>Culturally and Linguistically Diverse</w:t>
            </w:r>
          </w:p>
        </w:tc>
      </w:tr>
      <w:tr w:rsidR="00B1278B" w:rsidRPr="00806743" w14:paraId="6EBF2F05" w14:textId="77777777" w:rsidTr="003C37AA">
        <w:trPr>
          <w:cantSplit/>
        </w:trPr>
        <w:tc>
          <w:tcPr>
            <w:tcW w:w="1560" w:type="dxa"/>
            <w:shd w:val="clear" w:color="auto" w:fill="auto"/>
          </w:tcPr>
          <w:p w14:paraId="61125F56" w14:textId="77777777" w:rsidR="00B1278B" w:rsidRPr="00806743" w:rsidRDefault="00B1278B" w:rsidP="008B04E9">
            <w:pPr>
              <w:pStyle w:val="BodyText"/>
              <w:rPr>
                <w:rFonts w:ascii="Arial" w:hAnsi="Arial"/>
                <w:color w:val="000000"/>
                <w:sz w:val="16"/>
                <w:lang w:eastAsia="en-US"/>
              </w:rPr>
            </w:pPr>
            <w:r>
              <w:t>CSWE</w:t>
            </w:r>
          </w:p>
        </w:tc>
        <w:tc>
          <w:tcPr>
            <w:tcW w:w="5953" w:type="dxa"/>
            <w:shd w:val="clear" w:color="auto" w:fill="auto"/>
          </w:tcPr>
          <w:p w14:paraId="18E044E1" w14:textId="77777777" w:rsidR="00B1278B" w:rsidRPr="00806743" w:rsidRDefault="00CA42AD" w:rsidP="008B04E9">
            <w:pPr>
              <w:pStyle w:val="BodyText"/>
              <w:rPr>
                <w:rFonts w:ascii="Arial" w:hAnsi="Arial"/>
                <w:color w:val="000000"/>
                <w:sz w:val="16"/>
                <w:lang w:eastAsia="en-US"/>
              </w:rPr>
            </w:pPr>
            <w:r w:rsidRPr="00CA42AD">
              <w:t>Certificates in Spoken and Written English</w:t>
            </w:r>
          </w:p>
        </w:tc>
      </w:tr>
      <w:tr w:rsidR="00B1278B" w:rsidRPr="00806743" w14:paraId="5689CA54" w14:textId="77777777" w:rsidTr="003C37AA">
        <w:trPr>
          <w:cantSplit/>
        </w:trPr>
        <w:tc>
          <w:tcPr>
            <w:tcW w:w="1560" w:type="dxa"/>
            <w:shd w:val="clear" w:color="auto" w:fill="auto"/>
          </w:tcPr>
          <w:p w14:paraId="377BD75E" w14:textId="77777777" w:rsidR="00B1278B" w:rsidRPr="00806743" w:rsidRDefault="00B1278B" w:rsidP="008B04E9">
            <w:pPr>
              <w:pStyle w:val="BodyText"/>
              <w:rPr>
                <w:rFonts w:ascii="Arial" w:hAnsi="Arial"/>
                <w:color w:val="000000"/>
                <w:sz w:val="16"/>
                <w:lang w:eastAsia="en-US"/>
              </w:rPr>
            </w:pPr>
            <w:r>
              <w:t>DSS</w:t>
            </w:r>
          </w:p>
        </w:tc>
        <w:tc>
          <w:tcPr>
            <w:tcW w:w="5953" w:type="dxa"/>
            <w:shd w:val="clear" w:color="auto" w:fill="auto"/>
          </w:tcPr>
          <w:p w14:paraId="2501F110" w14:textId="77777777" w:rsidR="00B1278B" w:rsidRPr="00806743" w:rsidRDefault="00B1278B" w:rsidP="008B04E9">
            <w:pPr>
              <w:pStyle w:val="BodyText"/>
              <w:rPr>
                <w:rFonts w:ascii="Arial" w:hAnsi="Arial"/>
                <w:color w:val="000000"/>
                <w:sz w:val="16"/>
                <w:lang w:eastAsia="en-US"/>
              </w:rPr>
            </w:pPr>
            <w:r w:rsidRPr="00210254">
              <w:t>Department of Social Services</w:t>
            </w:r>
          </w:p>
        </w:tc>
      </w:tr>
      <w:tr w:rsidR="00B1278B" w:rsidRPr="00806743" w14:paraId="4A27FCBA" w14:textId="77777777" w:rsidTr="003C37AA">
        <w:trPr>
          <w:cantSplit/>
        </w:trPr>
        <w:tc>
          <w:tcPr>
            <w:tcW w:w="1560" w:type="dxa"/>
            <w:shd w:val="clear" w:color="auto" w:fill="auto"/>
          </w:tcPr>
          <w:p w14:paraId="7F23D858" w14:textId="77777777" w:rsidR="00B1278B" w:rsidRPr="00806743" w:rsidRDefault="00B1278B" w:rsidP="008B04E9">
            <w:pPr>
              <w:pStyle w:val="BodyText"/>
              <w:rPr>
                <w:rFonts w:ascii="Arial" w:hAnsi="Arial"/>
                <w:color w:val="000000"/>
                <w:sz w:val="16"/>
                <w:lang w:eastAsia="en-US"/>
              </w:rPr>
            </w:pPr>
            <w:r>
              <w:t>EPP</w:t>
            </w:r>
          </w:p>
        </w:tc>
        <w:tc>
          <w:tcPr>
            <w:tcW w:w="5953" w:type="dxa"/>
            <w:shd w:val="clear" w:color="auto" w:fill="auto"/>
          </w:tcPr>
          <w:p w14:paraId="1D2FB463" w14:textId="77777777" w:rsidR="00B1278B" w:rsidRPr="00806743" w:rsidRDefault="00B1278B" w:rsidP="008B04E9">
            <w:pPr>
              <w:pStyle w:val="BodyText"/>
              <w:rPr>
                <w:rFonts w:ascii="Arial" w:hAnsi="Arial"/>
                <w:color w:val="000000"/>
                <w:sz w:val="16"/>
                <w:lang w:eastAsia="en-US"/>
              </w:rPr>
            </w:pPr>
            <w:r w:rsidRPr="003F37FD">
              <w:t>Employment Pathway Plan</w:t>
            </w:r>
          </w:p>
        </w:tc>
      </w:tr>
      <w:tr w:rsidR="00B1278B" w:rsidRPr="00806743" w14:paraId="1B681040" w14:textId="77777777" w:rsidTr="003C37AA">
        <w:trPr>
          <w:cantSplit/>
        </w:trPr>
        <w:tc>
          <w:tcPr>
            <w:tcW w:w="1560" w:type="dxa"/>
            <w:shd w:val="clear" w:color="auto" w:fill="auto"/>
          </w:tcPr>
          <w:p w14:paraId="7B173F56" w14:textId="77777777" w:rsidR="00B1278B" w:rsidRPr="00806743" w:rsidRDefault="00B1278B" w:rsidP="008B04E9">
            <w:pPr>
              <w:pStyle w:val="BodyText"/>
              <w:rPr>
                <w:rFonts w:ascii="Arial" w:hAnsi="Arial"/>
                <w:color w:val="000000"/>
                <w:sz w:val="16"/>
                <w:lang w:eastAsia="en-US"/>
              </w:rPr>
            </w:pPr>
            <w:r>
              <w:t>ESL</w:t>
            </w:r>
          </w:p>
        </w:tc>
        <w:tc>
          <w:tcPr>
            <w:tcW w:w="5953" w:type="dxa"/>
            <w:shd w:val="clear" w:color="auto" w:fill="auto"/>
          </w:tcPr>
          <w:p w14:paraId="45E5C94B" w14:textId="77777777" w:rsidR="00B1278B" w:rsidRPr="00806743" w:rsidRDefault="00B1278B" w:rsidP="008B04E9">
            <w:pPr>
              <w:pStyle w:val="BodyText"/>
              <w:rPr>
                <w:rFonts w:ascii="Arial" w:hAnsi="Arial"/>
                <w:color w:val="000000"/>
                <w:sz w:val="16"/>
                <w:lang w:eastAsia="en-US"/>
              </w:rPr>
            </w:pPr>
            <w:r w:rsidRPr="003F37FD">
              <w:t>English as a Second Language</w:t>
            </w:r>
          </w:p>
        </w:tc>
      </w:tr>
      <w:tr w:rsidR="00B1278B" w:rsidRPr="00806743" w14:paraId="5A2F77FE" w14:textId="77777777" w:rsidTr="003C37AA">
        <w:trPr>
          <w:cantSplit/>
        </w:trPr>
        <w:tc>
          <w:tcPr>
            <w:tcW w:w="1560" w:type="dxa"/>
            <w:shd w:val="clear" w:color="auto" w:fill="auto"/>
          </w:tcPr>
          <w:p w14:paraId="02441E1A" w14:textId="77777777" w:rsidR="00B1278B" w:rsidRPr="00806743" w:rsidRDefault="00B1278B" w:rsidP="008B04E9">
            <w:pPr>
              <w:pStyle w:val="BodyText"/>
              <w:rPr>
                <w:rFonts w:ascii="Arial" w:hAnsi="Arial"/>
                <w:color w:val="000000"/>
                <w:sz w:val="16"/>
                <w:lang w:eastAsia="en-US"/>
              </w:rPr>
            </w:pPr>
            <w:r>
              <w:t>HSS</w:t>
            </w:r>
          </w:p>
        </w:tc>
        <w:tc>
          <w:tcPr>
            <w:tcW w:w="5953" w:type="dxa"/>
            <w:shd w:val="clear" w:color="auto" w:fill="auto"/>
          </w:tcPr>
          <w:p w14:paraId="0A437D6D" w14:textId="77777777" w:rsidR="00B1278B" w:rsidRPr="00806743" w:rsidRDefault="00B1278B" w:rsidP="008B04E9">
            <w:pPr>
              <w:pStyle w:val="BodyText"/>
              <w:rPr>
                <w:rFonts w:ascii="Arial" w:hAnsi="Arial"/>
                <w:color w:val="000000"/>
                <w:sz w:val="16"/>
                <w:lang w:eastAsia="en-US"/>
              </w:rPr>
            </w:pPr>
            <w:r>
              <w:t>Humanitarian Settlement Services</w:t>
            </w:r>
          </w:p>
        </w:tc>
      </w:tr>
      <w:tr w:rsidR="00B1278B" w:rsidRPr="00806743" w14:paraId="4916293C" w14:textId="77777777" w:rsidTr="003C37AA">
        <w:trPr>
          <w:cantSplit/>
        </w:trPr>
        <w:tc>
          <w:tcPr>
            <w:tcW w:w="1560" w:type="dxa"/>
            <w:shd w:val="clear" w:color="auto" w:fill="auto"/>
          </w:tcPr>
          <w:p w14:paraId="6A1B4159" w14:textId="77777777" w:rsidR="00B1278B" w:rsidRPr="00806743" w:rsidRDefault="00B1278B" w:rsidP="008B04E9">
            <w:pPr>
              <w:pStyle w:val="BodyText"/>
              <w:rPr>
                <w:rFonts w:ascii="Arial" w:hAnsi="Arial"/>
                <w:color w:val="000000"/>
                <w:sz w:val="16"/>
                <w:lang w:eastAsia="en-US"/>
              </w:rPr>
            </w:pPr>
            <w:r>
              <w:t>HTS</w:t>
            </w:r>
          </w:p>
        </w:tc>
        <w:tc>
          <w:tcPr>
            <w:tcW w:w="5953" w:type="dxa"/>
            <w:shd w:val="clear" w:color="auto" w:fill="auto"/>
          </w:tcPr>
          <w:p w14:paraId="32A6EE71" w14:textId="77777777" w:rsidR="00B1278B" w:rsidRPr="00806743" w:rsidRDefault="00B1278B" w:rsidP="008B04E9">
            <w:pPr>
              <w:pStyle w:val="BodyText"/>
              <w:rPr>
                <w:rFonts w:ascii="Arial" w:hAnsi="Arial"/>
                <w:color w:val="000000"/>
                <w:sz w:val="16"/>
                <w:lang w:eastAsia="en-US"/>
              </w:rPr>
            </w:pPr>
            <w:r>
              <w:t>Home Tutor Scheme</w:t>
            </w:r>
          </w:p>
        </w:tc>
      </w:tr>
      <w:tr w:rsidR="00B1278B" w:rsidRPr="00806743" w14:paraId="71840B73" w14:textId="77777777" w:rsidTr="003C37AA">
        <w:trPr>
          <w:cantSplit/>
        </w:trPr>
        <w:tc>
          <w:tcPr>
            <w:tcW w:w="1560" w:type="dxa"/>
            <w:shd w:val="clear" w:color="auto" w:fill="auto"/>
          </w:tcPr>
          <w:p w14:paraId="7238C7DF" w14:textId="77777777" w:rsidR="00B1278B" w:rsidRPr="00806743" w:rsidRDefault="00B1278B" w:rsidP="008B04E9">
            <w:pPr>
              <w:pStyle w:val="BodyText"/>
              <w:rPr>
                <w:rFonts w:ascii="Arial" w:hAnsi="Arial"/>
                <w:color w:val="000000"/>
                <w:sz w:val="16"/>
                <w:lang w:eastAsia="en-US"/>
              </w:rPr>
            </w:pPr>
            <w:r>
              <w:t>IELTS</w:t>
            </w:r>
          </w:p>
        </w:tc>
        <w:tc>
          <w:tcPr>
            <w:tcW w:w="5953" w:type="dxa"/>
            <w:shd w:val="clear" w:color="auto" w:fill="auto"/>
          </w:tcPr>
          <w:p w14:paraId="0758B77E" w14:textId="77777777" w:rsidR="00B1278B" w:rsidRPr="00806743" w:rsidRDefault="00B1278B" w:rsidP="008B04E9">
            <w:pPr>
              <w:pStyle w:val="BodyText"/>
              <w:rPr>
                <w:rFonts w:ascii="Arial" w:hAnsi="Arial"/>
                <w:color w:val="000000"/>
                <w:sz w:val="16"/>
                <w:lang w:eastAsia="en-US"/>
              </w:rPr>
            </w:pPr>
            <w:r w:rsidRPr="00210254">
              <w:t>International English Language Testing System</w:t>
            </w:r>
          </w:p>
        </w:tc>
      </w:tr>
      <w:tr w:rsidR="00B1278B" w:rsidRPr="00806743" w14:paraId="4C253FB0" w14:textId="77777777" w:rsidTr="003C37AA">
        <w:trPr>
          <w:cantSplit/>
        </w:trPr>
        <w:tc>
          <w:tcPr>
            <w:tcW w:w="1560" w:type="dxa"/>
            <w:shd w:val="clear" w:color="auto" w:fill="auto"/>
          </w:tcPr>
          <w:p w14:paraId="71B84132" w14:textId="77777777" w:rsidR="00B1278B" w:rsidRDefault="00B1278B" w:rsidP="008B04E9">
            <w:pPr>
              <w:pStyle w:val="BodyText"/>
              <w:rPr>
                <w:rFonts w:ascii="Arial" w:hAnsi="Arial"/>
                <w:color w:val="000000"/>
                <w:sz w:val="16"/>
                <w:lang w:eastAsia="en-US"/>
              </w:rPr>
            </w:pPr>
            <w:r>
              <w:t>ISLPR</w:t>
            </w:r>
          </w:p>
        </w:tc>
        <w:tc>
          <w:tcPr>
            <w:tcW w:w="5953" w:type="dxa"/>
            <w:shd w:val="clear" w:color="auto" w:fill="auto"/>
          </w:tcPr>
          <w:p w14:paraId="44AA1645" w14:textId="77777777" w:rsidR="00B1278B" w:rsidRDefault="00B1278B" w:rsidP="008B04E9">
            <w:pPr>
              <w:pStyle w:val="BodyText"/>
              <w:rPr>
                <w:rFonts w:ascii="Arial" w:hAnsi="Arial"/>
                <w:color w:val="000000"/>
                <w:sz w:val="16"/>
                <w:lang w:eastAsia="en-US"/>
              </w:rPr>
            </w:pPr>
            <w:r w:rsidRPr="003201C5">
              <w:t>International Second Language Proficiency Ratings</w:t>
            </w:r>
          </w:p>
        </w:tc>
      </w:tr>
      <w:tr w:rsidR="00B1278B" w:rsidRPr="00806743" w14:paraId="4B8A938D" w14:textId="77777777" w:rsidTr="003C37AA">
        <w:trPr>
          <w:cantSplit/>
        </w:trPr>
        <w:tc>
          <w:tcPr>
            <w:tcW w:w="1560" w:type="dxa"/>
            <w:shd w:val="clear" w:color="auto" w:fill="auto"/>
          </w:tcPr>
          <w:p w14:paraId="4C092EFC" w14:textId="77777777" w:rsidR="00B1278B" w:rsidRDefault="00B1278B" w:rsidP="008B04E9">
            <w:pPr>
              <w:pStyle w:val="BodyText"/>
              <w:rPr>
                <w:rFonts w:ascii="Arial" w:hAnsi="Arial"/>
                <w:color w:val="000000"/>
                <w:sz w:val="16"/>
                <w:lang w:eastAsia="en-US"/>
              </w:rPr>
            </w:pPr>
            <w:r>
              <w:t>LLN</w:t>
            </w:r>
          </w:p>
        </w:tc>
        <w:tc>
          <w:tcPr>
            <w:tcW w:w="5953" w:type="dxa"/>
            <w:shd w:val="clear" w:color="auto" w:fill="auto"/>
          </w:tcPr>
          <w:p w14:paraId="175C508B" w14:textId="77777777" w:rsidR="00B1278B" w:rsidRDefault="00B1278B" w:rsidP="008B04E9">
            <w:pPr>
              <w:pStyle w:val="BodyText"/>
              <w:rPr>
                <w:rFonts w:ascii="Arial" w:hAnsi="Arial"/>
                <w:color w:val="000000"/>
                <w:sz w:val="16"/>
                <w:lang w:eastAsia="en-US"/>
              </w:rPr>
            </w:pPr>
            <w:r w:rsidRPr="00210254">
              <w:t>Language,</w:t>
            </w:r>
            <w:r>
              <w:t xml:space="preserve"> Literacy and Numeracy</w:t>
            </w:r>
          </w:p>
        </w:tc>
      </w:tr>
      <w:tr w:rsidR="00B1278B" w:rsidRPr="00806743" w14:paraId="42413F80" w14:textId="77777777" w:rsidTr="003C37AA">
        <w:trPr>
          <w:cantSplit/>
        </w:trPr>
        <w:tc>
          <w:tcPr>
            <w:tcW w:w="1560" w:type="dxa"/>
            <w:shd w:val="clear" w:color="auto" w:fill="auto"/>
          </w:tcPr>
          <w:p w14:paraId="1E4B64C3" w14:textId="77777777" w:rsidR="00B1278B" w:rsidRPr="00806743" w:rsidRDefault="00B1278B" w:rsidP="008B04E9">
            <w:pPr>
              <w:pStyle w:val="BodyText"/>
              <w:rPr>
                <w:rFonts w:ascii="Arial" w:hAnsi="Arial"/>
                <w:color w:val="000000"/>
                <w:sz w:val="16"/>
                <w:lang w:eastAsia="en-US"/>
              </w:rPr>
            </w:pPr>
            <w:r>
              <w:t>LLNP</w:t>
            </w:r>
          </w:p>
        </w:tc>
        <w:tc>
          <w:tcPr>
            <w:tcW w:w="5953" w:type="dxa"/>
            <w:shd w:val="clear" w:color="auto" w:fill="auto"/>
          </w:tcPr>
          <w:p w14:paraId="4D654CD4" w14:textId="77777777" w:rsidR="00B1278B" w:rsidRPr="00806743" w:rsidRDefault="00B1278B" w:rsidP="008B04E9">
            <w:pPr>
              <w:pStyle w:val="BodyText"/>
              <w:rPr>
                <w:rFonts w:ascii="Arial" w:hAnsi="Arial"/>
                <w:color w:val="000000"/>
                <w:sz w:val="16"/>
                <w:lang w:eastAsia="en-US"/>
              </w:rPr>
            </w:pPr>
            <w:r w:rsidRPr="00210254">
              <w:t>Language, Literacy and Numeracy Programme</w:t>
            </w:r>
          </w:p>
        </w:tc>
      </w:tr>
      <w:tr w:rsidR="00B1278B" w:rsidRPr="00806743" w14:paraId="2A6AE673" w14:textId="77777777" w:rsidTr="003C37AA">
        <w:trPr>
          <w:cantSplit/>
        </w:trPr>
        <w:tc>
          <w:tcPr>
            <w:tcW w:w="1560" w:type="dxa"/>
            <w:shd w:val="clear" w:color="auto" w:fill="auto"/>
          </w:tcPr>
          <w:p w14:paraId="5C2DED36" w14:textId="77777777" w:rsidR="00B1278B" w:rsidRPr="00806743" w:rsidRDefault="00B1278B" w:rsidP="008B04E9">
            <w:pPr>
              <w:pStyle w:val="BodyText"/>
              <w:rPr>
                <w:rFonts w:ascii="Arial" w:hAnsi="Arial"/>
                <w:color w:val="000000"/>
                <w:sz w:val="16"/>
                <w:lang w:eastAsia="en-US"/>
              </w:rPr>
            </w:pPr>
            <w:r>
              <w:t>NEAS</w:t>
            </w:r>
          </w:p>
        </w:tc>
        <w:tc>
          <w:tcPr>
            <w:tcW w:w="5953" w:type="dxa"/>
            <w:shd w:val="clear" w:color="auto" w:fill="auto"/>
          </w:tcPr>
          <w:p w14:paraId="68F2170B" w14:textId="77777777" w:rsidR="00B1278B" w:rsidRPr="00806743" w:rsidRDefault="00B1278B" w:rsidP="008B04E9">
            <w:pPr>
              <w:pStyle w:val="BodyText"/>
              <w:rPr>
                <w:rFonts w:ascii="Arial" w:hAnsi="Arial"/>
                <w:color w:val="000000"/>
                <w:sz w:val="16"/>
                <w:lang w:eastAsia="en-US"/>
              </w:rPr>
            </w:pPr>
            <w:r w:rsidRPr="00210254">
              <w:t>National ELT Accreditation Scheme Limited</w:t>
            </w:r>
          </w:p>
        </w:tc>
      </w:tr>
      <w:tr w:rsidR="00B1278B" w:rsidRPr="00806743" w14:paraId="0AD14136" w14:textId="77777777" w:rsidTr="003C37AA">
        <w:trPr>
          <w:cantSplit/>
        </w:trPr>
        <w:tc>
          <w:tcPr>
            <w:tcW w:w="1560" w:type="dxa"/>
            <w:shd w:val="clear" w:color="auto" w:fill="auto"/>
          </w:tcPr>
          <w:p w14:paraId="6217A15E" w14:textId="77777777" w:rsidR="00B1278B" w:rsidRPr="00806743" w:rsidRDefault="00B1278B" w:rsidP="008B04E9">
            <w:pPr>
              <w:pStyle w:val="BodyText"/>
              <w:rPr>
                <w:rFonts w:ascii="Arial" w:hAnsi="Arial"/>
                <w:color w:val="000000"/>
                <w:sz w:val="16"/>
                <w:lang w:eastAsia="en-US"/>
              </w:rPr>
            </w:pPr>
            <w:r>
              <w:t>RJCP</w:t>
            </w:r>
          </w:p>
        </w:tc>
        <w:tc>
          <w:tcPr>
            <w:tcW w:w="5953" w:type="dxa"/>
            <w:shd w:val="clear" w:color="auto" w:fill="auto"/>
          </w:tcPr>
          <w:p w14:paraId="3F9679F3" w14:textId="77777777" w:rsidR="00B1278B" w:rsidRPr="00806743" w:rsidRDefault="00B1278B" w:rsidP="008B04E9">
            <w:pPr>
              <w:pStyle w:val="BodyText"/>
              <w:rPr>
                <w:rFonts w:ascii="Arial" w:hAnsi="Arial"/>
                <w:color w:val="000000"/>
                <w:sz w:val="16"/>
                <w:lang w:eastAsia="en-US"/>
              </w:rPr>
            </w:pPr>
            <w:r w:rsidRPr="003F37FD">
              <w:t>Remote Jobs and Communities Programme</w:t>
            </w:r>
          </w:p>
        </w:tc>
      </w:tr>
      <w:tr w:rsidR="00B1278B" w:rsidRPr="00806743" w14:paraId="3A010D02" w14:textId="77777777" w:rsidTr="003C37AA">
        <w:trPr>
          <w:cantSplit/>
        </w:trPr>
        <w:tc>
          <w:tcPr>
            <w:tcW w:w="1560" w:type="dxa"/>
            <w:shd w:val="clear" w:color="auto" w:fill="auto"/>
          </w:tcPr>
          <w:p w14:paraId="71B9DE0A" w14:textId="77777777" w:rsidR="00B1278B" w:rsidRPr="00365743" w:rsidRDefault="00B1278B" w:rsidP="008B04E9">
            <w:pPr>
              <w:pStyle w:val="BodyText"/>
              <w:rPr>
                <w:rFonts w:ascii="Arial" w:hAnsi="Arial"/>
                <w:color w:val="000000"/>
                <w:sz w:val="16"/>
                <w:lang w:eastAsia="en-US"/>
              </w:rPr>
            </w:pPr>
            <w:r>
              <w:t>SEE</w:t>
            </w:r>
          </w:p>
        </w:tc>
        <w:tc>
          <w:tcPr>
            <w:tcW w:w="5953" w:type="dxa"/>
            <w:shd w:val="clear" w:color="auto" w:fill="auto"/>
          </w:tcPr>
          <w:p w14:paraId="028817AE" w14:textId="77777777" w:rsidR="00B1278B" w:rsidRPr="00365743" w:rsidRDefault="00B1278B" w:rsidP="008B04E9">
            <w:pPr>
              <w:pStyle w:val="BodyText"/>
              <w:rPr>
                <w:rFonts w:ascii="Arial" w:hAnsi="Arial"/>
                <w:color w:val="000000"/>
                <w:sz w:val="16"/>
                <w:lang w:eastAsia="en-US"/>
              </w:rPr>
            </w:pPr>
            <w:r>
              <w:t>Skills for Education and Employment</w:t>
            </w:r>
          </w:p>
        </w:tc>
      </w:tr>
      <w:tr w:rsidR="00B1278B" w:rsidRPr="00806743" w14:paraId="53C0645F" w14:textId="77777777" w:rsidTr="003C37AA">
        <w:trPr>
          <w:cantSplit/>
        </w:trPr>
        <w:tc>
          <w:tcPr>
            <w:tcW w:w="1560" w:type="dxa"/>
            <w:shd w:val="clear" w:color="auto" w:fill="auto"/>
          </w:tcPr>
          <w:p w14:paraId="555CD24E" w14:textId="77777777" w:rsidR="00B1278B" w:rsidRPr="00806743" w:rsidRDefault="00B1278B" w:rsidP="008B04E9">
            <w:pPr>
              <w:pStyle w:val="BodyText"/>
              <w:rPr>
                <w:rFonts w:ascii="Arial" w:hAnsi="Arial"/>
                <w:color w:val="000000"/>
                <w:sz w:val="16"/>
                <w:lang w:eastAsia="en-US"/>
              </w:rPr>
            </w:pPr>
            <w:r>
              <w:t>SLPET</w:t>
            </w:r>
          </w:p>
        </w:tc>
        <w:tc>
          <w:tcPr>
            <w:tcW w:w="5953" w:type="dxa"/>
            <w:shd w:val="clear" w:color="auto" w:fill="auto"/>
          </w:tcPr>
          <w:p w14:paraId="64FCDD3D" w14:textId="77777777" w:rsidR="00B1278B" w:rsidRPr="00806743" w:rsidRDefault="00B1278B" w:rsidP="008B04E9">
            <w:pPr>
              <w:pStyle w:val="BodyText"/>
              <w:rPr>
                <w:rFonts w:ascii="Arial" w:hAnsi="Arial"/>
                <w:color w:val="000000"/>
                <w:sz w:val="16"/>
                <w:lang w:eastAsia="en-US"/>
              </w:rPr>
            </w:pPr>
            <w:r w:rsidRPr="003201C5">
              <w:t>Settlement Language Pathways to Employment/Training Program</w:t>
            </w:r>
          </w:p>
        </w:tc>
      </w:tr>
      <w:tr w:rsidR="00B1278B" w:rsidRPr="00806743" w14:paraId="42416E16" w14:textId="77777777" w:rsidTr="003C37AA">
        <w:trPr>
          <w:cantSplit/>
        </w:trPr>
        <w:tc>
          <w:tcPr>
            <w:tcW w:w="1560" w:type="dxa"/>
            <w:shd w:val="clear" w:color="auto" w:fill="auto"/>
          </w:tcPr>
          <w:p w14:paraId="16D769FB" w14:textId="77777777" w:rsidR="00B1278B" w:rsidRPr="00806743" w:rsidRDefault="00B1278B" w:rsidP="008B04E9">
            <w:pPr>
              <w:pStyle w:val="BodyText"/>
              <w:rPr>
                <w:rFonts w:ascii="Arial" w:hAnsi="Arial"/>
                <w:color w:val="000000"/>
                <w:sz w:val="16"/>
                <w:lang w:eastAsia="en-US"/>
              </w:rPr>
            </w:pPr>
            <w:r>
              <w:t>SPP</w:t>
            </w:r>
          </w:p>
        </w:tc>
        <w:tc>
          <w:tcPr>
            <w:tcW w:w="5953" w:type="dxa"/>
            <w:shd w:val="clear" w:color="auto" w:fill="auto"/>
          </w:tcPr>
          <w:p w14:paraId="61097103" w14:textId="77777777" w:rsidR="00B1278B" w:rsidRPr="00806743" w:rsidRDefault="00B1278B" w:rsidP="008B04E9">
            <w:pPr>
              <w:pStyle w:val="BodyText"/>
              <w:rPr>
                <w:rFonts w:ascii="Arial" w:hAnsi="Arial"/>
                <w:color w:val="000000"/>
                <w:sz w:val="16"/>
                <w:lang w:eastAsia="en-US"/>
              </w:rPr>
            </w:pPr>
            <w:r>
              <w:t>Special Preparatory Programme</w:t>
            </w:r>
            <w:r w:rsidRPr="003201C5">
              <w:t xml:space="preserve"> </w:t>
            </w:r>
          </w:p>
        </w:tc>
      </w:tr>
      <w:tr w:rsidR="00B1278B" w:rsidRPr="00806743" w14:paraId="6E1033CA" w14:textId="77777777" w:rsidTr="003C37AA">
        <w:trPr>
          <w:cantSplit/>
        </w:trPr>
        <w:tc>
          <w:tcPr>
            <w:tcW w:w="1560" w:type="dxa"/>
            <w:shd w:val="clear" w:color="auto" w:fill="auto"/>
          </w:tcPr>
          <w:p w14:paraId="63290E58" w14:textId="77777777" w:rsidR="00B1278B" w:rsidRPr="00806743" w:rsidRDefault="00B1278B" w:rsidP="008B04E9">
            <w:pPr>
              <w:pStyle w:val="BodyText"/>
              <w:rPr>
                <w:rFonts w:ascii="Arial" w:hAnsi="Arial"/>
                <w:color w:val="000000"/>
                <w:sz w:val="16"/>
                <w:lang w:eastAsia="en-US"/>
              </w:rPr>
            </w:pPr>
            <w:r>
              <w:t>USI</w:t>
            </w:r>
          </w:p>
        </w:tc>
        <w:tc>
          <w:tcPr>
            <w:tcW w:w="5953" w:type="dxa"/>
            <w:shd w:val="clear" w:color="auto" w:fill="auto"/>
          </w:tcPr>
          <w:p w14:paraId="39182355" w14:textId="77777777" w:rsidR="00B1278B" w:rsidRPr="00806743" w:rsidRDefault="00B1278B" w:rsidP="008B04E9">
            <w:pPr>
              <w:pStyle w:val="BodyText"/>
              <w:rPr>
                <w:rFonts w:ascii="Arial" w:hAnsi="Arial"/>
                <w:color w:val="000000"/>
                <w:sz w:val="16"/>
                <w:lang w:eastAsia="en-US"/>
              </w:rPr>
            </w:pPr>
            <w:r w:rsidRPr="00210254">
              <w:t>Unique Student Identifier</w:t>
            </w:r>
          </w:p>
        </w:tc>
      </w:tr>
      <w:tr w:rsidR="00B1278B" w:rsidRPr="00806743" w14:paraId="72BA1A1C" w14:textId="77777777" w:rsidTr="003C37AA">
        <w:trPr>
          <w:cantSplit/>
        </w:trPr>
        <w:tc>
          <w:tcPr>
            <w:tcW w:w="1560" w:type="dxa"/>
            <w:shd w:val="clear" w:color="auto" w:fill="auto"/>
          </w:tcPr>
          <w:p w14:paraId="7E9FCA42" w14:textId="77777777" w:rsidR="00B1278B" w:rsidRDefault="00B1278B" w:rsidP="00B1278B">
            <w:pPr>
              <w:rPr>
                <w:rFonts w:ascii="Arial Narrow" w:hAnsi="Arial Narrow"/>
              </w:rPr>
            </w:pPr>
          </w:p>
        </w:tc>
        <w:tc>
          <w:tcPr>
            <w:tcW w:w="5953" w:type="dxa"/>
            <w:shd w:val="clear" w:color="auto" w:fill="auto"/>
          </w:tcPr>
          <w:p w14:paraId="531F4C2C" w14:textId="77777777" w:rsidR="00B1278B" w:rsidRDefault="00B1278B" w:rsidP="00B1278B"/>
        </w:tc>
      </w:tr>
      <w:tr w:rsidR="00B1278B" w:rsidRPr="00806743" w14:paraId="546E79B7" w14:textId="77777777" w:rsidTr="003C37AA">
        <w:trPr>
          <w:cantSplit/>
        </w:trPr>
        <w:tc>
          <w:tcPr>
            <w:tcW w:w="1560" w:type="dxa"/>
            <w:shd w:val="clear" w:color="auto" w:fill="auto"/>
          </w:tcPr>
          <w:p w14:paraId="6888941D" w14:textId="77777777" w:rsidR="00B1278B" w:rsidRDefault="00B1278B" w:rsidP="00B1278B">
            <w:pPr>
              <w:rPr>
                <w:rFonts w:ascii="Arial Narrow" w:hAnsi="Arial Narrow"/>
              </w:rPr>
            </w:pPr>
          </w:p>
        </w:tc>
        <w:tc>
          <w:tcPr>
            <w:tcW w:w="5953" w:type="dxa"/>
            <w:shd w:val="clear" w:color="auto" w:fill="auto"/>
          </w:tcPr>
          <w:p w14:paraId="5AA704C2" w14:textId="77777777" w:rsidR="00B1278B" w:rsidRDefault="00B1278B" w:rsidP="00B1278B"/>
        </w:tc>
      </w:tr>
      <w:tr w:rsidR="00B1278B" w:rsidRPr="00806743" w14:paraId="446599EC" w14:textId="77777777" w:rsidTr="003C37AA">
        <w:trPr>
          <w:cantSplit/>
        </w:trPr>
        <w:tc>
          <w:tcPr>
            <w:tcW w:w="1560" w:type="dxa"/>
            <w:shd w:val="clear" w:color="auto" w:fill="auto"/>
          </w:tcPr>
          <w:p w14:paraId="2D404942" w14:textId="77777777" w:rsidR="00B1278B" w:rsidRPr="00806743" w:rsidRDefault="00B1278B" w:rsidP="00B1278B">
            <w:pPr>
              <w:rPr>
                <w:rFonts w:ascii="Arial Narrow" w:hAnsi="Arial Narrow"/>
              </w:rPr>
            </w:pPr>
          </w:p>
        </w:tc>
        <w:tc>
          <w:tcPr>
            <w:tcW w:w="5953" w:type="dxa"/>
            <w:shd w:val="clear" w:color="auto" w:fill="auto"/>
          </w:tcPr>
          <w:p w14:paraId="16473269" w14:textId="77777777" w:rsidR="00B1278B" w:rsidRPr="00806743" w:rsidRDefault="00B1278B" w:rsidP="00B1278B">
            <w:pPr>
              <w:rPr>
                <w:rFonts w:ascii="Arial Narrow" w:hAnsi="Arial Narrow"/>
              </w:rPr>
            </w:pPr>
          </w:p>
        </w:tc>
      </w:tr>
      <w:tr w:rsidR="00B1278B" w:rsidRPr="00806743" w14:paraId="2B6BB485" w14:textId="77777777" w:rsidTr="003C37AA">
        <w:trPr>
          <w:cantSplit/>
        </w:trPr>
        <w:tc>
          <w:tcPr>
            <w:tcW w:w="1560" w:type="dxa"/>
            <w:shd w:val="clear" w:color="auto" w:fill="auto"/>
          </w:tcPr>
          <w:p w14:paraId="08CEB9EC" w14:textId="77777777" w:rsidR="00B1278B" w:rsidRDefault="00B1278B" w:rsidP="00B1278B"/>
        </w:tc>
        <w:tc>
          <w:tcPr>
            <w:tcW w:w="5953" w:type="dxa"/>
            <w:shd w:val="clear" w:color="auto" w:fill="auto"/>
          </w:tcPr>
          <w:p w14:paraId="7DBF3546" w14:textId="77777777" w:rsidR="00B1278B" w:rsidRDefault="00B1278B" w:rsidP="00B1278B"/>
        </w:tc>
      </w:tr>
      <w:tr w:rsidR="00B1278B" w:rsidRPr="00806743" w14:paraId="567E3964" w14:textId="77777777" w:rsidTr="003C37AA">
        <w:trPr>
          <w:cantSplit/>
        </w:trPr>
        <w:tc>
          <w:tcPr>
            <w:tcW w:w="1560" w:type="dxa"/>
            <w:shd w:val="clear" w:color="auto" w:fill="auto"/>
          </w:tcPr>
          <w:p w14:paraId="5DF90FFB" w14:textId="77777777" w:rsidR="00B1278B" w:rsidRPr="00806743" w:rsidRDefault="00B1278B" w:rsidP="00B1278B">
            <w:pPr>
              <w:rPr>
                <w:rFonts w:ascii="Arial Narrow" w:hAnsi="Arial Narrow"/>
              </w:rPr>
            </w:pPr>
          </w:p>
        </w:tc>
        <w:tc>
          <w:tcPr>
            <w:tcW w:w="5953" w:type="dxa"/>
            <w:shd w:val="clear" w:color="auto" w:fill="auto"/>
          </w:tcPr>
          <w:p w14:paraId="36E6FCD5" w14:textId="77777777" w:rsidR="00B1278B" w:rsidRPr="00806743" w:rsidRDefault="00B1278B" w:rsidP="00B1278B">
            <w:pPr>
              <w:rPr>
                <w:rFonts w:ascii="Arial Narrow" w:hAnsi="Arial Narrow"/>
              </w:rPr>
            </w:pPr>
          </w:p>
        </w:tc>
      </w:tr>
      <w:tr w:rsidR="00B1278B" w:rsidRPr="00806743" w14:paraId="2E74F137" w14:textId="77777777" w:rsidTr="003C37AA">
        <w:trPr>
          <w:cantSplit/>
        </w:trPr>
        <w:tc>
          <w:tcPr>
            <w:tcW w:w="1560" w:type="dxa"/>
            <w:shd w:val="clear" w:color="auto" w:fill="auto"/>
          </w:tcPr>
          <w:p w14:paraId="436C8C24" w14:textId="77777777" w:rsidR="00B1278B" w:rsidRDefault="00B1278B" w:rsidP="00B1278B">
            <w:pPr>
              <w:rPr>
                <w:rFonts w:ascii="Arial Narrow" w:hAnsi="Arial Narrow"/>
              </w:rPr>
            </w:pPr>
          </w:p>
        </w:tc>
        <w:tc>
          <w:tcPr>
            <w:tcW w:w="5953" w:type="dxa"/>
            <w:shd w:val="clear" w:color="auto" w:fill="auto"/>
          </w:tcPr>
          <w:p w14:paraId="3649209D" w14:textId="77777777" w:rsidR="00B1278B" w:rsidRPr="00210254" w:rsidRDefault="00B1278B" w:rsidP="00B1278B"/>
        </w:tc>
      </w:tr>
    </w:tbl>
    <w:p w14:paraId="57569E13" w14:textId="77777777" w:rsidR="00473688" w:rsidRDefault="00473688" w:rsidP="003C37AA">
      <w:pPr>
        <w:pStyle w:val="BodyText"/>
      </w:pPr>
    </w:p>
    <w:p w14:paraId="30FB299A" w14:textId="77777777" w:rsidR="00473688" w:rsidRPr="00561CA2" w:rsidRDefault="00473688" w:rsidP="003C37AA">
      <w:pPr>
        <w:pStyle w:val="BodyText"/>
        <w:sectPr w:rsidR="00473688" w:rsidRPr="00561CA2" w:rsidSect="003C37AA">
          <w:headerReference w:type="even" r:id="rId24"/>
          <w:headerReference w:type="default" r:id="rId25"/>
          <w:footerReference w:type="even" r:id="rId26"/>
          <w:footerReference w:type="default" r:id="rId27"/>
          <w:headerReference w:type="first" r:id="rId28"/>
          <w:footerReference w:type="first" r:id="rId29"/>
          <w:pgSz w:w="11907" w:h="16839" w:code="9"/>
          <w:pgMar w:top="1134" w:right="850" w:bottom="907" w:left="3118" w:header="709" w:footer="567" w:gutter="567"/>
          <w:pgNumType w:fmt="lowerRoman"/>
          <w:cols w:space="720"/>
          <w:docGrid w:linePitch="272"/>
        </w:sectPr>
      </w:pPr>
    </w:p>
    <w:p w14:paraId="2E77C599" w14:textId="77777777" w:rsidR="00473688" w:rsidRPr="00100621" w:rsidRDefault="00473688" w:rsidP="0070776B">
      <w:pPr>
        <w:pStyle w:val="ExecSummaryHeading"/>
      </w:pPr>
      <w:bookmarkStart w:id="2" w:name="_Toc358810294"/>
      <w:bookmarkStart w:id="3" w:name="_Toc420078528"/>
      <w:r w:rsidRPr="00100621">
        <w:lastRenderedPageBreak/>
        <w:t>Executive summary</w:t>
      </w:r>
      <w:bookmarkEnd w:id="2"/>
      <w:bookmarkEnd w:id="3"/>
    </w:p>
    <w:p w14:paraId="43E45174" w14:textId="77777777" w:rsidR="00BC12D8" w:rsidRDefault="00BC12D8" w:rsidP="00BC12D8">
      <w:pPr>
        <w:pStyle w:val="Heading2nonumber"/>
      </w:pPr>
      <w:r>
        <w:t xml:space="preserve">Background </w:t>
      </w:r>
    </w:p>
    <w:p w14:paraId="2915A4EF" w14:textId="446018FC" w:rsidR="00BC12D8" w:rsidRDefault="00BC12D8" w:rsidP="00BC12D8">
      <w:pPr>
        <w:pStyle w:val="BodyText"/>
      </w:pPr>
      <w:r>
        <w:t xml:space="preserve">The </w:t>
      </w:r>
      <w:r w:rsidR="00346960">
        <w:t>Australian</w:t>
      </w:r>
      <w:r>
        <w:t xml:space="preserve"> </w:t>
      </w:r>
      <w:r w:rsidR="00902F05">
        <w:t xml:space="preserve">Government </w:t>
      </w:r>
      <w:bookmarkStart w:id="4" w:name="_GoBack"/>
      <w:bookmarkEnd w:id="4"/>
      <w:r>
        <w:t>Department of Education and Training commissioned ACIL Allen Consulting to conduct an evaluation of the Adult Migrant English Program (AMEP)</w:t>
      </w:r>
      <w:r w:rsidR="0070776B">
        <w:t xml:space="preserve"> and </w:t>
      </w:r>
      <w:r>
        <w:t xml:space="preserve">an evaluation of the Skills for Education and Employment (SEE) </w:t>
      </w:r>
      <w:r w:rsidR="00492999">
        <w:t>p</w:t>
      </w:r>
      <w:r>
        <w:t xml:space="preserve">rogramme. </w:t>
      </w:r>
    </w:p>
    <w:p w14:paraId="3E653DD7" w14:textId="11465AC1" w:rsidR="00BC12D8" w:rsidRDefault="00BC12D8" w:rsidP="00BC12D8">
      <w:pPr>
        <w:pStyle w:val="BodyText"/>
      </w:pPr>
      <w:r>
        <w:t xml:space="preserve">The evaluations are timely in that </w:t>
      </w:r>
      <w:r w:rsidR="0070776B">
        <w:t xml:space="preserve">both </w:t>
      </w:r>
      <w:r>
        <w:t>programme</w:t>
      </w:r>
      <w:r w:rsidR="0070776B">
        <w:t>s recently</w:t>
      </w:r>
      <w:r>
        <w:t xml:space="preserve"> </w:t>
      </w:r>
      <w:r w:rsidRPr="00B6727E">
        <w:t>moved to new business model</w:t>
      </w:r>
      <w:r w:rsidR="0070776B">
        <w:t>s.</w:t>
      </w:r>
      <w:r w:rsidRPr="00B6727E">
        <w:t xml:space="preserve"> </w:t>
      </w:r>
      <w:r w:rsidR="0070776B">
        <w:t>T</w:t>
      </w:r>
      <w:r>
        <w:t xml:space="preserve">he recent </w:t>
      </w:r>
      <w:r w:rsidR="00D7119B">
        <w:t xml:space="preserve">co-location of </w:t>
      </w:r>
      <w:r>
        <w:t xml:space="preserve">the </w:t>
      </w:r>
      <w:r w:rsidRPr="00B6727E">
        <w:t xml:space="preserve">AMEP </w:t>
      </w:r>
      <w:r>
        <w:t xml:space="preserve">and </w:t>
      </w:r>
      <w:r w:rsidR="00AE13AC">
        <w:t>SEE programme</w:t>
      </w:r>
      <w:r>
        <w:t xml:space="preserve"> within </w:t>
      </w:r>
      <w:r w:rsidRPr="00B6727E">
        <w:t xml:space="preserve">the </w:t>
      </w:r>
      <w:r>
        <w:t>Department of Education and Training</w:t>
      </w:r>
      <w:r w:rsidR="0070776B">
        <w:t xml:space="preserve"> also</w:t>
      </w:r>
      <w:r>
        <w:t xml:space="preserve"> provides an opportunity to explore potential synergies and the strategic alignment between </w:t>
      </w:r>
      <w:r w:rsidRPr="00B6727E">
        <w:t>the</w:t>
      </w:r>
      <w:r>
        <w:t xml:space="preserve"> two </w:t>
      </w:r>
      <w:r w:rsidR="0070776B">
        <w:t>programmes</w:t>
      </w:r>
      <w:r w:rsidRPr="00B6727E">
        <w:t>.</w:t>
      </w:r>
    </w:p>
    <w:p w14:paraId="4D0232DA" w14:textId="53145CFA" w:rsidR="00BC12D8" w:rsidRDefault="00BC12D8" w:rsidP="00BC12D8">
      <w:pPr>
        <w:pStyle w:val="BodyText"/>
      </w:pPr>
      <w:r>
        <w:t>As a consequence this is one of three reports which can be read individually but are inter-related:</w:t>
      </w:r>
    </w:p>
    <w:p w14:paraId="6865B58D" w14:textId="77777777" w:rsidR="00BC12D8" w:rsidRDefault="008A408F" w:rsidP="00BC12D8">
      <w:pPr>
        <w:pStyle w:val="ListDash"/>
      </w:pPr>
      <w:r>
        <w:t>t</w:t>
      </w:r>
      <w:r w:rsidR="00BC12D8">
        <w:t xml:space="preserve">he AMEP Evaluation Report </w:t>
      </w:r>
    </w:p>
    <w:p w14:paraId="20F2D2B1" w14:textId="4F3FCBDF" w:rsidR="00BC12D8" w:rsidRDefault="008A408F" w:rsidP="00BC12D8">
      <w:pPr>
        <w:pStyle w:val="ListDash"/>
      </w:pPr>
      <w:r>
        <w:t>t</w:t>
      </w:r>
      <w:r w:rsidR="00BC12D8">
        <w:t xml:space="preserve">he </w:t>
      </w:r>
      <w:r w:rsidR="00492999">
        <w:t>SEE P</w:t>
      </w:r>
      <w:r w:rsidR="00AE13AC">
        <w:t>rogramme</w:t>
      </w:r>
      <w:r w:rsidR="00BC12D8">
        <w:t xml:space="preserve"> Evaluation Report </w:t>
      </w:r>
    </w:p>
    <w:p w14:paraId="1E899C6E" w14:textId="369E8C10" w:rsidR="00BC12D8" w:rsidRDefault="008A408F" w:rsidP="00BC12D8">
      <w:pPr>
        <w:pStyle w:val="ListDash"/>
      </w:pPr>
      <w:r>
        <w:t>t</w:t>
      </w:r>
      <w:r w:rsidR="00BC12D8">
        <w:t xml:space="preserve">he AMEP </w:t>
      </w:r>
      <w:r w:rsidR="006703CA">
        <w:t>&amp;</w:t>
      </w:r>
      <w:r w:rsidR="00BC12D8">
        <w:t xml:space="preserve"> </w:t>
      </w:r>
      <w:r w:rsidR="00AE13AC">
        <w:t xml:space="preserve">SEE </w:t>
      </w:r>
      <w:r w:rsidR="00492999">
        <w:t>P</w:t>
      </w:r>
      <w:r w:rsidR="00AE13AC">
        <w:t>rogramme</w:t>
      </w:r>
      <w:r w:rsidR="00BC12D8">
        <w:t xml:space="preserve"> Alignment Report</w:t>
      </w:r>
      <w:r w:rsidR="00A210EB">
        <w:t xml:space="preserve"> (this report)</w:t>
      </w:r>
      <w:r w:rsidR="00BC12D8">
        <w:t>.</w:t>
      </w:r>
    </w:p>
    <w:p w14:paraId="2042F06B" w14:textId="77777777" w:rsidR="00BC12D8" w:rsidRDefault="00BC12D8" w:rsidP="00BC12D8">
      <w:pPr>
        <w:pStyle w:val="Heading2nonumber"/>
      </w:pPr>
      <w:r>
        <w:t xml:space="preserve">The </w:t>
      </w:r>
      <w:r w:rsidRPr="00C10348">
        <w:t>AMEP</w:t>
      </w:r>
    </w:p>
    <w:p w14:paraId="430E0526" w14:textId="77777777" w:rsidR="00EB56DA" w:rsidRPr="00EB56DA" w:rsidRDefault="00EB56DA" w:rsidP="00EB56DA">
      <w:pPr>
        <w:spacing w:line="280" w:lineRule="exact"/>
        <w:rPr>
          <w:rFonts w:asciiTheme="minorHAnsi" w:hAnsiTheme="minorHAnsi"/>
          <w:lang w:eastAsia="en-AU"/>
        </w:rPr>
      </w:pPr>
      <w:r w:rsidRPr="00EB56DA">
        <w:rPr>
          <w:rFonts w:asciiTheme="minorHAnsi" w:hAnsiTheme="minorHAnsi"/>
          <w:lang w:eastAsia="en-AU"/>
        </w:rPr>
        <w:t xml:space="preserve">The AMEP was established in 1948 and was legislated under the </w:t>
      </w:r>
      <w:r w:rsidRPr="00EB56DA">
        <w:rPr>
          <w:rFonts w:asciiTheme="minorHAnsi" w:hAnsiTheme="minorHAnsi"/>
          <w:i/>
          <w:lang w:eastAsia="en-AU"/>
        </w:rPr>
        <w:t>Immigration (Education) Act 1971</w:t>
      </w:r>
      <w:r w:rsidRPr="00EB56DA">
        <w:rPr>
          <w:rFonts w:asciiTheme="minorHAnsi" w:hAnsiTheme="minorHAnsi"/>
          <w:lang w:eastAsia="en-AU"/>
        </w:rPr>
        <w:t xml:space="preserve">. The AMEP provides up to 510 hours of free English language tuition to eligible new migrants and humanitarian entrants. Some AMEP clients are eligible to access additional tuition and support under a number of the AMEP sub-programmes. </w:t>
      </w:r>
    </w:p>
    <w:p w14:paraId="0BE85933" w14:textId="77777777" w:rsidR="00EB56DA" w:rsidRPr="00EB56DA" w:rsidRDefault="00EB56DA" w:rsidP="00EB56DA">
      <w:pPr>
        <w:spacing w:line="280" w:lineRule="exact"/>
        <w:rPr>
          <w:rFonts w:asciiTheme="minorHAnsi" w:hAnsiTheme="minorHAnsi"/>
          <w:lang w:eastAsia="en-AU"/>
        </w:rPr>
      </w:pPr>
      <w:r w:rsidRPr="00EB56DA">
        <w:rPr>
          <w:rFonts w:asciiTheme="minorHAnsi" w:hAnsiTheme="minorHAnsi"/>
          <w:lang w:eastAsia="en-AU"/>
        </w:rPr>
        <w:t>The AMEP aims to promote and support the acquisition of English language skills by all eligible adult migrants and humanitarian entrants, through the provision of timely and quality English language services. Through language tuition, the program aims to produce outcomes in relation to social participation, economic wellbeing, independence, personal wellbeing, all contributing to settlement within, and integration into, the broader Australian community.</w:t>
      </w:r>
    </w:p>
    <w:p w14:paraId="6BB2BD8F" w14:textId="77777777" w:rsidR="00EB56DA" w:rsidRPr="00EB56DA" w:rsidRDefault="00EB56DA" w:rsidP="00EB56DA">
      <w:pPr>
        <w:spacing w:line="280" w:lineRule="exact"/>
        <w:rPr>
          <w:rFonts w:asciiTheme="minorHAnsi" w:hAnsiTheme="minorHAnsi"/>
          <w:lang w:eastAsia="en-AU"/>
        </w:rPr>
      </w:pPr>
      <w:r w:rsidRPr="00EB56DA">
        <w:rPr>
          <w:rFonts w:asciiTheme="minorHAnsi" w:hAnsiTheme="minorHAnsi"/>
          <w:lang w:eastAsia="en-AU"/>
        </w:rPr>
        <w:t>Specifically, the AMEP is intended to assist eligible migrants and humanitarian entrants in the development of English language skills that are needed to access services in the general community, provide a pathway to employment, undertake further study or training and participate in other government programmes.</w:t>
      </w:r>
    </w:p>
    <w:p w14:paraId="431F1474" w14:textId="77777777" w:rsidR="00EB56DA" w:rsidRPr="00EB56DA" w:rsidRDefault="00EB56DA" w:rsidP="00EB56DA">
      <w:pPr>
        <w:spacing w:line="280" w:lineRule="exact"/>
        <w:rPr>
          <w:rFonts w:asciiTheme="minorHAnsi" w:hAnsiTheme="minorHAnsi"/>
          <w:lang w:eastAsia="en-AU"/>
        </w:rPr>
      </w:pPr>
      <w:r w:rsidRPr="00EB56DA">
        <w:rPr>
          <w:rFonts w:asciiTheme="minorHAnsi" w:hAnsiTheme="minorHAnsi"/>
          <w:lang w:eastAsia="en-AU"/>
        </w:rPr>
        <w:t>The AMEP clients can undertake training through four tuition modes.</w:t>
      </w:r>
    </w:p>
    <w:p w14:paraId="1A608993" w14:textId="77777777" w:rsidR="00EB56DA" w:rsidRPr="00EB56DA" w:rsidRDefault="00EB56DA" w:rsidP="00EB56DA">
      <w:pPr>
        <w:numPr>
          <w:ilvl w:val="0"/>
          <w:numId w:val="19"/>
        </w:numPr>
        <w:spacing w:before="60" w:after="60" w:line="280" w:lineRule="exact"/>
        <w:rPr>
          <w:rFonts w:asciiTheme="minorHAnsi" w:hAnsiTheme="minorHAnsi"/>
          <w:lang w:eastAsia="en-AU"/>
        </w:rPr>
      </w:pPr>
      <w:r w:rsidRPr="006703CA">
        <w:rPr>
          <w:rFonts w:asciiTheme="minorHAnsi" w:hAnsiTheme="minorHAnsi"/>
          <w:i/>
          <w:lang w:eastAsia="en-AU"/>
        </w:rPr>
        <w:t>Classroom-based:</w:t>
      </w:r>
      <w:r w:rsidRPr="00EB56DA">
        <w:rPr>
          <w:rFonts w:asciiTheme="minorHAnsi" w:hAnsiTheme="minorHAnsi"/>
          <w:lang w:eastAsia="en-AU"/>
        </w:rPr>
        <w:t xml:space="preserve"> full or part-time classroom tuition during the day, evening and weekends and in formal or community-based settings.</w:t>
      </w:r>
    </w:p>
    <w:p w14:paraId="048A814E" w14:textId="77777777" w:rsidR="00EB56DA" w:rsidRPr="00EB56DA" w:rsidRDefault="00EB56DA" w:rsidP="00EB56DA">
      <w:pPr>
        <w:numPr>
          <w:ilvl w:val="0"/>
          <w:numId w:val="19"/>
        </w:numPr>
        <w:spacing w:before="60" w:after="60" w:line="280" w:lineRule="exact"/>
        <w:rPr>
          <w:rFonts w:asciiTheme="minorHAnsi" w:hAnsiTheme="minorHAnsi"/>
          <w:lang w:eastAsia="en-AU"/>
        </w:rPr>
      </w:pPr>
      <w:r w:rsidRPr="006703CA">
        <w:rPr>
          <w:rFonts w:asciiTheme="minorHAnsi" w:hAnsiTheme="minorHAnsi"/>
          <w:i/>
          <w:lang w:eastAsia="en-AU"/>
        </w:rPr>
        <w:t>Distance learning:</w:t>
      </w:r>
      <w:r w:rsidRPr="00EB56DA">
        <w:rPr>
          <w:rFonts w:asciiTheme="minorHAnsi" w:hAnsiTheme="minorHAnsi"/>
          <w:lang w:eastAsia="en-AU"/>
        </w:rPr>
        <w:t xml:space="preserve"> curriculum materials specifically designed for out</w:t>
      </w:r>
      <w:r w:rsidRPr="00EB56DA">
        <w:rPr>
          <w:rFonts w:asciiTheme="minorHAnsi" w:hAnsiTheme="minorHAnsi"/>
          <w:lang w:eastAsia="en-AU"/>
        </w:rPr>
        <w:noBreakHyphen/>
        <w:t>of-classroom learning, supported by regular contact with a teacher, often over the internet or the telephone.</w:t>
      </w:r>
    </w:p>
    <w:p w14:paraId="508F49F4" w14:textId="77777777" w:rsidR="00EB56DA" w:rsidRPr="00EB56DA" w:rsidRDefault="00EB56DA" w:rsidP="00EB56DA">
      <w:pPr>
        <w:numPr>
          <w:ilvl w:val="0"/>
          <w:numId w:val="19"/>
        </w:numPr>
        <w:spacing w:before="60" w:after="60" w:line="280" w:lineRule="exact"/>
        <w:rPr>
          <w:rFonts w:asciiTheme="minorHAnsi" w:hAnsiTheme="minorHAnsi"/>
          <w:lang w:eastAsia="en-AU"/>
        </w:rPr>
      </w:pPr>
      <w:r w:rsidRPr="006703CA">
        <w:rPr>
          <w:rFonts w:asciiTheme="minorHAnsi" w:hAnsiTheme="minorHAnsi"/>
          <w:i/>
          <w:lang w:eastAsia="en-AU"/>
        </w:rPr>
        <w:t>Home Tutor Scheme (HTS):</w:t>
      </w:r>
      <w:r w:rsidRPr="00EB56DA">
        <w:rPr>
          <w:rFonts w:asciiTheme="minorHAnsi" w:hAnsiTheme="minorHAnsi"/>
          <w:lang w:eastAsia="en-AU"/>
        </w:rPr>
        <w:t xml:space="preserve"> trained volunteers provide one-on-one English language tuition to clients, usually in the client’s home (under the HTS, AMEP service providers train and provide professional development for home tutors).</w:t>
      </w:r>
    </w:p>
    <w:p w14:paraId="2414ED75" w14:textId="77777777" w:rsidR="00EB56DA" w:rsidRPr="00EB56DA" w:rsidRDefault="00EB56DA" w:rsidP="00EB56DA">
      <w:pPr>
        <w:numPr>
          <w:ilvl w:val="0"/>
          <w:numId w:val="19"/>
        </w:numPr>
        <w:spacing w:before="60" w:after="60" w:line="280" w:lineRule="exact"/>
        <w:rPr>
          <w:rFonts w:asciiTheme="minorHAnsi" w:hAnsiTheme="minorHAnsi"/>
          <w:lang w:eastAsia="en-AU"/>
        </w:rPr>
      </w:pPr>
      <w:r w:rsidRPr="006703CA">
        <w:rPr>
          <w:rFonts w:asciiTheme="minorHAnsi" w:hAnsiTheme="minorHAnsi"/>
          <w:i/>
          <w:lang w:eastAsia="en-AU"/>
        </w:rPr>
        <w:lastRenderedPageBreak/>
        <w:t>Self-paced e-learning:</w:t>
      </w:r>
      <w:r w:rsidRPr="00EB56DA">
        <w:rPr>
          <w:rFonts w:asciiTheme="minorHAnsi" w:hAnsiTheme="minorHAnsi"/>
          <w:lang w:eastAsia="en-AU"/>
        </w:rPr>
        <w:t xml:space="preserve"> online learning modules available to all AMEP clients to supplement AMEP tuition; no hours are deducted from an AMEP client’s entitlement.</w:t>
      </w:r>
      <w:r w:rsidRPr="00EB56DA">
        <w:rPr>
          <w:rFonts w:asciiTheme="minorHAnsi" w:hAnsiTheme="minorHAnsi"/>
          <w:vertAlign w:val="superscript"/>
          <w:lang w:eastAsia="en-AU"/>
        </w:rPr>
        <w:footnoteReference w:id="2"/>
      </w:r>
    </w:p>
    <w:p w14:paraId="51E676D9" w14:textId="77777777" w:rsidR="00EB56DA" w:rsidRPr="00EB56DA" w:rsidRDefault="00EB56DA" w:rsidP="00EB56DA">
      <w:pPr>
        <w:spacing w:line="280" w:lineRule="exact"/>
        <w:rPr>
          <w:rFonts w:asciiTheme="minorHAnsi" w:hAnsiTheme="minorHAnsi"/>
          <w:lang w:eastAsia="en-AU"/>
        </w:rPr>
      </w:pPr>
      <w:r w:rsidRPr="00EB56DA">
        <w:rPr>
          <w:rFonts w:asciiTheme="minorHAnsi" w:hAnsiTheme="minorHAnsi"/>
          <w:lang w:eastAsia="en-AU"/>
        </w:rPr>
        <w:t xml:space="preserve">The </w:t>
      </w:r>
      <w:r>
        <w:rPr>
          <w:rFonts w:asciiTheme="minorHAnsi" w:hAnsiTheme="minorHAnsi"/>
          <w:lang w:eastAsia="en-AU"/>
        </w:rPr>
        <w:t xml:space="preserve">AMEP </w:t>
      </w:r>
      <w:r w:rsidRPr="00EB56DA">
        <w:rPr>
          <w:rFonts w:asciiTheme="minorHAnsi" w:hAnsiTheme="minorHAnsi"/>
          <w:lang w:eastAsia="en-AU"/>
        </w:rPr>
        <w:t>also allows eligible clients to access additional support and tuition, under two sub-programmes—the Special Preparatory Programme (SPP) and the Settlement Language Pathways to Employment/Training (SLPET) Programme—as well as supporting the learning and settlement needs of clients through the provision of counselling services, childcare and a translation referral service.</w:t>
      </w:r>
    </w:p>
    <w:p w14:paraId="23FBBBD0" w14:textId="77C1BCC0" w:rsidR="00A210EB" w:rsidRDefault="00A210EB" w:rsidP="00A210EB">
      <w:pPr>
        <w:pStyle w:val="Heading2nonumber"/>
      </w:pPr>
      <w:r>
        <w:t xml:space="preserve">The </w:t>
      </w:r>
      <w:r w:rsidR="00AE13AC">
        <w:t>SEE programme</w:t>
      </w:r>
    </w:p>
    <w:p w14:paraId="0B60E652" w14:textId="3BC0EC29" w:rsidR="00A210EB" w:rsidRPr="00414605" w:rsidRDefault="00A210EB" w:rsidP="00A210EB">
      <w:pPr>
        <w:pStyle w:val="BodyText"/>
      </w:pPr>
      <w:r>
        <w:t xml:space="preserve">The SEE </w:t>
      </w:r>
      <w:r w:rsidR="00A0163C">
        <w:t>p</w:t>
      </w:r>
      <w:r>
        <w:t xml:space="preserve">rogramme commenced in 2013 as the continuation of the </w:t>
      </w:r>
      <w:r w:rsidRPr="001937B8">
        <w:t xml:space="preserve">Language, Literacy and Numeracy </w:t>
      </w:r>
      <w:r>
        <w:t xml:space="preserve">Programme (LLNP). </w:t>
      </w:r>
      <w:r w:rsidR="00A0163C">
        <w:t>The SEE programme</w:t>
      </w:r>
      <w:r>
        <w:t xml:space="preserve"> is the Australian Government’s primary programme for helping eligible job seekers to improve their language, literacy and numeracy (LLN) skills with the expectation that such improvements will enable them to participate more effectively in training or in the labour force</w:t>
      </w:r>
      <w:r w:rsidR="008A408F">
        <w:t>,</w:t>
      </w:r>
      <w:r w:rsidR="008A408F" w:rsidRPr="008A408F">
        <w:t xml:space="preserve"> </w:t>
      </w:r>
      <w:r w:rsidR="008A408F" w:rsidRPr="001937B8">
        <w:t>lead</w:t>
      </w:r>
      <w:r w:rsidR="008A408F">
        <w:t>ing</w:t>
      </w:r>
      <w:r w:rsidR="008A408F" w:rsidRPr="001937B8">
        <w:t xml:space="preserve"> to long-term gains for </w:t>
      </w:r>
      <w:r w:rsidR="008A408F">
        <w:t>the economy and the community more broadly</w:t>
      </w:r>
      <w:r>
        <w:t xml:space="preserve">. </w:t>
      </w:r>
    </w:p>
    <w:p w14:paraId="1F707D68" w14:textId="77777777" w:rsidR="00A210EB" w:rsidRDefault="00A210EB" w:rsidP="00A210EB">
      <w:pPr>
        <w:pStyle w:val="BodyText"/>
      </w:pPr>
      <w:r>
        <w:t xml:space="preserve">The LLNP commenced in 2002 </w:t>
      </w:r>
      <w:r w:rsidRPr="00913832">
        <w:t xml:space="preserve">when the Literacy and Numeracy Training </w:t>
      </w:r>
      <w:r>
        <w:t xml:space="preserve">Programme </w:t>
      </w:r>
      <w:r w:rsidRPr="00913832">
        <w:t xml:space="preserve">and the Advanced English for Migrants </w:t>
      </w:r>
      <w:r>
        <w:t xml:space="preserve">programme </w:t>
      </w:r>
      <w:r w:rsidRPr="00913832">
        <w:t>amalgamated to provide a more integrated management approach to addressing LLN needs among job seekers at the national level.</w:t>
      </w:r>
    </w:p>
    <w:p w14:paraId="3987B94D" w14:textId="77777777" w:rsidR="00A210EB" w:rsidRDefault="00A210EB" w:rsidP="00A210EB">
      <w:pPr>
        <w:pStyle w:val="BodyText"/>
      </w:pPr>
      <w:r>
        <w:t>A review of the LLNP in 2013 identified opportunities to make the programme more flexible and efficient. This included a name change to remove perceived social stigma associated with the program</w:t>
      </w:r>
      <w:r w:rsidR="006C7B38">
        <w:t>me</w:t>
      </w:r>
      <w:r>
        <w:t>’s name.</w:t>
      </w:r>
    </w:p>
    <w:p w14:paraId="26DC937E" w14:textId="19CCE7DD" w:rsidR="00A210EB" w:rsidRDefault="00AE13AC" w:rsidP="00A210EB">
      <w:pPr>
        <w:pStyle w:val="BodyText"/>
      </w:pPr>
      <w:r>
        <w:t>SEE programme</w:t>
      </w:r>
      <w:r w:rsidR="00A210EB">
        <w:t xml:space="preserve"> clients can access </w:t>
      </w:r>
      <w:r w:rsidR="00A210EB" w:rsidRPr="003B3D0A">
        <w:t>up to 800 hours of free training which can be undertaken on a part-time (10 to 19 hours per week) or full-time (20 to 25 hours per week) basis over no more than a two year period</w:t>
      </w:r>
      <w:r w:rsidR="00A210EB">
        <w:t>.</w:t>
      </w:r>
      <w:r w:rsidR="00A210EB" w:rsidRPr="00971A47">
        <w:t xml:space="preserve"> </w:t>
      </w:r>
      <w:r w:rsidR="00A210EB" w:rsidRPr="003B3D0A">
        <w:t xml:space="preserve">The </w:t>
      </w:r>
      <w:r w:rsidR="00A210EB">
        <w:t xml:space="preserve">programme </w:t>
      </w:r>
      <w:r w:rsidR="00A210EB" w:rsidRPr="003B3D0A">
        <w:t>provides initial, basic and advanced accredited English language training, as well as basic and advanced literacy and numeracy training.</w:t>
      </w:r>
      <w:r w:rsidR="00A210EB" w:rsidRPr="00971A47">
        <w:t xml:space="preserve"> The number of </w:t>
      </w:r>
      <w:r w:rsidR="00A210EB">
        <w:t xml:space="preserve">training </w:t>
      </w:r>
      <w:r w:rsidR="00A210EB" w:rsidRPr="00971A47">
        <w:t>hours undertaken</w:t>
      </w:r>
      <w:r w:rsidR="00A210EB">
        <w:t xml:space="preserve"> weekly</w:t>
      </w:r>
      <w:r w:rsidR="00A210EB" w:rsidRPr="00971A47">
        <w:t xml:space="preserve"> by each client is set out in </w:t>
      </w:r>
      <w:r w:rsidR="00A210EB">
        <w:t>Individual Training Plans (ITP).</w:t>
      </w:r>
    </w:p>
    <w:p w14:paraId="77131E6A" w14:textId="77777777" w:rsidR="00A210EB" w:rsidRDefault="00A210EB" w:rsidP="00A210EB">
      <w:pPr>
        <w:pStyle w:val="BodyText"/>
      </w:pPr>
      <w:r>
        <w:t>Clients are offered one of three streams of training, based on their assessment results:</w:t>
      </w:r>
    </w:p>
    <w:p w14:paraId="3382B9F3" w14:textId="2CB3CECF" w:rsidR="00A210EB" w:rsidRDefault="00A210EB" w:rsidP="00A210EB">
      <w:pPr>
        <w:pStyle w:val="ListDash"/>
      </w:pPr>
      <w:r w:rsidRPr="00D8282B">
        <w:rPr>
          <w:i/>
        </w:rPr>
        <w:t>Initial Language stream</w:t>
      </w:r>
      <w:r w:rsidR="00EB56DA">
        <w:t>:</w:t>
      </w:r>
      <w:r>
        <w:t xml:space="preserve"> designed solely for clients whose first language is not English and who at the time of the Pre</w:t>
      </w:r>
      <w:r w:rsidR="00EB56DA">
        <w:t>-</w:t>
      </w:r>
      <w:r>
        <w:t>Training Assessment (PTA), achieve Australian Core Skills Framework (ACSF) Level 1 or below in all ACSF reading and oral communication indicators.</w:t>
      </w:r>
    </w:p>
    <w:p w14:paraId="3924796B" w14:textId="076971A9" w:rsidR="00A210EB" w:rsidRDefault="00A210EB" w:rsidP="00A210EB">
      <w:pPr>
        <w:pStyle w:val="ListDash"/>
      </w:pPr>
      <w:r w:rsidRPr="00D8282B">
        <w:rPr>
          <w:i/>
        </w:rPr>
        <w:t>Basic Language, Literacy and Numeracy stream</w:t>
      </w:r>
      <w:r w:rsidR="00EB56DA">
        <w:t>:</w:t>
      </w:r>
      <w:r>
        <w:t xml:space="preserve"> accommodates both language and literacy/numeracy clients</w:t>
      </w:r>
      <w:r w:rsidR="00EB56DA">
        <w:t>,</w:t>
      </w:r>
      <w:r>
        <w:t xml:space="preserve"> and focuses on consolidating functional LLN skills.</w:t>
      </w:r>
    </w:p>
    <w:p w14:paraId="4752C50E" w14:textId="733A252D" w:rsidR="00A210EB" w:rsidRDefault="00A210EB" w:rsidP="00A210EB">
      <w:pPr>
        <w:pStyle w:val="ListDash"/>
      </w:pPr>
      <w:r w:rsidRPr="00D8282B">
        <w:rPr>
          <w:i/>
        </w:rPr>
        <w:t>Advanced Language, Literacy and Numeracy stream</w:t>
      </w:r>
      <w:r w:rsidR="00EB56DA">
        <w:t>:</w:t>
      </w:r>
      <w:r>
        <w:t xml:space="preserve"> accommodates both language and literacy/numeracy clients who have higher ACSF scores than those in the Basic stream. </w:t>
      </w:r>
      <w:r>
        <w:lastRenderedPageBreak/>
        <w:t>These clients generally achieve between ACSF Levels 3 and 5 in reading, writing and oral communication.</w:t>
      </w:r>
    </w:p>
    <w:p w14:paraId="4D5E72FE" w14:textId="18B125D0" w:rsidR="00A210EB" w:rsidRDefault="00A210EB" w:rsidP="00A210EB">
      <w:pPr>
        <w:pStyle w:val="BodyText"/>
      </w:pPr>
      <w:r>
        <w:t>Finding employment after undertaking the program</w:t>
      </w:r>
      <w:r w:rsidR="006C7B38">
        <w:t>me</w:t>
      </w:r>
      <w:r>
        <w:t>’s training is the ultimate measure of success, however attainment is also important. Attainment is measured by comparing the client’s LLN improvements in ACSF indicators from their PTA to the later assessments during and at the end of their training.</w:t>
      </w:r>
    </w:p>
    <w:p w14:paraId="3B6E49FF" w14:textId="77777777" w:rsidR="00BC12D8" w:rsidRDefault="00BC12D8" w:rsidP="00BC12D8">
      <w:pPr>
        <w:pStyle w:val="Heading2nonumber"/>
      </w:pPr>
      <w:r>
        <w:t>Evaluation approach</w:t>
      </w:r>
    </w:p>
    <w:p w14:paraId="11199FAB" w14:textId="448215AA" w:rsidR="00BC12D8" w:rsidRDefault="00BC12D8" w:rsidP="00BC12D8">
      <w:pPr>
        <w:pStyle w:val="BodyText"/>
      </w:pPr>
      <w:r>
        <w:t>The evaluation has been designed around a set of research questions examining the appropriateness, effectiveness, efficiency and performance management of the AMEP</w:t>
      </w:r>
      <w:r w:rsidR="00FD1F41">
        <w:t xml:space="preserve"> and the SEE</w:t>
      </w:r>
      <w:r w:rsidR="0021604C">
        <w:t xml:space="preserve"> </w:t>
      </w:r>
      <w:r w:rsidR="00FD1F41">
        <w:t>programme</w:t>
      </w:r>
      <w:r>
        <w:t>. The research questions are broad ranging, covering the design of the program</w:t>
      </w:r>
      <w:r w:rsidR="006C7B38">
        <w:t>me</w:t>
      </w:r>
      <w:r w:rsidR="0070776B">
        <w:t>s</w:t>
      </w:r>
      <w:r>
        <w:t xml:space="preserve">, </w:t>
      </w:r>
      <w:r w:rsidR="0070776B">
        <w:t xml:space="preserve">their </w:t>
      </w:r>
      <w:r>
        <w:t xml:space="preserve">systems for tracking against achievement of </w:t>
      </w:r>
      <w:r w:rsidR="00B1278B">
        <w:t xml:space="preserve">programme </w:t>
      </w:r>
      <w:r>
        <w:t xml:space="preserve">objectives, as well as operational monitoring and reporting, and </w:t>
      </w:r>
      <w:r w:rsidR="0070776B">
        <w:t xml:space="preserve">their </w:t>
      </w:r>
      <w:r>
        <w:t xml:space="preserve">performance in delivering services to meet client needs. </w:t>
      </w:r>
    </w:p>
    <w:p w14:paraId="1F0F2968" w14:textId="77777777" w:rsidR="00BC12D8" w:rsidRDefault="00BC12D8" w:rsidP="00BC12D8">
      <w:pPr>
        <w:pStyle w:val="BodyText"/>
      </w:pPr>
      <w:r>
        <w:t xml:space="preserve">The evaluation sought evidence from multiple sources involving a scan of programme documentation, analysis of programme administrative and operational data, and extensive consultation with stakeholders across all states and territories comprising interviews, focus groups, surveys and a public submission process. The nature of the evaluation has necessitated seeking input from multiple perspectives—namely from </w:t>
      </w:r>
      <w:r w:rsidR="00B1278B">
        <w:t xml:space="preserve">programme </w:t>
      </w:r>
      <w:r>
        <w:t>administrators, contracted providers and clients. The evaluation’s findings and recommendations have also been informed by a review of relevant good practices in national and international literature.</w:t>
      </w:r>
    </w:p>
    <w:p w14:paraId="23B43CCC" w14:textId="77777777" w:rsidR="00921C04" w:rsidRDefault="00921C04" w:rsidP="00B1278B">
      <w:pPr>
        <w:pStyle w:val="Heading2nonumber"/>
      </w:pPr>
      <w:r>
        <w:t xml:space="preserve">The context for </w:t>
      </w:r>
      <w:r w:rsidR="005C1C78">
        <w:t xml:space="preserve">strategic </w:t>
      </w:r>
      <w:r>
        <w:t>alignment</w:t>
      </w:r>
    </w:p>
    <w:p w14:paraId="548D128F" w14:textId="39D96412" w:rsidR="00921C04" w:rsidRDefault="00921C04">
      <w:pPr>
        <w:pStyle w:val="BodyText"/>
      </w:pPr>
      <w:r>
        <w:t xml:space="preserve">Throughout the separate evaluations, it has been acknowledged that </w:t>
      </w:r>
      <w:r w:rsidR="001B5368">
        <w:t xml:space="preserve">the </w:t>
      </w:r>
      <w:r>
        <w:t xml:space="preserve">AMEP and </w:t>
      </w:r>
      <w:r w:rsidR="006703CA">
        <w:t xml:space="preserve">the </w:t>
      </w:r>
      <w:r w:rsidR="00A0163C">
        <w:t>SEE programme</w:t>
      </w:r>
      <w:r>
        <w:t xml:space="preserve"> are distinct</w:t>
      </w:r>
      <w:r w:rsidR="00A0163C">
        <w:t>,</w:t>
      </w:r>
      <w:r>
        <w:t xml:space="preserve"> with different objectives and target groups. Historically, they have resided in separate government portfolios with limited formal connections between the two programmes.</w:t>
      </w:r>
    </w:p>
    <w:p w14:paraId="430DD77C" w14:textId="63E0EBD7" w:rsidR="00921C04" w:rsidRDefault="001B5368" w:rsidP="00921C04">
      <w:pPr>
        <w:pStyle w:val="BodyText"/>
      </w:pPr>
      <w:r>
        <w:t xml:space="preserve">The </w:t>
      </w:r>
      <w:r w:rsidR="00921C04">
        <w:t xml:space="preserve">AMEP has been a comparatively much longer-lived and relatively stable programme. The providers currently contracted to deliver the programme have been involved in doing so for many decades. </w:t>
      </w:r>
      <w:r w:rsidR="00A0163C">
        <w:t>The SEE programme</w:t>
      </w:r>
      <w:r w:rsidR="00921C04">
        <w:t xml:space="preserve"> on the other hand is a more recent programme that has undergone various iterations (as the </w:t>
      </w:r>
      <w:r w:rsidR="0021604C">
        <w:t>Language and Numeracy Training (</w:t>
      </w:r>
      <w:r w:rsidR="00921C04">
        <w:t>LANT</w:t>
      </w:r>
      <w:r w:rsidR="0021604C">
        <w:t>)</w:t>
      </w:r>
      <w:r w:rsidR="00921C04">
        <w:t xml:space="preserve"> program</w:t>
      </w:r>
      <w:r w:rsidR="00015B16">
        <w:t>me</w:t>
      </w:r>
      <w:r w:rsidR="00921C04">
        <w:t xml:space="preserve"> and then </w:t>
      </w:r>
      <w:r w:rsidR="0021604C">
        <w:t>the Language, Literacy and Numeracy Program (</w:t>
      </w:r>
      <w:r w:rsidR="00921C04">
        <w:t>LLNP</w:t>
      </w:r>
      <w:r w:rsidR="0021604C">
        <w:t>)</w:t>
      </w:r>
      <w:r w:rsidR="00921C04">
        <w:t xml:space="preserve">). </w:t>
      </w:r>
    </w:p>
    <w:p w14:paraId="05107A3B" w14:textId="7C809F4D" w:rsidR="00921C04" w:rsidRDefault="001B5368" w:rsidP="00921C04">
      <w:pPr>
        <w:pStyle w:val="BodyText"/>
      </w:pPr>
      <w:r>
        <w:t>The AMEP</w:t>
      </w:r>
      <w:r w:rsidR="00921C04">
        <w:t xml:space="preserve"> has been managed and refined within the immigration portfolio</w:t>
      </w:r>
      <w:r w:rsidR="0070776B">
        <w:t xml:space="preserve"> until recently</w:t>
      </w:r>
      <w:r w:rsidR="00921C04">
        <w:t xml:space="preserve">, whereas </w:t>
      </w:r>
      <w:r w:rsidR="00A0163C">
        <w:t>the SEE programme</w:t>
      </w:r>
      <w:r w:rsidR="00921C04">
        <w:t xml:space="preserve"> has been much more connected to developments in the broader VET sector, having resided within the industry or education portfolios in recent years.</w:t>
      </w:r>
    </w:p>
    <w:p w14:paraId="642DD62A" w14:textId="77777777" w:rsidR="00921C04" w:rsidRDefault="00921C04" w:rsidP="00921C04">
      <w:pPr>
        <w:pStyle w:val="BodyText"/>
      </w:pPr>
      <w:r>
        <w:t>This evaluation therefore presents a unique opportunity to improve the strategic alignment between the two programmes, but also with</w:t>
      </w:r>
      <w:r w:rsidR="004B18DB">
        <w:t>in</w:t>
      </w:r>
      <w:r>
        <w:t xml:space="preserve"> the broader suit</w:t>
      </w:r>
      <w:r w:rsidR="004B18DB">
        <w:t>e</w:t>
      </w:r>
      <w:r>
        <w:t>s of skills policies and programmes nationally.</w:t>
      </w:r>
    </w:p>
    <w:p w14:paraId="4D7DF3F5" w14:textId="77777777" w:rsidR="00BC12D8" w:rsidRDefault="00BC12D8" w:rsidP="00BC12D8">
      <w:pPr>
        <w:pStyle w:val="Heading2nonumber"/>
      </w:pPr>
      <w:r>
        <w:t xml:space="preserve">Findings and areas for further consideration </w:t>
      </w:r>
    </w:p>
    <w:p w14:paraId="7404CAA7" w14:textId="7814778F" w:rsidR="00BC12D8" w:rsidRDefault="00BC12D8" w:rsidP="00BC12D8">
      <w:pPr>
        <w:pStyle w:val="BodyText"/>
      </w:pPr>
      <w:r>
        <w:t xml:space="preserve">The evaluation findings indicate that overall </w:t>
      </w:r>
      <w:r w:rsidR="001B5368">
        <w:t>the AMEP</w:t>
      </w:r>
      <w:r>
        <w:t xml:space="preserve"> </w:t>
      </w:r>
      <w:r w:rsidR="000F3270">
        <w:t xml:space="preserve">and </w:t>
      </w:r>
      <w:r w:rsidR="006703CA">
        <w:t xml:space="preserve">the </w:t>
      </w:r>
      <w:r w:rsidR="00A0163C">
        <w:t>SEE programme</w:t>
      </w:r>
      <w:r w:rsidR="000F3270">
        <w:t xml:space="preserve"> are </w:t>
      </w:r>
      <w:r>
        <w:t>valued program</w:t>
      </w:r>
      <w:r w:rsidR="0070776B">
        <w:t>me</w:t>
      </w:r>
      <w:r w:rsidR="000F3270">
        <w:t>s</w:t>
      </w:r>
      <w:r>
        <w:t xml:space="preserve"> that </w:t>
      </w:r>
      <w:r w:rsidR="000F3270">
        <w:t>are</w:t>
      </w:r>
      <w:r>
        <w:t xml:space="preserve"> providing substantial assistance </w:t>
      </w:r>
      <w:r w:rsidR="000F3270">
        <w:t xml:space="preserve">respectively </w:t>
      </w:r>
      <w:r>
        <w:t xml:space="preserve">to </w:t>
      </w:r>
      <w:r w:rsidRPr="008F74B9">
        <w:t>eligible adult migrants and humanitarian entrants</w:t>
      </w:r>
      <w:r>
        <w:t xml:space="preserve"> in </w:t>
      </w:r>
      <w:r w:rsidRPr="008F74B9">
        <w:t>promot</w:t>
      </w:r>
      <w:r>
        <w:t>ing</w:t>
      </w:r>
      <w:r w:rsidRPr="008F74B9">
        <w:t xml:space="preserve"> and support</w:t>
      </w:r>
      <w:r>
        <w:t>ing</w:t>
      </w:r>
      <w:r w:rsidRPr="008F74B9">
        <w:t xml:space="preserve"> the acquisition of English language skills </w:t>
      </w:r>
      <w:r>
        <w:t>necessary for successful settlement in Australia</w:t>
      </w:r>
      <w:r w:rsidR="000F3270">
        <w:t xml:space="preserve">, and improving eligible job seeker’s </w:t>
      </w:r>
      <w:r w:rsidR="000F3270">
        <w:lastRenderedPageBreak/>
        <w:t>LLN skills</w:t>
      </w:r>
      <w:r w:rsidR="00421A4C">
        <w:t>,</w:t>
      </w:r>
      <w:r w:rsidR="000F3270">
        <w:t xml:space="preserve"> with the expectation that such improvements will enable them to participate more effectively in training or in the labour force</w:t>
      </w:r>
      <w:r>
        <w:t>.</w:t>
      </w:r>
    </w:p>
    <w:p w14:paraId="76DF61E6" w14:textId="628C4CE0" w:rsidR="000F3270" w:rsidRDefault="000F3270" w:rsidP="00BC12D8">
      <w:pPr>
        <w:pStyle w:val="BodyText"/>
      </w:pPr>
      <w:r>
        <w:t xml:space="preserve">At the same there are many elements that are common to both programmes </w:t>
      </w:r>
      <w:r w:rsidR="00FA642A">
        <w:t xml:space="preserve">and each </w:t>
      </w:r>
      <w:r w:rsidR="00556981">
        <w:t xml:space="preserve">has </w:t>
      </w:r>
      <w:r w:rsidR="00FA642A">
        <w:t>the potential to benefit from the experiences of the other, including shared treatment and/or systems</w:t>
      </w:r>
      <w:r w:rsidR="00421A4C">
        <w:t>, in some cases</w:t>
      </w:r>
      <w:r w:rsidR="00FA642A">
        <w:t xml:space="preserve">, as summarised below. </w:t>
      </w:r>
    </w:p>
    <w:p w14:paraId="72BBB0DC" w14:textId="77777777" w:rsidR="00871CEA" w:rsidRDefault="00871CEA" w:rsidP="00B1278B">
      <w:pPr>
        <w:pStyle w:val="Heading5"/>
      </w:pPr>
      <w:r>
        <w:t xml:space="preserve">Addressing the eligibility gap </w:t>
      </w:r>
    </w:p>
    <w:p w14:paraId="257CCEF3" w14:textId="6F44D8F2" w:rsidR="004A24F1" w:rsidRDefault="00A210EB" w:rsidP="001B5368">
      <w:pPr>
        <w:pStyle w:val="BodyText"/>
        <w:tabs>
          <w:tab w:val="left" w:pos="4820"/>
        </w:tabs>
      </w:pPr>
      <w:r>
        <w:t>In considering opportunities for the two programmes to work together, there</w:t>
      </w:r>
      <w:r w:rsidR="004A24F1">
        <w:t xml:space="preserve"> are clear eligibility </w:t>
      </w:r>
      <w:r>
        <w:t>differences</w:t>
      </w:r>
      <w:r w:rsidR="004A24F1">
        <w:t xml:space="preserve"> between the AMEP and SEE programme</w:t>
      </w:r>
      <w:r>
        <w:t xml:space="preserve">, </w:t>
      </w:r>
      <w:r w:rsidR="002E77F2">
        <w:t xml:space="preserve">with eligibility </w:t>
      </w:r>
      <w:r>
        <w:t>appropriate to</w:t>
      </w:r>
      <w:r w:rsidR="004A24F1">
        <w:t xml:space="preserve"> the targeting of each programme. </w:t>
      </w:r>
      <w:r>
        <w:t xml:space="preserve">One area identified for further consideration is </w:t>
      </w:r>
      <w:r w:rsidR="0015413D">
        <w:t xml:space="preserve">entrants who </w:t>
      </w:r>
      <w:r w:rsidR="004A24F1">
        <w:t>arrive in Australia under the skilled migrant stream</w:t>
      </w:r>
      <w:r w:rsidR="0015413D">
        <w:t xml:space="preserve">, </w:t>
      </w:r>
      <w:r w:rsidR="00421A4C">
        <w:t xml:space="preserve">who are </w:t>
      </w:r>
      <w:r w:rsidR="004A24F1">
        <w:t xml:space="preserve">eligible for </w:t>
      </w:r>
      <w:r w:rsidR="001B5368">
        <w:t>the AMEP</w:t>
      </w:r>
      <w:r w:rsidR="004A24F1">
        <w:t xml:space="preserve"> but are specifically excluded from participating in </w:t>
      </w:r>
      <w:r w:rsidR="00A0163C">
        <w:t>the SEE programme</w:t>
      </w:r>
      <w:r w:rsidR="004A24F1">
        <w:t>.</w:t>
      </w:r>
    </w:p>
    <w:p w14:paraId="401C10D3" w14:textId="6496541E" w:rsidR="004A24F1" w:rsidRDefault="004A24F1" w:rsidP="004A24F1">
      <w:pPr>
        <w:pStyle w:val="BodyText"/>
      </w:pPr>
      <w:r>
        <w:t>The inclusion of skilled migrants</w:t>
      </w:r>
      <w:r w:rsidR="00931248">
        <w:t xml:space="preserve"> – in particular dependents of the primary applicant –</w:t>
      </w:r>
      <w:r>
        <w:t xml:space="preserve"> would target genuine need</w:t>
      </w:r>
      <w:r w:rsidR="00421A4C">
        <w:t>s</w:t>
      </w:r>
      <w:r>
        <w:t>, and it is likely that only those requiring LLN training would seek to enrol in the programme.</w:t>
      </w:r>
      <w:r w:rsidR="004E4E8B">
        <w:t xml:space="preserve"> </w:t>
      </w:r>
      <w:r>
        <w:t>If skilled migrants become eligibl</w:t>
      </w:r>
      <w:r w:rsidR="004E4E8B">
        <w:t>e job seekers and are in need of</w:t>
      </w:r>
      <w:r>
        <w:t xml:space="preserve"> LLN training to achieve success in employment or further training, there is a case on equity grounds for allowing these residents equal access to the </w:t>
      </w:r>
      <w:r w:rsidR="00AE13AC">
        <w:t>SEE programme</w:t>
      </w:r>
      <w:r>
        <w:t xml:space="preserve">. </w:t>
      </w:r>
    </w:p>
    <w:p w14:paraId="0FBE529C" w14:textId="77777777" w:rsidR="004A24F1" w:rsidRDefault="004A24F1" w:rsidP="00B1278B">
      <w:pPr>
        <w:pStyle w:val="SideQuote"/>
        <w:framePr w:wrap="around"/>
      </w:pPr>
      <w:r>
        <w:t>Recommendation 1</w:t>
      </w:r>
      <w:r w:rsidR="00A210EB">
        <w:br/>
        <w:t xml:space="preserve">Eligibility </w:t>
      </w:r>
      <w:r w:rsidR="004E4E8B">
        <w:t>gap</w:t>
      </w:r>
    </w:p>
    <w:p w14:paraId="1373E9FD" w14:textId="3605D7EB" w:rsidR="00595EB5" w:rsidRDefault="00595EB5" w:rsidP="004A24F1">
      <w:pPr>
        <w:pStyle w:val="BodyText"/>
        <w:rPr>
          <w:i/>
        </w:rPr>
      </w:pPr>
      <w:r w:rsidRPr="00595EB5">
        <w:rPr>
          <w:i/>
        </w:rPr>
        <w:t xml:space="preserve">Further investigation </w:t>
      </w:r>
      <w:r>
        <w:rPr>
          <w:i/>
        </w:rPr>
        <w:t xml:space="preserve">should be carried out </w:t>
      </w:r>
      <w:r w:rsidRPr="00595EB5">
        <w:rPr>
          <w:i/>
        </w:rPr>
        <w:t>o</w:t>
      </w:r>
      <w:r>
        <w:rPr>
          <w:i/>
        </w:rPr>
        <w:t>n</w:t>
      </w:r>
      <w:r w:rsidRPr="00595EB5">
        <w:rPr>
          <w:i/>
        </w:rPr>
        <w:t xml:space="preserve"> whether the dependents of skilled migrants should be eligible for </w:t>
      </w:r>
      <w:r w:rsidR="00A0163C">
        <w:rPr>
          <w:i/>
        </w:rPr>
        <w:t>the SEE programme</w:t>
      </w:r>
      <w:r w:rsidRPr="00595EB5">
        <w:rPr>
          <w:i/>
        </w:rPr>
        <w:t xml:space="preserve">. This should look at both the financial implications of widening </w:t>
      </w:r>
      <w:r w:rsidR="00A0163C">
        <w:rPr>
          <w:i/>
        </w:rPr>
        <w:t>the SEE programme</w:t>
      </w:r>
      <w:r w:rsidRPr="00595EB5">
        <w:rPr>
          <w:i/>
        </w:rPr>
        <w:t xml:space="preserve"> eligibility and the potential positive economic </w:t>
      </w:r>
      <w:r>
        <w:rPr>
          <w:i/>
        </w:rPr>
        <w:t>impact</w:t>
      </w:r>
      <w:r w:rsidRPr="00595EB5">
        <w:rPr>
          <w:i/>
        </w:rPr>
        <w:t xml:space="preserve"> of this cohort being able to better integrate into the workforce.</w:t>
      </w:r>
    </w:p>
    <w:p w14:paraId="60E4550B" w14:textId="77777777" w:rsidR="00871CEA" w:rsidRDefault="00871CEA" w:rsidP="00871CEA">
      <w:pPr>
        <w:pStyle w:val="Heading5"/>
      </w:pPr>
      <w:r>
        <w:t>Addressing the proficiency gap</w:t>
      </w:r>
    </w:p>
    <w:p w14:paraId="329F6170" w14:textId="03C968F8" w:rsidR="004A24F1" w:rsidRDefault="00612B16" w:rsidP="004A24F1">
      <w:pPr>
        <w:pStyle w:val="BodyText"/>
      </w:pPr>
      <w:r>
        <w:t>The AMEP E</w:t>
      </w:r>
      <w:r w:rsidR="004F6CB2">
        <w:t>valuation</w:t>
      </w:r>
      <w:r w:rsidR="004A24F1">
        <w:t xml:space="preserve"> </w:t>
      </w:r>
      <w:r>
        <w:t>R</w:t>
      </w:r>
      <w:r w:rsidR="004F6CB2">
        <w:t xml:space="preserve">eport </w:t>
      </w:r>
      <w:r w:rsidR="004A24F1">
        <w:t xml:space="preserve">highlighted that clients who complete their 510 hour allocation </w:t>
      </w:r>
      <w:r w:rsidR="004F6CB2">
        <w:t xml:space="preserve">often </w:t>
      </w:r>
      <w:r w:rsidR="004A24F1">
        <w:t xml:space="preserve">exit the programme with a low level of English competency. </w:t>
      </w:r>
    </w:p>
    <w:p w14:paraId="2769C262" w14:textId="1DDCAF66" w:rsidR="004A24F1" w:rsidRDefault="004F6CB2" w:rsidP="00014F27">
      <w:pPr>
        <w:pStyle w:val="BodyText"/>
      </w:pPr>
      <w:r>
        <w:t>The</w:t>
      </w:r>
      <w:r w:rsidR="004A24F1">
        <w:t xml:space="preserve"> high proportion of those entering the AMEP with zero proficiency and that subsequently exit the AMEP still with very low language skills may subsequently form the large proportion entering the </w:t>
      </w:r>
      <w:r w:rsidR="00AE13AC">
        <w:t>SEE programme</w:t>
      </w:r>
      <w:r w:rsidR="004A24F1">
        <w:t xml:space="preserve"> </w:t>
      </w:r>
      <w:r>
        <w:t>facing</w:t>
      </w:r>
      <w:r w:rsidR="004A24F1">
        <w:t xml:space="preserve"> a ‘proficiency gap’</w:t>
      </w:r>
      <w:r w:rsidR="00C96A41">
        <w:t>,</w:t>
      </w:r>
      <w:r>
        <w:t xml:space="preserve"> as</w:t>
      </w:r>
      <w:r w:rsidR="004A24F1">
        <w:t xml:space="preserve"> d</w:t>
      </w:r>
      <w:r w:rsidR="00BF2999">
        <w:t xml:space="preserve">iscussed in the </w:t>
      </w:r>
      <w:r w:rsidR="00492999">
        <w:t>SEE P</w:t>
      </w:r>
      <w:r w:rsidR="00AE13AC">
        <w:t>rogramme</w:t>
      </w:r>
      <w:r w:rsidR="00556981">
        <w:t xml:space="preserve"> Evaluation Report</w:t>
      </w:r>
      <w:r w:rsidR="004A24F1">
        <w:t>.</w:t>
      </w:r>
    </w:p>
    <w:p w14:paraId="1F52E206" w14:textId="6AB1A325" w:rsidR="004A24F1" w:rsidRDefault="004F6CB2">
      <w:pPr>
        <w:pStyle w:val="BodyText"/>
      </w:pPr>
      <w:r>
        <w:t>P</w:t>
      </w:r>
      <w:r w:rsidR="004A24F1">
        <w:t>ossible options to address th</w:t>
      </w:r>
      <w:r w:rsidR="00C96A41">
        <w:t xml:space="preserve">is </w:t>
      </w:r>
      <w:r w:rsidR="004A24F1">
        <w:t xml:space="preserve">gap </w:t>
      </w:r>
      <w:r>
        <w:t>could be to extend</w:t>
      </w:r>
      <w:r w:rsidR="004A24F1">
        <w:t xml:space="preserve"> hours </w:t>
      </w:r>
      <w:r>
        <w:t xml:space="preserve">available </w:t>
      </w:r>
      <w:r w:rsidR="004A24F1">
        <w:t xml:space="preserve">in </w:t>
      </w:r>
      <w:r w:rsidR="001B5368">
        <w:t>the AMEP</w:t>
      </w:r>
      <w:r>
        <w:t>, d</w:t>
      </w:r>
      <w:r w:rsidR="004A24F1">
        <w:t xml:space="preserve">evelop an intermediate language and literacy programme, </w:t>
      </w:r>
      <w:r>
        <w:t>or improve</w:t>
      </w:r>
      <w:r w:rsidR="004A24F1">
        <w:t xml:space="preserve"> </w:t>
      </w:r>
      <w:r w:rsidR="00A0163C">
        <w:t>the SEE programme’s</w:t>
      </w:r>
      <w:r w:rsidR="004A24F1">
        <w:t xml:space="preserve"> coverage of those with very low LLN. </w:t>
      </w:r>
      <w:r>
        <w:t xml:space="preserve">Some stakeholders </w:t>
      </w:r>
      <w:r w:rsidR="00BF2999">
        <w:t xml:space="preserve">also </w:t>
      </w:r>
      <w:r>
        <w:t xml:space="preserve">suggested that </w:t>
      </w:r>
      <w:r w:rsidR="004A24F1">
        <w:t xml:space="preserve">the two programmes could be integrated and “redesigned as an overarching </w:t>
      </w:r>
      <w:r w:rsidR="00B1278B">
        <w:t xml:space="preserve">programme </w:t>
      </w:r>
      <w:r w:rsidR="004A24F1">
        <w:t>with delivery streams for different cohorts depending on their learning needs and community access requirements”</w:t>
      </w:r>
      <w:r>
        <w:t>, though this raises the risk</w:t>
      </w:r>
      <w:r w:rsidR="004A24F1">
        <w:t xml:space="preserve"> of conflating and confusing the </w:t>
      </w:r>
      <w:r w:rsidR="00BF2999">
        <w:t xml:space="preserve">currently clear </w:t>
      </w:r>
      <w:r w:rsidR="004A24F1">
        <w:t>objectives of the two distinct programmes.</w:t>
      </w:r>
    </w:p>
    <w:p w14:paraId="49B5D167" w14:textId="5D8E520F" w:rsidR="004A24F1" w:rsidRDefault="004A24F1" w:rsidP="004A24F1">
      <w:pPr>
        <w:pStyle w:val="BodyText"/>
      </w:pPr>
      <w:r w:rsidRPr="00DA16EB">
        <w:t xml:space="preserve">Consistent with the recommendations in both the AMEP </w:t>
      </w:r>
      <w:r w:rsidR="00612B16">
        <w:t xml:space="preserve">Evaluation Report </w:t>
      </w:r>
      <w:r w:rsidR="00A36B1E" w:rsidRPr="00DA16EB">
        <w:t>(</w:t>
      </w:r>
      <w:r w:rsidR="00DA16EB" w:rsidRPr="00DA16EB">
        <w:t>Chapter 7</w:t>
      </w:r>
      <w:r w:rsidR="00A36B1E" w:rsidRPr="00DA16EB">
        <w:t xml:space="preserve">) </w:t>
      </w:r>
      <w:r w:rsidRPr="00DA16EB">
        <w:t xml:space="preserve">and </w:t>
      </w:r>
      <w:r w:rsidR="00612B16">
        <w:t xml:space="preserve">the </w:t>
      </w:r>
      <w:r w:rsidRPr="00DA16EB">
        <w:t xml:space="preserve">SEE </w:t>
      </w:r>
      <w:r w:rsidR="00612B16">
        <w:t xml:space="preserve">Programme Evaluation Report </w:t>
      </w:r>
      <w:r w:rsidR="00A36B1E" w:rsidRPr="00DA16EB">
        <w:t>(</w:t>
      </w:r>
      <w:r w:rsidR="00DA16EB" w:rsidRPr="00DA16EB">
        <w:t>Chapter 7</w:t>
      </w:r>
      <w:r w:rsidR="00A36B1E" w:rsidRPr="00DA16EB">
        <w:t>)</w:t>
      </w:r>
      <w:r w:rsidRPr="00DA16EB">
        <w:t xml:space="preserve">, </w:t>
      </w:r>
      <w:r w:rsidR="00BF2999" w:rsidRPr="00DA16EB">
        <w:t xml:space="preserve">it </w:t>
      </w:r>
      <w:r w:rsidR="00540E20" w:rsidRPr="00DA16EB">
        <w:t xml:space="preserve">is </w:t>
      </w:r>
      <w:r w:rsidR="00BF2999" w:rsidRPr="00DA16EB">
        <w:t xml:space="preserve">considered that </w:t>
      </w:r>
      <w:r w:rsidRPr="00DA16EB">
        <w:t>the proficiency gap would best be addressed</w:t>
      </w:r>
      <w:r>
        <w:t xml:space="preserve"> </w:t>
      </w:r>
      <w:r w:rsidR="000B3858">
        <w:t xml:space="preserve">through expanding or changing </w:t>
      </w:r>
      <w:r>
        <w:t xml:space="preserve">the </w:t>
      </w:r>
      <w:r w:rsidR="00AE13AC">
        <w:t>SEE programme</w:t>
      </w:r>
      <w:r>
        <w:t xml:space="preserve">’s </w:t>
      </w:r>
      <w:r w:rsidR="000B3858">
        <w:t>target cohort</w:t>
      </w:r>
      <w:r>
        <w:t>.</w:t>
      </w:r>
    </w:p>
    <w:p w14:paraId="5F2F325C" w14:textId="77777777" w:rsidR="004A24F1" w:rsidRDefault="004A24F1" w:rsidP="00B1278B">
      <w:pPr>
        <w:pStyle w:val="SideQuote"/>
        <w:framePr w:wrap="around"/>
      </w:pPr>
      <w:r>
        <w:t>Recommendation 2</w:t>
      </w:r>
      <w:r w:rsidR="004E4E8B">
        <w:br/>
        <w:t>Proficiency gap</w:t>
      </w:r>
    </w:p>
    <w:p w14:paraId="30ABDA60" w14:textId="05CDFAF7" w:rsidR="004A24F1" w:rsidRPr="00B1278B" w:rsidRDefault="007639FC" w:rsidP="00233230">
      <w:pPr>
        <w:pStyle w:val="BodyText"/>
        <w:rPr>
          <w:i/>
        </w:rPr>
      </w:pPr>
      <w:r w:rsidRPr="007639FC">
        <w:rPr>
          <w:i/>
        </w:rPr>
        <w:t xml:space="preserve">There are gaps in the development of client language and literacy proficiency which sees some very low LLN skilled clients unable to transition from </w:t>
      </w:r>
      <w:r w:rsidR="001B5368">
        <w:rPr>
          <w:i/>
        </w:rPr>
        <w:t>the AMEP</w:t>
      </w:r>
      <w:r w:rsidRPr="007639FC">
        <w:rPr>
          <w:i/>
        </w:rPr>
        <w:t xml:space="preserve"> into </w:t>
      </w:r>
      <w:r w:rsidR="00A0163C">
        <w:rPr>
          <w:i/>
        </w:rPr>
        <w:t xml:space="preserve">the SEE </w:t>
      </w:r>
      <w:r w:rsidR="00B52B99">
        <w:rPr>
          <w:i/>
        </w:rPr>
        <w:t>p</w:t>
      </w:r>
      <w:r w:rsidR="00A0163C">
        <w:rPr>
          <w:i/>
        </w:rPr>
        <w:t>rogramme</w:t>
      </w:r>
      <w:r w:rsidRPr="007639FC">
        <w:rPr>
          <w:i/>
        </w:rPr>
        <w:t xml:space="preserve">. Further consideration </w:t>
      </w:r>
      <w:r w:rsidR="00540E20" w:rsidRPr="007639FC">
        <w:rPr>
          <w:i/>
        </w:rPr>
        <w:t xml:space="preserve">is needed </w:t>
      </w:r>
      <w:r w:rsidRPr="007639FC">
        <w:rPr>
          <w:i/>
        </w:rPr>
        <w:t xml:space="preserve">of whether this very low LLN group should be assisted through either expanding or changing the SEE </w:t>
      </w:r>
      <w:r w:rsidR="00A0163C">
        <w:rPr>
          <w:i/>
        </w:rPr>
        <w:t xml:space="preserve">programme’s </w:t>
      </w:r>
      <w:r w:rsidRPr="007639FC">
        <w:rPr>
          <w:i/>
        </w:rPr>
        <w:t>target cohort. This will need to consider the role</w:t>
      </w:r>
      <w:r>
        <w:rPr>
          <w:i/>
        </w:rPr>
        <w:t>s</w:t>
      </w:r>
      <w:r w:rsidRPr="007639FC">
        <w:rPr>
          <w:i/>
        </w:rPr>
        <w:t xml:space="preserve"> of the </w:t>
      </w:r>
      <w:r w:rsidR="00C96A41">
        <w:rPr>
          <w:i/>
        </w:rPr>
        <w:t xml:space="preserve">Australian Government </w:t>
      </w:r>
      <w:r>
        <w:rPr>
          <w:i/>
        </w:rPr>
        <w:t>and states</w:t>
      </w:r>
      <w:r w:rsidR="00C96A41">
        <w:rPr>
          <w:i/>
        </w:rPr>
        <w:t xml:space="preserve"> and </w:t>
      </w:r>
      <w:r>
        <w:rPr>
          <w:i/>
        </w:rPr>
        <w:t>territories</w:t>
      </w:r>
      <w:r w:rsidRPr="007639FC">
        <w:rPr>
          <w:i/>
        </w:rPr>
        <w:t xml:space="preserve">, </w:t>
      </w:r>
      <w:r>
        <w:rPr>
          <w:i/>
        </w:rPr>
        <w:t>the</w:t>
      </w:r>
      <w:r w:rsidRPr="007639FC">
        <w:rPr>
          <w:i/>
        </w:rPr>
        <w:t xml:space="preserve"> potential costs of change (noting the higher needs and thus cost of assisting this group), and </w:t>
      </w:r>
      <w:r>
        <w:rPr>
          <w:i/>
        </w:rPr>
        <w:t>the</w:t>
      </w:r>
      <w:r w:rsidRPr="007639FC">
        <w:rPr>
          <w:i/>
        </w:rPr>
        <w:t xml:space="preserve"> potential benefits of growing the pool of migrants with higher LLN skills</w:t>
      </w:r>
      <w:r w:rsidR="004A24F1" w:rsidRPr="00B1278B">
        <w:rPr>
          <w:i/>
        </w:rPr>
        <w:t>.</w:t>
      </w:r>
    </w:p>
    <w:p w14:paraId="4BE55E61" w14:textId="77777777" w:rsidR="00772080" w:rsidRDefault="00871CEA" w:rsidP="00B1278B">
      <w:pPr>
        <w:pStyle w:val="Heading5"/>
      </w:pPr>
      <w:r>
        <w:lastRenderedPageBreak/>
        <w:t>Improving transitions to employment</w:t>
      </w:r>
    </w:p>
    <w:p w14:paraId="39629059" w14:textId="74CA8C70" w:rsidR="004A24F1" w:rsidRDefault="00772080" w:rsidP="004A24F1">
      <w:pPr>
        <w:pStyle w:val="BodyText"/>
      </w:pPr>
      <w:r>
        <w:t>The data show</w:t>
      </w:r>
      <w:r w:rsidR="004A24F1">
        <w:t xml:space="preserve"> that the work experience component of the AMEP has a higher rate of participation than </w:t>
      </w:r>
      <w:r w:rsidR="00A0163C">
        <w:t>the SEE programme</w:t>
      </w:r>
      <w:r w:rsidR="004A24F1">
        <w:t xml:space="preserve">, even though </w:t>
      </w:r>
      <w:r w:rsidR="00A0163C">
        <w:t>the SEE programme</w:t>
      </w:r>
      <w:r w:rsidR="004A24F1">
        <w:t xml:space="preserve"> is designed to have a much more direct impact on participant employability and transitions into jobs. Consistent feedback from stakeholders suggest that the AMEP does not meet the needs of some </w:t>
      </w:r>
      <w:r w:rsidR="009A47CF">
        <w:t>employment-</w:t>
      </w:r>
      <w:r w:rsidR="004A24F1">
        <w:t xml:space="preserve">focused migrants, with at least a proportion exiting the programme to work or commence in </w:t>
      </w:r>
      <w:r w:rsidR="00A0163C">
        <w:t>the SEE programme</w:t>
      </w:r>
      <w:r w:rsidR="004A24F1">
        <w:t xml:space="preserve">. </w:t>
      </w:r>
    </w:p>
    <w:p w14:paraId="15486965" w14:textId="77777777" w:rsidR="004A24F1" w:rsidRDefault="004A24F1" w:rsidP="00014F27">
      <w:pPr>
        <w:pStyle w:val="BodyText"/>
      </w:pPr>
      <w:r>
        <w:t xml:space="preserve">There are a range of possible explanations for the lower proportion of SEE </w:t>
      </w:r>
      <w:r w:rsidR="00A0163C">
        <w:t xml:space="preserve">programme </w:t>
      </w:r>
      <w:r>
        <w:t>participants engaging in work experience</w:t>
      </w:r>
      <w:r w:rsidR="00772080">
        <w:t>, including p</w:t>
      </w:r>
      <w:r>
        <w:t>articipant interest in gaining work experience</w:t>
      </w:r>
      <w:r w:rsidR="00772080">
        <w:t>, the o</w:t>
      </w:r>
      <w:r>
        <w:t>pportunities available for work experience</w:t>
      </w:r>
      <w:r w:rsidR="00772080">
        <w:t>, or other f</w:t>
      </w:r>
      <w:r>
        <w:t>actors relating to programme design</w:t>
      </w:r>
      <w:r w:rsidR="00772080">
        <w:t xml:space="preserve"> or funding model</w:t>
      </w:r>
      <w:r w:rsidR="00C96A41">
        <w:t>s</w:t>
      </w:r>
      <w:r w:rsidR="00772080">
        <w:t>.</w:t>
      </w:r>
    </w:p>
    <w:p w14:paraId="160010F9" w14:textId="00EAD869" w:rsidR="00241770" w:rsidRDefault="004A24F1" w:rsidP="004A24F1">
      <w:pPr>
        <w:pStyle w:val="BodyText"/>
      </w:pPr>
      <w:r>
        <w:t xml:space="preserve">There </w:t>
      </w:r>
      <w:r w:rsidR="00772080">
        <w:t>are</w:t>
      </w:r>
      <w:r>
        <w:t xml:space="preserve"> insufficient data and evidence available to determine the relative contribution of these various factors on </w:t>
      </w:r>
      <w:r w:rsidR="00A0163C">
        <w:t>SEE programme</w:t>
      </w:r>
      <w:r>
        <w:t xml:space="preserve"> participants and sub-cohorts therein</w:t>
      </w:r>
      <w:r w:rsidR="00C96A41">
        <w:t xml:space="preserve">, </w:t>
      </w:r>
      <w:r>
        <w:t xml:space="preserve">including CALD </w:t>
      </w:r>
      <w:r w:rsidR="00012DA7">
        <w:t>(</w:t>
      </w:r>
      <w:r w:rsidR="00012DA7" w:rsidRPr="00012DA7">
        <w:t>Culturally and Linguistically Diverse</w:t>
      </w:r>
      <w:r w:rsidR="00012DA7">
        <w:t>)</w:t>
      </w:r>
      <w:r w:rsidR="00012DA7" w:rsidRPr="00012DA7">
        <w:t xml:space="preserve"> </w:t>
      </w:r>
      <w:r>
        <w:t xml:space="preserve">participants who may have more in common with AMEP participants. </w:t>
      </w:r>
    </w:p>
    <w:p w14:paraId="1B97ECA9" w14:textId="0FB618AA" w:rsidR="004A24F1" w:rsidRDefault="004A24F1" w:rsidP="004A24F1">
      <w:pPr>
        <w:pStyle w:val="BodyText"/>
      </w:pPr>
      <w:r>
        <w:t xml:space="preserve">Given the significant difference between the participation rates in work experience, further research is warranted to determine the extent to which the lower rates of work experience in </w:t>
      </w:r>
      <w:r w:rsidR="00A0163C">
        <w:t>the SEE programme</w:t>
      </w:r>
      <w:r>
        <w:t xml:space="preserve"> may be remedied through changes in the </w:t>
      </w:r>
      <w:r w:rsidR="00AE13AC">
        <w:t>SEE programme</w:t>
      </w:r>
      <w:r w:rsidR="00C96A41">
        <w:t>’s</w:t>
      </w:r>
      <w:r>
        <w:t xml:space="preserve"> design</w:t>
      </w:r>
      <w:r w:rsidR="00C96A41">
        <w:t>. T</w:t>
      </w:r>
      <w:r>
        <w:t xml:space="preserve">he potential to adopt effective features from the design and implementation of </w:t>
      </w:r>
      <w:r w:rsidR="001B5368">
        <w:t>the AMEP</w:t>
      </w:r>
      <w:r w:rsidR="00C96A41">
        <w:t xml:space="preserve"> should be considered</w:t>
      </w:r>
      <w:r w:rsidR="00236F5B">
        <w:t>, such as an alternative rate of funding, additional hours, and minimum thresholds for participation</w:t>
      </w:r>
      <w:r>
        <w:t>.</w:t>
      </w:r>
      <w:r w:rsidR="00241770">
        <w:t xml:space="preserve"> </w:t>
      </w:r>
    </w:p>
    <w:p w14:paraId="2E5EDED2" w14:textId="77777777" w:rsidR="004A24F1" w:rsidRDefault="004A24F1" w:rsidP="00B1278B">
      <w:pPr>
        <w:pStyle w:val="SideQuote"/>
        <w:framePr w:wrap="around"/>
      </w:pPr>
      <w:r>
        <w:t>Recommendation 3</w:t>
      </w:r>
      <w:r w:rsidR="00772080">
        <w:br/>
        <w:t xml:space="preserve">Transitions to employment </w:t>
      </w:r>
    </w:p>
    <w:p w14:paraId="0896E673" w14:textId="4DE6C00D" w:rsidR="004A24F1" w:rsidRPr="00B1278B" w:rsidRDefault="004A24F1" w:rsidP="004A24F1">
      <w:pPr>
        <w:pStyle w:val="BodyText"/>
        <w:rPr>
          <w:i/>
        </w:rPr>
      </w:pPr>
      <w:r w:rsidRPr="00B1278B">
        <w:rPr>
          <w:i/>
        </w:rPr>
        <w:t xml:space="preserve">Further research is warranted to determine the extent to which the lower rates of work experience in </w:t>
      </w:r>
      <w:r w:rsidR="00A0163C">
        <w:rPr>
          <w:i/>
        </w:rPr>
        <w:t>the SEE programme</w:t>
      </w:r>
      <w:r w:rsidRPr="00B1278B">
        <w:rPr>
          <w:i/>
        </w:rPr>
        <w:t xml:space="preserve"> may be </w:t>
      </w:r>
      <w:r w:rsidR="004761A8">
        <w:rPr>
          <w:i/>
        </w:rPr>
        <w:t>addressed</w:t>
      </w:r>
      <w:r w:rsidRPr="00B1278B">
        <w:rPr>
          <w:i/>
        </w:rPr>
        <w:t xml:space="preserve"> through changes in the </w:t>
      </w:r>
      <w:r w:rsidR="00AE13AC">
        <w:rPr>
          <w:i/>
        </w:rPr>
        <w:t>SEE programme</w:t>
      </w:r>
      <w:r w:rsidRPr="00B1278B">
        <w:rPr>
          <w:i/>
        </w:rPr>
        <w:t xml:space="preserve"> design, including the potential to adopt effective features from the design and implementation of </w:t>
      </w:r>
      <w:r w:rsidR="001B5368">
        <w:rPr>
          <w:i/>
        </w:rPr>
        <w:t>the AMEP</w:t>
      </w:r>
      <w:r w:rsidRPr="00B1278B">
        <w:rPr>
          <w:i/>
        </w:rPr>
        <w:t>.</w:t>
      </w:r>
    </w:p>
    <w:p w14:paraId="20137A2F" w14:textId="77777777" w:rsidR="004A24F1" w:rsidRDefault="00871CEA" w:rsidP="00B1278B">
      <w:pPr>
        <w:pStyle w:val="Heading5"/>
      </w:pPr>
      <w:r>
        <w:t>Addressing gaps in pathways</w:t>
      </w:r>
      <w:r w:rsidR="004A24F1">
        <w:t xml:space="preserve"> </w:t>
      </w:r>
    </w:p>
    <w:p w14:paraId="77D2EC64" w14:textId="31D06940" w:rsidR="00406801" w:rsidRDefault="004A24F1" w:rsidP="00C96A41">
      <w:pPr>
        <w:pStyle w:val="BodyText"/>
      </w:pPr>
      <w:r>
        <w:t xml:space="preserve">There are currently no formal pathways </w:t>
      </w:r>
      <w:r w:rsidR="00772080">
        <w:t xml:space="preserve">defined </w:t>
      </w:r>
      <w:r>
        <w:t xml:space="preserve">between </w:t>
      </w:r>
      <w:r w:rsidR="001B5368">
        <w:t>the AMEP</w:t>
      </w:r>
      <w:r>
        <w:t xml:space="preserve"> and </w:t>
      </w:r>
      <w:r w:rsidR="00A0163C">
        <w:t>the SEE programme</w:t>
      </w:r>
      <w:r w:rsidR="00772080">
        <w:t xml:space="preserve">. </w:t>
      </w:r>
      <w:r w:rsidR="00241770">
        <w:t>Moreover, t</w:t>
      </w:r>
      <w:r w:rsidR="00772080">
        <w:t xml:space="preserve">here </w:t>
      </w:r>
      <w:r w:rsidR="00241770">
        <w:t xml:space="preserve">are </w:t>
      </w:r>
      <w:r>
        <w:t>insufficient data available to quantify the extent of flows between the two programmes</w:t>
      </w:r>
      <w:r w:rsidR="00241770">
        <w:t xml:space="preserve">. </w:t>
      </w:r>
      <w:r w:rsidR="00C96A41">
        <w:t xml:space="preserve">However, it </w:t>
      </w:r>
      <w:r w:rsidR="00406801" w:rsidRPr="00E458C2">
        <w:t>is generally accepted that</w:t>
      </w:r>
      <w:r w:rsidR="00C96A41">
        <w:t>,</w:t>
      </w:r>
      <w:r w:rsidR="00406801" w:rsidRPr="00E458C2">
        <w:t xml:space="preserve"> for eligible clients</w:t>
      </w:r>
      <w:r w:rsidR="00C96A41">
        <w:t>,</w:t>
      </w:r>
      <w:r w:rsidR="00406801" w:rsidRPr="00E458C2">
        <w:t xml:space="preserve"> the AMEP is </w:t>
      </w:r>
      <w:r w:rsidR="006703CA">
        <w:t xml:space="preserve">often </w:t>
      </w:r>
      <w:r w:rsidR="00406801" w:rsidRPr="00E458C2">
        <w:t xml:space="preserve">the precursor to the </w:t>
      </w:r>
      <w:r w:rsidR="00AE13AC">
        <w:t>SEE programme</w:t>
      </w:r>
      <w:r w:rsidR="00406801">
        <w:t xml:space="preserve">. Consideration should be given to defining clearer articulation between the programmes. These should not, however, be so prescriptive as to limit </w:t>
      </w:r>
      <w:r w:rsidR="0092139F">
        <w:t>client</w:t>
      </w:r>
      <w:r w:rsidR="00406801">
        <w:t xml:space="preserve"> choice. </w:t>
      </w:r>
    </w:p>
    <w:p w14:paraId="71C39D8E" w14:textId="7F640443" w:rsidR="004A24F1" w:rsidRDefault="00406801" w:rsidP="00014F27">
      <w:pPr>
        <w:pStyle w:val="BodyText"/>
      </w:pPr>
      <w:r>
        <w:t>To better understand the articulation requirements between the program</w:t>
      </w:r>
      <w:r w:rsidR="00227787">
        <w:t>me</w:t>
      </w:r>
      <w:r>
        <w:t>s, t</w:t>
      </w:r>
      <w:r w:rsidR="004A24F1">
        <w:t xml:space="preserve">he </w:t>
      </w:r>
      <w:r w:rsidR="00241770">
        <w:t xml:space="preserve">forthcoming </w:t>
      </w:r>
      <w:r w:rsidR="004A24F1">
        <w:t xml:space="preserve">introduction of the Unique Student Identifier (USI) presents </w:t>
      </w:r>
      <w:r w:rsidR="002F1623">
        <w:t>an</w:t>
      </w:r>
      <w:r w:rsidR="004A24F1">
        <w:t xml:space="preserve"> ideal opportunity to ensure that data on the pathways between </w:t>
      </w:r>
      <w:r w:rsidR="001B5368">
        <w:t>the AMEP</w:t>
      </w:r>
      <w:r w:rsidR="004A24F1">
        <w:t xml:space="preserve"> and </w:t>
      </w:r>
      <w:r w:rsidR="00A0163C">
        <w:t>the SEE programme</w:t>
      </w:r>
      <w:r w:rsidR="004A24F1">
        <w:t>, as well as other VET programmes</w:t>
      </w:r>
      <w:r w:rsidR="00556981">
        <w:t>,</w:t>
      </w:r>
      <w:r w:rsidR="004A24F1">
        <w:t xml:space="preserve"> can be quantified and better understood. AMEP </w:t>
      </w:r>
      <w:r w:rsidR="009A47CF">
        <w:t xml:space="preserve">service </w:t>
      </w:r>
      <w:r w:rsidR="004A24F1">
        <w:t>providers w</w:t>
      </w:r>
      <w:r w:rsidR="00241770">
        <w:t xml:space="preserve">ill </w:t>
      </w:r>
      <w:r w:rsidR="004A24F1">
        <w:t xml:space="preserve">be required to report </w:t>
      </w:r>
      <w:r w:rsidR="00FB49CA" w:rsidRPr="00FB49CA">
        <w:t>Certificates in Spoken and Written English</w:t>
      </w:r>
      <w:r w:rsidR="00FB49CA">
        <w:t xml:space="preserve"> (</w:t>
      </w:r>
      <w:r w:rsidR="004A24F1">
        <w:t>CSWE</w:t>
      </w:r>
      <w:r w:rsidR="00FB49CA">
        <w:t>)</w:t>
      </w:r>
      <w:r w:rsidR="004A24F1">
        <w:t xml:space="preserve"> attainment and completion</w:t>
      </w:r>
      <w:r w:rsidR="00AA0415">
        <w:t>,</w:t>
      </w:r>
      <w:r w:rsidR="00241770">
        <w:t xml:space="preserve"> </w:t>
      </w:r>
      <w:r w:rsidR="00AA0415">
        <w:t xml:space="preserve">while </w:t>
      </w:r>
      <w:r w:rsidR="00241770">
        <w:t xml:space="preserve">SEE providers will </w:t>
      </w:r>
      <w:r w:rsidR="004A24F1">
        <w:t xml:space="preserve">be required </w:t>
      </w:r>
      <w:r w:rsidR="00241770">
        <w:t xml:space="preserve">to report </w:t>
      </w:r>
      <w:r w:rsidR="004A24F1">
        <w:t xml:space="preserve">accredited VET attainment and completion. </w:t>
      </w:r>
      <w:r w:rsidR="004761A8">
        <w:t xml:space="preserve">In this respect, </w:t>
      </w:r>
      <w:r w:rsidR="001B5368">
        <w:t>the AMEP</w:t>
      </w:r>
      <w:r w:rsidR="004761A8">
        <w:t xml:space="preserve"> and </w:t>
      </w:r>
      <w:r w:rsidR="00AE13AC">
        <w:t>SEE programme</w:t>
      </w:r>
      <w:r w:rsidR="004761A8">
        <w:t xml:space="preserve"> administrators may not be required to take any action</w:t>
      </w:r>
      <w:r w:rsidR="00AA0415">
        <w:t>,</w:t>
      </w:r>
      <w:r w:rsidR="004761A8">
        <w:t xml:space="preserve"> apart from ensuring that providers understand their obligations to report </w:t>
      </w:r>
      <w:r w:rsidR="001B5368">
        <w:t>the AMEP</w:t>
      </w:r>
      <w:r w:rsidR="004761A8">
        <w:t xml:space="preserve"> and SEE </w:t>
      </w:r>
      <w:r w:rsidR="00A0163C">
        <w:t xml:space="preserve">programme </w:t>
      </w:r>
      <w:r w:rsidR="004761A8">
        <w:t>training against the USI protocols.</w:t>
      </w:r>
    </w:p>
    <w:p w14:paraId="788039B5" w14:textId="77777777" w:rsidR="004A24F1" w:rsidRDefault="004A24F1" w:rsidP="00B1278B">
      <w:pPr>
        <w:pStyle w:val="SideQuote"/>
        <w:framePr w:wrap="around"/>
      </w:pPr>
      <w:r>
        <w:t>Recommendation 4</w:t>
      </w:r>
      <w:r w:rsidR="00772080">
        <w:br/>
        <w:t xml:space="preserve">Gaps in pathways </w:t>
      </w:r>
    </w:p>
    <w:p w14:paraId="6A32CEF6" w14:textId="1447EE85" w:rsidR="004A24F1" w:rsidRPr="00B1278B" w:rsidRDefault="00406801" w:rsidP="004A24F1">
      <w:pPr>
        <w:pStyle w:val="BodyText"/>
        <w:rPr>
          <w:i/>
        </w:rPr>
      </w:pPr>
      <w:r w:rsidRPr="00576FB8">
        <w:rPr>
          <w:i/>
        </w:rPr>
        <w:t>Establ</w:t>
      </w:r>
      <w:r w:rsidR="002F1623">
        <w:rPr>
          <w:i/>
        </w:rPr>
        <w:t>ishing formal processes or pathways</w:t>
      </w:r>
      <w:r w:rsidRPr="00576FB8">
        <w:rPr>
          <w:i/>
        </w:rPr>
        <w:t xml:space="preserve"> for transitions between </w:t>
      </w:r>
      <w:r w:rsidR="001B5368">
        <w:rPr>
          <w:i/>
        </w:rPr>
        <w:t>the AMEP</w:t>
      </w:r>
      <w:r w:rsidRPr="00576FB8">
        <w:rPr>
          <w:i/>
        </w:rPr>
        <w:t xml:space="preserve"> and </w:t>
      </w:r>
      <w:r w:rsidR="00A0163C">
        <w:rPr>
          <w:i/>
        </w:rPr>
        <w:t>the SEE programme</w:t>
      </w:r>
      <w:r w:rsidRPr="00576FB8">
        <w:rPr>
          <w:i/>
        </w:rPr>
        <w:t xml:space="preserve"> would be beneficial</w:t>
      </w:r>
      <w:r w:rsidR="002F1623">
        <w:rPr>
          <w:i/>
        </w:rPr>
        <w:t xml:space="preserve">, but </w:t>
      </w:r>
      <w:r w:rsidRPr="00576FB8">
        <w:rPr>
          <w:i/>
        </w:rPr>
        <w:t xml:space="preserve">should not </w:t>
      </w:r>
      <w:r w:rsidR="002F1623">
        <w:rPr>
          <w:i/>
        </w:rPr>
        <w:t>be so prescriptive as to limit</w:t>
      </w:r>
      <w:r w:rsidRPr="00576FB8">
        <w:rPr>
          <w:i/>
        </w:rPr>
        <w:t xml:space="preserve"> </w:t>
      </w:r>
      <w:r w:rsidR="0092139F">
        <w:rPr>
          <w:i/>
        </w:rPr>
        <w:t>client</w:t>
      </w:r>
      <w:r w:rsidRPr="00576FB8">
        <w:rPr>
          <w:i/>
        </w:rPr>
        <w:t xml:space="preserve"> choice</w:t>
      </w:r>
      <w:r w:rsidR="002F1623">
        <w:rPr>
          <w:i/>
        </w:rPr>
        <w:t xml:space="preserve"> of the </w:t>
      </w:r>
      <w:r w:rsidRPr="00576FB8">
        <w:rPr>
          <w:i/>
        </w:rPr>
        <w:t>programme that best meets their need</w:t>
      </w:r>
      <w:r w:rsidR="00AA0415">
        <w:rPr>
          <w:i/>
        </w:rPr>
        <w:t>s</w:t>
      </w:r>
      <w:r w:rsidRPr="00576FB8">
        <w:rPr>
          <w:i/>
        </w:rPr>
        <w:t>.</w:t>
      </w:r>
      <w:r>
        <w:rPr>
          <w:i/>
        </w:rPr>
        <w:t xml:space="preserve"> </w:t>
      </w:r>
      <w:r w:rsidR="001B5368">
        <w:rPr>
          <w:i/>
        </w:rPr>
        <w:t>The AMEP</w:t>
      </w:r>
      <w:r w:rsidR="004A24F1" w:rsidRPr="00B1278B">
        <w:rPr>
          <w:i/>
        </w:rPr>
        <w:t xml:space="preserve"> and SEE programme administrators </w:t>
      </w:r>
      <w:r>
        <w:rPr>
          <w:i/>
        </w:rPr>
        <w:t>should</w:t>
      </w:r>
      <w:r w:rsidR="004A24F1" w:rsidRPr="00B1278B">
        <w:rPr>
          <w:i/>
        </w:rPr>
        <w:t xml:space="preserve"> ensure that providers understand their obligations to report </w:t>
      </w:r>
      <w:r w:rsidR="001B5368">
        <w:rPr>
          <w:i/>
        </w:rPr>
        <w:t>the AMEP</w:t>
      </w:r>
      <w:r w:rsidR="004A24F1" w:rsidRPr="00B1278B">
        <w:rPr>
          <w:i/>
        </w:rPr>
        <w:t xml:space="preserve"> and SEE </w:t>
      </w:r>
      <w:r w:rsidR="00A0163C">
        <w:rPr>
          <w:i/>
        </w:rPr>
        <w:lastRenderedPageBreak/>
        <w:t xml:space="preserve">programme </w:t>
      </w:r>
      <w:r w:rsidR="004A24F1" w:rsidRPr="00B1278B">
        <w:rPr>
          <w:i/>
        </w:rPr>
        <w:t xml:space="preserve">training against the </w:t>
      </w:r>
      <w:r w:rsidR="002F1623">
        <w:rPr>
          <w:i/>
        </w:rPr>
        <w:t xml:space="preserve">forthcoming </w:t>
      </w:r>
      <w:r w:rsidR="004A24F1" w:rsidRPr="00B1278B">
        <w:rPr>
          <w:i/>
        </w:rPr>
        <w:t>USI protocols</w:t>
      </w:r>
      <w:r w:rsidR="002F1623">
        <w:rPr>
          <w:i/>
        </w:rPr>
        <w:t xml:space="preserve"> to </w:t>
      </w:r>
      <w:r w:rsidR="00B47EBE">
        <w:rPr>
          <w:i/>
        </w:rPr>
        <w:t xml:space="preserve">ensure better data on </w:t>
      </w:r>
      <w:r w:rsidR="002F1623" w:rsidRPr="00B1278B">
        <w:rPr>
          <w:i/>
        </w:rPr>
        <w:t xml:space="preserve">articulation between the </w:t>
      </w:r>
      <w:r w:rsidR="0070776B">
        <w:rPr>
          <w:i/>
        </w:rPr>
        <w:t>programmes</w:t>
      </w:r>
      <w:r w:rsidR="004A24F1" w:rsidRPr="00B1278B">
        <w:rPr>
          <w:i/>
        </w:rPr>
        <w:t>.</w:t>
      </w:r>
    </w:p>
    <w:p w14:paraId="3A3A9719" w14:textId="77777777" w:rsidR="004A24F1" w:rsidRDefault="00871CEA" w:rsidP="00B1278B">
      <w:pPr>
        <w:pStyle w:val="Heading5"/>
      </w:pPr>
      <w:r>
        <w:t>Increasing the number of common providers</w:t>
      </w:r>
      <w:r w:rsidR="004A24F1">
        <w:t xml:space="preserve"> </w:t>
      </w:r>
    </w:p>
    <w:p w14:paraId="74C36ADA" w14:textId="66C55C4C" w:rsidR="004A24F1" w:rsidRDefault="00DB6558" w:rsidP="004A24F1">
      <w:pPr>
        <w:pStyle w:val="BodyText"/>
      </w:pPr>
      <w:r>
        <w:t>The</w:t>
      </w:r>
      <w:r w:rsidR="004A24F1">
        <w:t xml:space="preserve"> commonality in the delivery of English language training to CALD cohorts would suggest that there is opportunity for higher </w:t>
      </w:r>
      <w:r w:rsidR="00AA0415">
        <w:t xml:space="preserve">levels </w:t>
      </w:r>
      <w:r w:rsidR="004A24F1">
        <w:t xml:space="preserve">of provider crossover between </w:t>
      </w:r>
      <w:r w:rsidR="001B5368">
        <w:t>the AMEP</w:t>
      </w:r>
      <w:r w:rsidR="004A24F1">
        <w:t xml:space="preserve"> and SEE</w:t>
      </w:r>
      <w:r w:rsidR="00A0163C">
        <w:t xml:space="preserve"> programme</w:t>
      </w:r>
      <w:r>
        <w:t xml:space="preserve">, providing </w:t>
      </w:r>
      <w:r w:rsidR="004A24F1">
        <w:t xml:space="preserve">benefits for both </w:t>
      </w:r>
      <w:r w:rsidR="0092139F">
        <w:t>client</w:t>
      </w:r>
      <w:r w:rsidR="004A24F1">
        <w:t xml:space="preserve">s and providers. </w:t>
      </w:r>
    </w:p>
    <w:p w14:paraId="07E7260F" w14:textId="1711E47C" w:rsidR="004A24F1" w:rsidRDefault="00DB6558" w:rsidP="004A24F1">
      <w:pPr>
        <w:pStyle w:val="BodyText"/>
      </w:pPr>
      <w:r>
        <w:t>While i</w:t>
      </w:r>
      <w:r w:rsidR="004A24F1">
        <w:t xml:space="preserve">ndependent </w:t>
      </w:r>
      <w:r>
        <w:t xml:space="preserve">programme </w:t>
      </w:r>
      <w:r w:rsidR="004A24F1">
        <w:t xml:space="preserve">administration </w:t>
      </w:r>
      <w:r>
        <w:t xml:space="preserve">is important, </w:t>
      </w:r>
      <w:r w:rsidR="004A24F1">
        <w:t xml:space="preserve">a greater level of provider overlap could be encouraged by inviting approved AMEP </w:t>
      </w:r>
      <w:r w:rsidR="009A47CF">
        <w:t xml:space="preserve">service </w:t>
      </w:r>
      <w:r w:rsidR="004A24F1">
        <w:t>providers to apply to be SEE provider</w:t>
      </w:r>
      <w:r w:rsidR="00AA0415">
        <w:t>s</w:t>
      </w:r>
      <w:r w:rsidR="004A24F1">
        <w:t xml:space="preserve"> and vice versa</w:t>
      </w:r>
      <w:r>
        <w:t xml:space="preserve">, </w:t>
      </w:r>
      <w:r w:rsidR="004A24F1">
        <w:t>highlight</w:t>
      </w:r>
      <w:r>
        <w:t>ing</w:t>
      </w:r>
      <w:r w:rsidR="004A24F1">
        <w:t xml:space="preserve"> to providers the prospects for economies of scale and scope and the </w:t>
      </w:r>
      <w:r w:rsidR="00AA0415">
        <w:t xml:space="preserve">extended </w:t>
      </w:r>
      <w:r w:rsidR="004A24F1">
        <w:t>positive contribution to the experience</w:t>
      </w:r>
      <w:r w:rsidR="00AA0415">
        <w:t>s</w:t>
      </w:r>
      <w:r w:rsidR="004A24F1">
        <w:t xml:space="preserve"> of </w:t>
      </w:r>
      <w:r w:rsidR="0092139F">
        <w:t>client</w:t>
      </w:r>
      <w:r w:rsidR="004A24F1">
        <w:t>s.</w:t>
      </w:r>
      <w:r>
        <w:t xml:space="preserve"> </w:t>
      </w:r>
      <w:r w:rsidR="004A24F1">
        <w:t>T</w:t>
      </w:r>
      <w:r>
        <w:t>he level of provider crossover c</w:t>
      </w:r>
      <w:r w:rsidR="004A24F1">
        <w:t xml:space="preserve">ould be </w:t>
      </w:r>
      <w:r>
        <w:t xml:space="preserve">further </w:t>
      </w:r>
      <w:r w:rsidR="004A24F1">
        <w:t xml:space="preserve">increased if the recommendation in the AMEP Evaluation Report </w:t>
      </w:r>
      <w:r w:rsidR="00AA0415">
        <w:t>(</w:t>
      </w:r>
      <w:r w:rsidR="004A24F1">
        <w:t>to adopt a multi-provider model similar to the ap</w:t>
      </w:r>
      <w:r w:rsidR="0085481F">
        <w:t xml:space="preserve">proach taken in </w:t>
      </w:r>
      <w:r w:rsidR="00A0163C">
        <w:t>the SEE programme</w:t>
      </w:r>
      <w:r w:rsidR="00AA0415">
        <w:t>)</w:t>
      </w:r>
      <w:r w:rsidR="0085481F">
        <w:t xml:space="preserve"> is adopted.</w:t>
      </w:r>
    </w:p>
    <w:p w14:paraId="49ABC07A" w14:textId="77777777" w:rsidR="004A24F1" w:rsidRDefault="0085481F" w:rsidP="004A24F1">
      <w:pPr>
        <w:pStyle w:val="BodyText"/>
      </w:pPr>
      <w:r>
        <w:t xml:space="preserve">From the perspective of </w:t>
      </w:r>
      <w:r w:rsidR="004A24F1">
        <w:t>programme administration</w:t>
      </w:r>
      <w:r>
        <w:t xml:space="preserve"> efficiency</w:t>
      </w:r>
      <w:r w:rsidR="004A24F1">
        <w:t xml:space="preserve">, </w:t>
      </w:r>
      <w:r>
        <w:t>options</w:t>
      </w:r>
      <w:r w:rsidR="004A24F1">
        <w:t xml:space="preserve"> could also be </w:t>
      </w:r>
      <w:r>
        <w:t>investigated</w:t>
      </w:r>
      <w:r w:rsidR="004A24F1">
        <w:t xml:space="preserve"> to integrate the generic provider requirements </w:t>
      </w:r>
      <w:r>
        <w:t xml:space="preserve">with co-recognition </w:t>
      </w:r>
      <w:r w:rsidR="004A24F1">
        <w:t xml:space="preserve">across the two programmes, while also minimising the duplication with other external systems, such as ASQA registration and NEAS accreditation. </w:t>
      </w:r>
    </w:p>
    <w:p w14:paraId="5D03D68B" w14:textId="77777777" w:rsidR="004A24F1" w:rsidRDefault="004A24F1" w:rsidP="00B1278B">
      <w:pPr>
        <w:pStyle w:val="SideQuote"/>
        <w:framePr w:wrap="around"/>
      </w:pPr>
      <w:r>
        <w:t>Recommendation 5</w:t>
      </w:r>
      <w:r w:rsidR="004761A8">
        <w:br/>
        <w:t>Common providers</w:t>
      </w:r>
    </w:p>
    <w:p w14:paraId="774A849C" w14:textId="7EFB77D6" w:rsidR="00AF7628" w:rsidRDefault="004A24F1" w:rsidP="004A24F1">
      <w:pPr>
        <w:pStyle w:val="BodyText"/>
        <w:rPr>
          <w:i/>
        </w:rPr>
      </w:pPr>
      <w:r w:rsidRPr="00B1278B">
        <w:rPr>
          <w:i/>
        </w:rPr>
        <w:t xml:space="preserve">A greater level of providers in common between the two programmes could be encouraged by </w:t>
      </w:r>
      <w:r w:rsidR="0085481F">
        <w:rPr>
          <w:i/>
        </w:rPr>
        <w:t xml:space="preserve">co-inviting </w:t>
      </w:r>
      <w:r w:rsidRPr="00B1278B">
        <w:rPr>
          <w:i/>
        </w:rPr>
        <w:t>approved AMEP</w:t>
      </w:r>
      <w:r w:rsidR="001D3F6A">
        <w:rPr>
          <w:i/>
        </w:rPr>
        <w:t xml:space="preserve"> service providers</w:t>
      </w:r>
      <w:r w:rsidRPr="00B1278B">
        <w:rPr>
          <w:i/>
        </w:rPr>
        <w:t xml:space="preserve"> </w:t>
      </w:r>
      <w:r w:rsidR="0085481F">
        <w:rPr>
          <w:i/>
        </w:rPr>
        <w:t>and</w:t>
      </w:r>
      <w:r w:rsidRPr="00B1278B">
        <w:rPr>
          <w:i/>
        </w:rPr>
        <w:t xml:space="preserve"> SEE provider</w:t>
      </w:r>
      <w:r w:rsidR="0085481F">
        <w:rPr>
          <w:i/>
        </w:rPr>
        <w:t>s for the other programme</w:t>
      </w:r>
      <w:r w:rsidR="006632DC">
        <w:rPr>
          <w:i/>
        </w:rPr>
        <w:t xml:space="preserve">; this does not mean </w:t>
      </w:r>
      <w:r w:rsidRPr="00B1278B">
        <w:rPr>
          <w:i/>
        </w:rPr>
        <w:t>gran</w:t>
      </w:r>
      <w:r w:rsidR="0085481F">
        <w:rPr>
          <w:i/>
        </w:rPr>
        <w:t>ting</w:t>
      </w:r>
      <w:r w:rsidRPr="00B1278B">
        <w:rPr>
          <w:i/>
        </w:rPr>
        <w:t xml:space="preserve"> automatic approval to providers looking to expand their delivery, but rather highlight</w:t>
      </w:r>
      <w:r w:rsidR="0085481F">
        <w:rPr>
          <w:i/>
        </w:rPr>
        <w:t>ing</w:t>
      </w:r>
      <w:r w:rsidRPr="00B1278B">
        <w:rPr>
          <w:i/>
        </w:rPr>
        <w:t xml:space="preserve"> to providers the prospects for economies of scale and scope, and the </w:t>
      </w:r>
      <w:r w:rsidR="001D3F6A">
        <w:rPr>
          <w:i/>
        </w:rPr>
        <w:t>likely positive</w:t>
      </w:r>
      <w:r w:rsidR="00AA0415">
        <w:rPr>
          <w:i/>
        </w:rPr>
        <w:t xml:space="preserve"> </w:t>
      </w:r>
      <w:r w:rsidRPr="00B1278B">
        <w:rPr>
          <w:i/>
        </w:rPr>
        <w:t>contribution to the experience</w:t>
      </w:r>
      <w:r w:rsidR="00AA0415">
        <w:rPr>
          <w:i/>
        </w:rPr>
        <w:t>s</w:t>
      </w:r>
      <w:r w:rsidRPr="00B1278B">
        <w:rPr>
          <w:i/>
        </w:rPr>
        <w:t xml:space="preserve"> of </w:t>
      </w:r>
      <w:r w:rsidR="0092139F">
        <w:rPr>
          <w:i/>
        </w:rPr>
        <w:t>client</w:t>
      </w:r>
      <w:r w:rsidRPr="00B1278B">
        <w:rPr>
          <w:i/>
        </w:rPr>
        <w:t>s.</w:t>
      </w:r>
      <w:r w:rsidR="00F75EDE">
        <w:rPr>
          <w:i/>
        </w:rPr>
        <w:t xml:space="preserve"> </w:t>
      </w:r>
    </w:p>
    <w:p w14:paraId="00CE4704" w14:textId="77777777" w:rsidR="004A24F1" w:rsidRPr="00B1278B" w:rsidRDefault="00F75EDE" w:rsidP="004A24F1">
      <w:pPr>
        <w:pStyle w:val="BodyText"/>
        <w:rPr>
          <w:i/>
        </w:rPr>
      </w:pPr>
      <w:r w:rsidRPr="00014F27">
        <w:rPr>
          <w:i/>
        </w:rPr>
        <w:t>O</w:t>
      </w:r>
      <w:r w:rsidRPr="00B1278B">
        <w:rPr>
          <w:i/>
        </w:rPr>
        <w:t>ptions could also be investigated</w:t>
      </w:r>
      <w:r w:rsidRPr="00014F27">
        <w:rPr>
          <w:i/>
        </w:rPr>
        <w:t xml:space="preserve"> for administrative synergies through </w:t>
      </w:r>
      <w:r w:rsidRPr="00B1278B">
        <w:rPr>
          <w:i/>
        </w:rPr>
        <w:t xml:space="preserve">co-recognition </w:t>
      </w:r>
      <w:r>
        <w:rPr>
          <w:i/>
        </w:rPr>
        <w:t xml:space="preserve">of provider characteristics </w:t>
      </w:r>
      <w:r w:rsidRPr="00B1278B">
        <w:rPr>
          <w:i/>
        </w:rPr>
        <w:t>across the two programmes</w:t>
      </w:r>
      <w:r w:rsidR="00AC1C3D">
        <w:rPr>
          <w:i/>
        </w:rPr>
        <w:t>.</w:t>
      </w:r>
      <w:r w:rsidRPr="00B1278B">
        <w:rPr>
          <w:i/>
        </w:rPr>
        <w:t xml:space="preserve"> </w:t>
      </w:r>
    </w:p>
    <w:p w14:paraId="04871F20" w14:textId="77777777" w:rsidR="004A24F1" w:rsidRDefault="00871CEA" w:rsidP="00B1278B">
      <w:pPr>
        <w:pStyle w:val="Heading5"/>
      </w:pPr>
      <w:r>
        <w:t>Differences in the curriculum and benchmark instruments</w:t>
      </w:r>
      <w:r w:rsidR="004A24F1">
        <w:t xml:space="preserve"> </w:t>
      </w:r>
    </w:p>
    <w:p w14:paraId="4EC1CAB8" w14:textId="77777777" w:rsidR="004A24F1" w:rsidRDefault="004A24F1" w:rsidP="004A24F1">
      <w:pPr>
        <w:pStyle w:val="BodyText"/>
      </w:pPr>
      <w:r>
        <w:t xml:space="preserve">In considering the longer-term study aspirations of both AMEP and SEE </w:t>
      </w:r>
      <w:r w:rsidR="00A0163C">
        <w:t xml:space="preserve">programme </w:t>
      </w:r>
      <w:r>
        <w:t xml:space="preserve">clients, the question arises as to whether improved integration between the instruments and curriculum for both programmes with other language and literacy instruments and benchmarks could be achieved. </w:t>
      </w:r>
    </w:p>
    <w:p w14:paraId="7B8ACDBD" w14:textId="77777777" w:rsidR="004A24F1" w:rsidRDefault="004A24F1" w:rsidP="004A24F1">
      <w:pPr>
        <w:pStyle w:val="BodyText"/>
      </w:pPr>
      <w:r>
        <w:t xml:space="preserve">Given its position as the primary benchmark for language and literacy (as well as numeracy) in the Australian VET sector, the Australian Core Skills Framework (ACSF) would most likely provide the greatest continuity and coverage from a national perspective. However, </w:t>
      </w:r>
      <w:r w:rsidR="00B83FDD">
        <w:t xml:space="preserve">there is insufficient evidence to definitively say </w:t>
      </w:r>
      <w:r>
        <w:t>whether the ACSF would be as appropriate for migrant cohorts to test second language proficiency, compared to the ISLPR and CSWE</w:t>
      </w:r>
      <w:r w:rsidR="007C444A">
        <w:t xml:space="preserve"> framework</w:t>
      </w:r>
      <w:r>
        <w:t xml:space="preserve">. </w:t>
      </w:r>
    </w:p>
    <w:p w14:paraId="1703C4E6" w14:textId="58EEF4CD" w:rsidR="004A24F1" w:rsidRDefault="004A24F1" w:rsidP="004A24F1">
      <w:pPr>
        <w:pStyle w:val="BodyText"/>
      </w:pPr>
      <w:r>
        <w:t xml:space="preserve">Other than adopting a single benchmark instrument, the </w:t>
      </w:r>
      <w:r w:rsidR="00D17D6A">
        <w:t>most appropriate</w:t>
      </w:r>
      <w:r>
        <w:t xml:space="preserve"> approach to achieve greater integration and continuity between the AMEP and other longer-term benchmarks is to undertake a formal mapping of benchmarks across relevant instruments. It is understood that the Department has commissioned a consortium of national experts to undertake formal mapping of the ACSF to the ISLPR and CSWE curriculum</w:t>
      </w:r>
      <w:r w:rsidR="007C444A">
        <w:t xml:space="preserve"> framework</w:t>
      </w:r>
      <w:r>
        <w:t xml:space="preserve">. </w:t>
      </w:r>
      <w:r w:rsidR="0017490C">
        <w:t xml:space="preserve">Subject to the outcomes of </w:t>
      </w:r>
      <w:r w:rsidR="00AA0415">
        <w:t>this work</w:t>
      </w:r>
      <w:r w:rsidR="0017490C">
        <w:t>, consideration</w:t>
      </w:r>
      <w:r>
        <w:t xml:space="preserve"> </w:t>
      </w:r>
      <w:r w:rsidR="0017490C">
        <w:t xml:space="preserve">should be given to </w:t>
      </w:r>
      <w:r>
        <w:t>formally adopt</w:t>
      </w:r>
      <w:r w:rsidR="0017490C">
        <w:t>ing</w:t>
      </w:r>
      <w:r>
        <w:t xml:space="preserve"> </w:t>
      </w:r>
      <w:r w:rsidR="00AA0415">
        <w:t xml:space="preserve">the </w:t>
      </w:r>
      <w:r>
        <w:t xml:space="preserve">mapping framework </w:t>
      </w:r>
      <w:r w:rsidR="0017490C">
        <w:t>to facilitate</w:t>
      </w:r>
      <w:r>
        <w:t xml:space="preserve"> greater continuity between the instruments and benchmarks used in the AMEP with other training </w:t>
      </w:r>
      <w:r w:rsidR="0070776B">
        <w:t>programmes</w:t>
      </w:r>
      <w:r>
        <w:t xml:space="preserve"> and the tertiary education sector more broadly. </w:t>
      </w:r>
      <w:r w:rsidR="0017490C">
        <w:t xml:space="preserve">This would enable consideration of how </w:t>
      </w:r>
      <w:r>
        <w:t xml:space="preserve">other </w:t>
      </w:r>
      <w:r w:rsidR="001D3F6A">
        <w:t>Training Package</w:t>
      </w:r>
      <w:r>
        <w:t xml:space="preserve"> units, such as the </w:t>
      </w:r>
      <w:r>
        <w:lastRenderedPageBreak/>
        <w:t>Foundation Skills Training Package</w:t>
      </w:r>
      <w:r w:rsidR="00F96A63">
        <w:t>,</w:t>
      </w:r>
      <w:r>
        <w:t xml:space="preserve"> which are already mapped to the ACSF</w:t>
      </w:r>
      <w:r w:rsidR="00556981">
        <w:t>,</w:t>
      </w:r>
      <w:r>
        <w:t xml:space="preserve"> could be used alongside the CSWE curriculum</w:t>
      </w:r>
      <w:r w:rsidR="007C444A">
        <w:t xml:space="preserve"> framework</w:t>
      </w:r>
      <w:r>
        <w:t>.</w:t>
      </w:r>
    </w:p>
    <w:p w14:paraId="06A55B23" w14:textId="77777777" w:rsidR="004A24F1" w:rsidRDefault="004A24F1" w:rsidP="00B1278B">
      <w:pPr>
        <w:pStyle w:val="SideQuote"/>
        <w:framePr w:wrap="around"/>
      </w:pPr>
      <w:r>
        <w:t>Recommendation 6</w:t>
      </w:r>
      <w:r w:rsidR="00D17D6A">
        <w:br/>
      </w:r>
      <w:r w:rsidR="00871CEA">
        <w:t>C</w:t>
      </w:r>
      <w:r w:rsidR="00D17D6A">
        <w:t xml:space="preserve">urriculum and benchmark instruments </w:t>
      </w:r>
    </w:p>
    <w:p w14:paraId="10A60E4E" w14:textId="3C021431" w:rsidR="00976CB1" w:rsidRDefault="004A24F1">
      <w:pPr>
        <w:pStyle w:val="BodyText"/>
        <w:rPr>
          <w:i/>
        </w:rPr>
      </w:pPr>
      <w:r w:rsidRPr="00B1278B">
        <w:rPr>
          <w:i/>
        </w:rPr>
        <w:t xml:space="preserve">Building on the recent research mapping the ACSF to the ISLPR and </w:t>
      </w:r>
      <w:r w:rsidR="007C444A">
        <w:rPr>
          <w:i/>
        </w:rPr>
        <w:t xml:space="preserve">the </w:t>
      </w:r>
      <w:r w:rsidRPr="00B1278B">
        <w:rPr>
          <w:i/>
        </w:rPr>
        <w:t>CSWE curriculum</w:t>
      </w:r>
      <w:r w:rsidR="007C444A">
        <w:rPr>
          <w:i/>
        </w:rPr>
        <w:t xml:space="preserve"> framework</w:t>
      </w:r>
      <w:r w:rsidRPr="00B1278B">
        <w:rPr>
          <w:i/>
        </w:rPr>
        <w:t>,</w:t>
      </w:r>
      <w:r w:rsidR="00D17D6A" w:rsidRPr="00014F27">
        <w:rPr>
          <w:i/>
        </w:rPr>
        <w:t xml:space="preserve"> the</w:t>
      </w:r>
      <w:r w:rsidR="00CA42AD">
        <w:rPr>
          <w:i/>
        </w:rPr>
        <w:t xml:space="preserve"> Australian</w:t>
      </w:r>
      <w:r w:rsidR="00D17D6A" w:rsidRPr="00014F27">
        <w:rPr>
          <w:i/>
        </w:rPr>
        <w:t xml:space="preserve"> </w:t>
      </w:r>
      <w:r w:rsidR="00CA42AD">
        <w:rPr>
          <w:i/>
        </w:rPr>
        <w:t>G</w:t>
      </w:r>
      <w:r w:rsidR="00D17D6A" w:rsidRPr="00014F27">
        <w:rPr>
          <w:i/>
        </w:rPr>
        <w:t xml:space="preserve">overnment should </w:t>
      </w:r>
      <w:r w:rsidR="00F96A63">
        <w:rPr>
          <w:i/>
        </w:rPr>
        <w:t xml:space="preserve">consider </w:t>
      </w:r>
      <w:r w:rsidR="00D17D6A">
        <w:rPr>
          <w:i/>
        </w:rPr>
        <w:t>f</w:t>
      </w:r>
      <w:r w:rsidRPr="00B1278B">
        <w:rPr>
          <w:i/>
        </w:rPr>
        <w:t>ormally adopt</w:t>
      </w:r>
      <w:r w:rsidR="001D3F6A">
        <w:rPr>
          <w:i/>
        </w:rPr>
        <w:t>ing</w:t>
      </w:r>
      <w:r w:rsidRPr="00B1278B">
        <w:rPr>
          <w:i/>
        </w:rPr>
        <w:t xml:space="preserve"> </w:t>
      </w:r>
      <w:r w:rsidR="00976CB1">
        <w:rPr>
          <w:i/>
        </w:rPr>
        <w:t>the</w:t>
      </w:r>
      <w:r w:rsidRPr="00B1278B">
        <w:rPr>
          <w:i/>
        </w:rPr>
        <w:t xml:space="preserve"> mapping framework </w:t>
      </w:r>
      <w:r w:rsidR="00976CB1">
        <w:rPr>
          <w:i/>
        </w:rPr>
        <w:t xml:space="preserve">to </w:t>
      </w:r>
      <w:r w:rsidRPr="00B1278B">
        <w:rPr>
          <w:i/>
        </w:rPr>
        <w:t xml:space="preserve">facilitate greater </w:t>
      </w:r>
      <w:r w:rsidR="00976CB1">
        <w:rPr>
          <w:i/>
        </w:rPr>
        <w:t xml:space="preserve">pathways between </w:t>
      </w:r>
      <w:r w:rsidRPr="00B1278B">
        <w:rPr>
          <w:i/>
        </w:rPr>
        <w:t xml:space="preserve">the AMEP </w:t>
      </w:r>
      <w:r w:rsidR="00976CB1">
        <w:rPr>
          <w:i/>
        </w:rPr>
        <w:t xml:space="preserve">and </w:t>
      </w:r>
      <w:r w:rsidRPr="00B1278B">
        <w:rPr>
          <w:i/>
        </w:rPr>
        <w:t xml:space="preserve">other training </w:t>
      </w:r>
      <w:r w:rsidR="0070776B">
        <w:rPr>
          <w:i/>
        </w:rPr>
        <w:t>programmes</w:t>
      </w:r>
      <w:r w:rsidR="00976CB1">
        <w:rPr>
          <w:i/>
        </w:rPr>
        <w:t>,</w:t>
      </w:r>
      <w:r w:rsidRPr="00B1278B">
        <w:rPr>
          <w:i/>
        </w:rPr>
        <w:t xml:space="preserve"> and the tertiary education sector more broadly</w:t>
      </w:r>
      <w:r w:rsidR="00AC1C3D">
        <w:rPr>
          <w:i/>
        </w:rPr>
        <w:t>.</w:t>
      </w:r>
    </w:p>
    <w:p w14:paraId="4D7F8FD7" w14:textId="1B891712" w:rsidR="004A24F1" w:rsidRPr="00B1278B" w:rsidRDefault="00976CB1">
      <w:pPr>
        <w:pStyle w:val="BodyText"/>
        <w:rPr>
          <w:i/>
        </w:rPr>
      </w:pPr>
      <w:r>
        <w:rPr>
          <w:i/>
        </w:rPr>
        <w:t xml:space="preserve">Similarly, the </w:t>
      </w:r>
      <w:r w:rsidR="00CA42AD">
        <w:rPr>
          <w:i/>
        </w:rPr>
        <w:t>Australian</w:t>
      </w:r>
      <w:r w:rsidR="00CA42AD" w:rsidRPr="00014F27">
        <w:rPr>
          <w:i/>
        </w:rPr>
        <w:t xml:space="preserve"> </w:t>
      </w:r>
      <w:r w:rsidR="00CA42AD">
        <w:rPr>
          <w:i/>
        </w:rPr>
        <w:t>G</w:t>
      </w:r>
      <w:r>
        <w:rPr>
          <w:i/>
        </w:rPr>
        <w:t xml:space="preserve">overnment should consider </w:t>
      </w:r>
      <w:r w:rsidR="00D17D6A">
        <w:rPr>
          <w:i/>
        </w:rPr>
        <w:t>t</w:t>
      </w:r>
      <w:r w:rsidR="001D3F6A">
        <w:rPr>
          <w:i/>
        </w:rPr>
        <w:t>he extent to which other T</w:t>
      </w:r>
      <w:r w:rsidR="004A24F1" w:rsidRPr="00B1278B">
        <w:rPr>
          <w:i/>
        </w:rPr>
        <w:t xml:space="preserve">raining </w:t>
      </w:r>
      <w:r w:rsidR="001D3F6A">
        <w:rPr>
          <w:i/>
        </w:rPr>
        <w:t>P</w:t>
      </w:r>
      <w:r w:rsidR="004A24F1" w:rsidRPr="00B1278B">
        <w:rPr>
          <w:i/>
        </w:rPr>
        <w:t>ackage units</w:t>
      </w:r>
      <w:r w:rsidR="00F96A63">
        <w:rPr>
          <w:i/>
        </w:rPr>
        <w:t>,</w:t>
      </w:r>
      <w:r w:rsidR="004A24F1" w:rsidRPr="00B1278B">
        <w:rPr>
          <w:i/>
        </w:rPr>
        <w:t xml:space="preserve"> which are already mapped to the ACSF</w:t>
      </w:r>
      <w:r w:rsidR="00F96A63">
        <w:rPr>
          <w:i/>
        </w:rPr>
        <w:t>,</w:t>
      </w:r>
      <w:r w:rsidR="004A24F1" w:rsidRPr="00B1278B">
        <w:rPr>
          <w:i/>
        </w:rPr>
        <w:t xml:space="preserve"> could be used alongside the CSWE curriculum</w:t>
      </w:r>
      <w:r w:rsidR="007C444A">
        <w:rPr>
          <w:i/>
        </w:rPr>
        <w:t xml:space="preserve"> framework</w:t>
      </w:r>
      <w:r w:rsidR="004A24F1" w:rsidRPr="00B1278B">
        <w:rPr>
          <w:i/>
        </w:rPr>
        <w:t>.</w:t>
      </w:r>
    </w:p>
    <w:p w14:paraId="31BE0C37" w14:textId="77777777" w:rsidR="00871CEA" w:rsidRDefault="00871CEA" w:rsidP="00B1278B">
      <w:pPr>
        <w:pStyle w:val="Heading5"/>
      </w:pPr>
      <w:r>
        <w:t>Focus on industry-relevant training and employment outcomes</w:t>
      </w:r>
    </w:p>
    <w:p w14:paraId="62E75D0A" w14:textId="67ACEFC2" w:rsidR="004A24F1" w:rsidRDefault="004A24F1" w:rsidP="004A24F1">
      <w:pPr>
        <w:pStyle w:val="BodyText"/>
      </w:pPr>
      <w:r>
        <w:t>Both the AMEP and SEE programme currently have a substantial focus on industry-relevant training and appropriate employment outcomes for clients</w:t>
      </w:r>
      <w:r w:rsidR="004B18DB">
        <w:t xml:space="preserve">. </w:t>
      </w:r>
      <w:r w:rsidR="00A0163C">
        <w:t>The SEE programme</w:t>
      </w:r>
      <w:r>
        <w:t xml:space="preserve"> has an explicit and direct focus on achieving employment for eligible job</w:t>
      </w:r>
      <w:r w:rsidR="009A47CF">
        <w:t xml:space="preserve"> </w:t>
      </w:r>
      <w:r>
        <w:t xml:space="preserve">seekers, while </w:t>
      </w:r>
      <w:r w:rsidR="001B5368">
        <w:t xml:space="preserve">the </w:t>
      </w:r>
      <w:r>
        <w:t xml:space="preserve">AMEP recognises that engaging in the labour market is pivotal to successful settlement. </w:t>
      </w:r>
    </w:p>
    <w:p w14:paraId="60E93846" w14:textId="7076C65B" w:rsidR="004A24F1" w:rsidRDefault="004A24F1" w:rsidP="004A24F1">
      <w:pPr>
        <w:pStyle w:val="BodyText"/>
      </w:pPr>
      <w:r>
        <w:t xml:space="preserve">The AMEP Evaluation Report </w:t>
      </w:r>
      <w:r w:rsidR="00413F94">
        <w:t xml:space="preserve">(see section 7.1.6) </w:t>
      </w:r>
      <w:r>
        <w:t>discusses the tension between the programme’s focus on settlement versus employment and highlights stakeholder concern that an increasing emphasis on employment and economic participation will gradually start to displace the programme’s primary objective of settlement.</w:t>
      </w:r>
    </w:p>
    <w:p w14:paraId="6E20C7FE" w14:textId="1E997232" w:rsidR="004A24F1" w:rsidRDefault="004A24F1" w:rsidP="004A24F1">
      <w:pPr>
        <w:pStyle w:val="BodyText"/>
      </w:pPr>
      <w:r>
        <w:t xml:space="preserve">Similarly the </w:t>
      </w:r>
      <w:r w:rsidR="00492999">
        <w:t>SEE P</w:t>
      </w:r>
      <w:r w:rsidR="00AE13AC">
        <w:t>rogramme</w:t>
      </w:r>
      <w:r>
        <w:t xml:space="preserve"> Evaluation Report </w:t>
      </w:r>
      <w:r w:rsidR="00413F94">
        <w:t xml:space="preserve">(see section 7.1.3) </w:t>
      </w:r>
      <w:r>
        <w:t>raises the tension between the long-term investment in LLN versus the short-term focus on job outcomes. While these objectives are not mutually exclusive, stakeholders report that the current approach to employment services and income support means that immediate employment opportunities can be expected to supplant the long-term commitment required to improve on individuals language, literacy, or numeracy skills.</w:t>
      </w:r>
    </w:p>
    <w:p w14:paraId="7AA5510F" w14:textId="4593F58C" w:rsidR="004A24F1" w:rsidRDefault="004B18DB" w:rsidP="004A24F1">
      <w:pPr>
        <w:pStyle w:val="BodyText"/>
      </w:pPr>
      <w:r>
        <w:t>Both highlight</w:t>
      </w:r>
      <w:r w:rsidR="004A24F1">
        <w:t xml:space="preserve"> the fact that </w:t>
      </w:r>
      <w:r w:rsidR="001B5368">
        <w:t>the AMEP</w:t>
      </w:r>
      <w:r w:rsidR="004A24F1">
        <w:t xml:space="preserve"> and </w:t>
      </w:r>
      <w:r w:rsidR="00A0163C">
        <w:t>the SEE programme</w:t>
      </w:r>
      <w:r w:rsidR="004A24F1">
        <w:t xml:space="preserve"> are multi-dimensional </w:t>
      </w:r>
      <w:r w:rsidR="000665C0">
        <w:t xml:space="preserve">programmes </w:t>
      </w:r>
      <w:r w:rsidR="004A24F1">
        <w:t xml:space="preserve">that seek to be adaptable to the needs and priorities of the individual, whilst serving more than one public policy objective. The pursuit of industry-relevant training and employment outcomes should </w:t>
      </w:r>
      <w:r w:rsidR="008B7F25">
        <w:t xml:space="preserve">acknowledge, and </w:t>
      </w:r>
      <w:r w:rsidR="004A24F1">
        <w:t xml:space="preserve">not </w:t>
      </w:r>
      <w:r w:rsidR="008B7F25">
        <w:t xml:space="preserve">be </w:t>
      </w:r>
      <w:r w:rsidR="004A24F1">
        <w:t>at the expense of</w:t>
      </w:r>
      <w:r w:rsidR="008B7F25">
        <w:t>,</w:t>
      </w:r>
      <w:r w:rsidR="004A24F1">
        <w:t xml:space="preserve"> the more diverse set of policy objectives, nor should it neglect the needs of the individual.</w:t>
      </w:r>
    </w:p>
    <w:p w14:paraId="33239AF8" w14:textId="77777777" w:rsidR="004A24F1" w:rsidRDefault="004A24F1" w:rsidP="00B1278B">
      <w:pPr>
        <w:pStyle w:val="SideQuote"/>
        <w:framePr w:wrap="around"/>
      </w:pPr>
      <w:r>
        <w:t>Recommendation 7</w:t>
      </w:r>
      <w:r w:rsidR="00FC0C47">
        <w:br/>
        <w:t>Employment focus</w:t>
      </w:r>
    </w:p>
    <w:p w14:paraId="77FCF2EF" w14:textId="614A978B" w:rsidR="004A24F1" w:rsidRPr="00B1278B" w:rsidRDefault="00364380">
      <w:pPr>
        <w:pStyle w:val="BodyText"/>
        <w:rPr>
          <w:i/>
        </w:rPr>
      </w:pPr>
      <w:r w:rsidRPr="00B1278B">
        <w:rPr>
          <w:i/>
        </w:rPr>
        <w:t xml:space="preserve">Both </w:t>
      </w:r>
      <w:r w:rsidR="001B5368">
        <w:rPr>
          <w:i/>
        </w:rPr>
        <w:t>the AMEP</w:t>
      </w:r>
      <w:r w:rsidRPr="00B1278B">
        <w:rPr>
          <w:i/>
        </w:rPr>
        <w:t xml:space="preserve"> and </w:t>
      </w:r>
      <w:r w:rsidR="00A0163C">
        <w:rPr>
          <w:i/>
        </w:rPr>
        <w:t>the SEE programme</w:t>
      </w:r>
      <w:r w:rsidRPr="00B1278B">
        <w:rPr>
          <w:i/>
        </w:rPr>
        <w:t xml:space="preserve"> are multi-dimensional programmes serving more than one public policy objective and seek to be adaptable to the needs and priorities of the individual. Any future changes to either programme to improve the delivery of industry-relevant training and employment outcomes should not compromise the diverse policy objectives of </w:t>
      </w:r>
      <w:r w:rsidR="001B5368">
        <w:rPr>
          <w:i/>
        </w:rPr>
        <w:t>the AMEP</w:t>
      </w:r>
      <w:r w:rsidRPr="00B1278B">
        <w:rPr>
          <w:i/>
        </w:rPr>
        <w:t xml:space="preserve"> and </w:t>
      </w:r>
      <w:r w:rsidR="00A0163C">
        <w:rPr>
          <w:i/>
        </w:rPr>
        <w:t>the SEE programme</w:t>
      </w:r>
      <w:r w:rsidRPr="00B1278B">
        <w:rPr>
          <w:i/>
        </w:rPr>
        <w:t>, nor should they neglect the needs of the individual.</w:t>
      </w:r>
    </w:p>
    <w:p w14:paraId="3E00A8AB" w14:textId="7241825D" w:rsidR="004A24F1" w:rsidRDefault="004A24F1" w:rsidP="00B1278B">
      <w:pPr>
        <w:pStyle w:val="Heading5"/>
      </w:pPr>
      <w:r>
        <w:t xml:space="preserve">Consistency with market reforms and </w:t>
      </w:r>
      <w:r w:rsidR="0092139F">
        <w:t>client</w:t>
      </w:r>
      <w:r>
        <w:t xml:space="preserve"> choice</w:t>
      </w:r>
    </w:p>
    <w:p w14:paraId="3A538D0D" w14:textId="1429FA6F" w:rsidR="004A24F1" w:rsidRDefault="004A24F1" w:rsidP="004A24F1">
      <w:pPr>
        <w:pStyle w:val="BodyText"/>
      </w:pPr>
      <w:r>
        <w:t xml:space="preserve">The current approach to competitive tendering under both </w:t>
      </w:r>
      <w:r w:rsidR="001B5368">
        <w:t>the AMEP</w:t>
      </w:r>
      <w:r>
        <w:t xml:space="preserve"> and </w:t>
      </w:r>
      <w:r w:rsidR="00A0163C">
        <w:t>the SEE programme</w:t>
      </w:r>
      <w:r>
        <w:t xml:space="preserve"> is consistent with the policy recommendations outlined in Hilmer’s National Competition Policy Review (1993) and the subsequent adoption of competitive princip</w:t>
      </w:r>
      <w:r w:rsidR="001E62C7">
        <w:t>les adopted by COAG, in the mid-</w:t>
      </w:r>
      <w:r>
        <w:t>1990s.</w:t>
      </w:r>
    </w:p>
    <w:p w14:paraId="3256F8E6" w14:textId="77777777" w:rsidR="004A24F1" w:rsidRDefault="001247EE" w:rsidP="00053229">
      <w:pPr>
        <w:pStyle w:val="BodyText"/>
      </w:pPr>
      <w:r>
        <w:t>G</w:t>
      </w:r>
      <w:r w:rsidR="004A24F1">
        <w:t xml:space="preserve">reater competition between providers and improved client choice </w:t>
      </w:r>
      <w:r w:rsidR="001E62C7">
        <w:t xml:space="preserve">should be expected to </w:t>
      </w:r>
      <w:r w:rsidR="004A24F1">
        <w:t>lead to</w:t>
      </w:r>
      <w:r w:rsidR="002C26E0">
        <w:t xml:space="preserve"> more widespread</w:t>
      </w:r>
      <w:r w:rsidR="001E62C7">
        <w:t xml:space="preserve"> client-focused innovation in areas such as </w:t>
      </w:r>
      <w:r w:rsidR="004A24F1">
        <w:t>marketing and engagement with prospective eligible migrants</w:t>
      </w:r>
      <w:r w:rsidR="001E62C7">
        <w:t xml:space="preserve">, </w:t>
      </w:r>
      <w:r w:rsidR="004A24F1">
        <w:t>partnerships that better enable providers to meet client needs</w:t>
      </w:r>
      <w:r w:rsidR="001E62C7">
        <w:t>,</w:t>
      </w:r>
      <w:r w:rsidR="002C26E0">
        <w:t xml:space="preserve"> targeted models of training delivery,</w:t>
      </w:r>
      <w:r w:rsidR="001E62C7">
        <w:t xml:space="preserve"> and improved </w:t>
      </w:r>
      <w:r w:rsidR="004A24F1">
        <w:t>regional access and delivery</w:t>
      </w:r>
      <w:r w:rsidR="001E62C7">
        <w:t>.</w:t>
      </w:r>
    </w:p>
    <w:p w14:paraId="4D976CD7" w14:textId="2A5FD978" w:rsidR="001E62C7" w:rsidRDefault="001E62C7" w:rsidP="001E62C7">
      <w:pPr>
        <w:pStyle w:val="BodyText"/>
      </w:pPr>
      <w:r>
        <w:lastRenderedPageBreak/>
        <w:t>As outlined in the AMEP Evaluation Report</w:t>
      </w:r>
      <w:r w:rsidR="00413F94">
        <w:t xml:space="preserve"> (see section 7.2.2)</w:t>
      </w:r>
      <w:r>
        <w:t xml:space="preserve">, the evolution of the AMEP purchasing model should consider the phased introduction of contractual arrangements that include two or more providers competing in a given region. At the same time, the </w:t>
      </w:r>
      <w:r w:rsidR="00492999">
        <w:t>SEE P</w:t>
      </w:r>
      <w:r w:rsidR="00AE13AC">
        <w:t>rogramme</w:t>
      </w:r>
      <w:r w:rsidR="00556981">
        <w:t xml:space="preserve"> </w:t>
      </w:r>
      <w:r>
        <w:t xml:space="preserve">Evaluation Report </w:t>
      </w:r>
      <w:r w:rsidR="00413F94">
        <w:t xml:space="preserve">(see section 7.2.1) </w:t>
      </w:r>
      <w:r>
        <w:t xml:space="preserve">outlines how the design and operation of the multi-provider model in SEE could be </w:t>
      </w:r>
      <w:r w:rsidR="000B62B9">
        <w:t xml:space="preserve">further </w:t>
      </w:r>
      <w:r>
        <w:t>improved.</w:t>
      </w:r>
    </w:p>
    <w:p w14:paraId="4537536A" w14:textId="0D09ABA9" w:rsidR="001E62C7" w:rsidRDefault="000B62B9" w:rsidP="00053229">
      <w:pPr>
        <w:pStyle w:val="BodyText"/>
      </w:pPr>
      <w:r>
        <w:t>G</w:t>
      </w:r>
      <w:r w:rsidR="004A24F1">
        <w:t xml:space="preserve">iven the large number of vulnerable and/or non-English speaking clients that make up the participants of both the AMEP and </w:t>
      </w:r>
      <w:r w:rsidR="00AE13AC">
        <w:t>SEE programme</w:t>
      </w:r>
      <w:r w:rsidR="004A24F1">
        <w:t xml:space="preserve">, </w:t>
      </w:r>
      <w:r w:rsidR="001E62C7">
        <w:t>t</w:t>
      </w:r>
      <w:r w:rsidR="004A24F1">
        <w:t xml:space="preserve">he quality standards and ongoing reporting and monitoring </w:t>
      </w:r>
      <w:r w:rsidR="001E62C7">
        <w:t xml:space="preserve">of providers contracted to deliver these </w:t>
      </w:r>
      <w:r w:rsidR="0070776B">
        <w:t>programme</w:t>
      </w:r>
      <w:r w:rsidR="001E62C7">
        <w:t xml:space="preserve"> </w:t>
      </w:r>
      <w:r w:rsidR="004A24F1">
        <w:t xml:space="preserve">regimes in both </w:t>
      </w:r>
      <w:r w:rsidR="001B5368">
        <w:t>the AMEP</w:t>
      </w:r>
      <w:r w:rsidR="004A24F1">
        <w:t xml:space="preserve"> and </w:t>
      </w:r>
      <w:r w:rsidR="00A0163C">
        <w:t>the SEE programme</w:t>
      </w:r>
      <w:r w:rsidR="004A24F1">
        <w:t xml:space="preserve"> should remain necessarily high. </w:t>
      </w:r>
    </w:p>
    <w:p w14:paraId="7687E524" w14:textId="00BF849D" w:rsidR="004A24F1" w:rsidRDefault="004A24F1" w:rsidP="00B1278B">
      <w:pPr>
        <w:pStyle w:val="SideQuote"/>
        <w:framePr w:wrap="around"/>
      </w:pPr>
      <w:r>
        <w:t>Recommendation 8</w:t>
      </w:r>
      <w:r w:rsidR="004D35B0">
        <w:br/>
      </w:r>
      <w:r w:rsidR="0092139F">
        <w:t>Client</w:t>
      </w:r>
      <w:r w:rsidR="004D35B0">
        <w:t xml:space="preserve"> choice </w:t>
      </w:r>
    </w:p>
    <w:p w14:paraId="566E9BE6" w14:textId="45279C7E" w:rsidR="002C26E0" w:rsidRDefault="004D35B0" w:rsidP="004A24F1">
      <w:pPr>
        <w:pStyle w:val="BodyText"/>
        <w:rPr>
          <w:i/>
        </w:rPr>
      </w:pPr>
      <w:r>
        <w:rPr>
          <w:i/>
        </w:rPr>
        <w:t xml:space="preserve">Consistent with VET market </w:t>
      </w:r>
      <w:r w:rsidR="003C359D">
        <w:rPr>
          <w:i/>
        </w:rPr>
        <w:t>reforms</w:t>
      </w:r>
      <w:r>
        <w:rPr>
          <w:i/>
        </w:rPr>
        <w:t xml:space="preserve"> to increase </w:t>
      </w:r>
      <w:r w:rsidR="0092139F">
        <w:rPr>
          <w:i/>
        </w:rPr>
        <w:t>client</w:t>
      </w:r>
      <w:r>
        <w:rPr>
          <w:i/>
        </w:rPr>
        <w:t xml:space="preserve"> choice, and as outlined </w:t>
      </w:r>
      <w:r w:rsidR="000665C0">
        <w:rPr>
          <w:i/>
        </w:rPr>
        <w:t xml:space="preserve">in </w:t>
      </w:r>
      <w:r>
        <w:rPr>
          <w:i/>
        </w:rPr>
        <w:t>the respective evaluation reports</w:t>
      </w:r>
      <w:r w:rsidR="002C26E0">
        <w:rPr>
          <w:i/>
        </w:rPr>
        <w:t>:</w:t>
      </w:r>
      <w:r>
        <w:rPr>
          <w:i/>
        </w:rPr>
        <w:t xml:space="preserve"> </w:t>
      </w:r>
    </w:p>
    <w:p w14:paraId="6C5FB047" w14:textId="7DD6FB5B" w:rsidR="002C26E0" w:rsidRDefault="000665C0" w:rsidP="008B04E9">
      <w:pPr>
        <w:pStyle w:val="ListDash"/>
        <w:rPr>
          <w:i/>
        </w:rPr>
      </w:pPr>
      <w:r>
        <w:rPr>
          <w:i/>
        </w:rPr>
        <w:t>t</w:t>
      </w:r>
      <w:r w:rsidR="004D35B0" w:rsidRPr="008B04E9">
        <w:rPr>
          <w:i/>
        </w:rPr>
        <w:t xml:space="preserve">he AMEP purchasing model should consider the phased introduction of contractual arrangements that include two or more </w:t>
      </w:r>
      <w:r w:rsidR="003C359D">
        <w:rPr>
          <w:i/>
        </w:rPr>
        <w:t xml:space="preserve">AMEP service </w:t>
      </w:r>
      <w:r w:rsidR="004D35B0" w:rsidRPr="008B04E9">
        <w:rPr>
          <w:i/>
        </w:rPr>
        <w:t>providers competing in a given region</w:t>
      </w:r>
    </w:p>
    <w:p w14:paraId="2DFA78F3" w14:textId="1A26DF24" w:rsidR="009013CB" w:rsidRPr="008B04E9" w:rsidRDefault="000665C0" w:rsidP="008B04E9">
      <w:pPr>
        <w:pStyle w:val="ListDash"/>
        <w:rPr>
          <w:i/>
        </w:rPr>
      </w:pPr>
      <w:r>
        <w:rPr>
          <w:i/>
        </w:rPr>
        <w:t>i</w:t>
      </w:r>
      <w:r w:rsidR="004D35B0" w:rsidRPr="008B04E9">
        <w:rPr>
          <w:i/>
        </w:rPr>
        <w:t xml:space="preserve">mprovements to the design and operation of the multi-provider model in </w:t>
      </w:r>
      <w:r w:rsidR="00A0163C">
        <w:rPr>
          <w:i/>
        </w:rPr>
        <w:t>the SEE programme</w:t>
      </w:r>
      <w:r w:rsidR="002C26E0">
        <w:rPr>
          <w:i/>
        </w:rPr>
        <w:t xml:space="preserve"> should be based on a framework for viable delivery</w:t>
      </w:r>
      <w:r w:rsidR="004D35B0" w:rsidRPr="008B04E9">
        <w:rPr>
          <w:i/>
        </w:rPr>
        <w:t xml:space="preserve">. </w:t>
      </w:r>
    </w:p>
    <w:p w14:paraId="7CFEBE24" w14:textId="3B066E46" w:rsidR="004A24F1" w:rsidRPr="00B1278B" w:rsidRDefault="004A24F1" w:rsidP="004A24F1">
      <w:pPr>
        <w:pStyle w:val="BodyText"/>
        <w:rPr>
          <w:i/>
        </w:rPr>
      </w:pPr>
      <w:r w:rsidRPr="00B1278B">
        <w:rPr>
          <w:i/>
        </w:rPr>
        <w:t xml:space="preserve">Given that clients for both </w:t>
      </w:r>
      <w:r w:rsidR="001B5368">
        <w:rPr>
          <w:i/>
        </w:rPr>
        <w:t>the AMEP</w:t>
      </w:r>
      <w:r w:rsidR="004D35B0">
        <w:rPr>
          <w:i/>
        </w:rPr>
        <w:t xml:space="preserve"> and </w:t>
      </w:r>
      <w:r w:rsidR="00A0163C">
        <w:rPr>
          <w:i/>
        </w:rPr>
        <w:t>the SEE programme</w:t>
      </w:r>
      <w:r w:rsidR="004D35B0">
        <w:rPr>
          <w:i/>
        </w:rPr>
        <w:t xml:space="preserve"> </w:t>
      </w:r>
      <w:r w:rsidRPr="00B1278B">
        <w:rPr>
          <w:i/>
        </w:rPr>
        <w:t xml:space="preserve">comprise vulnerable and/or non-English speaking participants, both </w:t>
      </w:r>
      <w:r w:rsidR="003C359D">
        <w:rPr>
          <w:i/>
        </w:rPr>
        <w:t xml:space="preserve">the </w:t>
      </w:r>
      <w:r w:rsidRPr="00B1278B">
        <w:rPr>
          <w:i/>
        </w:rPr>
        <w:t xml:space="preserve">AMEP and </w:t>
      </w:r>
      <w:r w:rsidR="00A0163C">
        <w:rPr>
          <w:i/>
        </w:rPr>
        <w:t>the SEE programme</w:t>
      </w:r>
      <w:r w:rsidRPr="00B1278B">
        <w:rPr>
          <w:i/>
        </w:rPr>
        <w:t xml:space="preserve"> should </w:t>
      </w:r>
      <w:r w:rsidR="004D7132">
        <w:rPr>
          <w:i/>
        </w:rPr>
        <w:t xml:space="preserve">ensure </w:t>
      </w:r>
      <w:r w:rsidR="004D35B0">
        <w:rPr>
          <w:i/>
        </w:rPr>
        <w:t>a</w:t>
      </w:r>
      <w:r w:rsidRPr="00B1278B">
        <w:rPr>
          <w:i/>
        </w:rPr>
        <w:t xml:space="preserve"> necessarily high</w:t>
      </w:r>
      <w:r w:rsidR="004D35B0">
        <w:rPr>
          <w:i/>
        </w:rPr>
        <w:t xml:space="preserve"> standard </w:t>
      </w:r>
      <w:r w:rsidR="003C359D">
        <w:rPr>
          <w:i/>
        </w:rPr>
        <w:t>of</w:t>
      </w:r>
      <w:r w:rsidRPr="00B1278B">
        <w:rPr>
          <w:i/>
        </w:rPr>
        <w:t xml:space="preserve"> providers contracted to deliver these </w:t>
      </w:r>
      <w:r w:rsidR="0070776B">
        <w:rPr>
          <w:i/>
        </w:rPr>
        <w:t>programmes</w:t>
      </w:r>
      <w:r w:rsidRPr="00B1278B">
        <w:rPr>
          <w:i/>
        </w:rPr>
        <w:t xml:space="preserve">. </w:t>
      </w:r>
    </w:p>
    <w:p w14:paraId="53D1704D" w14:textId="7E461BFD" w:rsidR="004A24F1" w:rsidRDefault="004A24F1" w:rsidP="00B1278B">
      <w:pPr>
        <w:pStyle w:val="Heading5"/>
      </w:pPr>
      <w:r w:rsidRPr="00053229">
        <w:t xml:space="preserve">Implications of skills reform for </w:t>
      </w:r>
      <w:r w:rsidR="001B5368">
        <w:t>the AMEP</w:t>
      </w:r>
      <w:r w:rsidRPr="00053229">
        <w:t xml:space="preserve"> or </w:t>
      </w:r>
      <w:r w:rsidR="00A0163C">
        <w:t>the SEE programme</w:t>
      </w:r>
      <w:r>
        <w:t xml:space="preserve"> </w:t>
      </w:r>
    </w:p>
    <w:p w14:paraId="24CE1251" w14:textId="151B9852" w:rsidR="004A24F1" w:rsidRDefault="00FC189C" w:rsidP="004A24F1">
      <w:pPr>
        <w:pStyle w:val="BodyText"/>
      </w:pPr>
      <w:r>
        <w:t>Both</w:t>
      </w:r>
      <w:r w:rsidR="004A24F1">
        <w:t xml:space="preserve"> the AMEP and </w:t>
      </w:r>
      <w:r w:rsidR="00A0163C">
        <w:t>the SEE programme</w:t>
      </w:r>
      <w:r w:rsidR="004A24F1">
        <w:t xml:space="preserve"> are tied to areas of direct Commonwealth responsibility</w:t>
      </w:r>
      <w:r>
        <w:t xml:space="preserve">, namely </w:t>
      </w:r>
      <w:r w:rsidR="004A24F1">
        <w:t xml:space="preserve">migration to Australia and the welfare support system respectively. </w:t>
      </w:r>
      <w:r w:rsidR="00556981">
        <w:t>State and territory governments</w:t>
      </w:r>
      <w:r w:rsidR="00542C88">
        <w:t>,</w:t>
      </w:r>
      <w:r w:rsidR="00556981">
        <w:t xml:space="preserve"> </w:t>
      </w:r>
      <w:r w:rsidR="004A24F1">
        <w:t>on the other hand</w:t>
      </w:r>
      <w:r w:rsidR="00542C88">
        <w:t>,</w:t>
      </w:r>
      <w:r w:rsidR="004A24F1">
        <w:t xml:space="preserve"> have carriage of VET system</w:t>
      </w:r>
      <w:r w:rsidR="00542C88">
        <w:t>s</w:t>
      </w:r>
      <w:r w:rsidR="004A24F1">
        <w:t>.</w:t>
      </w:r>
    </w:p>
    <w:p w14:paraId="10A166D3" w14:textId="3613DEA7" w:rsidR="004A24F1" w:rsidRDefault="004A24F1" w:rsidP="004A24F1">
      <w:pPr>
        <w:pStyle w:val="BodyText"/>
      </w:pPr>
      <w:r>
        <w:t xml:space="preserve">As </w:t>
      </w:r>
      <w:r w:rsidR="0038353D">
        <w:t xml:space="preserve">state and territory governments </w:t>
      </w:r>
      <w:r>
        <w:t>develop, implement and amend various entitlement models in line with commitments set out the National Partnership Agreement for Skills Reform, the availability of publicly subsidised training is undergoing substantial change</w:t>
      </w:r>
      <w:r w:rsidR="00542C88">
        <w:t xml:space="preserve">, with </w:t>
      </w:r>
      <w:r w:rsidR="00FC189C">
        <w:t xml:space="preserve">two </w:t>
      </w:r>
      <w:r>
        <w:t xml:space="preserve">important implications for </w:t>
      </w:r>
      <w:r w:rsidR="001B5368">
        <w:t>the AMEP</w:t>
      </w:r>
      <w:r>
        <w:t xml:space="preserve"> and </w:t>
      </w:r>
      <w:r w:rsidR="00A0163C">
        <w:t>the SEE programme</w:t>
      </w:r>
      <w:r>
        <w:t>.</w:t>
      </w:r>
    </w:p>
    <w:p w14:paraId="1AF26560" w14:textId="33516B16" w:rsidR="0038353D" w:rsidRDefault="004A24F1" w:rsidP="004A24F1">
      <w:pPr>
        <w:pStyle w:val="BodyText"/>
      </w:pPr>
      <w:r>
        <w:t xml:space="preserve">First, the introduction of a student-led entitlement model should in many cases allow individuals to follow up AMEP and SEE </w:t>
      </w:r>
      <w:r w:rsidR="00A0163C">
        <w:t xml:space="preserve">programme </w:t>
      </w:r>
      <w:r>
        <w:t xml:space="preserve">training with further VET courses. In order for this to be effective, both AMEP and SEE </w:t>
      </w:r>
      <w:r w:rsidR="00A0163C">
        <w:t xml:space="preserve">programme </w:t>
      </w:r>
      <w:r>
        <w:t xml:space="preserve">clients will need to be well informed </w:t>
      </w:r>
      <w:r w:rsidR="00542C88">
        <w:t xml:space="preserve">about </w:t>
      </w:r>
      <w:r>
        <w:t xml:space="preserve">their entitlement eligibility, pathways and options. </w:t>
      </w:r>
    </w:p>
    <w:p w14:paraId="6027DA9B" w14:textId="7AB91A36" w:rsidR="004A24F1" w:rsidRDefault="004A24F1" w:rsidP="004A24F1">
      <w:pPr>
        <w:pStyle w:val="BodyText"/>
      </w:pPr>
      <w:r>
        <w:t xml:space="preserve">Second, ongoing changes to VET funding at the state </w:t>
      </w:r>
      <w:r w:rsidR="00542C88">
        <w:t xml:space="preserve">and territory </w:t>
      </w:r>
      <w:r>
        <w:t xml:space="preserve">level </w:t>
      </w:r>
      <w:r w:rsidR="00FC189C">
        <w:t>are</w:t>
      </w:r>
      <w:r>
        <w:t xml:space="preserve"> likely to lead to a range of consequences </w:t>
      </w:r>
      <w:r w:rsidR="00FC189C">
        <w:t>for</w:t>
      </w:r>
      <w:r>
        <w:t xml:space="preserve"> the availability of subsidised LLN training across the VET sector. To the extent that access to and/or availability of subsidised LLN programmes </w:t>
      </w:r>
      <w:r w:rsidR="00FC189C">
        <w:t>change</w:t>
      </w:r>
      <w:r w:rsidR="00542C88">
        <w:t>s</w:t>
      </w:r>
      <w:r>
        <w:t xml:space="preserve">, </w:t>
      </w:r>
      <w:r w:rsidR="001B5368">
        <w:t>the AMEP</w:t>
      </w:r>
      <w:r>
        <w:t xml:space="preserve"> and </w:t>
      </w:r>
      <w:r w:rsidR="00A0163C">
        <w:t>the SEE programme</w:t>
      </w:r>
      <w:r>
        <w:t xml:space="preserve"> may come under pressure to fulfil a role that is more significant than </w:t>
      </w:r>
      <w:r w:rsidR="00542C88">
        <w:t>originally conceived</w:t>
      </w:r>
      <w:r>
        <w:t>. Consistent with the a</w:t>
      </w:r>
      <w:r w:rsidR="00FC189C">
        <w:t xml:space="preserve">dvice in both the AMEP </w:t>
      </w:r>
      <w:r w:rsidR="00A36B1E">
        <w:t xml:space="preserve">(see sections 7.1.4 and 7.1.6) </w:t>
      </w:r>
      <w:r w:rsidR="00FC189C">
        <w:t xml:space="preserve">and </w:t>
      </w:r>
      <w:r w:rsidR="00A0163C">
        <w:t>the SEE programme</w:t>
      </w:r>
      <w:r w:rsidR="00FC189C">
        <w:t xml:space="preserve"> </w:t>
      </w:r>
      <w:r w:rsidR="00A36B1E">
        <w:t xml:space="preserve">(see sections 5.2.1, 7.1.1 and 7.1.6) </w:t>
      </w:r>
      <w:r w:rsidR="00FC189C">
        <w:t>evaluation r</w:t>
      </w:r>
      <w:r>
        <w:t xml:space="preserve">eports, </w:t>
      </w:r>
      <w:r w:rsidR="008C2263" w:rsidRPr="00B1278B">
        <w:t xml:space="preserve">programme participants </w:t>
      </w:r>
      <w:r w:rsidR="008C2263">
        <w:t xml:space="preserve">should be </w:t>
      </w:r>
      <w:r w:rsidR="008C2263" w:rsidRPr="00B1278B">
        <w:t>well informed regarding their entitlement eligibility, pathways and options.</w:t>
      </w:r>
      <w:r w:rsidR="008C2263">
        <w:t xml:space="preserve"> </w:t>
      </w:r>
    </w:p>
    <w:p w14:paraId="73FA5821" w14:textId="77777777" w:rsidR="004A24F1" w:rsidRDefault="004A24F1" w:rsidP="00B1278B">
      <w:pPr>
        <w:pStyle w:val="SideQuote"/>
        <w:framePr w:wrap="around"/>
      </w:pPr>
      <w:r>
        <w:t>Recommendation 9</w:t>
      </w:r>
      <w:r>
        <w:cr/>
      </w:r>
      <w:r w:rsidR="000B62B9">
        <w:t>National skills reform</w:t>
      </w:r>
    </w:p>
    <w:p w14:paraId="554867B0" w14:textId="77777777" w:rsidR="003C359D" w:rsidRPr="003C359D" w:rsidRDefault="00542C88" w:rsidP="004A24F1">
      <w:pPr>
        <w:pStyle w:val="BodyText"/>
        <w:rPr>
          <w:i/>
        </w:rPr>
      </w:pPr>
      <w:r w:rsidRPr="003C359D">
        <w:rPr>
          <w:i/>
        </w:rPr>
        <w:t>There are t</w:t>
      </w:r>
      <w:r w:rsidR="004A24F1" w:rsidRPr="003C359D">
        <w:rPr>
          <w:i/>
        </w:rPr>
        <w:t xml:space="preserve">wo important implications of national skills reform for </w:t>
      </w:r>
      <w:r w:rsidR="001B5368" w:rsidRPr="003C359D">
        <w:rPr>
          <w:i/>
        </w:rPr>
        <w:t>the AMEP</w:t>
      </w:r>
      <w:r w:rsidR="004A24F1" w:rsidRPr="003C359D">
        <w:rPr>
          <w:i/>
        </w:rPr>
        <w:t xml:space="preserve"> and </w:t>
      </w:r>
      <w:r w:rsidR="00A0163C" w:rsidRPr="003C359D">
        <w:rPr>
          <w:i/>
        </w:rPr>
        <w:t>the SEE programme</w:t>
      </w:r>
      <w:r w:rsidRPr="003C359D">
        <w:rPr>
          <w:i/>
        </w:rPr>
        <w:t xml:space="preserve">. </w:t>
      </w:r>
    </w:p>
    <w:p w14:paraId="0D233F36" w14:textId="77777777" w:rsidR="003C359D" w:rsidRPr="003C359D" w:rsidRDefault="00542C88" w:rsidP="003C359D">
      <w:pPr>
        <w:pStyle w:val="ListDash"/>
        <w:rPr>
          <w:i/>
        </w:rPr>
      </w:pPr>
      <w:r w:rsidRPr="003C359D">
        <w:rPr>
          <w:i/>
        </w:rPr>
        <w:t>T</w:t>
      </w:r>
      <w:r w:rsidR="004A24F1" w:rsidRPr="003C359D">
        <w:rPr>
          <w:i/>
        </w:rPr>
        <w:t>he introduction of a student-led entitlement model</w:t>
      </w:r>
      <w:r w:rsidRPr="003C359D">
        <w:rPr>
          <w:i/>
        </w:rPr>
        <w:t xml:space="preserve"> </w:t>
      </w:r>
      <w:r w:rsidR="004A24F1" w:rsidRPr="003C359D">
        <w:rPr>
          <w:i/>
        </w:rPr>
        <w:t xml:space="preserve">is likely to allow individuals to follow up AMEP and SEE </w:t>
      </w:r>
      <w:r w:rsidR="00A0163C" w:rsidRPr="003C359D">
        <w:rPr>
          <w:i/>
        </w:rPr>
        <w:t xml:space="preserve">programme </w:t>
      </w:r>
      <w:r w:rsidR="004A24F1" w:rsidRPr="003C359D">
        <w:rPr>
          <w:i/>
        </w:rPr>
        <w:t>training with further VET courses</w:t>
      </w:r>
      <w:r w:rsidRPr="003C359D">
        <w:rPr>
          <w:i/>
        </w:rPr>
        <w:t xml:space="preserve">. </w:t>
      </w:r>
    </w:p>
    <w:p w14:paraId="342BC708" w14:textId="77777777" w:rsidR="003C359D" w:rsidRPr="003C359D" w:rsidRDefault="003C359D" w:rsidP="003C359D">
      <w:pPr>
        <w:pStyle w:val="ListDash"/>
        <w:rPr>
          <w:i/>
        </w:rPr>
      </w:pPr>
      <w:r w:rsidRPr="003C359D">
        <w:rPr>
          <w:i/>
        </w:rPr>
        <w:lastRenderedPageBreak/>
        <w:t xml:space="preserve">Potential changes to the availability of subsidised LLN programmes, is likely to place pressure on the AMEP and the SEE programme to fulfil a role that is beyond what is intended. </w:t>
      </w:r>
    </w:p>
    <w:p w14:paraId="6613D270" w14:textId="54007447" w:rsidR="004A24F1" w:rsidRPr="003C359D" w:rsidRDefault="000B62B9" w:rsidP="003C359D">
      <w:pPr>
        <w:pStyle w:val="BodyText"/>
        <w:rPr>
          <w:i/>
        </w:rPr>
      </w:pPr>
      <w:r w:rsidRPr="003C359D">
        <w:rPr>
          <w:i/>
        </w:rPr>
        <w:t>In</w:t>
      </w:r>
      <w:r w:rsidR="003C359D">
        <w:rPr>
          <w:i/>
        </w:rPr>
        <w:t xml:space="preserve"> both</w:t>
      </w:r>
      <w:r w:rsidRPr="003C359D">
        <w:rPr>
          <w:i/>
        </w:rPr>
        <w:t xml:space="preserve"> cases </w:t>
      </w:r>
      <w:r w:rsidR="004A24F1" w:rsidRPr="003C359D">
        <w:rPr>
          <w:i/>
        </w:rPr>
        <w:t xml:space="preserve">there should be </w:t>
      </w:r>
      <w:r w:rsidR="00B526E6" w:rsidRPr="003C359D">
        <w:rPr>
          <w:i/>
        </w:rPr>
        <w:t xml:space="preserve">clear and </w:t>
      </w:r>
      <w:r w:rsidR="004A24F1" w:rsidRPr="003C359D">
        <w:rPr>
          <w:i/>
        </w:rPr>
        <w:t xml:space="preserve">consistent communication of the programmes’ objectives to </w:t>
      </w:r>
      <w:r w:rsidR="0092139F" w:rsidRPr="003C359D">
        <w:rPr>
          <w:i/>
        </w:rPr>
        <w:t>client</w:t>
      </w:r>
      <w:r w:rsidR="004A24F1" w:rsidRPr="003C359D">
        <w:rPr>
          <w:i/>
        </w:rPr>
        <w:t>s and stakeholders</w:t>
      </w:r>
      <w:r w:rsidR="00B526E6" w:rsidRPr="003C359D">
        <w:rPr>
          <w:i/>
        </w:rPr>
        <w:t xml:space="preserve">, with </w:t>
      </w:r>
      <w:r w:rsidRPr="003C359D">
        <w:rPr>
          <w:i/>
        </w:rPr>
        <w:t xml:space="preserve">programme participants </w:t>
      </w:r>
      <w:r w:rsidR="003C359D">
        <w:rPr>
          <w:i/>
        </w:rPr>
        <w:t xml:space="preserve">being </w:t>
      </w:r>
      <w:r w:rsidRPr="003C359D">
        <w:rPr>
          <w:i/>
        </w:rPr>
        <w:t xml:space="preserve">well informed </w:t>
      </w:r>
      <w:r w:rsidR="00542C88" w:rsidRPr="003C359D">
        <w:rPr>
          <w:i/>
        </w:rPr>
        <w:t xml:space="preserve">about </w:t>
      </w:r>
      <w:r w:rsidRPr="003C359D">
        <w:rPr>
          <w:i/>
        </w:rPr>
        <w:t>their entitlement eligibility, pathways and options.</w:t>
      </w:r>
    </w:p>
    <w:p w14:paraId="217CF49F" w14:textId="77777777" w:rsidR="004A24F1" w:rsidRDefault="004A24F1" w:rsidP="00B1278B">
      <w:pPr>
        <w:pStyle w:val="Heading5"/>
      </w:pPr>
      <w:r>
        <w:t>Risk based approaches to regulation</w:t>
      </w:r>
    </w:p>
    <w:p w14:paraId="51C13ABF" w14:textId="6D9C9F79" w:rsidR="004A24F1" w:rsidRDefault="004A24F1">
      <w:pPr>
        <w:pStyle w:val="BodyText"/>
      </w:pPr>
      <w:r>
        <w:t xml:space="preserve">The </w:t>
      </w:r>
      <w:r w:rsidR="005877CF">
        <w:t>Australian</w:t>
      </w:r>
      <w:r>
        <w:t xml:space="preserve"> </w:t>
      </w:r>
      <w:r w:rsidR="00C62D0B">
        <w:t>G</w:t>
      </w:r>
      <w:r>
        <w:t xml:space="preserve">overnment has placed significant emphasis on reducing the regulatory burden for businesses. </w:t>
      </w:r>
      <w:r w:rsidR="005877CF">
        <w:t>T</w:t>
      </w:r>
      <w:r>
        <w:t>he agreed principles underpinning VET reform</w:t>
      </w:r>
      <w:r w:rsidR="005877CF">
        <w:t xml:space="preserve"> similarly commit</w:t>
      </w:r>
      <w:r>
        <w:t xml:space="preserve"> to </w:t>
      </w:r>
      <w:r w:rsidR="005877CF">
        <w:t>a</w:t>
      </w:r>
      <w:r>
        <w:t xml:space="preserve"> modern and responsive national regulatory system that applies a risk-management approach and supports a competitive and well-functioning market. </w:t>
      </w:r>
    </w:p>
    <w:p w14:paraId="7CF79A0F" w14:textId="41A50237" w:rsidR="004A24F1" w:rsidRDefault="004A24F1" w:rsidP="004A24F1">
      <w:pPr>
        <w:pStyle w:val="BodyText"/>
      </w:pPr>
      <w:r>
        <w:t xml:space="preserve">Calls from both AMEP and SEE providers for the reporting burden to be reduced should </w:t>
      </w:r>
      <w:r w:rsidR="00890985">
        <w:t xml:space="preserve">be </w:t>
      </w:r>
      <w:r w:rsidR="00DE3D92">
        <w:t>considered alongside the Government’s agenda to reduce red tape</w:t>
      </w:r>
      <w:r w:rsidR="00542C88">
        <w:t>. Likewise, p</w:t>
      </w:r>
      <w:r>
        <w:t xml:space="preserve">rogramme administrators should carefully consider options for streamlining the monitoring, reporting and performance management systems </w:t>
      </w:r>
      <w:r w:rsidR="00542C88">
        <w:t xml:space="preserve">for the AMEP and </w:t>
      </w:r>
      <w:r w:rsidR="00045A0C">
        <w:t xml:space="preserve">the </w:t>
      </w:r>
      <w:r w:rsidR="00542C88">
        <w:t xml:space="preserve">SEE programme </w:t>
      </w:r>
      <w:r w:rsidR="00890985">
        <w:t xml:space="preserve">as outlined in the AMEP </w:t>
      </w:r>
      <w:r w:rsidR="00045A0C">
        <w:t xml:space="preserve">Evaluation Report </w:t>
      </w:r>
      <w:r w:rsidR="00413F94">
        <w:t xml:space="preserve">(see section 7.1.2) </w:t>
      </w:r>
      <w:r w:rsidR="00045A0C">
        <w:t>and SEE Programme E</w:t>
      </w:r>
      <w:r w:rsidR="00890985">
        <w:t xml:space="preserve">valuation </w:t>
      </w:r>
      <w:r w:rsidR="00045A0C">
        <w:t>R</w:t>
      </w:r>
      <w:r>
        <w:t>eports</w:t>
      </w:r>
      <w:r w:rsidR="00542C88">
        <w:t xml:space="preserve">, </w:t>
      </w:r>
      <w:r w:rsidR="00413F94">
        <w:t xml:space="preserve"> (see section 7.1.5)</w:t>
      </w:r>
      <w:r>
        <w:t xml:space="preserve">, including </w:t>
      </w:r>
      <w:r w:rsidR="00542C88">
        <w:t xml:space="preserve">addressing </w:t>
      </w:r>
      <w:r>
        <w:t xml:space="preserve">potential overlaps with ASQA and/or NEAS accreditation systems. </w:t>
      </w:r>
    </w:p>
    <w:p w14:paraId="41DE2823" w14:textId="3DF82771" w:rsidR="004A24F1" w:rsidRDefault="00890985" w:rsidP="004A24F1">
      <w:pPr>
        <w:pStyle w:val="BodyText"/>
      </w:pPr>
      <w:r>
        <w:t xml:space="preserve">As a first step, </w:t>
      </w:r>
      <w:r w:rsidR="001B5368">
        <w:t>the AMEP</w:t>
      </w:r>
      <w:r>
        <w:t xml:space="preserve"> and </w:t>
      </w:r>
      <w:r w:rsidR="00045A0C">
        <w:t xml:space="preserve">the </w:t>
      </w:r>
      <w:r>
        <w:t>SEE programme should jointly commission research and advice into streamlining</w:t>
      </w:r>
      <w:r w:rsidR="004A24F1">
        <w:t xml:space="preserve"> the alignment and consistency of p</w:t>
      </w:r>
      <w:r>
        <w:t>rovider performance management</w:t>
      </w:r>
      <w:r w:rsidR="004A24F1">
        <w:t xml:space="preserve">, reporting and compliance between the AMEP and SEE programme to both increase the </w:t>
      </w:r>
      <w:r w:rsidR="004A24F1" w:rsidRPr="00192DAF">
        <w:t>effectiveness and minimise duplication</w:t>
      </w:r>
      <w:r w:rsidR="004A24F1">
        <w:t xml:space="preserve"> for dual providers</w:t>
      </w:r>
      <w:r>
        <w:t xml:space="preserve">. The opportunity should also be taken to </w:t>
      </w:r>
      <w:r w:rsidR="004A24F1">
        <w:t>develop risk-based approaches to provider quality assurance and performance management</w:t>
      </w:r>
      <w:r w:rsidR="00A03CBB">
        <w:t>,</w:t>
      </w:r>
      <w:r w:rsidR="004A24F1">
        <w:t xml:space="preserve"> consistent with the recent changes to the approaches taken in the regulation of the broader VET sector.</w:t>
      </w:r>
    </w:p>
    <w:p w14:paraId="02B695C5" w14:textId="77777777" w:rsidR="004A24F1" w:rsidRDefault="004A24F1" w:rsidP="00B1278B">
      <w:pPr>
        <w:pStyle w:val="SideQuote"/>
        <w:framePr w:wrap="around"/>
      </w:pPr>
      <w:r>
        <w:t>Recommendation 10</w:t>
      </w:r>
      <w:r w:rsidR="005877CF">
        <w:br/>
        <w:t>Risk based approaches to efficiency</w:t>
      </w:r>
    </w:p>
    <w:p w14:paraId="319C4BE2" w14:textId="463E93E0" w:rsidR="004A24F1" w:rsidRPr="00B1278B" w:rsidRDefault="004A24F1">
      <w:pPr>
        <w:pStyle w:val="BodyText"/>
        <w:rPr>
          <w:i/>
        </w:rPr>
      </w:pPr>
      <w:r w:rsidRPr="00B1278B">
        <w:rPr>
          <w:i/>
        </w:rPr>
        <w:t xml:space="preserve">In line with the </w:t>
      </w:r>
      <w:r w:rsidR="002059CA">
        <w:rPr>
          <w:i/>
        </w:rPr>
        <w:t>Australian G</w:t>
      </w:r>
      <w:r w:rsidRPr="00B1278B">
        <w:rPr>
          <w:i/>
        </w:rPr>
        <w:t xml:space="preserve">overnment’s agenda to reduce </w:t>
      </w:r>
      <w:r w:rsidR="00A03CBB">
        <w:rPr>
          <w:i/>
        </w:rPr>
        <w:t>the regulatory burden</w:t>
      </w:r>
      <w:r w:rsidRPr="00B1278B">
        <w:rPr>
          <w:i/>
        </w:rPr>
        <w:t xml:space="preserve">, </w:t>
      </w:r>
      <w:r w:rsidR="001B5368">
        <w:rPr>
          <w:i/>
        </w:rPr>
        <w:t>the AMEP</w:t>
      </w:r>
      <w:r w:rsidRPr="00B1278B">
        <w:rPr>
          <w:i/>
        </w:rPr>
        <w:t xml:space="preserve"> and </w:t>
      </w:r>
      <w:r w:rsidR="00A0163C">
        <w:rPr>
          <w:i/>
        </w:rPr>
        <w:t>the SEE programme</w:t>
      </w:r>
      <w:r w:rsidRPr="00B1278B">
        <w:rPr>
          <w:i/>
        </w:rPr>
        <w:t xml:space="preserve"> should consider options for streamlining </w:t>
      </w:r>
      <w:r w:rsidR="00A03CBB">
        <w:rPr>
          <w:i/>
        </w:rPr>
        <w:t xml:space="preserve">their </w:t>
      </w:r>
      <w:r w:rsidRPr="00B1278B">
        <w:rPr>
          <w:i/>
        </w:rPr>
        <w:t>monitoring, reporting and performance management systems</w:t>
      </w:r>
      <w:r w:rsidR="00A03CBB">
        <w:rPr>
          <w:i/>
        </w:rPr>
        <w:t>,</w:t>
      </w:r>
      <w:r w:rsidR="00D5068B" w:rsidRPr="00D5068B">
        <w:rPr>
          <w:i/>
        </w:rPr>
        <w:t xml:space="preserve"> as outlined in the AMEP Evaluation Report and the SEE Programme Evaluation Report</w:t>
      </w:r>
      <w:r w:rsidRPr="00B1278B">
        <w:rPr>
          <w:i/>
        </w:rPr>
        <w:t>.</w:t>
      </w:r>
      <w:r w:rsidR="005877CF">
        <w:rPr>
          <w:i/>
        </w:rPr>
        <w:t xml:space="preserve"> This should include the </w:t>
      </w:r>
      <w:r w:rsidR="00CE51EE">
        <w:rPr>
          <w:i/>
        </w:rPr>
        <w:t>expansion</w:t>
      </w:r>
      <w:r w:rsidR="005877CF">
        <w:rPr>
          <w:i/>
        </w:rPr>
        <w:t xml:space="preserve"> </w:t>
      </w:r>
      <w:r w:rsidRPr="00B1278B">
        <w:rPr>
          <w:i/>
        </w:rPr>
        <w:t>of risk-based approaches to provider quality assurance and performance management</w:t>
      </w:r>
      <w:r w:rsidR="00A03CBB">
        <w:rPr>
          <w:i/>
        </w:rPr>
        <w:t>,</w:t>
      </w:r>
      <w:r w:rsidRPr="00B1278B">
        <w:rPr>
          <w:i/>
        </w:rPr>
        <w:t xml:space="preserve"> consistent with recent changes in the regulation of the broader VET sector.</w:t>
      </w:r>
    </w:p>
    <w:p w14:paraId="5417E21D" w14:textId="77777777" w:rsidR="004A24F1" w:rsidRDefault="004A24F1" w:rsidP="004A24F1">
      <w:pPr>
        <w:pStyle w:val="BodyText"/>
      </w:pPr>
      <w:r>
        <w:t xml:space="preserve"> </w:t>
      </w:r>
    </w:p>
    <w:p w14:paraId="334A482E" w14:textId="77777777" w:rsidR="00473688" w:rsidRDefault="004A24F1">
      <w:pPr>
        <w:pStyle w:val="BodyText"/>
      </w:pPr>
      <w:r>
        <w:t xml:space="preserve"> </w:t>
      </w:r>
    </w:p>
    <w:p w14:paraId="43BFD7CA" w14:textId="77777777" w:rsidR="00473688" w:rsidRDefault="00473688">
      <w:pPr>
        <w:pStyle w:val="BodyText"/>
        <w:sectPr w:rsidR="00473688" w:rsidSect="003C37AA">
          <w:headerReference w:type="even" r:id="rId30"/>
          <w:headerReference w:type="default" r:id="rId31"/>
          <w:footerReference w:type="even" r:id="rId32"/>
          <w:footerReference w:type="default" r:id="rId33"/>
          <w:headerReference w:type="first" r:id="rId34"/>
          <w:footerReference w:type="first" r:id="rId35"/>
          <w:pgSz w:w="11907" w:h="16839" w:code="9"/>
          <w:pgMar w:top="1134" w:right="850" w:bottom="907" w:left="3118" w:header="709" w:footer="567" w:gutter="567"/>
          <w:pgNumType w:fmt="lowerRoman"/>
          <w:cols w:space="720"/>
          <w:docGrid w:linePitch="272"/>
        </w:sectPr>
      </w:pPr>
    </w:p>
    <w:p w14:paraId="31C63A5F" w14:textId="77777777" w:rsidR="00B4627C" w:rsidRDefault="00473688" w:rsidP="00476143">
      <w:pPr>
        <w:pStyle w:val="Heading1"/>
        <w:numPr>
          <w:ilvl w:val="0"/>
          <w:numId w:val="45"/>
        </w:numPr>
      </w:pPr>
      <w:bookmarkStart w:id="5" w:name="_Toc420078529"/>
      <w:r>
        <w:lastRenderedPageBreak/>
        <w:t>Introduction</w:t>
      </w:r>
      <w:bookmarkEnd w:id="5"/>
    </w:p>
    <w:p w14:paraId="1CBA2E1F" w14:textId="77777777" w:rsidR="00226C6C" w:rsidRPr="00226C6C" w:rsidRDefault="00226C6C" w:rsidP="00907436">
      <w:pPr>
        <w:pStyle w:val="Heading2"/>
      </w:pPr>
      <w:bookmarkStart w:id="6" w:name="_Toc407380297"/>
      <w:bookmarkStart w:id="7" w:name="_Toc408084317"/>
      <w:bookmarkStart w:id="8" w:name="_Toc420078530"/>
      <w:r w:rsidRPr="00226C6C">
        <w:t xml:space="preserve">Evaluation </w:t>
      </w:r>
      <w:bookmarkEnd w:id="6"/>
      <w:r w:rsidRPr="00226C6C">
        <w:t>overview</w:t>
      </w:r>
      <w:bookmarkEnd w:id="7"/>
      <w:bookmarkEnd w:id="8"/>
      <w:r w:rsidRPr="00226C6C">
        <w:t xml:space="preserve"> </w:t>
      </w:r>
    </w:p>
    <w:p w14:paraId="2D882C69" w14:textId="77777777" w:rsidR="00226C6C" w:rsidRPr="00144EC5" w:rsidRDefault="00226C6C" w:rsidP="00907436">
      <w:pPr>
        <w:pStyle w:val="Heading3"/>
      </w:pPr>
      <w:r w:rsidRPr="00144EC5">
        <w:t>Evaluation objectives</w:t>
      </w:r>
    </w:p>
    <w:p w14:paraId="5C1C871E" w14:textId="0C463818" w:rsidR="00226C6C" w:rsidRPr="00226C6C" w:rsidRDefault="00226C6C" w:rsidP="000C3281">
      <w:pPr>
        <w:pStyle w:val="BodyText"/>
      </w:pPr>
      <w:r w:rsidRPr="00226C6C">
        <w:t xml:space="preserve">ACIL Allen Consulting was commissioned by the Commonwealth Department of Education and Training </w:t>
      </w:r>
      <w:r>
        <w:t>to conduct concurrent</w:t>
      </w:r>
      <w:r w:rsidRPr="00226C6C">
        <w:t xml:space="preserve"> evaluation</w:t>
      </w:r>
      <w:r>
        <w:t>s</w:t>
      </w:r>
      <w:r w:rsidRPr="00226C6C">
        <w:t xml:space="preserve"> of the </w:t>
      </w:r>
      <w:r>
        <w:t xml:space="preserve">Adult Migrant English Program (AMEP) and the </w:t>
      </w:r>
      <w:r w:rsidRPr="00226C6C">
        <w:t xml:space="preserve">Skills for Education and Employment (SEE) </w:t>
      </w:r>
      <w:r w:rsidR="001B5368">
        <w:t>p</w:t>
      </w:r>
      <w:r w:rsidR="001B5368" w:rsidRPr="00226C6C">
        <w:t>rogramme</w:t>
      </w:r>
      <w:r w:rsidRPr="00226C6C">
        <w:t xml:space="preserve">. </w:t>
      </w:r>
    </w:p>
    <w:p w14:paraId="4D7874F8" w14:textId="77777777" w:rsidR="00226C6C" w:rsidRPr="00144EC5" w:rsidRDefault="00226C6C" w:rsidP="008B04E9">
      <w:pPr>
        <w:pStyle w:val="BodyText"/>
      </w:pPr>
      <w:r w:rsidRPr="00144EC5">
        <w:t>The evaluations jo</w:t>
      </w:r>
      <w:r w:rsidRPr="00F67D34">
        <w:t>intly examined:</w:t>
      </w:r>
    </w:p>
    <w:p w14:paraId="212C3D97" w14:textId="7CE296EE" w:rsidR="00226C6C" w:rsidRPr="00226C6C" w:rsidRDefault="00226C6C" w:rsidP="00226C6C">
      <w:pPr>
        <w:pStyle w:val="ListDash"/>
      </w:pPr>
      <w:r w:rsidRPr="00226C6C">
        <w:t xml:space="preserve">The appropriateness, effectiveness, efficiency and performance management of the </w:t>
      </w:r>
      <w:r w:rsidR="00AE13AC">
        <w:t>SEE programme</w:t>
      </w:r>
      <w:r w:rsidRPr="00226C6C">
        <w:t xml:space="preserve"> and the AMEP </w:t>
      </w:r>
    </w:p>
    <w:p w14:paraId="3943881F" w14:textId="739F2B8E" w:rsidR="00226C6C" w:rsidRPr="00226C6C" w:rsidRDefault="00226C6C" w:rsidP="00226C6C">
      <w:pPr>
        <w:pStyle w:val="ListDash"/>
      </w:pPr>
      <w:r w:rsidRPr="00226C6C">
        <w:t xml:space="preserve">The strategic alignment between the </w:t>
      </w:r>
      <w:r w:rsidR="00AE13AC">
        <w:t>SEE programme</w:t>
      </w:r>
      <w:r w:rsidRPr="00226C6C">
        <w:t xml:space="preserve"> and the AMEP, and whether there are opportunities to improve how the two </w:t>
      </w:r>
      <w:r w:rsidR="0070776B">
        <w:t>programmes</w:t>
      </w:r>
      <w:r w:rsidRPr="00226C6C">
        <w:t xml:space="preserve"> work together.</w:t>
      </w:r>
    </w:p>
    <w:p w14:paraId="6EC9E4ED" w14:textId="77777777" w:rsidR="00226C6C" w:rsidRPr="00144EC5" w:rsidRDefault="00226C6C" w:rsidP="00907436">
      <w:pPr>
        <w:pStyle w:val="Heading3"/>
      </w:pPr>
      <w:r w:rsidRPr="00144EC5">
        <w:t>Evaluation context</w:t>
      </w:r>
    </w:p>
    <w:p w14:paraId="526045DE" w14:textId="7E4223CA" w:rsidR="00226C6C" w:rsidRPr="00226C6C" w:rsidRDefault="000F358D" w:rsidP="006A20E4">
      <w:pPr>
        <w:pStyle w:val="BodyText"/>
      </w:pPr>
      <w:r>
        <w:t xml:space="preserve">The </w:t>
      </w:r>
      <w:r w:rsidR="00226C6C">
        <w:t xml:space="preserve">evaluation of the AMEP is timely as the programme </w:t>
      </w:r>
      <w:r w:rsidR="00226C6C" w:rsidRPr="00B6727E">
        <w:t>moved to a new business model in 2011</w:t>
      </w:r>
      <w:r w:rsidR="009025A4">
        <w:t>,</w:t>
      </w:r>
      <w:r w:rsidR="00226C6C" w:rsidRPr="00B6727E">
        <w:t xml:space="preserve"> involv</w:t>
      </w:r>
      <w:r w:rsidR="009025A4">
        <w:t>ing</w:t>
      </w:r>
      <w:r w:rsidR="00226C6C" w:rsidRPr="00B6727E">
        <w:t xml:space="preserve"> significant changes in </w:t>
      </w:r>
      <w:r w:rsidR="00B1278B">
        <w:t xml:space="preserve">programme </w:t>
      </w:r>
      <w:r w:rsidR="00226C6C" w:rsidRPr="00B6727E">
        <w:t xml:space="preserve">delivery and administration which </w:t>
      </w:r>
      <w:r w:rsidR="009025A4">
        <w:t xml:space="preserve">were </w:t>
      </w:r>
      <w:r w:rsidR="00226C6C" w:rsidRPr="00B6727E">
        <w:t>yet to be assessed.</w:t>
      </w:r>
      <w:r w:rsidR="00226C6C">
        <w:t xml:space="preserve"> Similarly, a</w:t>
      </w:r>
      <w:r w:rsidR="00226C6C" w:rsidRPr="00226C6C">
        <w:t xml:space="preserve">n evaluation of the </w:t>
      </w:r>
      <w:r w:rsidR="00AE13AC">
        <w:t>SEE programme</w:t>
      </w:r>
      <w:r w:rsidR="00226C6C" w:rsidRPr="00226C6C">
        <w:t xml:space="preserve"> is </w:t>
      </w:r>
      <w:r w:rsidR="00226C6C">
        <w:t xml:space="preserve">also </w:t>
      </w:r>
      <w:r w:rsidR="00226C6C" w:rsidRPr="00226C6C">
        <w:t xml:space="preserve">considered timely as the programme saw contract changes in 2012 which involved significant </w:t>
      </w:r>
      <w:r w:rsidR="009025A4">
        <w:t xml:space="preserve">shifts </w:t>
      </w:r>
      <w:r w:rsidR="00226C6C" w:rsidRPr="00226C6C">
        <w:t xml:space="preserve">in </w:t>
      </w:r>
      <w:r w:rsidR="00B1278B">
        <w:t xml:space="preserve">programme </w:t>
      </w:r>
      <w:r w:rsidR="00226C6C" w:rsidRPr="00226C6C">
        <w:t xml:space="preserve">delivery and administration </w:t>
      </w:r>
      <w:r w:rsidR="00226C6C">
        <w:t>which had not yet been evaluated</w:t>
      </w:r>
      <w:r w:rsidR="00226C6C" w:rsidRPr="00226C6C">
        <w:t>.</w:t>
      </w:r>
    </w:p>
    <w:p w14:paraId="52653388" w14:textId="77777777" w:rsidR="00226C6C" w:rsidRPr="00144EC5" w:rsidRDefault="00226C6C" w:rsidP="008B04E9">
      <w:pPr>
        <w:pStyle w:val="BodyText"/>
      </w:pPr>
      <w:r w:rsidRPr="00144EC5">
        <w:t>An additional</w:t>
      </w:r>
      <w:r w:rsidRPr="00F67D34">
        <w:t xml:space="preserve"> impetus for the evaluation is the</w:t>
      </w:r>
      <w:r w:rsidRPr="00984AF6">
        <w:t>:</w:t>
      </w:r>
    </w:p>
    <w:p w14:paraId="0F76D91A" w14:textId="7908F65F" w:rsidR="00226C6C" w:rsidRDefault="00226C6C" w:rsidP="00226C6C">
      <w:pPr>
        <w:pStyle w:val="ListDash"/>
      </w:pPr>
      <w:r w:rsidRPr="00226C6C">
        <w:t xml:space="preserve">movement of the administration of the </w:t>
      </w:r>
      <w:r w:rsidR="00AE13AC">
        <w:t>SEE programme</w:t>
      </w:r>
      <w:r w:rsidRPr="00226C6C">
        <w:t xml:space="preserve"> from the then Department of Education</w:t>
      </w:r>
      <w:r w:rsidR="00EB0BC4">
        <w:t>, Employment and Workplace Relations</w:t>
      </w:r>
      <w:r w:rsidRPr="00226C6C">
        <w:t xml:space="preserve"> to the Department of Industry in 201</w:t>
      </w:r>
      <w:r w:rsidR="00EB0BC4">
        <w:t>1</w:t>
      </w:r>
      <w:r w:rsidRPr="00226C6C">
        <w:t>, then to the Department of Education and Training in late 2014</w:t>
      </w:r>
    </w:p>
    <w:p w14:paraId="5D73751D" w14:textId="67E090BF" w:rsidR="00226C6C" w:rsidRDefault="00226C6C" w:rsidP="00226C6C">
      <w:pPr>
        <w:pStyle w:val="ListDash"/>
      </w:pPr>
      <w:r w:rsidRPr="00226C6C">
        <w:t>movement of the administration of the AMEP from the Department of Immigration and Border Protection to the Department of Industry in late 2013, then to the Department of Education and Training in late 2014.</w:t>
      </w:r>
    </w:p>
    <w:p w14:paraId="3160BBFE" w14:textId="2D1DE181" w:rsidR="00226C6C" w:rsidRPr="00144EC5" w:rsidRDefault="00226C6C" w:rsidP="008B04E9">
      <w:pPr>
        <w:pStyle w:val="BodyText"/>
      </w:pPr>
      <w:r w:rsidRPr="00144EC5">
        <w:t>The co</w:t>
      </w:r>
      <w:r w:rsidR="008F26E1">
        <w:t>-</w:t>
      </w:r>
      <w:r w:rsidRPr="00144EC5">
        <w:t xml:space="preserve">location of the AMEP and </w:t>
      </w:r>
      <w:r w:rsidR="00AE13AC">
        <w:t>SEE programme</w:t>
      </w:r>
      <w:r w:rsidRPr="00144EC5">
        <w:t xml:space="preserve"> in the Department of Education and Training provides an opportunity to explore the strategic alignment between the two </w:t>
      </w:r>
      <w:r w:rsidR="0070776B">
        <w:t>programmes</w:t>
      </w:r>
      <w:r w:rsidRPr="00144EC5">
        <w:t>.</w:t>
      </w:r>
    </w:p>
    <w:p w14:paraId="6718CCAC" w14:textId="77777777" w:rsidR="00226C6C" w:rsidRPr="00F67D34" w:rsidRDefault="00226C6C" w:rsidP="00907436">
      <w:pPr>
        <w:pStyle w:val="Heading3"/>
      </w:pPr>
      <w:r w:rsidRPr="00144EC5">
        <w:t>Evaluation outputs</w:t>
      </w:r>
    </w:p>
    <w:p w14:paraId="3D70D4AD" w14:textId="6E60DDD7" w:rsidR="00226C6C" w:rsidRPr="00144EC5" w:rsidRDefault="00226C6C" w:rsidP="008B04E9">
      <w:pPr>
        <w:pStyle w:val="BodyText"/>
      </w:pPr>
      <w:r w:rsidRPr="00F67D34">
        <w:t xml:space="preserve">The joint evaluations of the AMEP and </w:t>
      </w:r>
      <w:r w:rsidR="00AE13AC">
        <w:t>SEE programme</w:t>
      </w:r>
      <w:r w:rsidRPr="00F67D34">
        <w:t xml:space="preserve"> have produced three reports:</w:t>
      </w:r>
    </w:p>
    <w:p w14:paraId="2C9BC3CB" w14:textId="152B61FE" w:rsidR="00226C6C" w:rsidRPr="00226C6C" w:rsidRDefault="00226C6C" w:rsidP="00226C6C">
      <w:pPr>
        <w:pStyle w:val="ListNumber"/>
      </w:pPr>
      <w:r w:rsidRPr="00226C6C">
        <w:t xml:space="preserve">The AMEP Evaluation </w:t>
      </w:r>
      <w:r w:rsidR="001B5368">
        <w:t>R</w:t>
      </w:r>
      <w:r w:rsidRPr="00226C6C">
        <w:t xml:space="preserve">eport </w:t>
      </w:r>
    </w:p>
    <w:p w14:paraId="6EB31F81" w14:textId="096F607A" w:rsidR="00226C6C" w:rsidRDefault="00226C6C" w:rsidP="00226C6C">
      <w:pPr>
        <w:pStyle w:val="ListNumber"/>
      </w:pPr>
      <w:r w:rsidRPr="00226C6C">
        <w:t xml:space="preserve">The </w:t>
      </w:r>
      <w:r w:rsidR="009025A4">
        <w:t>SEE P</w:t>
      </w:r>
      <w:r w:rsidR="00AE13AC">
        <w:t>rogramme</w:t>
      </w:r>
      <w:r w:rsidRPr="00226C6C">
        <w:t xml:space="preserve"> Evaluation </w:t>
      </w:r>
      <w:r w:rsidR="001B5368">
        <w:t>R</w:t>
      </w:r>
      <w:r w:rsidRPr="00226C6C">
        <w:t xml:space="preserve">eport </w:t>
      </w:r>
    </w:p>
    <w:p w14:paraId="68CC931E" w14:textId="2BF2479F" w:rsidR="00226C6C" w:rsidRDefault="00226C6C" w:rsidP="00226C6C">
      <w:pPr>
        <w:pStyle w:val="ListNumber"/>
      </w:pPr>
      <w:r w:rsidRPr="00226C6C">
        <w:t xml:space="preserve">The AMEP </w:t>
      </w:r>
      <w:r w:rsidR="00045A0C">
        <w:t>&amp;</w:t>
      </w:r>
      <w:r w:rsidRPr="00226C6C">
        <w:t xml:space="preserve"> SEE </w:t>
      </w:r>
      <w:r w:rsidR="00A0163C">
        <w:t xml:space="preserve">Programme </w:t>
      </w:r>
      <w:r w:rsidRPr="00226C6C">
        <w:t xml:space="preserve">Alignment </w:t>
      </w:r>
      <w:r w:rsidR="001B5368">
        <w:t>R</w:t>
      </w:r>
      <w:r w:rsidRPr="00226C6C">
        <w:t>eport</w:t>
      </w:r>
      <w:r>
        <w:t xml:space="preserve"> (this report)</w:t>
      </w:r>
      <w:r w:rsidRPr="00226C6C">
        <w:t>.</w:t>
      </w:r>
    </w:p>
    <w:p w14:paraId="0B34DE76" w14:textId="77777777" w:rsidR="001F5F55" w:rsidRDefault="001F5F55" w:rsidP="00FD15AE">
      <w:pPr>
        <w:pStyle w:val="Heading3"/>
      </w:pPr>
      <w:r>
        <w:t>Evaluation method</w:t>
      </w:r>
    </w:p>
    <w:p w14:paraId="06471250" w14:textId="77777777" w:rsidR="001F5F55" w:rsidRDefault="001F5F55" w:rsidP="001F5F55">
      <w:pPr>
        <w:pStyle w:val="BodyText"/>
      </w:pPr>
      <w:r>
        <w:t>The evaluation method included:</w:t>
      </w:r>
    </w:p>
    <w:p w14:paraId="6F963870" w14:textId="77777777" w:rsidR="001F5F55" w:rsidRDefault="001F5F55" w:rsidP="001F5F55">
      <w:pPr>
        <w:pStyle w:val="ListDash"/>
      </w:pPr>
      <w:r>
        <w:t>A programme document review, and national and international literature review</w:t>
      </w:r>
    </w:p>
    <w:p w14:paraId="7100156C" w14:textId="77777777" w:rsidR="001F5F55" w:rsidRDefault="001F5F55" w:rsidP="001F5F55">
      <w:pPr>
        <w:pStyle w:val="ListDash"/>
      </w:pPr>
      <w:r>
        <w:lastRenderedPageBreak/>
        <w:t>Programme data analysis</w:t>
      </w:r>
    </w:p>
    <w:p w14:paraId="2B42D070" w14:textId="77777777" w:rsidR="001F5F55" w:rsidRDefault="001F5F55" w:rsidP="001F5F55">
      <w:pPr>
        <w:pStyle w:val="ListDash"/>
      </w:pPr>
      <w:r>
        <w:t>Stakeholder consultations including interviews, focus groups, surveys and a public submission process.</w:t>
      </w:r>
    </w:p>
    <w:p w14:paraId="3D432A6F" w14:textId="6B1CCC80" w:rsidR="001F5F55" w:rsidRPr="00226C6C" w:rsidRDefault="001F5F55" w:rsidP="001F5F55">
      <w:pPr>
        <w:pStyle w:val="BodyText"/>
      </w:pPr>
      <w:r>
        <w:t xml:space="preserve">Full details on the evaluation method can be found in either the AMEP </w:t>
      </w:r>
      <w:r w:rsidR="00612B16">
        <w:t xml:space="preserve">Evaluation Report </w:t>
      </w:r>
      <w:r>
        <w:t xml:space="preserve">or </w:t>
      </w:r>
      <w:r w:rsidR="00612B16">
        <w:t xml:space="preserve">the </w:t>
      </w:r>
      <w:r w:rsidR="00AE13AC">
        <w:t xml:space="preserve">SEE </w:t>
      </w:r>
      <w:r w:rsidR="00612B16">
        <w:t>P</w:t>
      </w:r>
      <w:r w:rsidR="00AE13AC">
        <w:t>rogramme</w:t>
      </w:r>
      <w:r>
        <w:t xml:space="preserve"> </w:t>
      </w:r>
      <w:r w:rsidR="00612B16">
        <w:t>Evaluation Report</w:t>
      </w:r>
      <w:r>
        <w:t>.</w:t>
      </w:r>
    </w:p>
    <w:p w14:paraId="54BFC4AE" w14:textId="77777777" w:rsidR="00226C6C" w:rsidRPr="00226C6C" w:rsidRDefault="00226C6C" w:rsidP="00907436">
      <w:pPr>
        <w:pStyle w:val="Heading2"/>
      </w:pPr>
      <w:bookmarkStart w:id="9" w:name="_Toc408084318"/>
      <w:bookmarkStart w:id="10" w:name="_Toc420078531"/>
      <w:r w:rsidRPr="00226C6C">
        <w:t>Research questions</w:t>
      </w:r>
      <w:bookmarkEnd w:id="9"/>
      <w:r w:rsidR="001F5F55">
        <w:t xml:space="preserve"> and report structure</w:t>
      </w:r>
      <w:bookmarkEnd w:id="10"/>
    </w:p>
    <w:p w14:paraId="5BE937AD" w14:textId="77777777" w:rsidR="001F5F55" w:rsidRDefault="001F5F55" w:rsidP="00FD15AE">
      <w:pPr>
        <w:pStyle w:val="Heading3"/>
      </w:pPr>
      <w:r>
        <w:t>Research questions</w:t>
      </w:r>
    </w:p>
    <w:p w14:paraId="1D09DA57" w14:textId="3D65902F" w:rsidR="00226C6C" w:rsidRDefault="00226C6C" w:rsidP="00226C6C">
      <w:pPr>
        <w:pStyle w:val="BodyText"/>
      </w:pPr>
      <w:r>
        <w:t xml:space="preserve">The joint aspects of evaluation examine in detail the linkages and gaps between the two </w:t>
      </w:r>
      <w:r w:rsidR="0070776B">
        <w:t>programmes</w:t>
      </w:r>
      <w:r>
        <w:t xml:space="preserve"> and make recommendations regarding their strategic alignment. </w:t>
      </w:r>
    </w:p>
    <w:p w14:paraId="1E0A0410" w14:textId="77777777" w:rsidR="00226C6C" w:rsidRDefault="00226C6C" w:rsidP="00226C6C">
      <w:pPr>
        <w:pStyle w:val="BodyText"/>
      </w:pPr>
      <w:r w:rsidRPr="00226C6C">
        <w:t xml:space="preserve">The </w:t>
      </w:r>
      <w:r>
        <w:t xml:space="preserve">specific </w:t>
      </w:r>
      <w:r w:rsidRPr="00226C6C">
        <w:t xml:space="preserve">evaluation research questions </w:t>
      </w:r>
      <w:r w:rsidR="00E05388">
        <w:t xml:space="preserve">addressed in this report </w:t>
      </w:r>
      <w:r w:rsidRPr="00226C6C">
        <w:t xml:space="preserve">are </w:t>
      </w:r>
      <w:r>
        <w:t xml:space="preserve">as follows: </w:t>
      </w:r>
    </w:p>
    <w:p w14:paraId="014AA618" w14:textId="77777777" w:rsidR="00226C6C" w:rsidRPr="001F5F55" w:rsidRDefault="00226C6C" w:rsidP="001F5F55">
      <w:pPr>
        <w:pStyle w:val="ListNumber"/>
        <w:numPr>
          <w:ilvl w:val="0"/>
          <w:numId w:val="44"/>
        </w:numPr>
      </w:pPr>
      <w:r w:rsidRPr="001F5F55">
        <w:t xml:space="preserve">Examination of the critical intervention points for client groups in both </w:t>
      </w:r>
      <w:r w:rsidR="0070776B">
        <w:t>programmes</w:t>
      </w:r>
      <w:r w:rsidRPr="001F5F55">
        <w:t>, including where and how they are different and similar.</w:t>
      </w:r>
    </w:p>
    <w:p w14:paraId="27D296C0" w14:textId="77777777" w:rsidR="00226C6C" w:rsidRDefault="00226C6C" w:rsidP="001F5F55">
      <w:pPr>
        <w:pStyle w:val="ListNumber"/>
      </w:pPr>
      <w:r>
        <w:t xml:space="preserve">Identification of existing service delivery gaps and linkages between the two </w:t>
      </w:r>
      <w:r w:rsidR="0070776B">
        <w:t>programmes</w:t>
      </w:r>
      <w:r>
        <w:t xml:space="preserve"> and opportunities to improve outcomes for the respective client groups. This would include identifying common client groups.</w:t>
      </w:r>
    </w:p>
    <w:p w14:paraId="54EE07C9" w14:textId="77777777" w:rsidR="00226C6C" w:rsidRDefault="00226C6C" w:rsidP="001F5F55">
      <w:pPr>
        <w:pStyle w:val="ListNumber"/>
      </w:pPr>
      <w:r>
        <w:t xml:space="preserve">Factors influencing participant outcomes and pathways, including consideration of post </w:t>
      </w:r>
      <w:r w:rsidR="00B1278B">
        <w:t xml:space="preserve">programme </w:t>
      </w:r>
      <w:r>
        <w:t>outcomes.</w:t>
      </w:r>
    </w:p>
    <w:p w14:paraId="4AAD8CAA" w14:textId="77777777" w:rsidR="00226C6C" w:rsidRDefault="00226C6C" w:rsidP="001F5F55">
      <w:pPr>
        <w:pStyle w:val="ListNumber"/>
      </w:pPr>
      <w:r>
        <w:t xml:space="preserve">Examination of the variance and alignment of client eligibility between the two </w:t>
      </w:r>
      <w:r w:rsidR="0070776B">
        <w:t>programmes</w:t>
      </w:r>
      <w:r>
        <w:t xml:space="preserve"> and consideration of the impact of client background (e.g. visa type) on pathways through and between the </w:t>
      </w:r>
      <w:r w:rsidR="0070776B">
        <w:t>programmes</w:t>
      </w:r>
      <w:r>
        <w:t xml:space="preserve"> and to employment. </w:t>
      </w:r>
    </w:p>
    <w:p w14:paraId="7EFA216F" w14:textId="77777777" w:rsidR="00226C6C" w:rsidRDefault="00226C6C" w:rsidP="001F5F55">
      <w:pPr>
        <w:pStyle w:val="ListNumber"/>
      </w:pPr>
      <w:r>
        <w:t xml:space="preserve">Opportunities to improve links between language, literacy and numeracy training outcomes for appropriate client groups to meet industry need. This would include opportunities for a greater focus on work readiness as a component to training delivered through the two </w:t>
      </w:r>
      <w:r w:rsidR="0070776B">
        <w:t>programmes</w:t>
      </w:r>
      <w:r>
        <w:t>.</w:t>
      </w:r>
    </w:p>
    <w:p w14:paraId="5CE18AB2" w14:textId="77777777" w:rsidR="00226C6C" w:rsidRDefault="00226C6C" w:rsidP="001F5F55">
      <w:pPr>
        <w:pStyle w:val="ListNumber"/>
      </w:pPr>
      <w:r>
        <w:t xml:space="preserve">Consideration of potential strategies to ‘bridge the gap’ between the two </w:t>
      </w:r>
      <w:r w:rsidR="0070776B">
        <w:t>programmes</w:t>
      </w:r>
      <w:r>
        <w:t xml:space="preserve"> including implications.</w:t>
      </w:r>
    </w:p>
    <w:p w14:paraId="5392B3BE" w14:textId="77777777" w:rsidR="00226C6C" w:rsidRDefault="00226C6C" w:rsidP="001F5F55">
      <w:pPr>
        <w:pStyle w:val="ListNumber"/>
      </w:pPr>
      <w:r>
        <w:t xml:space="preserve">Examination of the service delivery model, including opportunities for increased efficiencies, noting that both </w:t>
      </w:r>
      <w:r w:rsidR="0070776B">
        <w:t>programmes</w:t>
      </w:r>
      <w:r>
        <w:t xml:space="preserve"> are delivered by the same service provider in many regions. </w:t>
      </w:r>
    </w:p>
    <w:p w14:paraId="3E065B23" w14:textId="77777777" w:rsidR="00226C6C" w:rsidRDefault="00226C6C" w:rsidP="001F5F55">
      <w:pPr>
        <w:pStyle w:val="ListNumber"/>
      </w:pPr>
      <w:r>
        <w:t>Examination of the different curriculums and assessment tools used by each program</w:t>
      </w:r>
      <w:r w:rsidR="006C7B38">
        <w:t>me</w:t>
      </w:r>
      <w:r>
        <w:t>, and identifying any benefits or efficiencies in aligning these, noting that many service providers are shared.</w:t>
      </w:r>
    </w:p>
    <w:p w14:paraId="14E322C3" w14:textId="77777777" w:rsidR="00F40597" w:rsidRDefault="00226C6C" w:rsidP="001F5F55">
      <w:pPr>
        <w:pStyle w:val="ListNumber"/>
      </w:pPr>
      <w:r>
        <w:t xml:space="preserve">In addition to the questions of alignment between the </w:t>
      </w:r>
      <w:r w:rsidR="0070776B">
        <w:t>programmes</w:t>
      </w:r>
      <w:r>
        <w:t xml:space="preserve"> as identified above, the evaluation will examine the strategic placement of both of the </w:t>
      </w:r>
      <w:r w:rsidR="0070776B">
        <w:t>programmes</w:t>
      </w:r>
      <w:r>
        <w:t xml:space="preserve"> within the overall objectives of the suite of skills policy and skills </w:t>
      </w:r>
      <w:r w:rsidR="0070776B">
        <w:t>programmes</w:t>
      </w:r>
      <w:r>
        <w:t>.</w:t>
      </w:r>
    </w:p>
    <w:p w14:paraId="68B94C88" w14:textId="77777777" w:rsidR="00E95B8D" w:rsidRDefault="00E95B8D" w:rsidP="00FD15AE">
      <w:pPr>
        <w:pStyle w:val="Heading3"/>
      </w:pPr>
      <w:r>
        <w:t>Report structure</w:t>
      </w:r>
    </w:p>
    <w:p w14:paraId="27B9F85E" w14:textId="77777777" w:rsidR="00E95B8D" w:rsidRDefault="00E95B8D" w:rsidP="00E95B8D">
      <w:pPr>
        <w:pStyle w:val="BodyText"/>
      </w:pPr>
      <w:r>
        <w:t xml:space="preserve">This report </w:t>
      </w:r>
      <w:r w:rsidR="001F5F55">
        <w:t>specifically addresses the individual research questions listed above according to the structure</w:t>
      </w:r>
      <w:r>
        <w:t xml:space="preserve"> as follows:</w:t>
      </w:r>
    </w:p>
    <w:p w14:paraId="2479E466" w14:textId="05416755" w:rsidR="00E95B8D" w:rsidRDefault="001F5F55" w:rsidP="00E95B8D">
      <w:pPr>
        <w:pStyle w:val="ListDash"/>
      </w:pPr>
      <w:r>
        <w:t xml:space="preserve">Chapter 2 identifies the common clients and target groups between </w:t>
      </w:r>
      <w:r w:rsidR="001B5368">
        <w:t>the AMEP</w:t>
      </w:r>
      <w:r>
        <w:t xml:space="preserve"> and </w:t>
      </w:r>
      <w:r w:rsidR="00022AF6">
        <w:t>the SEE programme</w:t>
      </w:r>
      <w:r>
        <w:t>, including the programme intervention points, the specific eligibility criteria that apply, and the client groups that are common to both programmes</w:t>
      </w:r>
      <w:r w:rsidR="00DE3D92">
        <w:t>.</w:t>
      </w:r>
      <w:r>
        <w:t xml:space="preserve"> </w:t>
      </w:r>
    </w:p>
    <w:p w14:paraId="733BE402" w14:textId="77777777" w:rsidR="001F5F55" w:rsidRDefault="001F5F55" w:rsidP="001F5F55">
      <w:pPr>
        <w:pStyle w:val="ListDash"/>
      </w:pPr>
      <w:r>
        <w:t>Chapter 3 considers participant outcomes and pathways</w:t>
      </w:r>
      <w:r w:rsidR="00AA5434">
        <w:t>,</w:t>
      </w:r>
      <w:r>
        <w:t xml:space="preserve"> and in doing so</w:t>
      </w:r>
      <w:r w:rsidR="00AA5434">
        <w:t>,</w:t>
      </w:r>
      <w:r>
        <w:t xml:space="preserve"> identifies the service delivery gaps and linkages between the two programmes</w:t>
      </w:r>
      <w:r w:rsidR="00DE3D92">
        <w:t>.</w:t>
      </w:r>
    </w:p>
    <w:p w14:paraId="5BA72174" w14:textId="77777777" w:rsidR="00E95B8D" w:rsidRDefault="00E95B8D" w:rsidP="00E95B8D">
      <w:pPr>
        <w:pStyle w:val="ListDash"/>
      </w:pPr>
      <w:r>
        <w:lastRenderedPageBreak/>
        <w:t>Chapter 4</w:t>
      </w:r>
      <w:r w:rsidR="001F5F55">
        <w:t xml:space="preserve"> </w:t>
      </w:r>
      <w:r w:rsidR="000055CB">
        <w:t>highlights</w:t>
      </w:r>
      <w:r w:rsidR="000055CB" w:rsidRPr="000055CB">
        <w:t xml:space="preserve"> </w:t>
      </w:r>
      <w:r w:rsidR="000055CB">
        <w:t xml:space="preserve">potential strategies to ‘bridge the gap’ between the two programmes and </w:t>
      </w:r>
      <w:r w:rsidR="001F5F55">
        <w:t xml:space="preserve">opportunities to improve </w:t>
      </w:r>
      <w:r w:rsidR="000055CB">
        <w:t xml:space="preserve">client </w:t>
      </w:r>
      <w:r w:rsidR="001F5F55">
        <w:t>outcomes</w:t>
      </w:r>
      <w:r w:rsidR="000055CB">
        <w:t>, along with possible efficiency improvements</w:t>
      </w:r>
      <w:r w:rsidR="00DE3D92">
        <w:t>.</w:t>
      </w:r>
    </w:p>
    <w:p w14:paraId="35BB3B61" w14:textId="77777777" w:rsidR="000055CB" w:rsidRDefault="000055CB" w:rsidP="000055CB">
      <w:pPr>
        <w:pStyle w:val="ListDash"/>
      </w:pPr>
      <w:r>
        <w:t xml:space="preserve">Chapter 5 examines the strategic placement of both of the </w:t>
      </w:r>
      <w:r w:rsidR="0070776B">
        <w:t>programmes</w:t>
      </w:r>
      <w:r>
        <w:t xml:space="preserve"> within the overall objectives of the government’s suite of skills policy and skills </w:t>
      </w:r>
      <w:r w:rsidR="0070776B">
        <w:t>programmes</w:t>
      </w:r>
      <w:r>
        <w:t>.</w:t>
      </w:r>
    </w:p>
    <w:p w14:paraId="6AE1C2B7" w14:textId="77777777" w:rsidR="00E05388" w:rsidRPr="00E05388" w:rsidRDefault="00E05388" w:rsidP="00E05388">
      <w:pPr>
        <w:pStyle w:val="BodyText"/>
      </w:pPr>
    </w:p>
    <w:p w14:paraId="71F7D572" w14:textId="77777777" w:rsidR="00F40597" w:rsidRPr="005E443A" w:rsidRDefault="00F40597" w:rsidP="00F40597">
      <w:pPr>
        <w:pStyle w:val="Heading1"/>
      </w:pPr>
      <w:bookmarkStart w:id="11" w:name="_Toc420078532"/>
      <w:r>
        <w:lastRenderedPageBreak/>
        <w:t xml:space="preserve">Common clients and </w:t>
      </w:r>
      <w:r w:rsidR="00F47359">
        <w:t>target groups</w:t>
      </w:r>
      <w:bookmarkEnd w:id="11"/>
    </w:p>
    <w:p w14:paraId="4BC47711" w14:textId="77777777" w:rsidR="00016D32" w:rsidRDefault="00E95B8D" w:rsidP="0064564D">
      <w:pPr>
        <w:pStyle w:val="Heading2"/>
      </w:pPr>
      <w:bookmarkStart w:id="12" w:name="_Ref408422120"/>
      <w:bookmarkStart w:id="13" w:name="_Toc420078533"/>
      <w:r>
        <w:t>Target audience</w:t>
      </w:r>
      <w:r w:rsidR="00B65E66">
        <w:t xml:space="preserve"> and points of intervention</w:t>
      </w:r>
      <w:bookmarkEnd w:id="12"/>
      <w:bookmarkEnd w:id="13"/>
    </w:p>
    <w:p w14:paraId="4B189C5E" w14:textId="58D4DCC8" w:rsidR="00E95B8D" w:rsidRDefault="00724882" w:rsidP="00FD26FE">
      <w:pPr>
        <w:pStyle w:val="BodyText"/>
      </w:pPr>
      <w:r>
        <w:t xml:space="preserve">The AMEP and </w:t>
      </w:r>
      <w:r w:rsidR="00AE13AC">
        <w:t>SEE programme</w:t>
      </w:r>
      <w:r>
        <w:t xml:space="preserve"> share a common purpose in that both are centred on the delivery of language and literacy training. However, the two </w:t>
      </w:r>
      <w:r w:rsidR="0070776B">
        <w:t>programmes</w:t>
      </w:r>
      <w:r>
        <w:t xml:space="preserve"> have different objectives and therefore different target audiences and points of intervention.</w:t>
      </w:r>
    </w:p>
    <w:p w14:paraId="0A33B026" w14:textId="77777777" w:rsidR="00724882" w:rsidRDefault="00724882" w:rsidP="00724882">
      <w:pPr>
        <w:pStyle w:val="ListDash"/>
      </w:pPr>
      <w:r>
        <w:t xml:space="preserve">The AMEP </w:t>
      </w:r>
      <w:r w:rsidR="00663104">
        <w:t>is</w:t>
      </w:r>
      <w:r w:rsidR="001B1F2D">
        <w:t xml:space="preserve"> a targeted programme</w:t>
      </w:r>
      <w:r w:rsidR="00663104">
        <w:t xml:space="preserve"> primarily focused on facilitating the settlement of people arriving in Australia with limited English language proficiency; it therefore </w:t>
      </w:r>
      <w:r>
        <w:t xml:space="preserve">targets newly arrived permanent migrants to Australia in the </w:t>
      </w:r>
      <w:r w:rsidR="009013CB">
        <w:t>five year</w:t>
      </w:r>
      <w:r>
        <w:t xml:space="preserve"> period immediately following their arrival in Australia.</w:t>
      </w:r>
    </w:p>
    <w:p w14:paraId="7BF947CA" w14:textId="42F406EF" w:rsidR="00724882" w:rsidRDefault="00724882" w:rsidP="00724882">
      <w:pPr>
        <w:pStyle w:val="ListDash"/>
      </w:pPr>
      <w:r>
        <w:t xml:space="preserve">The </w:t>
      </w:r>
      <w:r w:rsidR="00AE13AC">
        <w:t>SEE programme</w:t>
      </w:r>
      <w:r>
        <w:t xml:space="preserve"> </w:t>
      </w:r>
      <w:r w:rsidR="00663104">
        <w:t xml:space="preserve">is </w:t>
      </w:r>
      <w:r w:rsidR="001B1F2D">
        <w:t xml:space="preserve">a mainstream programme </w:t>
      </w:r>
      <w:r w:rsidR="00663104">
        <w:t xml:space="preserve">directed at job seekers receiving income support payments to improve their LLN skills for the purpose of engaging in work or further study; it therefore </w:t>
      </w:r>
      <w:r>
        <w:t xml:space="preserve">targets </w:t>
      </w:r>
      <w:r w:rsidR="00663104">
        <w:t xml:space="preserve">eligible </w:t>
      </w:r>
      <w:r>
        <w:t>job</w:t>
      </w:r>
      <w:r w:rsidR="00663104">
        <w:t xml:space="preserve"> seekers that have a capacity to benefit.</w:t>
      </w:r>
    </w:p>
    <w:p w14:paraId="2544141C" w14:textId="5EBF28E4" w:rsidR="00FD26FE" w:rsidRDefault="00663104" w:rsidP="00FD26FE">
      <w:pPr>
        <w:pStyle w:val="BodyText"/>
      </w:pPr>
      <w:r>
        <w:t xml:space="preserve">As Commonwealth Government programmes, both the AMEP and </w:t>
      </w:r>
      <w:r w:rsidR="00022AF6">
        <w:t>the SEE programme</w:t>
      </w:r>
      <w:r>
        <w:t xml:space="preserve"> are specifically tied to areas </w:t>
      </w:r>
      <w:r w:rsidR="00FD26FE">
        <w:t xml:space="preserve">of </w:t>
      </w:r>
      <w:r>
        <w:t xml:space="preserve">direct </w:t>
      </w:r>
      <w:r w:rsidR="00FD26FE">
        <w:t>Commonwealth responsibility</w:t>
      </w:r>
      <w:r w:rsidR="00AA5434">
        <w:t>:</w:t>
      </w:r>
      <w:r>
        <w:t xml:space="preserve"> migration to Australia</w:t>
      </w:r>
      <w:r w:rsidR="00AA5434">
        <w:t>;</w:t>
      </w:r>
      <w:r>
        <w:t xml:space="preserve"> and the welfare support system.</w:t>
      </w:r>
    </w:p>
    <w:p w14:paraId="3FC4363C" w14:textId="5AA67C4E" w:rsidR="000856F9" w:rsidRDefault="00663104" w:rsidP="00FD26FE">
      <w:pPr>
        <w:pStyle w:val="BodyText"/>
      </w:pPr>
      <w:r>
        <w:t xml:space="preserve">The following table summarises the target </w:t>
      </w:r>
      <w:r w:rsidR="00AA5434">
        <w:t xml:space="preserve">groups for </w:t>
      </w:r>
      <w:r w:rsidR="001B5368">
        <w:t>the AMEP</w:t>
      </w:r>
      <w:r>
        <w:t xml:space="preserve"> and </w:t>
      </w:r>
      <w:r w:rsidR="00022AF6">
        <w:t>the SEE programme</w:t>
      </w:r>
      <w:r>
        <w:t>.</w:t>
      </w:r>
      <w:r w:rsidR="00495B9F">
        <w:t xml:space="preserve"> </w:t>
      </w:r>
    </w:p>
    <w:p w14:paraId="6561813F" w14:textId="3133143A" w:rsidR="00287A48" w:rsidRDefault="00287A48" w:rsidP="00287A48">
      <w:pPr>
        <w:pStyle w:val="Caption"/>
      </w:pPr>
      <w:bookmarkStart w:id="14" w:name="_Toc420078566"/>
      <w:r>
        <w:t xml:space="preserve">Table </w:t>
      </w:r>
      <w:r w:rsidR="00902F05">
        <w:fldChar w:fldCharType="begin"/>
      </w:r>
      <w:r w:rsidR="00902F05">
        <w:instrText xml:space="preserve"> SEQ Table \* MERGEFORMAT </w:instrText>
      </w:r>
      <w:r w:rsidR="00902F05">
        <w:fldChar w:fldCharType="separate"/>
      </w:r>
      <w:r w:rsidR="00902F05">
        <w:rPr>
          <w:noProof/>
        </w:rPr>
        <w:t>1</w:t>
      </w:r>
      <w:r w:rsidR="00902F05">
        <w:rPr>
          <w:noProof/>
        </w:rPr>
        <w:fldChar w:fldCharType="end"/>
      </w:r>
      <w:r w:rsidRPr="00F47359">
        <w:rPr>
          <w:b/>
          <w:color w:val="000000"/>
        </w:rPr>
        <w:tab/>
      </w:r>
      <w:r>
        <w:rPr>
          <w:b/>
          <w:color w:val="000000"/>
        </w:rPr>
        <w:t xml:space="preserve">Target </w:t>
      </w:r>
      <w:r w:rsidR="00AA5434">
        <w:rPr>
          <w:b/>
          <w:color w:val="000000"/>
        </w:rPr>
        <w:t xml:space="preserve">groups </w:t>
      </w:r>
      <w:r>
        <w:rPr>
          <w:b/>
          <w:color w:val="000000"/>
        </w:rPr>
        <w:t xml:space="preserve">of </w:t>
      </w:r>
      <w:r w:rsidR="001B5368">
        <w:rPr>
          <w:b/>
          <w:color w:val="000000"/>
        </w:rPr>
        <w:t xml:space="preserve">the </w:t>
      </w:r>
      <w:r>
        <w:rPr>
          <w:b/>
          <w:color w:val="000000"/>
        </w:rPr>
        <w:t xml:space="preserve">AMEP and </w:t>
      </w:r>
      <w:r w:rsidR="00022AF6">
        <w:rPr>
          <w:b/>
          <w:color w:val="000000"/>
        </w:rPr>
        <w:t>the SEE programme</w:t>
      </w:r>
      <w:bookmarkEnd w:id="14"/>
    </w:p>
    <w:tbl>
      <w:tblPr>
        <w:tblW w:w="7372" w:type="dxa"/>
        <w:tblInd w:w="28" w:type="dxa"/>
        <w:tblBorders>
          <w:bottom w:val="single" w:sz="2" w:space="0" w:color="C0C0C0"/>
          <w:insideH w:val="single" w:sz="2" w:space="0" w:color="C0C0C0"/>
        </w:tblBorders>
        <w:tblLayout w:type="fixed"/>
        <w:tblCellMar>
          <w:left w:w="142" w:type="dxa"/>
          <w:right w:w="56" w:type="dxa"/>
        </w:tblCellMar>
        <w:tblLook w:val="0000" w:firstRow="0" w:lastRow="0" w:firstColumn="0" w:lastColumn="0" w:noHBand="0" w:noVBand="0"/>
      </w:tblPr>
      <w:tblGrid>
        <w:gridCol w:w="2457"/>
        <w:gridCol w:w="2457"/>
        <w:gridCol w:w="2458"/>
      </w:tblGrid>
      <w:tr w:rsidR="00287A48" w14:paraId="6C7C53F7" w14:textId="77777777" w:rsidTr="00843CBD">
        <w:trPr>
          <w:cantSplit/>
        </w:trPr>
        <w:tc>
          <w:tcPr>
            <w:tcW w:w="2457" w:type="dxa"/>
            <w:tcBorders>
              <w:top w:val="nil"/>
              <w:bottom w:val="single" w:sz="2" w:space="0" w:color="C0C0C0"/>
            </w:tcBorders>
            <w:shd w:val="solid" w:color="9757A6" w:fill="auto"/>
            <w:vAlign w:val="center"/>
          </w:tcPr>
          <w:p w14:paraId="68A84BD7" w14:textId="77777777" w:rsidR="00287A48" w:rsidRDefault="00287A48" w:rsidP="00843CBD">
            <w:pPr>
              <w:pStyle w:val="Tablecolumnheadings"/>
            </w:pPr>
          </w:p>
        </w:tc>
        <w:tc>
          <w:tcPr>
            <w:tcW w:w="2457" w:type="dxa"/>
            <w:tcBorders>
              <w:top w:val="nil"/>
              <w:bottom w:val="single" w:sz="2" w:space="0" w:color="C0C0C0"/>
            </w:tcBorders>
            <w:shd w:val="solid" w:color="9757A6" w:fill="auto"/>
            <w:vAlign w:val="center"/>
          </w:tcPr>
          <w:p w14:paraId="1B725DE9" w14:textId="0F9BD475" w:rsidR="00287A48" w:rsidRDefault="001B5368" w:rsidP="00843CBD">
            <w:pPr>
              <w:pStyle w:val="Tablecolumnheadings"/>
            </w:pPr>
            <w:r>
              <w:t>The AMEP</w:t>
            </w:r>
          </w:p>
        </w:tc>
        <w:tc>
          <w:tcPr>
            <w:tcW w:w="2458" w:type="dxa"/>
            <w:tcBorders>
              <w:top w:val="nil"/>
              <w:bottom w:val="single" w:sz="2" w:space="0" w:color="C0C0C0"/>
            </w:tcBorders>
            <w:shd w:val="solid" w:color="9757A6" w:fill="auto"/>
            <w:vAlign w:val="center"/>
          </w:tcPr>
          <w:p w14:paraId="0D896F37" w14:textId="683248BE" w:rsidR="00287A48" w:rsidRDefault="00022AF6" w:rsidP="00843CBD">
            <w:pPr>
              <w:pStyle w:val="Tablecolumnheadings"/>
            </w:pPr>
            <w:r>
              <w:t>The SEE programme</w:t>
            </w:r>
          </w:p>
        </w:tc>
      </w:tr>
      <w:tr w:rsidR="00287A48" w14:paraId="3CCAB45C" w14:textId="77777777" w:rsidTr="00843CBD">
        <w:trPr>
          <w:cantSplit/>
        </w:trPr>
        <w:tc>
          <w:tcPr>
            <w:tcW w:w="2457" w:type="dxa"/>
            <w:shd w:val="clear" w:color="auto" w:fill="auto"/>
            <w:vAlign w:val="center"/>
          </w:tcPr>
          <w:p w14:paraId="78AE1367" w14:textId="77777777" w:rsidR="00287A48" w:rsidRPr="00495B9F" w:rsidRDefault="00287A48" w:rsidP="00843CBD">
            <w:pPr>
              <w:pStyle w:val="Tabletext"/>
              <w:rPr>
                <w:b/>
              </w:rPr>
            </w:pPr>
            <w:r w:rsidRPr="00495B9F">
              <w:rPr>
                <w:b/>
              </w:rPr>
              <w:t>Target groups</w:t>
            </w:r>
          </w:p>
        </w:tc>
        <w:tc>
          <w:tcPr>
            <w:tcW w:w="2457" w:type="dxa"/>
            <w:shd w:val="clear" w:color="auto" w:fill="auto"/>
            <w:vAlign w:val="center"/>
          </w:tcPr>
          <w:p w14:paraId="492B4D2E" w14:textId="77777777" w:rsidR="00287A48" w:rsidRDefault="00287A48" w:rsidP="00843CBD">
            <w:pPr>
              <w:pStyle w:val="Tabletext"/>
            </w:pPr>
            <w:r>
              <w:t>Recently arrive</w:t>
            </w:r>
            <w:r w:rsidR="008E2DD8">
              <w:t>d</w:t>
            </w:r>
            <w:r>
              <w:t xml:space="preserve"> permanent migrants </w:t>
            </w:r>
          </w:p>
        </w:tc>
        <w:tc>
          <w:tcPr>
            <w:tcW w:w="2458" w:type="dxa"/>
            <w:shd w:val="clear" w:color="auto" w:fill="auto"/>
            <w:vAlign w:val="center"/>
          </w:tcPr>
          <w:p w14:paraId="1D3CB3CE" w14:textId="77777777" w:rsidR="00287A48" w:rsidRDefault="00287A48" w:rsidP="00843CBD">
            <w:pPr>
              <w:pStyle w:val="Tabletext"/>
            </w:pPr>
            <w:r>
              <w:t>Job seekers receiving income support</w:t>
            </w:r>
          </w:p>
        </w:tc>
      </w:tr>
      <w:tr w:rsidR="00287A48" w14:paraId="0A16FD4C" w14:textId="77777777" w:rsidTr="00843CBD">
        <w:trPr>
          <w:cantSplit/>
        </w:trPr>
        <w:tc>
          <w:tcPr>
            <w:tcW w:w="2457" w:type="dxa"/>
            <w:shd w:val="clear" w:color="auto" w:fill="auto"/>
            <w:vAlign w:val="center"/>
          </w:tcPr>
          <w:p w14:paraId="4776150C" w14:textId="77777777" w:rsidR="00287A48" w:rsidRPr="00495B9F" w:rsidRDefault="00287A48" w:rsidP="00843CBD">
            <w:pPr>
              <w:pStyle w:val="Tabletext"/>
              <w:rPr>
                <w:b/>
              </w:rPr>
            </w:pPr>
            <w:r w:rsidRPr="00495B9F">
              <w:rPr>
                <w:b/>
              </w:rPr>
              <w:t>Specific inclusions</w:t>
            </w:r>
          </w:p>
        </w:tc>
        <w:tc>
          <w:tcPr>
            <w:tcW w:w="2457" w:type="dxa"/>
            <w:shd w:val="clear" w:color="auto" w:fill="auto"/>
            <w:vAlign w:val="center"/>
          </w:tcPr>
          <w:p w14:paraId="18124F38" w14:textId="77777777" w:rsidR="00287A48" w:rsidRDefault="00287A48" w:rsidP="00843CBD">
            <w:pPr>
              <w:pStyle w:val="Tabletext"/>
            </w:pPr>
            <w:r>
              <w:t>Some temporary visa holders</w:t>
            </w:r>
          </w:p>
        </w:tc>
        <w:tc>
          <w:tcPr>
            <w:tcW w:w="2458" w:type="dxa"/>
            <w:shd w:val="clear" w:color="auto" w:fill="auto"/>
            <w:vAlign w:val="center"/>
          </w:tcPr>
          <w:p w14:paraId="1175D35D" w14:textId="77777777" w:rsidR="00287A48" w:rsidRPr="00907436" w:rsidRDefault="00287A48" w:rsidP="00843CBD">
            <w:pPr>
              <w:pStyle w:val="Tabletext"/>
            </w:pPr>
            <w:r w:rsidRPr="00907436">
              <w:t>Migrants subject to the 104 week waiting period for income support</w:t>
            </w:r>
          </w:p>
          <w:p w14:paraId="703A5D37" w14:textId="77777777" w:rsidR="00287A48" w:rsidRPr="00DE3D92" w:rsidRDefault="00287A48" w:rsidP="00843CBD">
            <w:pPr>
              <w:pStyle w:val="Tabletext"/>
            </w:pPr>
            <w:r w:rsidRPr="00DE3D92">
              <w:t>Job seekers aged 15 to 20 not receiving income support</w:t>
            </w:r>
          </w:p>
        </w:tc>
      </w:tr>
      <w:tr w:rsidR="00287A48" w14:paraId="20CC773D" w14:textId="77777777" w:rsidTr="00843CBD">
        <w:trPr>
          <w:cantSplit/>
        </w:trPr>
        <w:tc>
          <w:tcPr>
            <w:tcW w:w="2457" w:type="dxa"/>
            <w:tcBorders>
              <w:bottom w:val="single" w:sz="2" w:space="0" w:color="C0C0C0"/>
            </w:tcBorders>
            <w:shd w:val="clear" w:color="auto" w:fill="auto"/>
            <w:vAlign w:val="center"/>
          </w:tcPr>
          <w:p w14:paraId="2EFFF8E5" w14:textId="77777777" w:rsidR="00287A48" w:rsidRPr="00495B9F" w:rsidRDefault="00287A48" w:rsidP="00843CBD">
            <w:pPr>
              <w:pStyle w:val="Tabletext"/>
              <w:rPr>
                <w:b/>
              </w:rPr>
            </w:pPr>
            <w:r w:rsidRPr="00495B9F">
              <w:rPr>
                <w:b/>
              </w:rPr>
              <w:t>Specific exclusions</w:t>
            </w:r>
          </w:p>
        </w:tc>
        <w:tc>
          <w:tcPr>
            <w:tcW w:w="2457" w:type="dxa"/>
            <w:tcBorders>
              <w:bottom w:val="single" w:sz="2" w:space="0" w:color="C0C0C0"/>
            </w:tcBorders>
            <w:shd w:val="clear" w:color="auto" w:fill="auto"/>
            <w:vAlign w:val="center"/>
          </w:tcPr>
          <w:p w14:paraId="2CFC2A15" w14:textId="77777777" w:rsidR="00287A48" w:rsidRDefault="00843CBD" w:rsidP="00843CBD">
            <w:pPr>
              <w:pStyle w:val="Tabletext"/>
            </w:pPr>
            <w:r>
              <w:t>Non-migrants and some visa categories</w:t>
            </w:r>
          </w:p>
        </w:tc>
        <w:tc>
          <w:tcPr>
            <w:tcW w:w="2458" w:type="dxa"/>
            <w:tcBorders>
              <w:bottom w:val="single" w:sz="2" w:space="0" w:color="C0C0C0"/>
            </w:tcBorders>
            <w:shd w:val="clear" w:color="auto" w:fill="auto"/>
            <w:vAlign w:val="center"/>
          </w:tcPr>
          <w:p w14:paraId="60E726A4" w14:textId="77777777" w:rsidR="00287A48" w:rsidRPr="00907436" w:rsidRDefault="00287A48" w:rsidP="00843CBD">
            <w:pPr>
              <w:pStyle w:val="Tabletext"/>
            </w:pPr>
            <w:r w:rsidRPr="00907436">
              <w:t>Migrants entering Australia under a skilled migrant category visa</w:t>
            </w:r>
          </w:p>
          <w:p w14:paraId="1EC25891" w14:textId="77777777" w:rsidR="00287A48" w:rsidRPr="00DE3D92" w:rsidRDefault="00287A48" w:rsidP="00843CBD">
            <w:pPr>
              <w:pStyle w:val="Tabletext"/>
            </w:pPr>
            <w:r w:rsidRPr="00DE3D92">
              <w:t>Full time students</w:t>
            </w:r>
          </w:p>
        </w:tc>
      </w:tr>
      <w:tr w:rsidR="00287A48" w14:paraId="0BED35AC" w14:textId="77777777" w:rsidTr="00843CBD">
        <w:trPr>
          <w:cantSplit/>
        </w:trPr>
        <w:tc>
          <w:tcPr>
            <w:tcW w:w="2457" w:type="dxa"/>
            <w:tcBorders>
              <w:bottom w:val="single" w:sz="2" w:space="0" w:color="C0C0C0"/>
            </w:tcBorders>
            <w:shd w:val="clear" w:color="auto" w:fill="auto"/>
            <w:vAlign w:val="center"/>
          </w:tcPr>
          <w:p w14:paraId="5F071A5A" w14:textId="77777777" w:rsidR="00287A48" w:rsidRPr="00495B9F" w:rsidRDefault="00287A48" w:rsidP="00843CBD">
            <w:pPr>
              <w:pStyle w:val="Tabletext"/>
              <w:rPr>
                <w:b/>
              </w:rPr>
            </w:pPr>
            <w:r w:rsidRPr="00495B9F">
              <w:rPr>
                <w:b/>
              </w:rPr>
              <w:t>Point of intervention</w:t>
            </w:r>
          </w:p>
        </w:tc>
        <w:tc>
          <w:tcPr>
            <w:tcW w:w="2457" w:type="dxa"/>
            <w:tcBorders>
              <w:bottom w:val="single" w:sz="2" w:space="0" w:color="C0C0C0"/>
            </w:tcBorders>
            <w:shd w:val="clear" w:color="auto" w:fill="auto"/>
            <w:vAlign w:val="center"/>
          </w:tcPr>
          <w:p w14:paraId="2E8ADB91" w14:textId="77777777" w:rsidR="00287A48" w:rsidRDefault="009013CB" w:rsidP="00843CBD">
            <w:pPr>
              <w:pStyle w:val="Tabletext"/>
            </w:pPr>
            <w:r>
              <w:t>Anytime from visa commencement date or date of arrival into Australia</w:t>
            </w:r>
          </w:p>
        </w:tc>
        <w:tc>
          <w:tcPr>
            <w:tcW w:w="2458" w:type="dxa"/>
            <w:tcBorders>
              <w:bottom w:val="single" w:sz="2" w:space="0" w:color="C0C0C0"/>
            </w:tcBorders>
            <w:shd w:val="clear" w:color="auto" w:fill="auto"/>
            <w:vAlign w:val="center"/>
          </w:tcPr>
          <w:p w14:paraId="20162098" w14:textId="77777777" w:rsidR="00287A48" w:rsidRDefault="00287A48" w:rsidP="00843CBD">
            <w:pPr>
              <w:pStyle w:val="Tabletext"/>
            </w:pPr>
            <w:r>
              <w:t>Anytime during which a job seeker is eligible</w:t>
            </w:r>
          </w:p>
        </w:tc>
      </w:tr>
      <w:tr w:rsidR="00287A48" w14:paraId="741394DB" w14:textId="77777777" w:rsidTr="00843CBD">
        <w:trPr>
          <w:cantSplit/>
        </w:trPr>
        <w:tc>
          <w:tcPr>
            <w:tcW w:w="2457" w:type="dxa"/>
            <w:tcBorders>
              <w:bottom w:val="single" w:sz="2" w:space="0" w:color="C0C0C0"/>
            </w:tcBorders>
            <w:shd w:val="clear" w:color="auto" w:fill="auto"/>
            <w:vAlign w:val="center"/>
          </w:tcPr>
          <w:p w14:paraId="2630C1C8" w14:textId="77777777" w:rsidR="00287A48" w:rsidRPr="00495B9F" w:rsidRDefault="00287A48" w:rsidP="00843CBD">
            <w:pPr>
              <w:pStyle w:val="Tabletext"/>
              <w:rPr>
                <w:b/>
              </w:rPr>
            </w:pPr>
            <w:r w:rsidRPr="00495B9F">
              <w:rPr>
                <w:b/>
              </w:rPr>
              <w:t>Referral process</w:t>
            </w:r>
          </w:p>
        </w:tc>
        <w:tc>
          <w:tcPr>
            <w:tcW w:w="2457" w:type="dxa"/>
            <w:tcBorders>
              <w:bottom w:val="single" w:sz="2" w:space="0" w:color="C0C0C0"/>
            </w:tcBorders>
            <w:shd w:val="clear" w:color="auto" w:fill="auto"/>
            <w:vAlign w:val="center"/>
          </w:tcPr>
          <w:p w14:paraId="3786D545" w14:textId="77777777" w:rsidR="00287A48" w:rsidRDefault="00287A48" w:rsidP="00843CBD">
            <w:pPr>
              <w:pStyle w:val="Tabletext"/>
            </w:pPr>
            <w:r>
              <w:t>None</w:t>
            </w:r>
          </w:p>
        </w:tc>
        <w:tc>
          <w:tcPr>
            <w:tcW w:w="2458" w:type="dxa"/>
            <w:tcBorders>
              <w:bottom w:val="single" w:sz="2" w:space="0" w:color="C0C0C0"/>
            </w:tcBorders>
            <w:shd w:val="clear" w:color="auto" w:fill="auto"/>
            <w:vAlign w:val="center"/>
          </w:tcPr>
          <w:p w14:paraId="4AB09A13" w14:textId="77777777" w:rsidR="00287A48" w:rsidRDefault="00287A48" w:rsidP="00843CBD">
            <w:pPr>
              <w:pStyle w:val="Tabletext"/>
            </w:pPr>
            <w:r>
              <w:t>Referral required from Centrelink or JSA/DSS</w:t>
            </w:r>
            <w:r w:rsidR="00CE51EE">
              <w:t>/RJCP</w:t>
            </w:r>
            <w:r>
              <w:t xml:space="preserve"> providers</w:t>
            </w:r>
          </w:p>
        </w:tc>
      </w:tr>
      <w:tr w:rsidR="00287A48" w14:paraId="09943926" w14:textId="77777777" w:rsidTr="00843CBD">
        <w:trPr>
          <w:cantSplit/>
        </w:trPr>
        <w:tc>
          <w:tcPr>
            <w:tcW w:w="2457" w:type="dxa"/>
            <w:tcBorders>
              <w:top w:val="single" w:sz="2" w:space="0" w:color="C0C0C0"/>
              <w:bottom w:val="single" w:sz="2" w:space="0" w:color="C0C0C0"/>
            </w:tcBorders>
            <w:shd w:val="clear" w:color="auto" w:fill="auto"/>
            <w:vAlign w:val="center"/>
          </w:tcPr>
          <w:p w14:paraId="2E427A1D" w14:textId="77777777" w:rsidR="00287A48" w:rsidRPr="00495B9F" w:rsidRDefault="00287A48" w:rsidP="00843CBD">
            <w:pPr>
              <w:pStyle w:val="Tabletext"/>
              <w:rPr>
                <w:b/>
              </w:rPr>
            </w:pPr>
            <w:r w:rsidRPr="00495B9F">
              <w:rPr>
                <w:b/>
              </w:rPr>
              <w:t>Age eligibility</w:t>
            </w:r>
          </w:p>
        </w:tc>
        <w:tc>
          <w:tcPr>
            <w:tcW w:w="2457" w:type="dxa"/>
            <w:tcBorders>
              <w:top w:val="single" w:sz="2" w:space="0" w:color="C0C0C0"/>
              <w:bottom w:val="single" w:sz="2" w:space="0" w:color="C0C0C0"/>
            </w:tcBorders>
            <w:shd w:val="clear" w:color="auto" w:fill="auto"/>
            <w:vAlign w:val="center"/>
          </w:tcPr>
          <w:p w14:paraId="47537B62" w14:textId="77777777" w:rsidR="00287A48" w:rsidRDefault="00287A48" w:rsidP="00843CBD">
            <w:pPr>
              <w:pStyle w:val="Tabletext"/>
            </w:pPr>
            <w:r>
              <w:t>18 years and above</w:t>
            </w:r>
          </w:p>
          <w:p w14:paraId="68B13810" w14:textId="77777777" w:rsidR="00287A48" w:rsidRDefault="00287A48" w:rsidP="00843CBD">
            <w:pPr>
              <w:pStyle w:val="Tabletext"/>
            </w:pPr>
            <w:r>
              <w:t>(Those aged 15-17 years may be eligible on an exceptions basis)</w:t>
            </w:r>
          </w:p>
        </w:tc>
        <w:tc>
          <w:tcPr>
            <w:tcW w:w="2458" w:type="dxa"/>
            <w:tcBorders>
              <w:top w:val="single" w:sz="2" w:space="0" w:color="C0C0C0"/>
              <w:bottom w:val="single" w:sz="2" w:space="0" w:color="C0C0C0"/>
            </w:tcBorders>
            <w:shd w:val="clear" w:color="auto" w:fill="auto"/>
            <w:vAlign w:val="center"/>
          </w:tcPr>
          <w:p w14:paraId="71C0B95E" w14:textId="77777777" w:rsidR="00287A48" w:rsidRDefault="00287A48" w:rsidP="00843CBD">
            <w:pPr>
              <w:pStyle w:val="Tabletext"/>
            </w:pPr>
            <w:r w:rsidRPr="00BA5947">
              <w:t>Be of working age, 15 to 64 years</w:t>
            </w:r>
          </w:p>
        </w:tc>
      </w:tr>
      <w:tr w:rsidR="00287A48" w14:paraId="5A4A9A82" w14:textId="77777777" w:rsidTr="00843CBD">
        <w:trPr>
          <w:cantSplit/>
        </w:trPr>
        <w:tc>
          <w:tcPr>
            <w:tcW w:w="2457" w:type="dxa"/>
            <w:tcBorders>
              <w:top w:val="single" w:sz="2" w:space="0" w:color="C0C0C0"/>
              <w:bottom w:val="single" w:sz="2" w:space="0" w:color="C0C0C0"/>
            </w:tcBorders>
            <w:shd w:val="clear" w:color="auto" w:fill="auto"/>
            <w:vAlign w:val="center"/>
          </w:tcPr>
          <w:p w14:paraId="16610CCC" w14:textId="77777777" w:rsidR="00287A48" w:rsidRPr="00495B9F" w:rsidRDefault="00287A48" w:rsidP="00843CBD">
            <w:pPr>
              <w:pStyle w:val="Tabletext"/>
              <w:rPr>
                <w:b/>
              </w:rPr>
            </w:pPr>
            <w:r w:rsidRPr="00495B9F">
              <w:rPr>
                <w:b/>
              </w:rPr>
              <w:t>Proficiency test</w:t>
            </w:r>
          </w:p>
        </w:tc>
        <w:tc>
          <w:tcPr>
            <w:tcW w:w="2457" w:type="dxa"/>
            <w:tcBorders>
              <w:top w:val="single" w:sz="2" w:space="0" w:color="C0C0C0"/>
              <w:bottom w:val="single" w:sz="2" w:space="0" w:color="C0C0C0"/>
            </w:tcBorders>
            <w:shd w:val="clear" w:color="auto" w:fill="auto"/>
            <w:vAlign w:val="center"/>
          </w:tcPr>
          <w:p w14:paraId="2434A51C" w14:textId="77777777" w:rsidR="00287A48" w:rsidRDefault="00287A48" w:rsidP="00843CBD">
            <w:pPr>
              <w:pStyle w:val="Tabletext"/>
            </w:pPr>
            <w:r>
              <w:t>Those with less than functional English</w:t>
            </w:r>
          </w:p>
        </w:tc>
        <w:tc>
          <w:tcPr>
            <w:tcW w:w="2458" w:type="dxa"/>
            <w:tcBorders>
              <w:top w:val="single" w:sz="2" w:space="0" w:color="C0C0C0"/>
              <w:bottom w:val="single" w:sz="2" w:space="0" w:color="C0C0C0"/>
            </w:tcBorders>
            <w:shd w:val="clear" w:color="auto" w:fill="auto"/>
            <w:vAlign w:val="center"/>
          </w:tcPr>
          <w:p w14:paraId="12AEE317" w14:textId="77777777" w:rsidR="00287A48" w:rsidRPr="00591CEA" w:rsidRDefault="00287A48" w:rsidP="00843CBD">
            <w:pPr>
              <w:pStyle w:val="Tabletext"/>
              <w:rPr>
                <w:highlight w:val="yellow"/>
              </w:rPr>
            </w:pPr>
            <w:r>
              <w:t xml:space="preserve">Be </w:t>
            </w:r>
            <w:r w:rsidRPr="00F71106">
              <w:t>deemed suitable for training without any barriers that would prevent successful participation</w:t>
            </w:r>
          </w:p>
        </w:tc>
      </w:tr>
      <w:tr w:rsidR="00287A48" w:rsidRPr="00BA5947" w14:paraId="0C03B6E6" w14:textId="77777777" w:rsidTr="00843CBD">
        <w:trPr>
          <w:cantSplit/>
        </w:trPr>
        <w:tc>
          <w:tcPr>
            <w:tcW w:w="2457" w:type="dxa"/>
            <w:tcBorders>
              <w:top w:val="single" w:sz="2" w:space="0" w:color="C0C0C0"/>
              <w:bottom w:val="single" w:sz="2" w:space="0" w:color="999999"/>
            </w:tcBorders>
            <w:shd w:val="clear" w:color="auto" w:fill="auto"/>
            <w:vAlign w:val="center"/>
          </w:tcPr>
          <w:p w14:paraId="7B164D0E" w14:textId="77777777" w:rsidR="00287A48" w:rsidRPr="00BA5947" w:rsidRDefault="00287A48" w:rsidP="00843CBD">
            <w:pPr>
              <w:pStyle w:val="Tabletext"/>
              <w:rPr>
                <w:b/>
              </w:rPr>
            </w:pPr>
            <w:r w:rsidRPr="00BA5947">
              <w:rPr>
                <w:b/>
              </w:rPr>
              <w:t>Proficiency benchmark</w:t>
            </w:r>
          </w:p>
        </w:tc>
        <w:tc>
          <w:tcPr>
            <w:tcW w:w="2457" w:type="dxa"/>
            <w:tcBorders>
              <w:top w:val="single" w:sz="2" w:space="0" w:color="C0C0C0"/>
              <w:bottom w:val="single" w:sz="2" w:space="0" w:color="999999"/>
            </w:tcBorders>
            <w:shd w:val="clear" w:color="auto" w:fill="auto"/>
            <w:vAlign w:val="center"/>
          </w:tcPr>
          <w:p w14:paraId="21971E81" w14:textId="77777777" w:rsidR="00287A48" w:rsidRPr="00BA5947" w:rsidRDefault="00287A48" w:rsidP="00843CBD">
            <w:pPr>
              <w:pStyle w:val="Tabletext"/>
            </w:pPr>
            <w:r w:rsidRPr="00BA5947">
              <w:t>ISLPR 2 or lower</w:t>
            </w:r>
          </w:p>
        </w:tc>
        <w:tc>
          <w:tcPr>
            <w:tcW w:w="2458" w:type="dxa"/>
            <w:tcBorders>
              <w:top w:val="single" w:sz="2" w:space="0" w:color="C0C0C0"/>
              <w:bottom w:val="single" w:sz="2" w:space="0" w:color="999999"/>
            </w:tcBorders>
            <w:shd w:val="clear" w:color="auto" w:fill="auto"/>
            <w:vAlign w:val="center"/>
          </w:tcPr>
          <w:p w14:paraId="3D79FDA0" w14:textId="77777777" w:rsidR="00287A48" w:rsidRPr="00BA5947" w:rsidRDefault="00287A48" w:rsidP="00843CBD">
            <w:pPr>
              <w:pStyle w:val="Tabletext"/>
            </w:pPr>
            <w:r w:rsidRPr="00BA5947">
              <w:t>None</w:t>
            </w:r>
          </w:p>
        </w:tc>
      </w:tr>
    </w:tbl>
    <w:p w14:paraId="058C4BE2" w14:textId="77777777" w:rsidR="00287A48" w:rsidRDefault="00287A48" w:rsidP="00287A48">
      <w:pPr>
        <w:pStyle w:val="Source"/>
      </w:pPr>
      <w:r w:rsidRPr="00BA5947">
        <w:t>Source: Department of Industry</w:t>
      </w:r>
      <w:r w:rsidR="009A47CF">
        <w:t xml:space="preserve">, </w:t>
      </w:r>
      <w:r w:rsidRPr="00BA5947">
        <w:t>2014</w:t>
      </w:r>
    </w:p>
    <w:p w14:paraId="7247C4A9" w14:textId="77777777" w:rsidR="00FD26FE" w:rsidRDefault="00495B9F" w:rsidP="00FD26FE">
      <w:pPr>
        <w:pStyle w:val="BodyText"/>
      </w:pPr>
      <w:r>
        <w:t>In addition to the general differences in participant eligibility, two further specific inclusions/exclusions are worth highlighting:</w:t>
      </w:r>
    </w:p>
    <w:p w14:paraId="46508400" w14:textId="7CADE623" w:rsidR="00495B9F" w:rsidRPr="00495B9F" w:rsidRDefault="00495B9F" w:rsidP="00495B9F">
      <w:pPr>
        <w:pStyle w:val="ListDash"/>
      </w:pPr>
      <w:r>
        <w:t xml:space="preserve">The </w:t>
      </w:r>
      <w:r w:rsidR="00AE13AC">
        <w:t>SEE programme</w:t>
      </w:r>
      <w:r w:rsidR="00DE3D92">
        <w:t xml:space="preserve"> </w:t>
      </w:r>
      <w:r>
        <w:t xml:space="preserve">specifically includes </w:t>
      </w:r>
      <w:r w:rsidR="008E2DD8">
        <w:rPr>
          <w:i/>
        </w:rPr>
        <w:t>m</w:t>
      </w:r>
      <w:r w:rsidRPr="00495B9F">
        <w:rPr>
          <w:i/>
        </w:rPr>
        <w:t>igrants subject to the 104 week waiting period for income support</w:t>
      </w:r>
      <w:r w:rsidR="008E2DD8">
        <w:t>.</w:t>
      </w:r>
      <w:r w:rsidR="00F02B71">
        <w:t xml:space="preserve"> </w:t>
      </w:r>
      <w:r w:rsidR="008E2DD8">
        <w:t>T</w:t>
      </w:r>
      <w:r w:rsidR="00F02B71">
        <w:t xml:space="preserve">his ensures that those migrants that would otherwise be </w:t>
      </w:r>
      <w:r w:rsidR="00F02B71">
        <w:lastRenderedPageBreak/>
        <w:t xml:space="preserve">eligible for income support and therefore SEE </w:t>
      </w:r>
      <w:r w:rsidR="00045A0C">
        <w:t xml:space="preserve">programme </w:t>
      </w:r>
      <w:r w:rsidR="00F02B71">
        <w:t>training are not excluded from participating due to mandatory waiting period.</w:t>
      </w:r>
    </w:p>
    <w:p w14:paraId="19E4D08A" w14:textId="3D3D8897" w:rsidR="00495B9F" w:rsidRPr="00F02B71" w:rsidRDefault="00495B9F" w:rsidP="00495B9F">
      <w:pPr>
        <w:pStyle w:val="ListDash"/>
        <w:rPr>
          <w:i/>
        </w:rPr>
      </w:pPr>
      <w:r>
        <w:t xml:space="preserve">The </w:t>
      </w:r>
      <w:r w:rsidR="00AE13AC">
        <w:t>SEE programme</w:t>
      </w:r>
      <w:r>
        <w:t xml:space="preserve"> specifically excludes </w:t>
      </w:r>
      <w:r w:rsidR="008E2DD8">
        <w:rPr>
          <w:i/>
        </w:rPr>
        <w:t>m</w:t>
      </w:r>
      <w:r w:rsidRPr="00495B9F">
        <w:rPr>
          <w:i/>
        </w:rPr>
        <w:t>igrants entering Australia under a skilled migrant category visa</w:t>
      </w:r>
      <w:r w:rsidR="00F02B71">
        <w:rPr>
          <w:i/>
        </w:rPr>
        <w:t xml:space="preserve">. </w:t>
      </w:r>
      <w:r w:rsidR="000856F9">
        <w:t xml:space="preserve">As discussed in </w:t>
      </w:r>
      <w:r w:rsidR="001B5368">
        <w:t>the AMEP</w:t>
      </w:r>
      <w:r w:rsidR="00F02B71">
        <w:t xml:space="preserve"> </w:t>
      </w:r>
      <w:r w:rsidR="000856F9">
        <w:t xml:space="preserve">Evaluation Report, </w:t>
      </w:r>
      <w:r w:rsidR="001B5368">
        <w:t xml:space="preserve">it </w:t>
      </w:r>
      <w:r w:rsidR="00F02B71">
        <w:t>does not have such an exclusion</w:t>
      </w:r>
      <w:r w:rsidR="000856F9">
        <w:t xml:space="preserve"> for either the primary applicants or dependents of those arriving via the skilled stream.</w:t>
      </w:r>
    </w:p>
    <w:p w14:paraId="7A20FE1E" w14:textId="3662D263" w:rsidR="000856F9" w:rsidRPr="00495B9F" w:rsidRDefault="000856F9" w:rsidP="000856F9">
      <w:pPr>
        <w:pStyle w:val="BodyText"/>
      </w:pPr>
      <w:r>
        <w:t xml:space="preserve">It is not clear that the exclusion of skilled migrants from </w:t>
      </w:r>
      <w:r w:rsidR="00022AF6">
        <w:t>the SEE programme</w:t>
      </w:r>
      <w:r>
        <w:t xml:space="preserve"> is warranted</w:t>
      </w:r>
      <w:r w:rsidR="00BA5947">
        <w:t xml:space="preserve"> – see discussion in the following section</w:t>
      </w:r>
      <w:r>
        <w:t xml:space="preserve">. </w:t>
      </w:r>
    </w:p>
    <w:p w14:paraId="5EC1C9BF" w14:textId="671A2267" w:rsidR="00495B9F" w:rsidRDefault="000856F9" w:rsidP="00FD26FE">
      <w:pPr>
        <w:pStyle w:val="BodyText"/>
      </w:pPr>
      <w:r>
        <w:t xml:space="preserve">An important </w:t>
      </w:r>
      <w:r w:rsidR="00495B9F">
        <w:t xml:space="preserve">distinction between the two programmes that governs differences in the point of intervention is the fact that the </w:t>
      </w:r>
      <w:r w:rsidR="00AE13AC">
        <w:t>SEE programme</w:t>
      </w:r>
      <w:r w:rsidR="00DE3D92">
        <w:t xml:space="preserve"> </w:t>
      </w:r>
      <w:r w:rsidR="00495B9F">
        <w:t>requires a formal referral to be made in order for an eligible job seeker to participate in the programme. The AMEP has no such requirement as</w:t>
      </w:r>
      <w:r w:rsidR="0028096F">
        <w:t xml:space="preserve"> it</w:t>
      </w:r>
      <w:r w:rsidR="00495B9F">
        <w:t xml:space="preserve"> is open to eligible migrants who make direct contact with an AMEP </w:t>
      </w:r>
      <w:r w:rsidR="00DA16EB">
        <w:t xml:space="preserve">service </w:t>
      </w:r>
      <w:r w:rsidR="00495B9F">
        <w:t>provider.</w:t>
      </w:r>
    </w:p>
    <w:p w14:paraId="4B65802C" w14:textId="5D3352BB" w:rsidR="00A615AC" w:rsidRDefault="009013CB" w:rsidP="00FD26FE">
      <w:pPr>
        <w:pStyle w:val="BodyText"/>
      </w:pPr>
      <w:r>
        <w:t>T</w:t>
      </w:r>
      <w:r w:rsidR="00A615AC">
        <w:t xml:space="preserve">argeting of age groups </w:t>
      </w:r>
      <w:r w:rsidR="00F670BF">
        <w:t xml:space="preserve">is </w:t>
      </w:r>
      <w:r w:rsidR="00A615AC">
        <w:t xml:space="preserve">consistent with the AMEP’s emphasis on addressing settlement needs and the </w:t>
      </w:r>
      <w:r w:rsidR="00AE13AC">
        <w:t>SEE programme</w:t>
      </w:r>
      <w:r w:rsidR="00A615AC">
        <w:t>’s emphasis on addressing education and employment needs.</w:t>
      </w:r>
    </w:p>
    <w:p w14:paraId="0FF30562" w14:textId="505A0359" w:rsidR="006B79A0" w:rsidRDefault="00A615AC" w:rsidP="006B79A0">
      <w:pPr>
        <w:pStyle w:val="BodyText"/>
      </w:pPr>
      <w:r>
        <w:t>T</w:t>
      </w:r>
      <w:r w:rsidR="000856F9">
        <w:t xml:space="preserve">he AMEP </w:t>
      </w:r>
      <w:r>
        <w:t xml:space="preserve">is directed at migrants </w:t>
      </w:r>
      <w:r w:rsidR="000856F9">
        <w:t>aged 18 years and above</w:t>
      </w:r>
      <w:r w:rsidR="008E2DD8">
        <w:t>,</w:t>
      </w:r>
      <w:r w:rsidR="000856F9">
        <w:t xml:space="preserve"> whereas </w:t>
      </w:r>
      <w:r w:rsidR="00022AF6">
        <w:t>the SEE programme</w:t>
      </w:r>
      <w:r w:rsidR="000856F9">
        <w:t xml:space="preserve"> targets those considered to be of working age (15 to 64 years). </w:t>
      </w:r>
      <w:r>
        <w:t xml:space="preserve">There is presumably no upper age limit for </w:t>
      </w:r>
      <w:r w:rsidR="001B5368">
        <w:t>the AMEP</w:t>
      </w:r>
      <w:r>
        <w:t xml:space="preserve"> given that settlement issues are not age dependent.</w:t>
      </w:r>
      <w:r w:rsidR="006B79A0">
        <w:t xml:space="preserve"> This targeting of age groups </w:t>
      </w:r>
      <w:r w:rsidR="008E2DD8">
        <w:t xml:space="preserve">is </w:t>
      </w:r>
      <w:r w:rsidR="006B79A0">
        <w:t xml:space="preserve">consistent with the AMEP’s emphasis on addressing settlement needs and the </w:t>
      </w:r>
      <w:r w:rsidR="00AE13AC">
        <w:t>SEE programme</w:t>
      </w:r>
      <w:r w:rsidR="006B79A0">
        <w:t>’s emphasis on addressing education and employment needs.</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287A48" w14:paraId="31542802" w14:textId="77777777" w:rsidTr="00843CBD">
        <w:tc>
          <w:tcPr>
            <w:tcW w:w="5000" w:type="pct"/>
            <w:shd w:val="pct12" w:color="auto" w:fill="auto"/>
          </w:tcPr>
          <w:p w14:paraId="79223B91" w14:textId="77777777" w:rsidR="00287A48" w:rsidRDefault="00287A48" w:rsidP="00843CBD">
            <w:pPr>
              <w:pStyle w:val="Caption"/>
              <w:spacing w:before="120" w:after="60"/>
              <w:ind w:left="1112" w:hanging="1112"/>
              <w:rPr>
                <w:rFonts w:ascii="Arial Bold" w:hAnsi="Arial Bold"/>
                <w:color w:val="000080"/>
              </w:rPr>
            </w:pPr>
            <w:r>
              <w:t xml:space="preserve">Key Finding </w:t>
            </w:r>
            <w:r w:rsidR="00902F05">
              <w:fldChar w:fldCharType="begin"/>
            </w:r>
            <w:r w:rsidR="00902F05">
              <w:instrText xml:space="preserve"> SEQ Key_Finding \* ARABIC </w:instrText>
            </w:r>
            <w:r w:rsidR="00902F05">
              <w:fldChar w:fldCharType="separate"/>
            </w:r>
            <w:r w:rsidR="00902F05">
              <w:rPr>
                <w:noProof/>
              </w:rPr>
              <w:t>1</w:t>
            </w:r>
            <w:r w:rsidR="00902F05">
              <w:rPr>
                <w:noProof/>
              </w:rPr>
              <w:fldChar w:fldCharType="end"/>
            </w:r>
          </w:p>
        </w:tc>
      </w:tr>
      <w:tr w:rsidR="00287A48" w14:paraId="68679E91" w14:textId="77777777" w:rsidTr="00843CBD">
        <w:tc>
          <w:tcPr>
            <w:tcW w:w="5000" w:type="pct"/>
            <w:shd w:val="pct12" w:color="auto" w:fill="auto"/>
          </w:tcPr>
          <w:p w14:paraId="048F91CC" w14:textId="26563433" w:rsidR="00EE336B" w:rsidRDefault="00BA5947" w:rsidP="00BA5947">
            <w:pPr>
              <w:pStyle w:val="BodyText"/>
            </w:pPr>
            <w:r>
              <w:t xml:space="preserve">The AMEP and </w:t>
            </w:r>
            <w:r w:rsidR="007D43E3">
              <w:t xml:space="preserve">the </w:t>
            </w:r>
            <w:r w:rsidR="00AE13AC">
              <w:t>SEE programme</w:t>
            </w:r>
            <w:r>
              <w:t xml:space="preserve"> share a common purpose in that both are centred on the delivery of language and literacy training. </w:t>
            </w:r>
          </w:p>
          <w:p w14:paraId="12D8F403" w14:textId="77777777" w:rsidR="00BA5947" w:rsidRDefault="00EE336B" w:rsidP="00BA5947">
            <w:pPr>
              <w:pStyle w:val="BodyText"/>
            </w:pPr>
            <w:r>
              <w:t>T</w:t>
            </w:r>
            <w:r w:rsidR="00BA5947">
              <w:t xml:space="preserve">he two </w:t>
            </w:r>
            <w:r w:rsidR="0070776B">
              <w:t>programmes</w:t>
            </w:r>
            <w:r w:rsidR="00BA5947">
              <w:t xml:space="preserve"> </w:t>
            </w:r>
            <w:r>
              <w:t xml:space="preserve">do, however, </w:t>
            </w:r>
            <w:r w:rsidR="00BA5947">
              <w:t xml:space="preserve">have </w:t>
            </w:r>
            <w:r>
              <w:t xml:space="preserve">specific </w:t>
            </w:r>
            <w:r w:rsidR="00BA5947">
              <w:t xml:space="preserve">objectives </w:t>
            </w:r>
            <w:r>
              <w:t>that</w:t>
            </w:r>
            <w:r w:rsidR="00BA5947">
              <w:t xml:space="preserve"> target </w:t>
            </w:r>
            <w:r>
              <w:t xml:space="preserve">different </w:t>
            </w:r>
            <w:r w:rsidR="00BA5947">
              <w:t>audiences and points of intervention.</w:t>
            </w:r>
          </w:p>
          <w:p w14:paraId="2815D3B5" w14:textId="77777777" w:rsidR="00287A48" w:rsidRPr="00090BC6" w:rsidRDefault="00287A48" w:rsidP="00843CBD">
            <w:pPr>
              <w:pStyle w:val="SmallDeltasRightAligned"/>
            </w:pPr>
            <w:r w:rsidRPr="00090BC6">
              <w:rPr>
                <w:noProof/>
                <w:lang w:eastAsia="en-AU"/>
              </w:rPr>
              <w:drawing>
                <wp:inline distT="0" distB="0" distL="0" distR="0" wp14:anchorId="3528AF58" wp14:editId="74DBA259">
                  <wp:extent cx="481585" cy="234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287A48" w14:paraId="78BCB12B" w14:textId="77777777" w:rsidTr="00843CBD">
        <w:trPr>
          <w:trHeight w:hRule="exact" w:val="80"/>
        </w:trPr>
        <w:tc>
          <w:tcPr>
            <w:tcW w:w="5000" w:type="pct"/>
            <w:shd w:val="pct12" w:color="auto" w:fill="auto"/>
          </w:tcPr>
          <w:p w14:paraId="6A3B1C61" w14:textId="77777777" w:rsidR="00287A48" w:rsidRDefault="00287A48" w:rsidP="00843CBD">
            <w:pPr>
              <w:spacing w:before="160"/>
            </w:pPr>
            <w:r>
              <w:t xml:space="preserve"> </w:t>
            </w:r>
          </w:p>
        </w:tc>
      </w:tr>
    </w:tbl>
    <w:p w14:paraId="79E5A917" w14:textId="77777777" w:rsidR="00E75327" w:rsidRDefault="00E75327" w:rsidP="0064564D">
      <w:pPr>
        <w:pStyle w:val="Heading2"/>
      </w:pPr>
      <w:bookmarkStart w:id="15" w:name="_Ref408318377"/>
      <w:bookmarkStart w:id="16" w:name="_Ref408396771"/>
      <w:bookmarkStart w:id="17" w:name="_Toc420078534"/>
      <w:r>
        <w:t>Inconsistencies in eligibility criteria</w:t>
      </w:r>
      <w:bookmarkEnd w:id="15"/>
      <w:bookmarkEnd w:id="16"/>
      <w:bookmarkEnd w:id="17"/>
    </w:p>
    <w:p w14:paraId="7A94DBE6" w14:textId="77777777" w:rsidR="00AC40C7" w:rsidRDefault="007C3F1D" w:rsidP="00AC40C7">
      <w:pPr>
        <w:pStyle w:val="BodyText"/>
      </w:pPr>
      <w:r>
        <w:t xml:space="preserve">The following figure summarises the main eligibility differences between the AMEP and </w:t>
      </w:r>
      <w:r w:rsidR="00022AF6">
        <w:t xml:space="preserve">the </w:t>
      </w:r>
      <w:r>
        <w:t>SEE programme.</w:t>
      </w:r>
      <w:r w:rsidR="005E4ABD">
        <w:t xml:space="preserve"> The diagram shows that:</w:t>
      </w:r>
    </w:p>
    <w:p w14:paraId="3BC51332" w14:textId="541D4FB5" w:rsidR="005E4ABD" w:rsidRDefault="005E4ABD" w:rsidP="005E4ABD">
      <w:pPr>
        <w:pStyle w:val="ListDash"/>
      </w:pPr>
      <w:r>
        <w:t xml:space="preserve">Most migrants arriving on a </w:t>
      </w:r>
      <w:r w:rsidR="008E2DD8">
        <w:t>H</w:t>
      </w:r>
      <w:r>
        <w:t>umanitarian visa immediately receive income support and would therefore only need to be referred to be eligible for the SEE programme.</w:t>
      </w:r>
    </w:p>
    <w:p w14:paraId="127E3CC2" w14:textId="0A2B2FE8" w:rsidR="005E4ABD" w:rsidRDefault="005E4ABD" w:rsidP="005E4ABD">
      <w:pPr>
        <w:pStyle w:val="ListDash"/>
      </w:pPr>
      <w:r>
        <w:t xml:space="preserve">Those arriving on a </w:t>
      </w:r>
      <w:r w:rsidR="008E2DD8">
        <w:t>F</w:t>
      </w:r>
      <w:r>
        <w:t xml:space="preserve">amily visa may be receiving income support or may be eligible after a </w:t>
      </w:r>
      <w:r w:rsidR="00EB0BC4">
        <w:t>two</w:t>
      </w:r>
      <w:r>
        <w:t xml:space="preserve"> year waiting period; these people would only need to be referred to be eligible for </w:t>
      </w:r>
      <w:r w:rsidR="00022AF6">
        <w:t>the SEE programme</w:t>
      </w:r>
      <w:r>
        <w:t>.</w:t>
      </w:r>
    </w:p>
    <w:p w14:paraId="0FED9EEB" w14:textId="0E451D0B" w:rsidR="005E4ABD" w:rsidRDefault="005E4ABD" w:rsidP="005E4ABD">
      <w:pPr>
        <w:pStyle w:val="ListDash"/>
      </w:pPr>
      <w:r>
        <w:t>Most of those living in Australia on a temporary visa</w:t>
      </w:r>
      <w:r w:rsidR="008E2DD8">
        <w:t>,</w:t>
      </w:r>
      <w:r>
        <w:t xml:space="preserve"> including those </w:t>
      </w:r>
      <w:r w:rsidR="007153FA">
        <w:t xml:space="preserve">that are specifically </w:t>
      </w:r>
      <w:r>
        <w:t xml:space="preserve">eligible for </w:t>
      </w:r>
      <w:r w:rsidR="001B5368">
        <w:t>the AMEP</w:t>
      </w:r>
      <w:r w:rsidR="008E2DD8">
        <w:t>,</w:t>
      </w:r>
      <w:r>
        <w:t xml:space="preserve"> are unlikely to qualify for income support and would therefore be ineligible for </w:t>
      </w:r>
      <w:r w:rsidR="00022AF6">
        <w:t>the SEE programme</w:t>
      </w:r>
      <w:r>
        <w:t>.</w:t>
      </w:r>
    </w:p>
    <w:p w14:paraId="29F658F1" w14:textId="701DD7C5" w:rsidR="00C24EED" w:rsidRDefault="00C24EED" w:rsidP="005E4ABD">
      <w:pPr>
        <w:pStyle w:val="ListDash"/>
      </w:pPr>
      <w:r>
        <w:t xml:space="preserve">Skilled migrants, regardless of their eligibility for </w:t>
      </w:r>
      <w:r w:rsidR="001B5368">
        <w:t>the AMEP</w:t>
      </w:r>
      <w:r>
        <w:t xml:space="preserve"> and </w:t>
      </w:r>
      <w:r w:rsidR="007153FA">
        <w:t xml:space="preserve">receipt of income support, are specifically excluded from </w:t>
      </w:r>
      <w:r w:rsidR="00022AF6">
        <w:t>the SEE programme</w:t>
      </w:r>
      <w:r w:rsidR="007153FA">
        <w:t>.</w:t>
      </w:r>
    </w:p>
    <w:p w14:paraId="6ABED889" w14:textId="43EB9A66" w:rsidR="00BA5947" w:rsidRDefault="00BA5947" w:rsidP="00BA5947">
      <w:pPr>
        <w:pStyle w:val="Caption"/>
      </w:pPr>
      <w:bookmarkStart w:id="18" w:name="_Ref408501156"/>
      <w:bookmarkStart w:id="19" w:name="_Toc420078556"/>
      <w:r>
        <w:lastRenderedPageBreak/>
        <w:t xml:space="preserve">Figure </w:t>
      </w:r>
      <w:r w:rsidR="00902F05">
        <w:fldChar w:fldCharType="begin"/>
      </w:r>
      <w:r w:rsidR="00902F05">
        <w:instrText xml:space="preserve"> SEQ Figure \* ARABIC </w:instrText>
      </w:r>
      <w:r w:rsidR="00902F05">
        <w:fldChar w:fldCharType="separate"/>
      </w:r>
      <w:r w:rsidR="00902F05">
        <w:rPr>
          <w:noProof/>
        </w:rPr>
        <w:t>1</w:t>
      </w:r>
      <w:r w:rsidR="00902F05">
        <w:rPr>
          <w:noProof/>
        </w:rPr>
        <w:fldChar w:fldCharType="end"/>
      </w:r>
      <w:bookmarkEnd w:id="18"/>
      <w:r w:rsidRPr="004E0C91">
        <w:rPr>
          <w:b/>
          <w:color w:val="000080"/>
        </w:rPr>
        <w:tab/>
      </w:r>
      <w:r>
        <w:rPr>
          <w:rStyle w:val="CaptionLabel"/>
        </w:rPr>
        <w:t xml:space="preserve">Eligibility differences between AMEP and </w:t>
      </w:r>
      <w:r w:rsidR="00022AF6">
        <w:rPr>
          <w:rStyle w:val="CaptionLabel"/>
        </w:rPr>
        <w:t>the SEE programme</w:t>
      </w:r>
      <w:bookmarkEnd w:id="19"/>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1"/>
      </w:tblGrid>
      <w:tr w:rsidR="00BA5947" w14:paraId="4A332DBD" w14:textId="77777777" w:rsidTr="00843CBD">
        <w:trPr>
          <w:cantSplit/>
        </w:trPr>
        <w:tc>
          <w:tcPr>
            <w:tcW w:w="5000" w:type="pct"/>
          </w:tcPr>
          <w:p w14:paraId="3685E872" w14:textId="77777777" w:rsidR="00BA5947" w:rsidRDefault="00BA5947" w:rsidP="00843CBD">
            <w:pPr>
              <w:pStyle w:val="SmallDeltasRightAligned"/>
              <w:keepNext/>
            </w:pPr>
            <w:r>
              <w:rPr>
                <w:noProof/>
                <w:lang w:eastAsia="en-AU"/>
              </w:rPr>
              <w:drawing>
                <wp:inline distT="0" distB="0" distL="0" distR="0" wp14:anchorId="28F0394D" wp14:editId="22D31A50">
                  <wp:extent cx="481585" cy="23469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BA5947" w14:paraId="316663CC" w14:textId="77777777" w:rsidTr="00843CBD">
        <w:trPr>
          <w:cantSplit/>
        </w:trPr>
        <w:tc>
          <w:tcPr>
            <w:tcW w:w="5000" w:type="pct"/>
          </w:tcPr>
          <w:p w14:paraId="286E7AB6" w14:textId="458D8B8B" w:rsidR="00BA5947" w:rsidRDefault="007D43E3" w:rsidP="00843CBD">
            <w:pPr>
              <w:pStyle w:val="Figure"/>
            </w:pPr>
            <w:r>
              <w:rPr>
                <w:noProof/>
                <w:lang w:eastAsia="en-AU"/>
              </w:rPr>
              <w:drawing>
                <wp:inline distT="0" distB="0" distL="0" distR="0" wp14:anchorId="1C563E6A" wp14:editId="4B827C96">
                  <wp:extent cx="4253106" cy="30380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64300" cy="3046029"/>
                          </a:xfrm>
                          <a:prstGeom prst="rect">
                            <a:avLst/>
                          </a:prstGeom>
                          <a:noFill/>
                        </pic:spPr>
                      </pic:pic>
                    </a:graphicData>
                  </a:graphic>
                </wp:inline>
              </w:drawing>
            </w:r>
          </w:p>
        </w:tc>
      </w:tr>
    </w:tbl>
    <w:p w14:paraId="400F4E1E" w14:textId="77777777" w:rsidR="00BA5947" w:rsidRDefault="00BA5947" w:rsidP="00BA5947">
      <w:pPr>
        <w:pStyle w:val="Note"/>
      </w:pPr>
      <w:r>
        <w:rPr>
          <w:i/>
        </w:rPr>
        <w:t>Note:</w:t>
      </w:r>
      <w:r>
        <w:t xml:space="preserve"> Categories of participants with green borders are eligible and those with red borders are ineligible.</w:t>
      </w:r>
    </w:p>
    <w:p w14:paraId="2634B9E7" w14:textId="77777777" w:rsidR="00BA5947" w:rsidRPr="00B50A1B" w:rsidRDefault="00BA5947" w:rsidP="00BA5947">
      <w:pPr>
        <w:pStyle w:val="Source"/>
        <w:rPr>
          <w:i/>
        </w:rPr>
      </w:pPr>
      <w:r>
        <w:t>S</w:t>
      </w:r>
      <w:r w:rsidRPr="00B50A1B">
        <w:t>ource:</w:t>
      </w:r>
      <w:r w:rsidRPr="00954EED">
        <w:t xml:space="preserve"> </w:t>
      </w:r>
      <w:r>
        <w:t>ACIL Allen Consulting</w:t>
      </w:r>
    </w:p>
    <w:p w14:paraId="4FCCA710" w14:textId="5A187B05" w:rsidR="005E4ABD" w:rsidRDefault="00C24EED" w:rsidP="00C24EED">
      <w:pPr>
        <w:pStyle w:val="BodyText"/>
      </w:pPr>
      <w:r>
        <w:t xml:space="preserve">As discussed in the SEE </w:t>
      </w:r>
      <w:r w:rsidR="00492999">
        <w:t xml:space="preserve">Programme </w:t>
      </w:r>
      <w:r>
        <w:t xml:space="preserve">Evaluation Report, a key feature of the </w:t>
      </w:r>
      <w:r w:rsidR="00AE13AC">
        <w:t>SEE programme</w:t>
      </w:r>
      <w:r w:rsidR="00DE3D92">
        <w:t xml:space="preserve"> </w:t>
      </w:r>
      <w:r>
        <w:t>is the extent to which eligibility is almost wholly dependent on the knowledge, skills and interests of the referring agencies.</w:t>
      </w:r>
    </w:p>
    <w:p w14:paraId="7931E9F9" w14:textId="78346619" w:rsidR="00DE06FB" w:rsidRDefault="007153FA" w:rsidP="00C24EED">
      <w:pPr>
        <w:pStyle w:val="BodyText"/>
      </w:pPr>
      <w:r>
        <w:t>In summary, b</w:t>
      </w:r>
      <w:r w:rsidRPr="007153FA">
        <w:t xml:space="preserve">ased on the current criteria, there are clear eligibility </w:t>
      </w:r>
      <w:r w:rsidR="00BA5947">
        <w:t>differences</w:t>
      </w:r>
      <w:r w:rsidRPr="007153FA">
        <w:t xml:space="preserve"> between the AMEP and SEE programme.</w:t>
      </w:r>
      <w:r>
        <w:t xml:space="preserve"> </w:t>
      </w:r>
      <w:r w:rsidR="00DE06FB">
        <w:t>Most</w:t>
      </w:r>
      <w:r>
        <w:t xml:space="preserve"> of these gaps can be explained by the deliberate targeting of each programme – for example</w:t>
      </w:r>
      <w:r w:rsidR="00DE06FB">
        <w:t>:</w:t>
      </w:r>
    </w:p>
    <w:p w14:paraId="0AE9FB82" w14:textId="17F62FE3" w:rsidR="00DE06FB" w:rsidRDefault="00DE06FB" w:rsidP="00DE06FB">
      <w:pPr>
        <w:pStyle w:val="ListDash"/>
      </w:pPr>
      <w:r>
        <w:t>T</w:t>
      </w:r>
      <w:r w:rsidR="007153FA">
        <w:t xml:space="preserve">he requirement for a participant to be receiving income support is a deliberate </w:t>
      </w:r>
      <w:r w:rsidR="009D3403">
        <w:t>criterion</w:t>
      </w:r>
      <w:r w:rsidR="007153FA">
        <w:t xml:space="preserve"> to ensure that </w:t>
      </w:r>
      <w:r w:rsidR="00022AF6">
        <w:t>the SEE programme</w:t>
      </w:r>
      <w:r w:rsidR="007153FA">
        <w:t xml:space="preserve"> is only available to those Australian residents that are part of the welfare system for which the </w:t>
      </w:r>
      <w:r w:rsidR="00E72B50">
        <w:t xml:space="preserve">Australian </w:t>
      </w:r>
      <w:r w:rsidR="007153FA">
        <w:t>Government is responsible</w:t>
      </w:r>
      <w:r w:rsidR="00DE3D92">
        <w:t>.</w:t>
      </w:r>
    </w:p>
    <w:p w14:paraId="4D625C0E" w14:textId="77777777" w:rsidR="00DE06FB" w:rsidRDefault="00DE06FB" w:rsidP="00DE06FB">
      <w:pPr>
        <w:pStyle w:val="ListDash"/>
      </w:pPr>
      <w:r>
        <w:t>The exclusion of non-migrant Australia</w:t>
      </w:r>
      <w:r w:rsidR="0028096F">
        <w:t>n</w:t>
      </w:r>
      <w:r>
        <w:t xml:space="preserve"> residents from the AMEP is consistent with the fact that the AMEP is first and foremost a settlement program</w:t>
      </w:r>
      <w:r w:rsidR="006C7B38">
        <w:t>me</w:t>
      </w:r>
      <w:r>
        <w:t>.</w:t>
      </w:r>
    </w:p>
    <w:p w14:paraId="517256E8" w14:textId="2053BCEF" w:rsidR="00237905" w:rsidRDefault="00237905" w:rsidP="00877BC1">
      <w:pPr>
        <w:pStyle w:val="BodyText"/>
      </w:pPr>
      <w:r>
        <w:t xml:space="preserve">However, for skilled migrants, there appears to be an inconsistency in that primary applicants and their dependents are eligible for </w:t>
      </w:r>
      <w:r w:rsidR="00A20395">
        <w:t>the AMEP</w:t>
      </w:r>
      <w:r>
        <w:t xml:space="preserve"> but are specifically excluded from participating in </w:t>
      </w:r>
      <w:r w:rsidR="00022AF6">
        <w:t>the SEE programme</w:t>
      </w:r>
      <w:r>
        <w:t>.</w:t>
      </w:r>
      <w:r w:rsidR="007C0C2B">
        <w:t xml:space="preserve"> This exclusion includes both the primary applicant on a skilled stream visa as well as his/her dependents. This inconsistency is highlighted in the relatively large numbers of skilled stream migrants that enrol in </w:t>
      </w:r>
      <w:r w:rsidR="00A20395">
        <w:t>the AMEP</w:t>
      </w:r>
      <w:r w:rsidR="007C0C2B">
        <w:t xml:space="preserve"> </w:t>
      </w:r>
      <w:r w:rsidR="00E72B50">
        <w:t>(</w:t>
      </w:r>
      <w:r w:rsidR="007C0C2B">
        <w:t>see</w:t>
      </w:r>
      <w:r w:rsidR="00287A48">
        <w:t xml:space="preserve"> </w:t>
      </w:r>
      <w:r w:rsidR="00287A48">
        <w:fldChar w:fldCharType="begin"/>
      </w:r>
      <w:r w:rsidR="00287A48">
        <w:instrText xml:space="preserve"> REF _Ref408501156 \h </w:instrText>
      </w:r>
      <w:r w:rsidR="00287A48">
        <w:fldChar w:fldCharType="separate"/>
      </w:r>
      <w:r w:rsidR="00902F05">
        <w:t xml:space="preserve">Figure </w:t>
      </w:r>
      <w:r w:rsidR="00902F05">
        <w:rPr>
          <w:noProof/>
        </w:rPr>
        <w:t>1</w:t>
      </w:r>
      <w:r w:rsidR="00287A48">
        <w:fldChar w:fldCharType="end"/>
      </w:r>
      <w:r w:rsidR="00E72B50">
        <w:t>)</w:t>
      </w:r>
      <w:r w:rsidR="007C0C2B">
        <w:t>. In 2013-14, 17</w:t>
      </w:r>
      <w:r w:rsidR="00877BC1">
        <w:t> </w:t>
      </w:r>
      <w:r w:rsidR="007C0C2B">
        <w:t>per</w:t>
      </w:r>
      <w:r w:rsidR="00877BC1">
        <w:t> </w:t>
      </w:r>
      <w:r w:rsidR="007C0C2B">
        <w:t xml:space="preserve">cent of all AMEP participants were from the skilled migration stream – anecdotally, this is believed to </w:t>
      </w:r>
      <w:r w:rsidR="00E72B50">
        <w:t xml:space="preserve">mostly </w:t>
      </w:r>
      <w:r w:rsidR="007C0C2B">
        <w:t>comprise the dependents of primary applicants.</w:t>
      </w:r>
    </w:p>
    <w:p w14:paraId="2A7CE99C" w14:textId="77777777" w:rsidR="007C0C2B" w:rsidRPr="007C0C2B" w:rsidRDefault="007C0C2B" w:rsidP="007C0C2B">
      <w:pPr>
        <w:keepNext/>
        <w:spacing w:before="360" w:after="40"/>
        <w:ind w:left="993" w:hanging="993"/>
        <w:outlineLvl w:val="8"/>
        <w:rPr>
          <w:rFonts w:asciiTheme="majorHAnsi" w:hAnsiTheme="majorHAnsi" w:cs="Arial"/>
          <w:sz w:val="20"/>
        </w:rPr>
      </w:pPr>
      <w:bookmarkStart w:id="20" w:name="_Ref408065112"/>
      <w:bookmarkStart w:id="21" w:name="_Toc408083838"/>
      <w:bookmarkStart w:id="22" w:name="_Toc420078557"/>
      <w:r w:rsidRPr="007C0C2B">
        <w:rPr>
          <w:rFonts w:asciiTheme="majorHAnsi" w:hAnsiTheme="majorHAnsi" w:cs="Arial"/>
          <w:sz w:val="20"/>
        </w:rPr>
        <w:lastRenderedPageBreak/>
        <w:t xml:space="preserve">Figure </w:t>
      </w:r>
      <w:r w:rsidRPr="007C0C2B">
        <w:rPr>
          <w:rFonts w:asciiTheme="majorHAnsi" w:hAnsiTheme="majorHAnsi" w:cs="Arial"/>
          <w:sz w:val="20"/>
        </w:rPr>
        <w:fldChar w:fldCharType="begin"/>
      </w:r>
      <w:r w:rsidRPr="007C0C2B">
        <w:rPr>
          <w:rFonts w:asciiTheme="majorHAnsi" w:hAnsiTheme="majorHAnsi" w:cs="Arial"/>
          <w:sz w:val="20"/>
        </w:rPr>
        <w:instrText xml:space="preserve"> SEQ Figure \* ARABIC </w:instrText>
      </w:r>
      <w:r w:rsidRPr="007C0C2B">
        <w:rPr>
          <w:rFonts w:asciiTheme="majorHAnsi" w:hAnsiTheme="majorHAnsi" w:cs="Arial"/>
          <w:sz w:val="20"/>
        </w:rPr>
        <w:fldChar w:fldCharType="separate"/>
      </w:r>
      <w:r w:rsidR="00902F05">
        <w:rPr>
          <w:rFonts w:asciiTheme="majorHAnsi" w:hAnsiTheme="majorHAnsi" w:cs="Arial"/>
          <w:noProof/>
          <w:sz w:val="20"/>
        </w:rPr>
        <w:t>2</w:t>
      </w:r>
      <w:r w:rsidRPr="007C0C2B">
        <w:rPr>
          <w:rFonts w:asciiTheme="majorHAnsi" w:hAnsiTheme="majorHAnsi" w:cs="Arial"/>
          <w:noProof/>
          <w:sz w:val="20"/>
        </w:rPr>
        <w:fldChar w:fldCharType="end"/>
      </w:r>
      <w:bookmarkEnd w:id="20"/>
      <w:r w:rsidRPr="007C0C2B">
        <w:rPr>
          <w:rFonts w:asciiTheme="majorHAnsi" w:hAnsiTheme="majorHAnsi" w:cs="Arial"/>
          <w:b/>
          <w:color w:val="000080"/>
          <w:sz w:val="20"/>
        </w:rPr>
        <w:tab/>
      </w:r>
      <w:r w:rsidRPr="007C0C2B">
        <w:rPr>
          <w:rFonts w:asciiTheme="majorHAnsi" w:hAnsiTheme="majorHAnsi" w:cs="Arial"/>
          <w:b/>
          <w:sz w:val="20"/>
        </w:rPr>
        <w:t>AMEP enrolments by visa stream</w:t>
      </w:r>
      <w:bookmarkEnd w:id="21"/>
      <w:bookmarkEnd w:id="22"/>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1"/>
      </w:tblGrid>
      <w:tr w:rsidR="007C0C2B" w:rsidRPr="007C0C2B" w14:paraId="4003B889" w14:textId="77777777" w:rsidTr="000943CF">
        <w:trPr>
          <w:cantSplit/>
        </w:trPr>
        <w:tc>
          <w:tcPr>
            <w:tcW w:w="5000" w:type="pct"/>
          </w:tcPr>
          <w:p w14:paraId="151ACBA8" w14:textId="77777777" w:rsidR="007C0C2B" w:rsidRPr="007C0C2B" w:rsidRDefault="007C0C2B" w:rsidP="007C0C2B">
            <w:pPr>
              <w:keepNext/>
              <w:spacing w:before="0" w:after="0" w:line="240" w:lineRule="auto"/>
              <w:jc w:val="right"/>
            </w:pPr>
            <w:r w:rsidRPr="007C0C2B">
              <w:rPr>
                <w:noProof/>
                <w:lang w:eastAsia="en-AU"/>
              </w:rPr>
              <w:drawing>
                <wp:inline distT="0" distB="0" distL="0" distR="0" wp14:anchorId="65157BB7" wp14:editId="043813E5">
                  <wp:extent cx="481585" cy="234696"/>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7C0C2B" w:rsidRPr="007C0C2B" w14:paraId="314BEB6D" w14:textId="77777777" w:rsidTr="000943CF">
        <w:tblPrEx>
          <w:tblCellMar>
            <w:left w:w="108" w:type="dxa"/>
            <w:right w:w="108" w:type="dxa"/>
          </w:tblCellMar>
        </w:tblPrEx>
        <w:trPr>
          <w:cantSplit/>
        </w:trPr>
        <w:tc>
          <w:tcPr>
            <w:tcW w:w="5000" w:type="pct"/>
          </w:tcPr>
          <w:p w14:paraId="69CB24B4" w14:textId="77777777" w:rsidR="007C0C2B" w:rsidRPr="007C0C2B" w:rsidRDefault="007C0C2B" w:rsidP="007C0C2B">
            <w:pPr>
              <w:keepNext/>
              <w:spacing w:before="60" w:line="240" w:lineRule="auto"/>
              <w:jc w:val="center"/>
              <w:rPr>
                <w:sz w:val="18"/>
                <w:szCs w:val="20"/>
              </w:rPr>
            </w:pPr>
            <w:r w:rsidRPr="008B04E9">
              <w:rPr>
                <w:noProof/>
                <w:sz w:val="18"/>
                <w:szCs w:val="20"/>
                <w:lang w:eastAsia="en-AU"/>
              </w:rPr>
              <w:drawing>
                <wp:inline distT="0" distB="0" distL="0" distR="0" wp14:anchorId="765FE7B1" wp14:editId="1F837BC2">
                  <wp:extent cx="4543425" cy="2726055"/>
                  <wp:effectExtent l="0" t="0" r="0" b="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bl>
    <w:p w14:paraId="48938CDD" w14:textId="2415C0D3" w:rsidR="00DE06FB" w:rsidRPr="007C0C2B" w:rsidRDefault="007C0C2B" w:rsidP="007C0C2B">
      <w:pPr>
        <w:pBdr>
          <w:bottom w:val="single" w:sz="2" w:space="1" w:color="C0C0C0"/>
        </w:pBdr>
        <w:spacing w:before="40" w:after="60" w:line="180" w:lineRule="exact"/>
        <w:rPr>
          <w:rFonts w:ascii="Arial" w:hAnsi="Arial"/>
          <w:i/>
          <w:sz w:val="16"/>
          <w:szCs w:val="14"/>
          <w:lang w:eastAsia="en-AU"/>
        </w:rPr>
      </w:pPr>
      <w:r w:rsidRPr="00843CBD">
        <w:rPr>
          <w:rFonts w:ascii="Arial" w:hAnsi="Arial"/>
          <w:sz w:val="16"/>
          <w:szCs w:val="14"/>
          <w:lang w:eastAsia="en-AU"/>
        </w:rPr>
        <w:t xml:space="preserve">Source: </w:t>
      </w:r>
      <w:r w:rsidR="00843CBD" w:rsidRPr="00843CBD">
        <w:rPr>
          <w:rFonts w:ascii="Arial" w:hAnsi="Arial"/>
          <w:sz w:val="16"/>
          <w:szCs w:val="14"/>
          <w:lang w:eastAsia="en-AU"/>
        </w:rPr>
        <w:t xml:space="preserve">AMEP </w:t>
      </w:r>
      <w:r w:rsidR="007D43E3">
        <w:rPr>
          <w:rFonts w:ascii="Arial" w:hAnsi="Arial"/>
          <w:sz w:val="16"/>
          <w:szCs w:val="14"/>
          <w:lang w:eastAsia="en-AU"/>
        </w:rPr>
        <w:t>dataset</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7153FA" w14:paraId="2BA1631C" w14:textId="77777777" w:rsidTr="0014604C">
        <w:tc>
          <w:tcPr>
            <w:tcW w:w="5000" w:type="pct"/>
            <w:shd w:val="pct12" w:color="auto" w:fill="auto"/>
          </w:tcPr>
          <w:p w14:paraId="5F8FD313" w14:textId="77777777" w:rsidR="007153FA" w:rsidRDefault="007153FA" w:rsidP="0014604C">
            <w:pPr>
              <w:pStyle w:val="Caption"/>
              <w:spacing w:before="120" w:after="60"/>
              <w:ind w:left="1112" w:hanging="1112"/>
              <w:rPr>
                <w:rFonts w:ascii="Arial Bold" w:hAnsi="Arial Bold"/>
                <w:color w:val="000080"/>
              </w:rPr>
            </w:pPr>
            <w:r>
              <w:t xml:space="preserve">Key Finding </w:t>
            </w:r>
            <w:r w:rsidR="00902F05">
              <w:fldChar w:fldCharType="begin"/>
            </w:r>
            <w:r w:rsidR="00902F05">
              <w:instrText xml:space="preserve"> SEQ Key_Finding \* ARABIC </w:instrText>
            </w:r>
            <w:r w:rsidR="00902F05">
              <w:fldChar w:fldCharType="separate"/>
            </w:r>
            <w:r w:rsidR="00902F05">
              <w:rPr>
                <w:noProof/>
              </w:rPr>
              <w:t>2</w:t>
            </w:r>
            <w:r w:rsidR="00902F05">
              <w:rPr>
                <w:noProof/>
              </w:rPr>
              <w:fldChar w:fldCharType="end"/>
            </w:r>
          </w:p>
        </w:tc>
      </w:tr>
      <w:tr w:rsidR="007153FA" w14:paraId="4D732DF0" w14:textId="77777777" w:rsidTr="0014604C">
        <w:tc>
          <w:tcPr>
            <w:tcW w:w="5000" w:type="pct"/>
            <w:shd w:val="pct12" w:color="auto" w:fill="auto"/>
          </w:tcPr>
          <w:p w14:paraId="6963EF87" w14:textId="2B4BCE33" w:rsidR="00287A48" w:rsidRDefault="00287A48" w:rsidP="00287A48">
            <w:pPr>
              <w:pStyle w:val="BoxText"/>
            </w:pPr>
            <w:r>
              <w:t>Based on the current criteria, there are clear eligibility differences betwe</w:t>
            </w:r>
            <w:r w:rsidR="0067680A">
              <w:t>en the AMEP and SEE programme</w:t>
            </w:r>
            <w:r w:rsidR="00E72B50">
              <w:t>,</w:t>
            </w:r>
            <w:r w:rsidR="0067680A">
              <w:t xml:space="preserve"> m</w:t>
            </w:r>
            <w:r>
              <w:t xml:space="preserve">ost of </w:t>
            </w:r>
            <w:r w:rsidR="00E72B50">
              <w:t xml:space="preserve">which </w:t>
            </w:r>
            <w:r>
              <w:t xml:space="preserve">can be attributed to the </w:t>
            </w:r>
            <w:r w:rsidR="0067680A">
              <w:t xml:space="preserve">intentional and appropriate </w:t>
            </w:r>
            <w:r>
              <w:t>targeting of each programme</w:t>
            </w:r>
            <w:r w:rsidR="00BA5947">
              <w:t>.</w:t>
            </w:r>
          </w:p>
          <w:p w14:paraId="39E8FD63" w14:textId="182ACEEF" w:rsidR="00287A48" w:rsidRDefault="00E72B50" w:rsidP="00287A48">
            <w:pPr>
              <w:pStyle w:val="BoxText"/>
            </w:pPr>
            <w:r>
              <w:t>S</w:t>
            </w:r>
            <w:r w:rsidR="00287A48">
              <w:t>killed migrants</w:t>
            </w:r>
            <w:r w:rsidR="00EE336B">
              <w:t xml:space="preserve"> </w:t>
            </w:r>
            <w:r w:rsidR="00287A48">
              <w:t xml:space="preserve">are eligible for </w:t>
            </w:r>
            <w:r w:rsidR="00A20395">
              <w:t>the AMEP</w:t>
            </w:r>
            <w:r w:rsidR="00287A48">
              <w:t xml:space="preserve"> but are specifically excluded from participating in </w:t>
            </w:r>
            <w:r w:rsidR="00022AF6">
              <w:t>the SEE programme</w:t>
            </w:r>
            <w:r w:rsidR="00287A48">
              <w:t>.</w:t>
            </w:r>
          </w:p>
          <w:p w14:paraId="3A4D95A8" w14:textId="77777777" w:rsidR="007153FA" w:rsidRPr="00090BC6" w:rsidRDefault="007153FA" w:rsidP="00287A48">
            <w:pPr>
              <w:pStyle w:val="SmallDeltasRightAligned"/>
            </w:pPr>
            <w:r w:rsidRPr="00090BC6">
              <w:rPr>
                <w:noProof/>
                <w:lang w:eastAsia="en-AU"/>
              </w:rPr>
              <w:drawing>
                <wp:inline distT="0" distB="0" distL="0" distR="0" wp14:anchorId="6F22E901" wp14:editId="2951B311">
                  <wp:extent cx="481585" cy="2346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7153FA" w14:paraId="2856FF1C" w14:textId="77777777" w:rsidTr="0014604C">
        <w:trPr>
          <w:trHeight w:hRule="exact" w:val="80"/>
        </w:trPr>
        <w:tc>
          <w:tcPr>
            <w:tcW w:w="5000" w:type="pct"/>
            <w:shd w:val="pct12" w:color="auto" w:fill="auto"/>
          </w:tcPr>
          <w:p w14:paraId="56B63D35" w14:textId="77777777" w:rsidR="007153FA" w:rsidRDefault="007153FA" w:rsidP="0014604C">
            <w:pPr>
              <w:spacing w:before="160"/>
            </w:pPr>
            <w:r>
              <w:t xml:space="preserve"> </w:t>
            </w:r>
          </w:p>
        </w:tc>
      </w:tr>
    </w:tbl>
    <w:p w14:paraId="2C859B62" w14:textId="77777777" w:rsidR="000F3E99" w:rsidRDefault="000F3E99" w:rsidP="0064564D">
      <w:pPr>
        <w:pStyle w:val="Heading2"/>
      </w:pPr>
      <w:bookmarkStart w:id="23" w:name="_Toc420078535"/>
      <w:r>
        <w:t>Target levels of proficiency</w:t>
      </w:r>
      <w:bookmarkEnd w:id="23"/>
    </w:p>
    <w:p w14:paraId="1CA6B9A6" w14:textId="296BA80C" w:rsidR="006B79A0" w:rsidRDefault="006B79A0" w:rsidP="006B79A0">
      <w:pPr>
        <w:pStyle w:val="BodyText"/>
      </w:pPr>
      <w:r>
        <w:t xml:space="preserve">The targeting of English proficiency levels </w:t>
      </w:r>
      <w:r w:rsidR="00BA5947">
        <w:t>for</w:t>
      </w:r>
      <w:r>
        <w:t xml:space="preserve"> the AMEP and</w:t>
      </w:r>
      <w:r w:rsidR="007D43E3">
        <w:t xml:space="preserve"> the</w:t>
      </w:r>
      <w:r>
        <w:t xml:space="preserve"> </w:t>
      </w:r>
      <w:r w:rsidR="00AE13AC">
        <w:t>SEE programme</w:t>
      </w:r>
      <w:r w:rsidR="00BA5947">
        <w:t xml:space="preserve"> are intended to address</w:t>
      </w:r>
      <w:r>
        <w:t xml:space="preserve"> settlement needs and education/employment </w:t>
      </w:r>
      <w:r w:rsidR="00BA5947">
        <w:t xml:space="preserve">goals </w:t>
      </w:r>
      <w:r>
        <w:t>respectively.</w:t>
      </w:r>
    </w:p>
    <w:p w14:paraId="432CCDE0" w14:textId="77777777" w:rsidR="006B79A0" w:rsidRDefault="006B79A0" w:rsidP="006B79A0">
      <w:pPr>
        <w:pStyle w:val="BodyText"/>
      </w:pPr>
      <w:r>
        <w:t>The proficiency level and associated benchmark for the AMEP is functional English or ISLPR level 2; this is the maximum level of proficiency that the AMEP is intended to cater for.</w:t>
      </w:r>
    </w:p>
    <w:p w14:paraId="28E2E989" w14:textId="7FA8BE95" w:rsidR="006B79A0" w:rsidRDefault="00022AF6" w:rsidP="006B79A0">
      <w:pPr>
        <w:pStyle w:val="BodyText"/>
      </w:pPr>
      <w:r>
        <w:t>The SEE programme</w:t>
      </w:r>
      <w:r w:rsidR="006B79A0">
        <w:t xml:space="preserve"> on the other hand has no such upper limit and is open to eligible job seekers on the basis of their ‘capacity to benefit’. Training in </w:t>
      </w:r>
      <w:r>
        <w:t>the SEE programme</w:t>
      </w:r>
      <w:r w:rsidR="006B79A0">
        <w:t xml:space="preserve"> extends from pre-literate level</w:t>
      </w:r>
      <w:r w:rsidR="006D28A8">
        <w:t>s of LLN proficiency (known as p</w:t>
      </w:r>
      <w:r w:rsidR="006B79A0">
        <w:t>re-level 1) all the way to high level performance.</w:t>
      </w:r>
    </w:p>
    <w:p w14:paraId="2425FA79" w14:textId="59067033" w:rsidR="00E75327" w:rsidRDefault="00E75327" w:rsidP="006B79A0">
      <w:pPr>
        <w:pStyle w:val="BodyText"/>
      </w:pPr>
      <w:r>
        <w:t xml:space="preserve">Given the higher levels of skills catered to by the </w:t>
      </w:r>
      <w:r w:rsidR="00AE13AC">
        <w:t>SEE programme</w:t>
      </w:r>
      <w:r>
        <w:t xml:space="preserve">, and the fact that the AMEP is intended to be undertaken in the period immediately following an individual arriving in Australia, it is generally considered that for those who are eligible, </w:t>
      </w:r>
      <w:r w:rsidR="00A20395">
        <w:t xml:space="preserve">the </w:t>
      </w:r>
      <w:r>
        <w:t xml:space="preserve">AMEP is the precursor to the </w:t>
      </w:r>
      <w:r w:rsidR="00AE13AC">
        <w:t>SEE programme</w:t>
      </w:r>
      <w:r>
        <w:t>.</w:t>
      </w:r>
    </w:p>
    <w:p w14:paraId="6006B54B" w14:textId="77777777" w:rsidR="0014604C" w:rsidRDefault="0014604C" w:rsidP="0014604C">
      <w:pPr>
        <w:pStyle w:val="Quote"/>
      </w:pPr>
      <w:r w:rsidRPr="00F05C72">
        <w:t>Clients benefit most from AMEP participation before SEE programme participation because the AMEP addresses issues relevant to settlement. The settlement needs of newly arrived migrants are different from the training and further study needs of the unemployed.</w:t>
      </w:r>
    </w:p>
    <w:p w14:paraId="7C65E711" w14:textId="77777777" w:rsidR="0014604C" w:rsidRDefault="0014604C" w:rsidP="0014604C">
      <w:pPr>
        <w:pStyle w:val="QuoteSource"/>
      </w:pPr>
      <w:r>
        <w:t>– SEE provider confidential submission</w:t>
      </w:r>
    </w:p>
    <w:p w14:paraId="6C5E7BCC" w14:textId="77777777" w:rsidR="000F3E99" w:rsidRDefault="000F3E99">
      <w:pPr>
        <w:pStyle w:val="Caption"/>
      </w:pPr>
      <w:bookmarkStart w:id="24" w:name="_Toc420078558"/>
      <w:r>
        <w:lastRenderedPageBreak/>
        <w:t xml:space="preserve">Figure </w:t>
      </w:r>
      <w:r w:rsidR="00902F05">
        <w:fldChar w:fldCharType="begin"/>
      </w:r>
      <w:r w:rsidR="00902F05">
        <w:instrText xml:space="preserve"> SEQ Figure \* ARABIC </w:instrText>
      </w:r>
      <w:r w:rsidR="00902F05">
        <w:fldChar w:fldCharType="separate"/>
      </w:r>
      <w:r w:rsidR="00902F05">
        <w:rPr>
          <w:noProof/>
        </w:rPr>
        <w:t>3</w:t>
      </w:r>
      <w:r w:rsidR="00902F05">
        <w:rPr>
          <w:noProof/>
        </w:rPr>
        <w:fldChar w:fldCharType="end"/>
      </w:r>
      <w:r w:rsidRPr="004E0C91">
        <w:rPr>
          <w:b/>
          <w:color w:val="000080"/>
        </w:rPr>
        <w:tab/>
      </w:r>
      <w:r w:rsidR="006B79A0">
        <w:rPr>
          <w:rStyle w:val="CaptionLabel"/>
        </w:rPr>
        <w:t xml:space="preserve">AMEP and SEE </w:t>
      </w:r>
      <w:r w:rsidR="00022AF6">
        <w:rPr>
          <w:rStyle w:val="CaptionLabel"/>
        </w:rPr>
        <w:t xml:space="preserve">programme </w:t>
      </w:r>
      <w:r w:rsidR="006B79A0">
        <w:rPr>
          <w:rStyle w:val="CaptionLabel"/>
        </w:rPr>
        <w:t>target proficiency levels</w:t>
      </w:r>
      <w:bookmarkEnd w:id="24"/>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1"/>
      </w:tblGrid>
      <w:tr w:rsidR="000F3E99" w14:paraId="0AC20C67" w14:textId="77777777" w:rsidTr="005D1CA5">
        <w:trPr>
          <w:cantSplit/>
        </w:trPr>
        <w:tc>
          <w:tcPr>
            <w:tcW w:w="5000" w:type="pct"/>
          </w:tcPr>
          <w:p w14:paraId="7FC02E6D" w14:textId="77777777" w:rsidR="000F3E99" w:rsidRDefault="000F3E99" w:rsidP="005D1CA5">
            <w:pPr>
              <w:pStyle w:val="SmallDeltasRightAligned"/>
              <w:keepNext/>
            </w:pPr>
            <w:r>
              <w:rPr>
                <w:noProof/>
                <w:lang w:eastAsia="en-AU"/>
              </w:rPr>
              <w:drawing>
                <wp:inline distT="0" distB="0" distL="0" distR="0" wp14:anchorId="3E4F55A3" wp14:editId="04952C7B">
                  <wp:extent cx="481585" cy="23469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0F3E99" w14:paraId="4C0F58D4" w14:textId="77777777" w:rsidTr="005D1CA5">
        <w:trPr>
          <w:cantSplit/>
        </w:trPr>
        <w:tc>
          <w:tcPr>
            <w:tcW w:w="5000" w:type="pct"/>
          </w:tcPr>
          <w:p w14:paraId="5162882F" w14:textId="77777777" w:rsidR="000F3E99" w:rsidRDefault="0067680A" w:rsidP="005D1CA5">
            <w:pPr>
              <w:pStyle w:val="Figure"/>
            </w:pPr>
            <w:r>
              <w:rPr>
                <w:noProof/>
                <w:lang w:eastAsia="en-AU"/>
              </w:rPr>
              <w:drawing>
                <wp:inline distT="0" distB="0" distL="0" distR="0" wp14:anchorId="69D80B20" wp14:editId="202FBD6B">
                  <wp:extent cx="3959077" cy="403041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64609" cy="4036050"/>
                          </a:xfrm>
                          <a:prstGeom prst="rect">
                            <a:avLst/>
                          </a:prstGeom>
                          <a:noFill/>
                        </pic:spPr>
                      </pic:pic>
                    </a:graphicData>
                  </a:graphic>
                </wp:inline>
              </w:drawing>
            </w:r>
          </w:p>
        </w:tc>
      </w:tr>
    </w:tbl>
    <w:p w14:paraId="03CF8A1F" w14:textId="77777777" w:rsidR="000F3E99" w:rsidRDefault="000F3E99">
      <w:pPr>
        <w:pStyle w:val="Note"/>
      </w:pPr>
      <w:r>
        <w:rPr>
          <w:i/>
        </w:rPr>
        <w:t>Note:</w:t>
      </w:r>
      <w:r w:rsidR="0067680A">
        <w:t xml:space="preserve"> Potential eligibility gap for those with very low language and literacy highlighted in red.</w:t>
      </w:r>
    </w:p>
    <w:p w14:paraId="4BF27737" w14:textId="77777777" w:rsidR="000F3E99" w:rsidRDefault="000F3E99" w:rsidP="005D1CA5">
      <w:pPr>
        <w:pStyle w:val="Source"/>
      </w:pPr>
      <w:r>
        <w:t>S</w:t>
      </w:r>
      <w:r w:rsidRPr="00B50A1B">
        <w:t>ource:</w:t>
      </w:r>
      <w:r w:rsidRPr="00954EED">
        <w:t xml:space="preserve"> </w:t>
      </w:r>
      <w:r w:rsidR="00DA79DC">
        <w:t>ACIL Allen Consulting</w:t>
      </w:r>
    </w:p>
    <w:p w14:paraId="2FD45C69" w14:textId="670B357C" w:rsidR="00573CE5" w:rsidRDefault="00573CE5" w:rsidP="00573CE5">
      <w:pPr>
        <w:pStyle w:val="BodyText"/>
      </w:pPr>
      <w:r>
        <w:t xml:space="preserve">As discussed in the SEE </w:t>
      </w:r>
      <w:r w:rsidR="00492999">
        <w:t xml:space="preserve">Programme </w:t>
      </w:r>
      <w:r>
        <w:t>Evaluation Report, there is some uncertainty associated with the question of whether the programme is intended to target participants with very lo</w:t>
      </w:r>
      <w:r w:rsidR="0067680A">
        <w:t>w</w:t>
      </w:r>
      <w:r>
        <w:t xml:space="preserve"> levels of </w:t>
      </w:r>
      <w:r w:rsidR="0067680A">
        <w:t>English language proficiency</w:t>
      </w:r>
      <w:r>
        <w:t xml:space="preserve">. While </w:t>
      </w:r>
      <w:r w:rsidR="00022AF6">
        <w:t>the SEE programme</w:t>
      </w:r>
      <w:r>
        <w:t xml:space="preserve"> does not specifically require a minimum level of LLN skills to enter the programme, the requirement to demonstrate progress in the ACSF and the inability to assess progress against </w:t>
      </w:r>
      <w:r w:rsidR="006D28A8">
        <w:t>p</w:t>
      </w:r>
      <w:r>
        <w:t>re-level 1 indicators has the effect of discouraging providers from enrolling participants with such low LLN abilities.</w:t>
      </w:r>
    </w:p>
    <w:p w14:paraId="00EA0369" w14:textId="591AA64A" w:rsidR="00573CE5" w:rsidRPr="00573CE5" w:rsidRDefault="00573CE5" w:rsidP="00573CE5">
      <w:pPr>
        <w:pStyle w:val="BodyText"/>
      </w:pPr>
      <w:r>
        <w:t xml:space="preserve">If it is the case that </w:t>
      </w:r>
      <w:r w:rsidR="00022AF6">
        <w:t>the SEE programme</w:t>
      </w:r>
      <w:r>
        <w:t xml:space="preserve"> is </w:t>
      </w:r>
      <w:r>
        <w:rPr>
          <w:i/>
        </w:rPr>
        <w:t xml:space="preserve">not </w:t>
      </w:r>
      <w:r>
        <w:t>intended to cater to those with very low language and literacy skills, then there is a potential proficiency gap</w:t>
      </w:r>
      <w:r w:rsidR="0067680A">
        <w:t xml:space="preserve"> (highlighted in the figure above)</w:t>
      </w:r>
      <w:r>
        <w:t xml:space="preserve">, whereby those who exit the AMEP but still have very limited proficiency in the English language cannot be adequately served by the SEE programme. These participants currently form a large proportion of SEE </w:t>
      </w:r>
      <w:r w:rsidR="00022AF6">
        <w:t xml:space="preserve">programme </w:t>
      </w:r>
      <w:r>
        <w:t>commencements –</w:t>
      </w:r>
      <w:r w:rsidR="00CF544E">
        <w:t xml:space="preserve"> </w:t>
      </w:r>
      <w:r w:rsidR="001A69A6" w:rsidRPr="00CF544E">
        <w:t>15</w:t>
      </w:r>
      <w:r>
        <w:t xml:space="preserve"> per cent</w:t>
      </w:r>
      <w:r w:rsidR="006F422F">
        <w:t xml:space="preserve"> of</w:t>
      </w:r>
      <w:r w:rsidR="001A69A6">
        <w:t xml:space="preserve"> 2013-14</w:t>
      </w:r>
      <w:r w:rsidR="006F422F">
        <w:t xml:space="preserve"> SEE </w:t>
      </w:r>
      <w:r w:rsidR="00022AF6">
        <w:t xml:space="preserve">programme </w:t>
      </w:r>
      <w:r w:rsidR="006F422F">
        <w:t>commencements score</w:t>
      </w:r>
      <w:r w:rsidR="00CF544E">
        <w:t>d</w:t>
      </w:r>
      <w:r w:rsidR="006F422F">
        <w:t xml:space="preserve"> pre</w:t>
      </w:r>
      <w:r w:rsidR="00E72B50">
        <w:t>-</w:t>
      </w:r>
      <w:r w:rsidR="006F422F">
        <w:t>1 on all 11 performance indicators</w:t>
      </w:r>
      <w:r w:rsidR="00DE3D92">
        <w:t xml:space="preserve"> – </w:t>
      </w:r>
      <w:r>
        <w:t>and would need access to an alternate English language programme before they have the minimum level of proficiency and skills to participate in the SEE programme.</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573CE5" w14:paraId="674503A8" w14:textId="77777777" w:rsidTr="0014604C">
        <w:tc>
          <w:tcPr>
            <w:tcW w:w="5000" w:type="pct"/>
            <w:shd w:val="pct12" w:color="auto" w:fill="auto"/>
          </w:tcPr>
          <w:p w14:paraId="2C918FC3" w14:textId="77777777" w:rsidR="00573CE5" w:rsidRDefault="00573CE5" w:rsidP="0014604C">
            <w:pPr>
              <w:pStyle w:val="Caption"/>
              <w:spacing w:before="120" w:after="60"/>
              <w:ind w:left="1112" w:hanging="1112"/>
              <w:rPr>
                <w:rFonts w:ascii="Arial Bold" w:hAnsi="Arial Bold"/>
                <w:color w:val="000080"/>
              </w:rPr>
            </w:pPr>
            <w:r>
              <w:lastRenderedPageBreak/>
              <w:t xml:space="preserve">Key Finding </w:t>
            </w:r>
            <w:r w:rsidR="00902F05">
              <w:fldChar w:fldCharType="begin"/>
            </w:r>
            <w:r w:rsidR="00902F05">
              <w:instrText xml:space="preserve"> SEQ Key_Finding \* ARABIC </w:instrText>
            </w:r>
            <w:r w:rsidR="00902F05">
              <w:fldChar w:fldCharType="separate"/>
            </w:r>
            <w:r w:rsidR="00902F05">
              <w:rPr>
                <w:noProof/>
              </w:rPr>
              <w:t>3</w:t>
            </w:r>
            <w:r w:rsidR="00902F05">
              <w:rPr>
                <w:noProof/>
              </w:rPr>
              <w:fldChar w:fldCharType="end"/>
            </w:r>
          </w:p>
        </w:tc>
      </w:tr>
      <w:tr w:rsidR="00573CE5" w14:paraId="5AD772EB" w14:textId="77777777" w:rsidTr="0014604C">
        <w:tc>
          <w:tcPr>
            <w:tcW w:w="5000" w:type="pct"/>
            <w:shd w:val="pct12" w:color="auto" w:fill="auto"/>
          </w:tcPr>
          <w:p w14:paraId="502588DC" w14:textId="201B6640" w:rsidR="007C2932" w:rsidRDefault="00573CE5" w:rsidP="007D43E3">
            <w:pPr>
              <w:pStyle w:val="BoxText"/>
            </w:pPr>
            <w:r>
              <w:t xml:space="preserve">There is an overlap between the target levels of proficiency between the AMEP and </w:t>
            </w:r>
            <w:r w:rsidR="00AE13AC">
              <w:t>SEE programme</w:t>
            </w:r>
            <w:r>
              <w:t>.</w:t>
            </w:r>
            <w:r w:rsidR="007C2932">
              <w:t xml:space="preserve"> </w:t>
            </w:r>
            <w:r>
              <w:t>The AMEP covers lower levels of English language and literacy up to the level of functional English.</w:t>
            </w:r>
            <w:r w:rsidR="007C2932">
              <w:t xml:space="preserve"> </w:t>
            </w:r>
            <w:r>
              <w:t xml:space="preserve">The </w:t>
            </w:r>
            <w:r w:rsidR="00AE13AC">
              <w:t>SEE programme</w:t>
            </w:r>
            <w:r>
              <w:t xml:space="preserve"> covers low levels of English up to high level performance in language and literacy (as well as numeracy).</w:t>
            </w:r>
            <w:r w:rsidR="007C2932">
              <w:t xml:space="preserve"> </w:t>
            </w:r>
          </w:p>
          <w:p w14:paraId="4B003BDC" w14:textId="77777777" w:rsidR="00573CE5" w:rsidRDefault="00573CE5" w:rsidP="007D43E3">
            <w:pPr>
              <w:pStyle w:val="BoxText"/>
            </w:pPr>
            <w:r>
              <w:t>It is unclear from the design of the programme whether the SEE programme is intended to cover very low levels of English language and literacy in the same way that the AMEP does.</w:t>
            </w:r>
          </w:p>
          <w:p w14:paraId="63053BE4" w14:textId="77777777" w:rsidR="00573CE5" w:rsidRPr="00090BC6" w:rsidRDefault="00573CE5" w:rsidP="0014604C">
            <w:pPr>
              <w:pStyle w:val="SmallDeltasRightAligned"/>
            </w:pPr>
            <w:r w:rsidRPr="00090BC6">
              <w:rPr>
                <w:noProof/>
                <w:lang w:eastAsia="en-AU"/>
              </w:rPr>
              <w:drawing>
                <wp:inline distT="0" distB="0" distL="0" distR="0" wp14:anchorId="62826FD6" wp14:editId="410946E6">
                  <wp:extent cx="481585" cy="2346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573CE5" w14:paraId="0E387A3B" w14:textId="77777777" w:rsidTr="0014604C">
        <w:trPr>
          <w:trHeight w:hRule="exact" w:val="80"/>
        </w:trPr>
        <w:tc>
          <w:tcPr>
            <w:tcW w:w="5000" w:type="pct"/>
            <w:shd w:val="pct12" w:color="auto" w:fill="auto"/>
          </w:tcPr>
          <w:p w14:paraId="16607A17" w14:textId="77777777" w:rsidR="00573CE5" w:rsidRDefault="00573CE5" w:rsidP="0014604C">
            <w:pPr>
              <w:spacing w:before="160"/>
            </w:pPr>
            <w:r>
              <w:t xml:space="preserve"> </w:t>
            </w:r>
          </w:p>
        </w:tc>
      </w:tr>
    </w:tbl>
    <w:p w14:paraId="27B5F3EA" w14:textId="77777777" w:rsidR="00016D32" w:rsidRDefault="00E95B8D" w:rsidP="0064564D">
      <w:pPr>
        <w:pStyle w:val="Heading2"/>
      </w:pPr>
      <w:bookmarkStart w:id="25" w:name="_Ref408394345"/>
      <w:bookmarkStart w:id="26" w:name="_Toc420078536"/>
      <w:r>
        <w:t>Participant profile</w:t>
      </w:r>
      <w:bookmarkEnd w:id="25"/>
      <w:bookmarkEnd w:id="26"/>
    </w:p>
    <w:p w14:paraId="0A5B209E" w14:textId="0633F6DE" w:rsidR="00016D32" w:rsidRDefault="007C2932" w:rsidP="00C052BD">
      <w:pPr>
        <w:pStyle w:val="BodyText"/>
      </w:pPr>
      <w:r>
        <w:fldChar w:fldCharType="begin"/>
      </w:r>
      <w:r>
        <w:instrText xml:space="preserve"> REF _Ref420067222 \h </w:instrText>
      </w:r>
      <w:r>
        <w:fldChar w:fldCharType="separate"/>
      </w:r>
      <w:r w:rsidR="00902F05">
        <w:t xml:space="preserve">Figure </w:t>
      </w:r>
      <w:r w:rsidR="00902F05">
        <w:rPr>
          <w:noProof/>
        </w:rPr>
        <w:t>4</w:t>
      </w:r>
      <w:r>
        <w:fldChar w:fldCharType="end"/>
      </w:r>
      <w:r>
        <w:t xml:space="preserve"> </w:t>
      </w:r>
      <w:r w:rsidR="007C7460">
        <w:t xml:space="preserve">presents the overall enrolment level of the AMEP and </w:t>
      </w:r>
      <w:r w:rsidR="007D43E3">
        <w:t xml:space="preserve">the </w:t>
      </w:r>
      <w:r w:rsidR="00AE13AC">
        <w:t>SEE programme</w:t>
      </w:r>
      <w:r w:rsidR="007C7460">
        <w:t xml:space="preserve"> in recent years</w:t>
      </w:r>
      <w:r w:rsidR="007C7460" w:rsidRPr="00192DAF">
        <w:t xml:space="preserve">. </w:t>
      </w:r>
      <w:r w:rsidR="00192DAF">
        <w:t>I</w:t>
      </w:r>
      <w:r w:rsidR="007C7460" w:rsidRPr="00192DAF">
        <w:t>n addition to having a much longer history,</w:t>
      </w:r>
      <w:r w:rsidR="007C7460">
        <w:t xml:space="preserve"> the</w:t>
      </w:r>
      <w:r w:rsidR="00192DAF">
        <w:t xml:space="preserve"> figure shows that the</w:t>
      </w:r>
      <w:r w:rsidR="007C7460">
        <w:t xml:space="preserve"> AMEP programme is also </w:t>
      </w:r>
      <w:r w:rsidR="005D62FC">
        <w:t xml:space="preserve">marginally </w:t>
      </w:r>
      <w:r w:rsidR="007C7460">
        <w:t>larger</w:t>
      </w:r>
      <w:r>
        <w:t>,</w:t>
      </w:r>
      <w:r w:rsidR="007C7460">
        <w:t xml:space="preserve"> with approximately </w:t>
      </w:r>
      <w:r w:rsidR="005030A9">
        <w:t>29</w:t>
      </w:r>
      <w:r w:rsidR="007C7460">
        <w:t>,</w:t>
      </w:r>
      <w:r w:rsidR="005030A9">
        <w:t>600</w:t>
      </w:r>
      <w:r w:rsidR="007C7460">
        <w:t xml:space="preserve"> </w:t>
      </w:r>
      <w:r w:rsidR="00C83785">
        <w:t xml:space="preserve">new clients </w:t>
      </w:r>
      <w:r w:rsidR="007C7460">
        <w:t>in 2013-14 compared to approximately 2</w:t>
      </w:r>
      <w:r w:rsidR="005030A9">
        <w:t>6</w:t>
      </w:r>
      <w:r w:rsidR="007C7460">
        <w:t xml:space="preserve">,000 in the </w:t>
      </w:r>
      <w:r w:rsidR="00AE13AC">
        <w:t>SEE programme</w:t>
      </w:r>
      <w:r w:rsidR="007C7460">
        <w:t>.</w:t>
      </w:r>
    </w:p>
    <w:p w14:paraId="64FF013F" w14:textId="12924498" w:rsidR="007C7460" w:rsidRDefault="007C7460">
      <w:pPr>
        <w:pStyle w:val="Caption"/>
      </w:pPr>
      <w:bookmarkStart w:id="27" w:name="_Ref420067222"/>
      <w:bookmarkStart w:id="28" w:name="_Toc420078559"/>
      <w:r>
        <w:t xml:space="preserve">Figure </w:t>
      </w:r>
      <w:r w:rsidR="00902F05">
        <w:fldChar w:fldCharType="begin"/>
      </w:r>
      <w:r w:rsidR="00902F05">
        <w:instrText xml:space="preserve"> SEQ Figure \* ARABIC </w:instrText>
      </w:r>
      <w:r w:rsidR="00902F05">
        <w:fldChar w:fldCharType="separate"/>
      </w:r>
      <w:r w:rsidR="00902F05">
        <w:rPr>
          <w:noProof/>
        </w:rPr>
        <w:t>4</w:t>
      </w:r>
      <w:r w:rsidR="00902F05">
        <w:rPr>
          <w:noProof/>
        </w:rPr>
        <w:fldChar w:fldCharType="end"/>
      </w:r>
      <w:bookmarkEnd w:id="27"/>
      <w:r w:rsidRPr="004E0C91">
        <w:rPr>
          <w:b/>
          <w:color w:val="000080"/>
        </w:rPr>
        <w:tab/>
      </w:r>
      <w:r w:rsidRPr="007C7460">
        <w:rPr>
          <w:b/>
        </w:rPr>
        <w:t xml:space="preserve">AMEP </w:t>
      </w:r>
      <w:r w:rsidR="00A20395">
        <w:rPr>
          <w:b/>
        </w:rPr>
        <w:t>and SEE</w:t>
      </w:r>
      <w:r w:rsidR="00022AF6">
        <w:rPr>
          <w:b/>
        </w:rPr>
        <w:t xml:space="preserve"> programme </w:t>
      </w:r>
      <w:r w:rsidR="009E4FFA">
        <w:rPr>
          <w:rStyle w:val="CaptionLabel"/>
        </w:rPr>
        <w:t>t</w:t>
      </w:r>
      <w:r w:rsidRPr="007C7460">
        <w:rPr>
          <w:rStyle w:val="CaptionLabel"/>
        </w:rPr>
        <w:t xml:space="preserve">otal </w:t>
      </w:r>
      <w:r w:rsidR="009F751B">
        <w:rPr>
          <w:rStyle w:val="CaptionLabel"/>
        </w:rPr>
        <w:t xml:space="preserve">new clients </w:t>
      </w:r>
      <w:r>
        <w:rPr>
          <w:rStyle w:val="CaptionLabel"/>
        </w:rPr>
        <w:t>(20</w:t>
      </w:r>
      <w:r w:rsidR="005030A9">
        <w:rPr>
          <w:rStyle w:val="CaptionLabel"/>
        </w:rPr>
        <w:t>10-</w:t>
      </w:r>
      <w:r>
        <w:rPr>
          <w:rStyle w:val="CaptionLabel"/>
        </w:rPr>
        <w:t>11 to 20</w:t>
      </w:r>
      <w:r w:rsidR="005030A9">
        <w:rPr>
          <w:rStyle w:val="CaptionLabel"/>
        </w:rPr>
        <w:t>13-</w:t>
      </w:r>
      <w:r>
        <w:rPr>
          <w:rStyle w:val="CaptionLabel"/>
        </w:rPr>
        <w:t>14)</w:t>
      </w:r>
      <w:bookmarkEnd w:id="28"/>
      <w:r w:rsidR="005030A9" w:rsidDel="005030A9">
        <w:rPr>
          <w:rStyle w:val="CaptionLabel"/>
        </w:rPr>
        <w:t xml:space="preserve"> </w:t>
      </w:r>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1"/>
      </w:tblGrid>
      <w:tr w:rsidR="007C7460" w14:paraId="1431AE35" w14:textId="77777777" w:rsidTr="005D1CA5">
        <w:trPr>
          <w:cantSplit/>
        </w:trPr>
        <w:tc>
          <w:tcPr>
            <w:tcW w:w="5000" w:type="pct"/>
          </w:tcPr>
          <w:p w14:paraId="25DFC267" w14:textId="77777777" w:rsidR="007C7460" w:rsidRDefault="007C7460" w:rsidP="005030A9">
            <w:pPr>
              <w:pStyle w:val="SmallDeltasRightAligned"/>
              <w:keepNext/>
            </w:pPr>
            <w:r>
              <w:rPr>
                <w:noProof/>
                <w:lang w:eastAsia="en-AU"/>
              </w:rPr>
              <w:drawing>
                <wp:inline distT="0" distB="0" distL="0" distR="0" wp14:anchorId="1BF1BD73" wp14:editId="23FD9ABA">
                  <wp:extent cx="481585" cy="234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7C7460" w14:paraId="5B025A6B" w14:textId="77777777" w:rsidTr="00C072B1">
        <w:tblPrEx>
          <w:tblCellMar>
            <w:left w:w="108" w:type="dxa"/>
            <w:right w:w="108" w:type="dxa"/>
          </w:tblCellMar>
        </w:tblPrEx>
        <w:trPr>
          <w:cantSplit/>
        </w:trPr>
        <w:tc>
          <w:tcPr>
            <w:tcW w:w="5000" w:type="pct"/>
          </w:tcPr>
          <w:p w14:paraId="50F4D0FD" w14:textId="77777777" w:rsidR="007C7460" w:rsidRDefault="00C072B1" w:rsidP="005D1CA5">
            <w:pPr>
              <w:pStyle w:val="Figure"/>
            </w:pPr>
            <w:r>
              <w:rPr>
                <w:noProof/>
                <w:lang w:eastAsia="en-AU"/>
              </w:rPr>
              <w:drawing>
                <wp:inline distT="0" distB="0" distL="0" distR="0" wp14:anchorId="5325A304" wp14:editId="43CAA9A5">
                  <wp:extent cx="4524375" cy="2847975"/>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bl>
    <w:p w14:paraId="045392EA" w14:textId="77777777" w:rsidR="007C7460" w:rsidRDefault="007C7460">
      <w:pPr>
        <w:pStyle w:val="Note"/>
      </w:pPr>
      <w:r>
        <w:rPr>
          <w:i/>
        </w:rPr>
        <w:t>Note:</w:t>
      </w:r>
      <w:r>
        <w:t xml:space="preserve"> </w:t>
      </w:r>
      <w:r w:rsidR="005030A9">
        <w:t>Note each individual has only one AMEP enrolment</w:t>
      </w:r>
      <w:r w:rsidR="00FA7DAB">
        <w:t xml:space="preserve">, whereas people may have </w:t>
      </w:r>
      <w:r w:rsidR="005030A9">
        <w:t xml:space="preserve">many SEE </w:t>
      </w:r>
      <w:r w:rsidR="00022AF6">
        <w:t xml:space="preserve">programme </w:t>
      </w:r>
      <w:r w:rsidR="005030A9">
        <w:t xml:space="preserve">commencements </w:t>
      </w:r>
      <w:r w:rsidR="00FA7DAB">
        <w:t xml:space="preserve">as they exit and </w:t>
      </w:r>
      <w:r w:rsidR="005030A9">
        <w:t>re-enter the program</w:t>
      </w:r>
      <w:r w:rsidR="006C7B38">
        <w:t>me</w:t>
      </w:r>
      <w:r w:rsidR="005030A9">
        <w:t>.</w:t>
      </w:r>
    </w:p>
    <w:p w14:paraId="1537DEE5" w14:textId="025C089A" w:rsidR="007C7460" w:rsidRPr="00B50A1B" w:rsidRDefault="007C7460" w:rsidP="005D1CA5">
      <w:pPr>
        <w:pStyle w:val="Source"/>
        <w:rPr>
          <w:i/>
        </w:rPr>
      </w:pPr>
      <w:r w:rsidRPr="00843CBD">
        <w:t xml:space="preserve">Source: </w:t>
      </w:r>
      <w:r w:rsidR="00843CBD" w:rsidRPr="00843CBD">
        <w:t xml:space="preserve">AMEP </w:t>
      </w:r>
      <w:r w:rsidR="007D43E3">
        <w:t>dataset</w:t>
      </w:r>
      <w:r w:rsidR="00843CBD" w:rsidRPr="00843CBD">
        <w:t xml:space="preserve"> and </w:t>
      </w:r>
      <w:r w:rsidR="00AE13AC">
        <w:t>SEE programme</w:t>
      </w:r>
      <w:r w:rsidR="00843CBD" w:rsidRPr="00843CBD">
        <w:t xml:space="preserve"> </w:t>
      </w:r>
      <w:r w:rsidR="007D43E3">
        <w:t>dataset</w:t>
      </w:r>
    </w:p>
    <w:p w14:paraId="1B6EC066" w14:textId="77777777" w:rsidR="009F751B" w:rsidRDefault="009F751B" w:rsidP="00FD26FE">
      <w:pPr>
        <w:pStyle w:val="BodyText"/>
      </w:pPr>
    </w:p>
    <w:p w14:paraId="02D7CE4B" w14:textId="1D20F5A8" w:rsidR="005D1CA5" w:rsidRDefault="009F751B" w:rsidP="009F751B">
      <w:pPr>
        <w:pStyle w:val="BodyText"/>
      </w:pPr>
      <w:r w:rsidRPr="009F751B">
        <w:t xml:space="preserve">As the two programmes do not have a common client identification number, and neither AMEP </w:t>
      </w:r>
      <w:r w:rsidR="007D43E3">
        <w:t xml:space="preserve">service providers </w:t>
      </w:r>
      <w:r w:rsidRPr="009F751B">
        <w:t xml:space="preserve">nor SEE providers are required to capture information on whether </w:t>
      </w:r>
      <w:r w:rsidRPr="009F751B">
        <w:lastRenderedPageBreak/>
        <w:t xml:space="preserve">clients have participated in the other programme, it is not possible to determine the overlap in the client profile between the AMEP and </w:t>
      </w:r>
      <w:r w:rsidR="00AE13AC">
        <w:t>SEE programme</w:t>
      </w:r>
      <w:r w:rsidR="005D1CA5">
        <w:t>.</w:t>
      </w:r>
      <w:r w:rsidR="0000265F">
        <w:rPr>
          <w:rStyle w:val="FootnoteReference"/>
        </w:rPr>
        <w:footnoteReference w:id="3"/>
      </w:r>
      <w:r w:rsidR="005D1CA5">
        <w:t xml:space="preserve"> </w:t>
      </w:r>
    </w:p>
    <w:p w14:paraId="2C11C06E" w14:textId="77777777" w:rsidR="00BE4F98" w:rsidRDefault="00BE4F98" w:rsidP="00FD26FE">
      <w:pPr>
        <w:pStyle w:val="BodyText"/>
      </w:pPr>
      <w:r>
        <w:t>Despite this, there are a number of reasons to believe that there is overlap</w:t>
      </w:r>
      <w:r w:rsidR="00993260">
        <w:t xml:space="preserve"> in client cohorts</w:t>
      </w:r>
      <w:r>
        <w:t xml:space="preserve"> between the two programmes:</w:t>
      </w:r>
    </w:p>
    <w:p w14:paraId="401003BF" w14:textId="77777777" w:rsidR="0000265F" w:rsidRDefault="00BE4F98" w:rsidP="008B04E9">
      <w:pPr>
        <w:pStyle w:val="ListDash"/>
      </w:pPr>
      <w:r>
        <w:t xml:space="preserve">Many providers consulted for this evaluation commented that a considerable number of SEE </w:t>
      </w:r>
      <w:r w:rsidR="00D30F30">
        <w:t xml:space="preserve">programme </w:t>
      </w:r>
      <w:r>
        <w:t>clients are likely to have participated in the AMEP.</w:t>
      </w:r>
    </w:p>
    <w:p w14:paraId="416C8151" w14:textId="18D24826" w:rsidR="00950C2A" w:rsidRDefault="00950C2A" w:rsidP="008B04E9">
      <w:pPr>
        <w:pStyle w:val="ListDash"/>
      </w:pPr>
      <w:r>
        <w:t xml:space="preserve">The AMEP Longitudinal Study </w:t>
      </w:r>
      <w:r w:rsidR="00C03AB6">
        <w:t xml:space="preserve">finds that </w:t>
      </w:r>
      <w:r w:rsidR="002A20CD">
        <w:t xml:space="preserve">17 per cent </w:t>
      </w:r>
      <w:r w:rsidR="007C2932">
        <w:t xml:space="preserve">of </w:t>
      </w:r>
      <w:r w:rsidR="002A20CD">
        <w:t xml:space="preserve">AMEP clients (10 out of 60) went on to study in the </w:t>
      </w:r>
      <w:r w:rsidR="00AE13AC">
        <w:t>SEE programme</w:t>
      </w:r>
      <w:r w:rsidR="002A20CD">
        <w:t xml:space="preserve"> in the five years the Longitudinal Study was carried out. It should be noted that the Longitudinal Study deals primarily with Certificate III </w:t>
      </w:r>
      <w:r w:rsidR="00414158">
        <w:t xml:space="preserve">(i.e. high level) </w:t>
      </w:r>
      <w:r w:rsidR="002A20CD">
        <w:t xml:space="preserve">AMEP clients who are more likely to have success in the job market and therefore not require the </w:t>
      </w:r>
      <w:r w:rsidR="00AE13AC">
        <w:t>SEE programme</w:t>
      </w:r>
      <w:r w:rsidR="002A20CD">
        <w:t>.</w:t>
      </w:r>
    </w:p>
    <w:p w14:paraId="7AA9CC7A" w14:textId="393C91DA" w:rsidR="00BE4F98" w:rsidRDefault="00BE4F98" w:rsidP="008B04E9">
      <w:pPr>
        <w:pStyle w:val="ListDash"/>
      </w:pPr>
      <w:r>
        <w:t xml:space="preserve">68 per cent of </w:t>
      </w:r>
      <w:r w:rsidR="00AE13AC">
        <w:t>SEE programme</w:t>
      </w:r>
      <w:r>
        <w:t xml:space="preserve"> clients</w:t>
      </w:r>
      <w:r w:rsidR="00012DA7">
        <w:t xml:space="preserve"> are CALD</w:t>
      </w:r>
      <w:r w:rsidR="007C2932">
        <w:t>,</w:t>
      </w:r>
      <w:r w:rsidR="00012DA7">
        <w:t xml:space="preserve"> </w:t>
      </w:r>
      <w:r w:rsidR="007C2932">
        <w:t xml:space="preserve">with </w:t>
      </w:r>
      <w:r w:rsidRPr="007E34E5">
        <w:t xml:space="preserve">a country of birth </w:t>
      </w:r>
      <w:r w:rsidR="007C2932">
        <w:t xml:space="preserve">other than </w:t>
      </w:r>
      <w:r w:rsidRPr="007E34E5">
        <w:t>Australia, Canada, United Kingdom, Ireland, New Zealand, UK</w:t>
      </w:r>
      <w:r w:rsidR="007D43E3">
        <w:t>,</w:t>
      </w:r>
      <w:r w:rsidRPr="007E34E5">
        <w:t xml:space="preserve"> USA,</w:t>
      </w:r>
      <w:r>
        <w:t xml:space="preserve"> and South Africa. That is,</w:t>
      </w:r>
      <w:r w:rsidR="007C2932">
        <w:t xml:space="preserve"> they</w:t>
      </w:r>
      <w:r>
        <w:t xml:space="preserve"> are first generation migrants from non-English speaking countries, and </w:t>
      </w:r>
      <w:r w:rsidR="00993260">
        <w:t xml:space="preserve">as such may </w:t>
      </w:r>
      <w:r>
        <w:t xml:space="preserve">have been eligible for </w:t>
      </w:r>
      <w:r w:rsidR="00A20395">
        <w:t>the AMEP</w:t>
      </w:r>
      <w:r w:rsidR="00A35DCE">
        <w:t xml:space="preserve"> when they migrated to Australia</w:t>
      </w:r>
      <w:r>
        <w:t xml:space="preserve">, </w:t>
      </w:r>
      <w:r w:rsidR="00950C2A">
        <w:t>contingent on failing to meet the AMEP English language proficiency benchmark.</w:t>
      </w:r>
      <w:r w:rsidR="007D43E3">
        <w:t xml:space="preserve"> This is far higher than the equivalent proportion represented in the general population (16 per cent) nationally.</w:t>
      </w:r>
    </w:p>
    <w:p w14:paraId="5F164C2B" w14:textId="64DA78F9" w:rsidR="005D1CA5" w:rsidRDefault="00BE4F98">
      <w:pPr>
        <w:pStyle w:val="ListDash"/>
      </w:pPr>
      <w:r>
        <w:t xml:space="preserve">More than 50 per cent of </w:t>
      </w:r>
      <w:r w:rsidR="00AE13AC">
        <w:t>SEE programme</w:t>
      </w:r>
      <w:r>
        <w:t xml:space="preserve"> clients are reported as requiring an interpreter at their initial assessment. </w:t>
      </w:r>
      <w:r w:rsidR="00950C2A">
        <w:t>This indicates</w:t>
      </w:r>
      <w:r>
        <w:t xml:space="preserve"> that a large proportion of CALD SEE </w:t>
      </w:r>
      <w:r w:rsidR="00D30F30">
        <w:t xml:space="preserve">programme </w:t>
      </w:r>
      <w:r>
        <w:t xml:space="preserve">clients </w:t>
      </w:r>
      <w:r w:rsidR="00993260">
        <w:t xml:space="preserve">may </w:t>
      </w:r>
      <w:r>
        <w:t xml:space="preserve">have been eligible for </w:t>
      </w:r>
      <w:r w:rsidR="00A20395">
        <w:t>the AMEP</w:t>
      </w:r>
      <w:r>
        <w:t xml:space="preserve"> </w:t>
      </w:r>
      <w:r w:rsidR="00A35DCE">
        <w:t xml:space="preserve">on migration to Australia </w:t>
      </w:r>
      <w:r w:rsidR="00950C2A">
        <w:t xml:space="preserve">due to low </w:t>
      </w:r>
      <w:r>
        <w:t>English language proficiency</w:t>
      </w:r>
      <w:r w:rsidR="005D1CA5">
        <w:t>.</w:t>
      </w:r>
    </w:p>
    <w:p w14:paraId="75750488" w14:textId="7866FA67" w:rsidR="008E513C" w:rsidRPr="008E4B82" w:rsidRDefault="00295D08" w:rsidP="008B04E9">
      <w:pPr>
        <w:pStyle w:val="BodyText"/>
      </w:pPr>
      <w:r>
        <w:rPr>
          <w:noProof/>
        </w:rPr>
        <mc:AlternateContent>
          <mc:Choice Requires="wps">
            <w:drawing>
              <wp:anchor distT="0" distB="0" distL="114300" distR="114300" simplePos="0" relativeHeight="251658752" behindDoc="0" locked="0" layoutInCell="1" allowOverlap="1" wp14:anchorId="1F7D5390" wp14:editId="25FB85F1">
                <wp:simplePos x="0" y="0"/>
                <wp:positionH relativeFrom="column">
                  <wp:posOffset>1483163</wp:posOffset>
                </wp:positionH>
                <wp:positionV relativeFrom="paragraph">
                  <wp:posOffset>2865492</wp:posOffset>
                </wp:positionV>
                <wp:extent cx="3499945" cy="977462"/>
                <wp:effectExtent l="0" t="0" r="24765" b="13335"/>
                <wp:wrapNone/>
                <wp:docPr id="30" name="Rectangle 30"/>
                <wp:cNvGraphicFramePr/>
                <a:graphic xmlns:a="http://schemas.openxmlformats.org/drawingml/2006/main">
                  <a:graphicData uri="http://schemas.microsoft.com/office/word/2010/wordprocessingShape">
                    <wps:wsp>
                      <wps:cNvSpPr/>
                      <wps:spPr>
                        <a:xfrm>
                          <a:off x="0" y="0"/>
                          <a:ext cx="3499945" cy="97746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74131" id="Rectangle 30" o:spid="_x0000_s1026" style="position:absolute;margin-left:116.8pt;margin-top:225.65pt;width:275.6pt;height:76.9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k1kgIAAK4FAAAOAAAAZHJzL2Uyb0RvYy54bWysVFFPGzEMfp+0/xDlfVxbCqwVV1SBmCYh&#10;qICJ5zSX9CLl4ixJe+1+/Zzk7soY2gNaH9I4tj/b39m+vNo3muyE8wpMSccnI0qE4VApsynpj+fb&#10;L18p8YGZimkwoqQH4enV4vOny9bOxQRq0JVwBEGMn7e2pHUIdl4UnteiYf4ErDColOAaFlB0m6Jy&#10;rEX0RheT0ei8aMFV1gEX3uPrTVbSRcKXUvDwIKUXgeiSYm4hnS6d63gWi0s23zhma8W7NNgHsmiY&#10;Mhh0gLphgZGtU39BNYo78CDDCYemACkVF6kGrGY8elPNU82sSLUgOd4ONPn/B8vvdytHVFXSU6TH&#10;sAa/0SOyxsxGC4JvSFBr/RztnuzKdZLHa6x2L10T/7EOsk+kHgZSxT4Qjo+n09lsNj2jhKNudnEx&#10;PZ9E0OLobZ0P3wQ0JF5K6jB84pLt7nzIpr1JDOZBq+pWaZ2E2CjiWjuyY/iJ15txB/6HlTYfcsQc&#10;o2cRCcglp1s4aBHxtHkUErnDIicp4dS1x2QY58KEcVbVrBI5x7MR/vos+/QTIQkwIkusbsDuAHrL&#10;DNJjZ3o6++gqUtMPzqN/JZadB48UGUwYnBtlwL0HoLGqLnK270nK1ESW1lAdsLMc5JHzlt8q/Lx3&#10;zIcVczhj2G64N8IDHlJDW1LobpTU4H699x7tsfVRS0mLM1tS/3PLnKBEfzc4FLPxdBqHPAnTs4sJ&#10;Cu61Zv1aY7bNNWDPjHFDWZ6u0T7o/iodNC+4XpYxKqqY4Ri7pDy4XrgOeZfgguJiuUxmONiWhTvz&#10;ZHkEj6zG9n3evzBnux4POB330M83m79p9WwbPQ0stwGkSnNw5LXjG5dCapxugcWt81pOVsc1u/gN&#10;AAD//wMAUEsDBBQABgAIAAAAIQAvimw64AAAAAsBAAAPAAAAZHJzL2Rvd25yZXYueG1sTI/LTsMw&#10;EEX3SPyDNUhsUOs8mpCGTCqExBZEYdOdG7txRDyObDcNfD1mBcvRHN17brNbzMhm5fxgCSFdJ8AU&#10;dVYO1CN8vD+vKmA+CJJitKQQvpSHXXt91Yha2gu9qXkfehZDyNcCQYcw1Zz7Tisj/NpOiuLvZJ0R&#10;IZ6u59KJSww3I8+SpORGDBQbtJjUk1bd5/5sELbf3Wuo7FToMBy2vUlfTm6+Q7y9WR4fgAW1hD8Y&#10;fvWjOrTR6WjPJD0bEbI8LyOKsCnSHFgk7qtNHHNEKJMiA942/P+G9gcAAP//AwBQSwECLQAUAAYA&#10;CAAAACEAtoM4kv4AAADhAQAAEwAAAAAAAAAAAAAAAAAAAAAAW0NvbnRlbnRfVHlwZXNdLnhtbFBL&#10;AQItABQABgAIAAAAIQA4/SH/1gAAAJQBAAALAAAAAAAAAAAAAAAAAC8BAABfcmVscy8ucmVsc1BL&#10;AQItABQABgAIAAAAIQBVmFk1kgIAAK4FAAAOAAAAAAAAAAAAAAAAAC4CAABkcnMvZTJvRG9jLnht&#10;bFBLAQItABQABgAIAAAAIQAvimw64AAAAAsBAAAPAAAAAAAAAAAAAAAAAOwEAABkcnMvZG93bnJl&#10;di54bWxQSwUGAAAAAAQABADzAAAA+QUAAAAA&#10;" fillcolor="white [3212]" strokecolor="white [3212]" strokeweight="2pt"/>
            </w:pict>
          </mc:Fallback>
        </mc:AlternateContent>
      </w:r>
      <w:r w:rsidR="00456793" w:rsidRPr="00144EC5">
        <w:t xml:space="preserve">As </w:t>
      </w:r>
      <w:r w:rsidR="007C2932">
        <w:fldChar w:fldCharType="begin"/>
      </w:r>
      <w:r w:rsidR="007C2932">
        <w:instrText xml:space="preserve"> REF _Ref420067392 \h </w:instrText>
      </w:r>
      <w:r w:rsidR="007C2932">
        <w:fldChar w:fldCharType="separate"/>
      </w:r>
      <w:r w:rsidR="00902F05" w:rsidRPr="00456793">
        <w:rPr>
          <w:rFonts w:asciiTheme="majorHAnsi" w:hAnsiTheme="majorHAnsi" w:cs="Arial"/>
          <w:sz w:val="20"/>
        </w:rPr>
        <w:t xml:space="preserve">Figure </w:t>
      </w:r>
      <w:r w:rsidR="00902F05">
        <w:rPr>
          <w:rFonts w:asciiTheme="majorHAnsi" w:hAnsiTheme="majorHAnsi" w:cs="Arial"/>
          <w:noProof/>
          <w:sz w:val="20"/>
        </w:rPr>
        <w:t>5</w:t>
      </w:r>
      <w:r w:rsidR="007C2932">
        <w:fldChar w:fldCharType="end"/>
      </w:r>
      <w:r w:rsidR="007C2932">
        <w:t xml:space="preserve"> </w:t>
      </w:r>
      <w:r w:rsidR="00456793" w:rsidRPr="00144EC5">
        <w:t xml:space="preserve">shows, the proportion of CALD participants in the </w:t>
      </w:r>
      <w:r w:rsidR="00AE13AC">
        <w:t>SEE programme</w:t>
      </w:r>
      <w:r w:rsidR="00456793" w:rsidRPr="00144EC5">
        <w:t xml:space="preserve"> rises with age. For all participants aged 30 and above, CALD participants make up between 76 and 90 per cent</w:t>
      </w:r>
      <w:r w:rsidR="009D0588">
        <w:t xml:space="preserve"> of SEE </w:t>
      </w:r>
      <w:r w:rsidR="00D30F30">
        <w:t xml:space="preserve">programme </w:t>
      </w:r>
      <w:r w:rsidR="009D0588">
        <w:t>clients</w:t>
      </w:r>
      <w:r w:rsidR="00456793" w:rsidRPr="00144EC5">
        <w:t>.</w:t>
      </w:r>
    </w:p>
    <w:p w14:paraId="253BB95D" w14:textId="21A13CD4" w:rsidR="00456793" w:rsidRPr="00456793" w:rsidRDefault="00456793" w:rsidP="00456793">
      <w:pPr>
        <w:keepNext/>
        <w:spacing w:before="360" w:after="40"/>
        <w:ind w:left="993" w:hanging="993"/>
        <w:outlineLvl w:val="8"/>
        <w:rPr>
          <w:rFonts w:asciiTheme="majorHAnsi" w:hAnsiTheme="majorHAnsi" w:cs="Arial"/>
          <w:sz w:val="20"/>
        </w:rPr>
      </w:pPr>
      <w:bookmarkStart w:id="29" w:name="_Ref420067392"/>
      <w:bookmarkStart w:id="30" w:name="_Toc420078560"/>
      <w:bookmarkStart w:id="31" w:name="_Toc408084360"/>
      <w:r w:rsidRPr="00456793">
        <w:rPr>
          <w:rFonts w:asciiTheme="majorHAnsi" w:hAnsiTheme="majorHAnsi" w:cs="Arial"/>
          <w:sz w:val="20"/>
        </w:rPr>
        <w:lastRenderedPageBreak/>
        <w:t xml:space="preserve">Figure </w:t>
      </w:r>
      <w:r w:rsidRPr="00456793">
        <w:rPr>
          <w:rFonts w:asciiTheme="majorHAnsi" w:hAnsiTheme="majorHAnsi" w:cs="Arial"/>
          <w:sz w:val="20"/>
        </w:rPr>
        <w:fldChar w:fldCharType="begin"/>
      </w:r>
      <w:r w:rsidRPr="00456793">
        <w:rPr>
          <w:rFonts w:asciiTheme="majorHAnsi" w:hAnsiTheme="majorHAnsi" w:cs="Arial"/>
          <w:sz w:val="20"/>
        </w:rPr>
        <w:instrText xml:space="preserve"> SEQ Figure \* ARABIC </w:instrText>
      </w:r>
      <w:r w:rsidRPr="00456793">
        <w:rPr>
          <w:rFonts w:asciiTheme="majorHAnsi" w:hAnsiTheme="majorHAnsi" w:cs="Arial"/>
          <w:sz w:val="20"/>
        </w:rPr>
        <w:fldChar w:fldCharType="separate"/>
      </w:r>
      <w:r w:rsidR="00902F05">
        <w:rPr>
          <w:rFonts w:asciiTheme="majorHAnsi" w:hAnsiTheme="majorHAnsi" w:cs="Arial"/>
          <w:noProof/>
          <w:sz w:val="20"/>
        </w:rPr>
        <w:t>5</w:t>
      </w:r>
      <w:r w:rsidRPr="00456793">
        <w:rPr>
          <w:rFonts w:asciiTheme="majorHAnsi" w:hAnsiTheme="majorHAnsi" w:cs="Arial"/>
          <w:noProof/>
          <w:sz w:val="20"/>
        </w:rPr>
        <w:fldChar w:fldCharType="end"/>
      </w:r>
      <w:bookmarkEnd w:id="29"/>
      <w:r w:rsidRPr="00456793">
        <w:rPr>
          <w:rFonts w:asciiTheme="majorHAnsi" w:hAnsiTheme="majorHAnsi" w:cs="Arial"/>
          <w:b/>
          <w:color w:val="000080"/>
          <w:sz w:val="20"/>
        </w:rPr>
        <w:tab/>
      </w:r>
      <w:r w:rsidR="009E4FFA" w:rsidRPr="009E4FFA">
        <w:rPr>
          <w:rFonts w:asciiTheme="majorHAnsi" w:hAnsiTheme="majorHAnsi" w:cs="Arial"/>
          <w:b/>
          <w:sz w:val="20"/>
        </w:rPr>
        <w:t xml:space="preserve">Proportion of </w:t>
      </w:r>
      <w:r w:rsidR="009E4FFA">
        <w:rPr>
          <w:rFonts w:asciiTheme="majorHAnsi" w:hAnsiTheme="majorHAnsi" w:cs="Arial"/>
          <w:b/>
          <w:sz w:val="20"/>
        </w:rPr>
        <w:t xml:space="preserve">CALD </w:t>
      </w:r>
      <w:r w:rsidRPr="00456793">
        <w:rPr>
          <w:rFonts w:asciiTheme="majorHAnsi" w:hAnsiTheme="majorHAnsi" w:cs="Arial"/>
          <w:b/>
          <w:sz w:val="20"/>
        </w:rPr>
        <w:t xml:space="preserve">SEE </w:t>
      </w:r>
      <w:r w:rsidR="00AE13AC">
        <w:rPr>
          <w:rFonts w:asciiTheme="majorHAnsi" w:hAnsiTheme="majorHAnsi" w:cs="Arial"/>
          <w:b/>
          <w:sz w:val="20"/>
        </w:rPr>
        <w:t>p</w:t>
      </w:r>
      <w:r w:rsidRPr="00456793">
        <w:rPr>
          <w:rFonts w:asciiTheme="majorHAnsi" w:hAnsiTheme="majorHAnsi" w:cs="Arial"/>
          <w:b/>
          <w:sz w:val="20"/>
        </w:rPr>
        <w:t>rogramme clients</w:t>
      </w:r>
      <w:r w:rsidR="009E4FFA">
        <w:rPr>
          <w:rFonts w:asciiTheme="majorHAnsi" w:hAnsiTheme="majorHAnsi" w:cs="Arial"/>
          <w:b/>
          <w:sz w:val="20"/>
        </w:rPr>
        <w:t>,</w:t>
      </w:r>
      <w:r w:rsidRPr="00456793">
        <w:rPr>
          <w:rFonts w:asciiTheme="majorHAnsi" w:hAnsiTheme="majorHAnsi" w:cs="Arial"/>
          <w:b/>
          <w:sz w:val="20"/>
        </w:rPr>
        <w:t xml:space="preserve"> by age group</w:t>
      </w:r>
      <w:bookmarkEnd w:id="30"/>
      <w:r w:rsidRPr="00456793">
        <w:rPr>
          <w:rFonts w:asciiTheme="majorHAnsi" w:hAnsiTheme="majorHAnsi" w:cs="Arial"/>
          <w:b/>
          <w:sz w:val="20"/>
        </w:rPr>
        <w:t xml:space="preserve"> </w:t>
      </w:r>
      <w:bookmarkEnd w:id="31"/>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1"/>
      </w:tblGrid>
      <w:tr w:rsidR="00456793" w:rsidRPr="00456793" w14:paraId="443B3F52" w14:textId="77777777" w:rsidTr="0014604C">
        <w:trPr>
          <w:cantSplit/>
        </w:trPr>
        <w:tc>
          <w:tcPr>
            <w:tcW w:w="5000" w:type="pct"/>
          </w:tcPr>
          <w:p w14:paraId="7F42E43F" w14:textId="77777777" w:rsidR="00456793" w:rsidRPr="00456793" w:rsidRDefault="00456793" w:rsidP="00456793">
            <w:pPr>
              <w:keepNext/>
              <w:spacing w:before="0" w:after="0" w:line="240" w:lineRule="auto"/>
              <w:jc w:val="right"/>
            </w:pPr>
            <w:r w:rsidRPr="00456793">
              <w:rPr>
                <w:noProof/>
                <w:lang w:eastAsia="en-AU"/>
              </w:rPr>
              <w:drawing>
                <wp:inline distT="0" distB="0" distL="0" distR="0" wp14:anchorId="3D4E4518" wp14:editId="7EBD7BB0">
                  <wp:extent cx="481585" cy="23469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456793" w:rsidRPr="00456793" w14:paraId="7E60AD17" w14:textId="77777777" w:rsidTr="0014604C">
        <w:tblPrEx>
          <w:tblCellMar>
            <w:left w:w="108" w:type="dxa"/>
            <w:right w:w="108" w:type="dxa"/>
          </w:tblCellMar>
        </w:tblPrEx>
        <w:trPr>
          <w:cantSplit/>
        </w:trPr>
        <w:tc>
          <w:tcPr>
            <w:tcW w:w="5000" w:type="pct"/>
          </w:tcPr>
          <w:p w14:paraId="2FF8FF23" w14:textId="77777777" w:rsidR="00456793" w:rsidRPr="00456793" w:rsidRDefault="00456793" w:rsidP="00456793">
            <w:pPr>
              <w:keepNext/>
              <w:spacing w:before="60" w:line="240" w:lineRule="auto"/>
              <w:jc w:val="center"/>
              <w:rPr>
                <w:sz w:val="18"/>
                <w:szCs w:val="20"/>
              </w:rPr>
            </w:pPr>
            <w:r w:rsidRPr="008B04E9">
              <w:rPr>
                <w:noProof/>
                <w:sz w:val="18"/>
                <w:szCs w:val="20"/>
                <w:lang w:eastAsia="en-AU"/>
              </w:rPr>
              <w:drawing>
                <wp:inline distT="0" distB="0" distL="0" distR="0" wp14:anchorId="463F0433" wp14:editId="50DB073E">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r>
    </w:tbl>
    <w:p w14:paraId="5DDD4137" w14:textId="49ECDC95" w:rsidR="00456793" w:rsidRPr="00456793" w:rsidRDefault="00456793" w:rsidP="00456793">
      <w:pPr>
        <w:keepNext/>
        <w:keepLines/>
        <w:spacing w:before="40" w:after="0" w:line="180" w:lineRule="exact"/>
        <w:rPr>
          <w:rFonts w:ascii="Arial" w:hAnsi="Arial"/>
          <w:sz w:val="16"/>
        </w:rPr>
      </w:pPr>
      <w:r w:rsidRPr="00456793">
        <w:rPr>
          <w:rFonts w:ascii="Arial" w:hAnsi="Arial"/>
          <w:i/>
          <w:sz w:val="16"/>
        </w:rPr>
        <w:t>Note:</w:t>
      </w:r>
      <w:r w:rsidRPr="00456793">
        <w:rPr>
          <w:rFonts w:ascii="Arial" w:hAnsi="Arial"/>
          <w:sz w:val="16"/>
        </w:rPr>
        <w:t xml:space="preserve"> </w:t>
      </w:r>
      <w:r w:rsidR="00AE13AC">
        <w:rPr>
          <w:rFonts w:ascii="Arial" w:hAnsi="Arial"/>
          <w:sz w:val="16"/>
        </w:rPr>
        <w:t>SEE programme</w:t>
      </w:r>
      <w:r w:rsidRPr="00456793">
        <w:rPr>
          <w:rFonts w:ascii="Arial" w:hAnsi="Arial"/>
          <w:sz w:val="16"/>
        </w:rPr>
        <w:t xml:space="preserve"> clients that commenced training in 2010-11 </w:t>
      </w:r>
      <w:r w:rsidR="007C2932">
        <w:rPr>
          <w:rFonts w:ascii="Arial" w:hAnsi="Arial"/>
          <w:sz w:val="16"/>
        </w:rPr>
        <w:t>to</w:t>
      </w:r>
      <w:r w:rsidRPr="00456793">
        <w:rPr>
          <w:rFonts w:ascii="Arial" w:hAnsi="Arial"/>
          <w:sz w:val="16"/>
        </w:rPr>
        <w:t xml:space="preserve"> 2013-14.</w:t>
      </w:r>
    </w:p>
    <w:p w14:paraId="0C1BD08C" w14:textId="1ED7189F" w:rsidR="00456793" w:rsidRPr="00456793" w:rsidRDefault="00456793" w:rsidP="00456793">
      <w:pPr>
        <w:pBdr>
          <w:bottom w:val="single" w:sz="2" w:space="1" w:color="C0C0C0"/>
        </w:pBdr>
        <w:spacing w:before="40" w:after="60" w:line="180" w:lineRule="exact"/>
        <w:rPr>
          <w:rFonts w:ascii="Arial" w:hAnsi="Arial"/>
          <w:i/>
          <w:sz w:val="16"/>
          <w:szCs w:val="14"/>
          <w:lang w:eastAsia="en-AU"/>
        </w:rPr>
      </w:pPr>
      <w:r w:rsidRPr="00CF544E">
        <w:rPr>
          <w:rFonts w:ascii="Arial" w:hAnsi="Arial"/>
          <w:sz w:val="16"/>
          <w:szCs w:val="14"/>
          <w:lang w:eastAsia="en-AU"/>
        </w:rPr>
        <w:t>Source:</w:t>
      </w:r>
      <w:r w:rsidRPr="00456793">
        <w:rPr>
          <w:rFonts w:ascii="Arial" w:hAnsi="Arial"/>
          <w:sz w:val="16"/>
          <w:szCs w:val="14"/>
          <w:lang w:eastAsia="en-AU"/>
        </w:rPr>
        <w:t xml:space="preserve"> </w:t>
      </w:r>
      <w:r w:rsidR="00AE13AC">
        <w:rPr>
          <w:rFonts w:ascii="Arial" w:hAnsi="Arial"/>
          <w:sz w:val="16"/>
          <w:szCs w:val="14"/>
          <w:lang w:eastAsia="en-AU"/>
        </w:rPr>
        <w:t>SEE programme</w:t>
      </w:r>
      <w:r w:rsidR="00CF544E" w:rsidRPr="00CF544E">
        <w:rPr>
          <w:rFonts w:ascii="Arial" w:hAnsi="Arial"/>
          <w:sz w:val="16"/>
          <w:szCs w:val="14"/>
          <w:lang w:eastAsia="en-AU"/>
        </w:rPr>
        <w:t xml:space="preserve"> </w:t>
      </w:r>
      <w:r w:rsidR="007D43E3">
        <w:rPr>
          <w:rFonts w:ascii="Arial" w:hAnsi="Arial"/>
          <w:sz w:val="16"/>
          <w:szCs w:val="14"/>
          <w:lang w:eastAsia="en-AU"/>
        </w:rPr>
        <w:t>dataset</w:t>
      </w:r>
    </w:p>
    <w:p w14:paraId="221C3E1D" w14:textId="68F06B48" w:rsidR="00AB5ECF" w:rsidRPr="008E4B82" w:rsidRDefault="00AB5ECF" w:rsidP="008B04E9">
      <w:pPr>
        <w:pStyle w:val="BodyText"/>
      </w:pPr>
      <w:r w:rsidRPr="00144EC5">
        <w:t xml:space="preserve">Based on these statistics, the clear conclusion is that there is </w:t>
      </w:r>
      <w:r w:rsidR="0067680A" w:rsidRPr="00144EC5">
        <w:t xml:space="preserve">likely to be </w:t>
      </w:r>
      <w:r w:rsidRPr="00F67D34">
        <w:t xml:space="preserve">a significant cohort that are eligible for both </w:t>
      </w:r>
      <w:r w:rsidR="00A20395">
        <w:t>the AMEP</w:t>
      </w:r>
      <w:r w:rsidRPr="00F67D34">
        <w:t xml:space="preserve"> and </w:t>
      </w:r>
      <w:r w:rsidR="00022AF6">
        <w:t>the SEE programme</w:t>
      </w:r>
      <w:r w:rsidRPr="00F67D34">
        <w:t xml:space="preserve">. For many of these clients, the training for language and literacy in </w:t>
      </w:r>
      <w:r w:rsidR="00A20395">
        <w:t>the AMEP</w:t>
      </w:r>
      <w:r w:rsidRPr="00F67D34">
        <w:t xml:space="preserve"> would set the foundation for further development in the </w:t>
      </w:r>
      <w:r w:rsidR="00AE13AC">
        <w:t>SEE programme</w:t>
      </w:r>
      <w:r w:rsidRPr="00F67D34">
        <w:t>.</w:t>
      </w:r>
    </w:p>
    <w:p w14:paraId="30879B4E" w14:textId="2F7EAE23" w:rsidR="0067680A" w:rsidRPr="008E4B82" w:rsidRDefault="0067680A" w:rsidP="008B04E9">
      <w:pPr>
        <w:pStyle w:val="BodyText"/>
      </w:pPr>
      <w:r w:rsidRPr="00144EC5">
        <w:t xml:space="preserve">Given that the participants in </w:t>
      </w:r>
      <w:r w:rsidR="00A20395">
        <w:t>the AMEP</w:t>
      </w:r>
      <w:r w:rsidRPr="00144EC5">
        <w:t xml:space="preserve"> and </w:t>
      </w:r>
      <w:r w:rsidR="00022AF6">
        <w:t>the SEE programme</w:t>
      </w:r>
      <w:r w:rsidRPr="00144EC5">
        <w:t xml:space="preserve"> share common needs (in terms of language and literacy needs) and common characteristics (coming from a CALD and/or non-English speaking background)</w:t>
      </w:r>
      <w:r w:rsidR="007E34E5" w:rsidRPr="00144EC5">
        <w:t xml:space="preserve"> the implications are that:</w:t>
      </w:r>
    </w:p>
    <w:p w14:paraId="5D5DBEB9" w14:textId="22271772" w:rsidR="007E34E5" w:rsidRDefault="007C2932" w:rsidP="007E34E5">
      <w:pPr>
        <w:pStyle w:val="ListDash"/>
      </w:pPr>
      <w:r>
        <w:t>t</w:t>
      </w:r>
      <w:r w:rsidR="007E34E5">
        <w:t xml:space="preserve">he participants in both </w:t>
      </w:r>
      <w:r w:rsidR="00A20395">
        <w:t>the AMEP</w:t>
      </w:r>
      <w:r w:rsidR="007E34E5">
        <w:t xml:space="preserve"> and </w:t>
      </w:r>
      <w:r w:rsidR="00022AF6">
        <w:t>the SEE programme</w:t>
      </w:r>
      <w:r w:rsidR="007E34E5">
        <w:t xml:space="preserve"> will share </w:t>
      </w:r>
      <w:r w:rsidR="00305735">
        <w:t xml:space="preserve">some </w:t>
      </w:r>
      <w:r w:rsidR="007E34E5">
        <w:t>common educational needs and face similar barriers to learning</w:t>
      </w:r>
      <w:r w:rsidR="00DE3D92">
        <w:t>.</w:t>
      </w:r>
    </w:p>
    <w:p w14:paraId="706AB2AB" w14:textId="61E5C3BD" w:rsidR="007E34E5" w:rsidRDefault="007C2932" w:rsidP="007E34E5">
      <w:pPr>
        <w:pStyle w:val="ListDash"/>
      </w:pPr>
      <w:r>
        <w:t>t</w:t>
      </w:r>
      <w:r w:rsidR="007E34E5">
        <w:t xml:space="preserve">he providers serving </w:t>
      </w:r>
      <w:r w:rsidR="00305735">
        <w:t xml:space="preserve">some of </w:t>
      </w:r>
      <w:r w:rsidR="007E34E5">
        <w:t xml:space="preserve">these clients in common will need to have similar skills, capabilities and strategies to meet the needs of these </w:t>
      </w:r>
      <w:r w:rsidR="0092139F">
        <w:t>client</w:t>
      </w:r>
      <w:r w:rsidR="007E34E5">
        <w:t>s</w:t>
      </w:r>
      <w:r w:rsidR="00DE3D92">
        <w:t>.</w:t>
      </w:r>
    </w:p>
    <w:p w14:paraId="485546CD" w14:textId="7F04FD53" w:rsidR="007E34E5" w:rsidRDefault="007C2932" w:rsidP="007E34E5">
      <w:pPr>
        <w:pStyle w:val="ListDash"/>
      </w:pPr>
      <w:r>
        <w:t>a</w:t>
      </w:r>
      <w:r w:rsidR="00E66A8D">
        <w:t xml:space="preserve"> significant proportion of enrolments in either programme will be the result of transitions </w:t>
      </w:r>
      <w:r w:rsidR="00C6013B">
        <w:t xml:space="preserve">from </w:t>
      </w:r>
      <w:r w:rsidR="00E66A8D">
        <w:t xml:space="preserve">one programme to the other (discussed </w:t>
      </w:r>
      <w:r w:rsidR="00C6013B">
        <w:t xml:space="preserve">further </w:t>
      </w:r>
      <w:r w:rsidR="00E66A8D">
        <w:t xml:space="preserve">in Section </w:t>
      </w:r>
      <w:r w:rsidR="00E66A8D">
        <w:fldChar w:fldCharType="begin"/>
      </w:r>
      <w:r w:rsidR="00E66A8D">
        <w:instrText xml:space="preserve"> REF _Ref408406226 \r \h </w:instrText>
      </w:r>
      <w:r w:rsidR="00E66A8D">
        <w:fldChar w:fldCharType="separate"/>
      </w:r>
      <w:r w:rsidR="00902F05">
        <w:t>3.3</w:t>
      </w:r>
      <w:r w:rsidR="00E66A8D">
        <w:fldChar w:fldCharType="end"/>
      </w:r>
      <w:r w:rsidR="00E66A8D">
        <w:t xml:space="preserve">). </w:t>
      </w:r>
      <w:r w:rsidR="00106A36">
        <w:br/>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AB5ECF" w14:paraId="6CAABE2E" w14:textId="77777777" w:rsidTr="0014604C">
        <w:tc>
          <w:tcPr>
            <w:tcW w:w="5000" w:type="pct"/>
            <w:shd w:val="pct12" w:color="auto" w:fill="auto"/>
          </w:tcPr>
          <w:p w14:paraId="0A8A09E8" w14:textId="77777777" w:rsidR="00AB5ECF" w:rsidRDefault="00AB5ECF" w:rsidP="0014604C">
            <w:pPr>
              <w:pStyle w:val="Caption"/>
              <w:spacing w:before="120" w:after="60"/>
              <w:ind w:left="1112" w:hanging="1112"/>
              <w:rPr>
                <w:rFonts w:ascii="Arial Bold" w:hAnsi="Arial Bold"/>
                <w:color w:val="000080"/>
              </w:rPr>
            </w:pPr>
            <w:r>
              <w:t xml:space="preserve">Key Finding </w:t>
            </w:r>
            <w:r w:rsidR="00902F05">
              <w:fldChar w:fldCharType="begin"/>
            </w:r>
            <w:r w:rsidR="00902F05">
              <w:instrText xml:space="preserve"> SEQ Key_Finding \* ARABIC </w:instrText>
            </w:r>
            <w:r w:rsidR="00902F05">
              <w:fldChar w:fldCharType="separate"/>
            </w:r>
            <w:r w:rsidR="00902F05">
              <w:rPr>
                <w:noProof/>
              </w:rPr>
              <w:t>4</w:t>
            </w:r>
            <w:r w:rsidR="00902F05">
              <w:rPr>
                <w:noProof/>
              </w:rPr>
              <w:fldChar w:fldCharType="end"/>
            </w:r>
          </w:p>
        </w:tc>
      </w:tr>
      <w:tr w:rsidR="00AB5ECF" w14:paraId="3910F4ED" w14:textId="77777777" w:rsidTr="0014604C">
        <w:tc>
          <w:tcPr>
            <w:tcW w:w="5000" w:type="pct"/>
            <w:shd w:val="pct12" w:color="auto" w:fill="auto"/>
          </w:tcPr>
          <w:p w14:paraId="6D4ECDB0" w14:textId="03429677" w:rsidR="00573CE5" w:rsidRDefault="00E66A8D" w:rsidP="0014604C">
            <w:pPr>
              <w:pStyle w:val="BoxText"/>
            </w:pPr>
            <w:r>
              <w:t xml:space="preserve">The </w:t>
            </w:r>
            <w:r w:rsidR="00C6013B">
              <w:t>p</w:t>
            </w:r>
            <w:r>
              <w:t xml:space="preserve">articipants in </w:t>
            </w:r>
            <w:r w:rsidR="00A20395">
              <w:t>the AMEP</w:t>
            </w:r>
            <w:r>
              <w:t xml:space="preserve"> and </w:t>
            </w:r>
            <w:r w:rsidR="00022AF6">
              <w:t>the SEE programme</w:t>
            </w:r>
            <w:r>
              <w:t xml:space="preserve"> share </w:t>
            </w:r>
            <w:r w:rsidR="00EE336B">
              <w:t xml:space="preserve">many </w:t>
            </w:r>
            <w:r>
              <w:t>common needs and characteristics</w:t>
            </w:r>
            <w:r w:rsidR="00C6013B">
              <w:t>,</w:t>
            </w:r>
            <w:r>
              <w:t xml:space="preserve"> i</w:t>
            </w:r>
            <w:r w:rsidR="00573CE5">
              <w:t>n particular:</w:t>
            </w:r>
          </w:p>
          <w:p w14:paraId="0335D732" w14:textId="2E1DDF16" w:rsidR="00573CE5" w:rsidRDefault="00573CE5" w:rsidP="00573CE5">
            <w:pPr>
              <w:pStyle w:val="BoxListBullet"/>
            </w:pPr>
            <w:r>
              <w:t xml:space="preserve">Half of those commencing the </w:t>
            </w:r>
            <w:r w:rsidR="00AE13AC">
              <w:t>SEE programme</w:t>
            </w:r>
            <w:r>
              <w:t xml:space="preserve"> require an interpreter and</w:t>
            </w:r>
          </w:p>
          <w:p w14:paraId="438D4F30" w14:textId="77777777" w:rsidR="00AB5ECF" w:rsidRDefault="00573CE5" w:rsidP="00573CE5">
            <w:pPr>
              <w:pStyle w:val="BoxListBullet"/>
            </w:pPr>
            <w:r>
              <w:t>T</w:t>
            </w:r>
            <w:r w:rsidR="00AB5ECF">
              <w:t>he proportion of overseas born CALD participants in the SEE programme (68 per cent) is far higher than the proportion represented in the general population (16 per cent) nationally.</w:t>
            </w:r>
          </w:p>
          <w:p w14:paraId="1F23BCDC" w14:textId="77777777" w:rsidR="00AB5ECF" w:rsidRPr="00090BC6" w:rsidRDefault="00AB5ECF" w:rsidP="0014604C">
            <w:pPr>
              <w:pStyle w:val="SmallDeltasRightAligned"/>
            </w:pPr>
            <w:r w:rsidRPr="00090BC6">
              <w:rPr>
                <w:noProof/>
                <w:lang w:eastAsia="en-AU"/>
              </w:rPr>
              <w:drawing>
                <wp:inline distT="0" distB="0" distL="0" distR="0" wp14:anchorId="273B7FFA" wp14:editId="30A95397">
                  <wp:extent cx="481585" cy="2346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AB5ECF" w14:paraId="06D37392" w14:textId="77777777" w:rsidTr="0014604C">
        <w:trPr>
          <w:trHeight w:hRule="exact" w:val="80"/>
        </w:trPr>
        <w:tc>
          <w:tcPr>
            <w:tcW w:w="5000" w:type="pct"/>
            <w:shd w:val="pct12" w:color="auto" w:fill="auto"/>
          </w:tcPr>
          <w:p w14:paraId="5A90F9FE" w14:textId="77777777" w:rsidR="00AB5ECF" w:rsidRDefault="00AB5ECF" w:rsidP="0014604C">
            <w:pPr>
              <w:spacing w:before="160"/>
            </w:pPr>
            <w:r>
              <w:t xml:space="preserve"> </w:t>
            </w:r>
          </w:p>
        </w:tc>
      </w:tr>
    </w:tbl>
    <w:p w14:paraId="790569E6" w14:textId="77777777" w:rsidR="007E34E5" w:rsidRDefault="00AB5ECF" w:rsidP="00843CBD">
      <w:pPr>
        <w:pStyle w:val="Heading2"/>
      </w:pPr>
      <w:bookmarkStart w:id="32" w:name="_Toc420078537"/>
      <w:r>
        <w:t>Gender and age profile</w:t>
      </w:r>
      <w:bookmarkEnd w:id="32"/>
      <w:r>
        <w:t xml:space="preserve"> </w:t>
      </w:r>
    </w:p>
    <w:p w14:paraId="5FBC8FCB" w14:textId="63B439FA" w:rsidR="005A278C" w:rsidRDefault="0014604C" w:rsidP="007E34E5">
      <w:pPr>
        <w:pStyle w:val="BodyText"/>
      </w:pPr>
      <w:r>
        <w:t xml:space="preserve">The following figure presents the gender mix of the various sub-groups of AMEP and </w:t>
      </w:r>
      <w:r w:rsidR="00022AF6">
        <w:t>SEE programme</w:t>
      </w:r>
      <w:r>
        <w:t xml:space="preserve"> participants. </w:t>
      </w:r>
    </w:p>
    <w:p w14:paraId="5FE546AC" w14:textId="521F535A" w:rsidR="005A278C" w:rsidRDefault="005A278C" w:rsidP="0014604C">
      <w:pPr>
        <w:pStyle w:val="BodyText"/>
      </w:pPr>
      <w:r>
        <w:t>I</w:t>
      </w:r>
      <w:r w:rsidR="0014604C">
        <w:t>n 2013-14</w:t>
      </w:r>
      <w:r>
        <w:t>, a</w:t>
      </w:r>
      <w:r w:rsidRPr="005A278C">
        <w:t>round 63 per cent of AMEP enrolment</w:t>
      </w:r>
      <w:r>
        <w:t>s</w:t>
      </w:r>
      <w:r w:rsidRPr="005A278C">
        <w:t xml:space="preserve"> </w:t>
      </w:r>
      <w:r>
        <w:t>we</w:t>
      </w:r>
      <w:r w:rsidRPr="005A278C">
        <w:t>re women</w:t>
      </w:r>
      <w:r w:rsidR="00EB1B34">
        <w:t xml:space="preserve"> </w:t>
      </w:r>
      <w:r w:rsidR="00EB1B34" w:rsidRPr="009F7DCC">
        <w:t>(</w:t>
      </w:r>
      <w:r w:rsidR="00EB1B34" w:rsidRPr="00DF5EB3">
        <w:fldChar w:fldCharType="begin"/>
      </w:r>
      <w:r w:rsidR="00EB1B34" w:rsidRPr="00DF5EB3">
        <w:instrText xml:space="preserve"> REF _Ref408305679 \h </w:instrText>
      </w:r>
      <w:r w:rsidR="0028096F" w:rsidRPr="00DF5EB3">
        <w:instrText xml:space="preserve"> \* MERGEFORMAT </w:instrText>
      </w:r>
      <w:r w:rsidR="00EB1B34" w:rsidRPr="00DF5EB3">
        <w:fldChar w:fldCharType="separate"/>
      </w:r>
      <w:r w:rsidR="00902F05" w:rsidRPr="00902F05">
        <w:rPr>
          <w:rFonts w:cs="Arial"/>
        </w:rPr>
        <w:t xml:space="preserve">Figure </w:t>
      </w:r>
      <w:r w:rsidR="00902F05" w:rsidRPr="00902F05">
        <w:rPr>
          <w:rFonts w:cs="Arial"/>
          <w:noProof/>
        </w:rPr>
        <w:t>6</w:t>
      </w:r>
      <w:r w:rsidR="00EB1B34" w:rsidRPr="00DF5EB3">
        <w:fldChar w:fldCharType="end"/>
      </w:r>
      <w:r w:rsidR="00EB1B34" w:rsidRPr="00DF5EB3">
        <w:t>)</w:t>
      </w:r>
      <w:r w:rsidRPr="00DF5EB3">
        <w:t xml:space="preserve">, </w:t>
      </w:r>
      <w:r w:rsidRPr="005A278C">
        <w:t>although each visa stream has a different gender composition</w:t>
      </w:r>
      <w:r w:rsidR="00C6013B">
        <w:t xml:space="preserve"> </w:t>
      </w:r>
      <w:r w:rsidR="00E66A8D">
        <w:t>(</w:t>
      </w:r>
      <w:r w:rsidR="00C6013B">
        <w:t>a</w:t>
      </w:r>
      <w:r w:rsidRPr="005A278C">
        <w:t xml:space="preserve">lmost three quarters of Family visa stream </w:t>
      </w:r>
      <w:r w:rsidRPr="005A278C">
        <w:lastRenderedPageBreak/>
        <w:t>enrolments are women, compared to 40 per cent of Humanitarian visa stream enrolments and 66 per cent of Skilled visa stream enrolments</w:t>
      </w:r>
      <w:r w:rsidR="00E66A8D">
        <w:t>)</w:t>
      </w:r>
      <w:r w:rsidRPr="005A278C">
        <w:t>.</w:t>
      </w:r>
    </w:p>
    <w:p w14:paraId="79D50BD9" w14:textId="3F2DFACE" w:rsidR="005A278C" w:rsidRDefault="00E66A8D" w:rsidP="0014604C">
      <w:pPr>
        <w:pStyle w:val="BodyText"/>
      </w:pPr>
      <w:r>
        <w:t xml:space="preserve">In the </w:t>
      </w:r>
      <w:r w:rsidR="00AE13AC">
        <w:t>SEE programme</w:t>
      </w:r>
      <w:r>
        <w:t xml:space="preserve">, </w:t>
      </w:r>
      <w:r w:rsidR="00C6013B">
        <w:t xml:space="preserve">a </w:t>
      </w:r>
      <w:r>
        <w:t xml:space="preserve">high proportion of female participants is also observed amongst the CALD cohort, with 67 </w:t>
      </w:r>
      <w:r w:rsidR="005A278C" w:rsidRPr="005D62FC">
        <w:t>per cent</w:t>
      </w:r>
      <w:r w:rsidR="005A278C">
        <w:t xml:space="preserve"> </w:t>
      </w:r>
      <w:r>
        <w:t xml:space="preserve">being </w:t>
      </w:r>
      <w:r w:rsidR="005A278C">
        <w:t>women</w:t>
      </w:r>
      <w:r w:rsidR="00EB1B34">
        <w:t xml:space="preserve"> (</w:t>
      </w:r>
      <w:r w:rsidR="00EB1B34">
        <w:fldChar w:fldCharType="begin"/>
      </w:r>
      <w:r w:rsidR="00EB1B34">
        <w:instrText xml:space="preserve"> REF _Ref408305679 \h </w:instrText>
      </w:r>
      <w:r w:rsidR="00DE3D92">
        <w:instrText xml:space="preserve"> \* MERGEFORMAT </w:instrText>
      </w:r>
      <w:r w:rsidR="00EB1B34">
        <w:fldChar w:fldCharType="separate"/>
      </w:r>
      <w:r w:rsidR="00902F05" w:rsidRPr="00902F05">
        <w:t>Figure 6</w:t>
      </w:r>
      <w:r w:rsidR="00EB1B34">
        <w:fldChar w:fldCharType="end"/>
      </w:r>
      <w:r w:rsidR="00EB1B34">
        <w:t>)</w:t>
      </w:r>
      <w:r w:rsidR="00C6013B">
        <w:t>.</w:t>
      </w:r>
      <w:r w:rsidR="00EB1B34">
        <w:t xml:space="preserve"> </w:t>
      </w:r>
      <w:r w:rsidR="00C6013B">
        <w:t>T</w:t>
      </w:r>
      <w:r w:rsidR="00EB1B34">
        <w:t xml:space="preserve">he non-CALD participants of </w:t>
      </w:r>
      <w:r w:rsidR="00022AF6">
        <w:t xml:space="preserve">the </w:t>
      </w:r>
      <w:r w:rsidR="00EB1B34">
        <w:t xml:space="preserve">SEE </w:t>
      </w:r>
      <w:r w:rsidR="00022AF6">
        <w:t xml:space="preserve">programme </w:t>
      </w:r>
      <w:r w:rsidR="00EB1B34">
        <w:t xml:space="preserve">are more consistent with the gender split of the broader Australian population with </w:t>
      </w:r>
      <w:r w:rsidR="00831761">
        <w:t>50</w:t>
      </w:r>
      <w:r w:rsidR="00EB1B34">
        <w:t xml:space="preserve"> per cent being female</w:t>
      </w:r>
      <w:r w:rsidR="005A278C">
        <w:t>.</w:t>
      </w:r>
    </w:p>
    <w:p w14:paraId="7D347C17" w14:textId="11F70BCB" w:rsidR="005A278C" w:rsidRPr="0014604C" w:rsidRDefault="005A278C" w:rsidP="0014604C">
      <w:pPr>
        <w:pStyle w:val="BodyText"/>
      </w:pPr>
      <w:r>
        <w:t xml:space="preserve">In the absence of detailed pathway data, it would appear that the higher proportion of female participants in </w:t>
      </w:r>
      <w:r w:rsidR="00A20395">
        <w:t>the AMEP</w:t>
      </w:r>
      <w:r>
        <w:t xml:space="preserve"> is to some extent mirrored in the higher proportion of female </w:t>
      </w:r>
      <w:r w:rsidR="00EB1B34">
        <w:t xml:space="preserve">CALD participants in </w:t>
      </w:r>
      <w:r w:rsidR="00022AF6">
        <w:t>the SEE programme</w:t>
      </w:r>
      <w:r w:rsidR="00EB1B34">
        <w:t xml:space="preserve">, which further reinforces the likely commonalities in </w:t>
      </w:r>
      <w:r w:rsidR="0092139F">
        <w:t>client</w:t>
      </w:r>
      <w:r w:rsidR="00EB1B34">
        <w:t xml:space="preserve"> educational needs.</w:t>
      </w:r>
    </w:p>
    <w:p w14:paraId="61896CB9" w14:textId="567F4EFE" w:rsidR="007C7460" w:rsidRPr="007C7460" w:rsidRDefault="007C7460" w:rsidP="007C7460">
      <w:pPr>
        <w:keepNext/>
        <w:spacing w:before="360" w:after="40"/>
        <w:ind w:left="-1701" w:hanging="993"/>
        <w:outlineLvl w:val="8"/>
        <w:rPr>
          <w:rFonts w:asciiTheme="majorHAnsi" w:hAnsiTheme="majorHAnsi" w:cs="Arial"/>
          <w:sz w:val="20"/>
        </w:rPr>
      </w:pPr>
      <w:bookmarkStart w:id="33" w:name="_Ref408305679"/>
      <w:bookmarkStart w:id="34" w:name="_Toc408084358"/>
      <w:bookmarkStart w:id="35" w:name="_Toc420078561"/>
      <w:r w:rsidRPr="007C7460">
        <w:rPr>
          <w:rFonts w:asciiTheme="majorHAnsi" w:hAnsiTheme="majorHAnsi" w:cs="Arial"/>
          <w:sz w:val="20"/>
        </w:rPr>
        <w:t xml:space="preserve">Figure </w:t>
      </w:r>
      <w:r w:rsidRPr="007C7460">
        <w:rPr>
          <w:rFonts w:asciiTheme="majorHAnsi" w:hAnsiTheme="majorHAnsi" w:cs="Arial"/>
          <w:sz w:val="20"/>
        </w:rPr>
        <w:fldChar w:fldCharType="begin"/>
      </w:r>
      <w:r w:rsidRPr="007C7460">
        <w:rPr>
          <w:rFonts w:asciiTheme="majorHAnsi" w:hAnsiTheme="majorHAnsi" w:cs="Arial"/>
          <w:sz w:val="20"/>
        </w:rPr>
        <w:instrText xml:space="preserve"> SEQ Figure \* ARABIC </w:instrText>
      </w:r>
      <w:r w:rsidRPr="007C7460">
        <w:rPr>
          <w:rFonts w:asciiTheme="majorHAnsi" w:hAnsiTheme="majorHAnsi" w:cs="Arial"/>
          <w:sz w:val="20"/>
        </w:rPr>
        <w:fldChar w:fldCharType="separate"/>
      </w:r>
      <w:r w:rsidR="00902F05">
        <w:rPr>
          <w:rFonts w:asciiTheme="majorHAnsi" w:hAnsiTheme="majorHAnsi" w:cs="Arial"/>
          <w:noProof/>
          <w:sz w:val="20"/>
        </w:rPr>
        <w:t>6</w:t>
      </w:r>
      <w:r w:rsidRPr="007C7460">
        <w:rPr>
          <w:rFonts w:asciiTheme="majorHAnsi" w:hAnsiTheme="majorHAnsi" w:cs="Arial"/>
          <w:noProof/>
          <w:sz w:val="20"/>
        </w:rPr>
        <w:fldChar w:fldCharType="end"/>
      </w:r>
      <w:bookmarkEnd w:id="33"/>
      <w:r w:rsidRPr="007C7460">
        <w:rPr>
          <w:rFonts w:asciiTheme="majorHAnsi" w:hAnsiTheme="majorHAnsi" w:cs="Arial"/>
          <w:b/>
          <w:color w:val="000080"/>
          <w:sz w:val="20"/>
        </w:rPr>
        <w:tab/>
      </w:r>
      <w:r w:rsidRPr="007C7460">
        <w:rPr>
          <w:rFonts w:asciiTheme="majorHAnsi" w:hAnsiTheme="majorHAnsi" w:cs="Arial"/>
          <w:b/>
          <w:sz w:val="20"/>
        </w:rPr>
        <w:t xml:space="preserve">Gender </w:t>
      </w:r>
      <w:r w:rsidR="00C6013B">
        <w:rPr>
          <w:rFonts w:asciiTheme="majorHAnsi" w:hAnsiTheme="majorHAnsi" w:cs="Arial"/>
          <w:b/>
          <w:sz w:val="20"/>
        </w:rPr>
        <w:t>balance</w:t>
      </w:r>
      <w:r w:rsidRPr="007C7460">
        <w:rPr>
          <w:rFonts w:asciiTheme="majorHAnsi" w:hAnsiTheme="majorHAnsi" w:cs="Arial"/>
          <w:b/>
          <w:sz w:val="20"/>
        </w:rPr>
        <w:t xml:space="preserve"> of </w:t>
      </w:r>
      <w:r w:rsidR="00A20395">
        <w:rPr>
          <w:rFonts w:asciiTheme="majorHAnsi" w:hAnsiTheme="majorHAnsi" w:cs="Arial"/>
          <w:b/>
          <w:sz w:val="20"/>
        </w:rPr>
        <w:t>the AMEP</w:t>
      </w:r>
      <w:r w:rsidR="008E513C">
        <w:rPr>
          <w:rFonts w:asciiTheme="majorHAnsi" w:hAnsiTheme="majorHAnsi" w:cs="Arial"/>
          <w:b/>
          <w:sz w:val="20"/>
        </w:rPr>
        <w:t xml:space="preserve"> and </w:t>
      </w:r>
      <w:r w:rsidRPr="007C7460">
        <w:rPr>
          <w:rFonts w:asciiTheme="majorHAnsi" w:hAnsiTheme="majorHAnsi" w:cs="Arial"/>
          <w:b/>
          <w:sz w:val="20"/>
        </w:rPr>
        <w:t xml:space="preserve">SEE </w:t>
      </w:r>
      <w:r w:rsidR="00AE13AC">
        <w:rPr>
          <w:rFonts w:asciiTheme="majorHAnsi" w:hAnsiTheme="majorHAnsi" w:cs="Arial"/>
          <w:b/>
          <w:sz w:val="20"/>
        </w:rPr>
        <w:t>p</w:t>
      </w:r>
      <w:r w:rsidRPr="007C7460">
        <w:rPr>
          <w:rFonts w:asciiTheme="majorHAnsi" w:hAnsiTheme="majorHAnsi" w:cs="Arial"/>
          <w:b/>
          <w:sz w:val="20"/>
        </w:rPr>
        <w:t xml:space="preserve">rogramme </w:t>
      </w:r>
      <w:bookmarkEnd w:id="34"/>
      <w:r w:rsidR="009E4FFA">
        <w:rPr>
          <w:rFonts w:asciiTheme="majorHAnsi" w:hAnsiTheme="majorHAnsi" w:cs="Arial"/>
          <w:b/>
          <w:sz w:val="20"/>
        </w:rPr>
        <w:t>clients</w:t>
      </w:r>
      <w:bookmarkEnd w:id="35"/>
    </w:p>
    <w:tbl>
      <w:tblPr>
        <w:tblW w:w="10065" w:type="dxa"/>
        <w:tblInd w:w="-269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3385"/>
        <w:gridCol w:w="3350"/>
        <w:gridCol w:w="3330"/>
      </w:tblGrid>
      <w:tr w:rsidR="007C7460" w:rsidRPr="007C7460" w14:paraId="1F75EC0C" w14:textId="77777777" w:rsidTr="0014604C">
        <w:trPr>
          <w:cantSplit/>
        </w:trPr>
        <w:tc>
          <w:tcPr>
            <w:tcW w:w="5000" w:type="pct"/>
            <w:gridSpan w:val="3"/>
          </w:tcPr>
          <w:p w14:paraId="701CE479" w14:textId="77777777" w:rsidR="007C7460" w:rsidRPr="007C7460" w:rsidRDefault="007C7460" w:rsidP="007C7460">
            <w:pPr>
              <w:keepNext/>
              <w:spacing w:before="0" w:after="0" w:line="240" w:lineRule="auto"/>
              <w:jc w:val="right"/>
            </w:pPr>
            <w:r w:rsidRPr="007C7460">
              <w:rPr>
                <w:noProof/>
                <w:lang w:eastAsia="en-AU"/>
              </w:rPr>
              <w:drawing>
                <wp:inline distT="0" distB="0" distL="0" distR="0" wp14:anchorId="6AF8A36A" wp14:editId="5FA2185C">
                  <wp:extent cx="481585" cy="2346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8E513C" w:rsidRPr="007C7460" w14:paraId="787B326E" w14:textId="77777777" w:rsidTr="0014604C">
        <w:tblPrEx>
          <w:tblCellMar>
            <w:left w:w="108" w:type="dxa"/>
            <w:right w:w="108" w:type="dxa"/>
          </w:tblCellMar>
        </w:tblPrEx>
        <w:trPr>
          <w:cantSplit/>
        </w:trPr>
        <w:tc>
          <w:tcPr>
            <w:tcW w:w="1682" w:type="pct"/>
          </w:tcPr>
          <w:p w14:paraId="09ED4607" w14:textId="77777777" w:rsidR="008E513C" w:rsidRPr="008B04E9" w:rsidRDefault="00E66A8D" w:rsidP="007C7460">
            <w:pPr>
              <w:keepNext/>
              <w:spacing w:before="60" w:line="240" w:lineRule="auto"/>
              <w:jc w:val="center"/>
              <w:rPr>
                <w:rFonts w:asciiTheme="minorHAnsi" w:hAnsiTheme="minorHAnsi"/>
                <w:b/>
                <w:noProof/>
                <w:sz w:val="18"/>
                <w:szCs w:val="20"/>
                <w:highlight w:val="yellow"/>
                <w:lang w:eastAsia="en-AU"/>
              </w:rPr>
            </w:pPr>
            <w:r w:rsidRPr="008B04E9">
              <w:rPr>
                <w:rFonts w:asciiTheme="minorHAnsi" w:hAnsiTheme="minorHAnsi"/>
                <w:b/>
                <w:noProof/>
                <w:sz w:val="18"/>
                <w:szCs w:val="20"/>
                <w:lang w:eastAsia="en-AU"/>
              </w:rPr>
              <w:t>AMEP participants</w:t>
            </w:r>
          </w:p>
        </w:tc>
        <w:tc>
          <w:tcPr>
            <w:tcW w:w="1664" w:type="pct"/>
          </w:tcPr>
          <w:p w14:paraId="6EA440D3" w14:textId="77777777" w:rsidR="008E513C" w:rsidRPr="008B04E9" w:rsidRDefault="00C6013B" w:rsidP="007D43E3">
            <w:pPr>
              <w:keepNext/>
              <w:spacing w:before="60" w:line="240" w:lineRule="auto"/>
              <w:ind w:left="284"/>
              <w:rPr>
                <w:rFonts w:asciiTheme="minorHAnsi" w:hAnsiTheme="minorHAnsi"/>
                <w:b/>
                <w:noProof/>
                <w:sz w:val="18"/>
                <w:szCs w:val="20"/>
                <w:lang w:eastAsia="en-AU"/>
              </w:rPr>
            </w:pPr>
            <w:r>
              <w:rPr>
                <w:rFonts w:asciiTheme="minorHAnsi" w:hAnsiTheme="minorHAnsi"/>
                <w:b/>
                <w:noProof/>
                <w:sz w:val="18"/>
                <w:szCs w:val="20"/>
                <w:lang w:eastAsia="en-AU"/>
              </w:rPr>
              <w:t xml:space="preserve">     </w:t>
            </w:r>
            <w:r w:rsidR="00E66A8D" w:rsidRPr="008B04E9">
              <w:rPr>
                <w:rFonts w:asciiTheme="minorHAnsi" w:hAnsiTheme="minorHAnsi"/>
                <w:b/>
                <w:noProof/>
                <w:sz w:val="18"/>
                <w:szCs w:val="20"/>
                <w:lang w:eastAsia="en-AU"/>
              </w:rPr>
              <w:t xml:space="preserve">SEE </w:t>
            </w:r>
            <w:r>
              <w:rPr>
                <w:rFonts w:asciiTheme="minorHAnsi" w:hAnsiTheme="minorHAnsi"/>
                <w:b/>
                <w:noProof/>
                <w:sz w:val="18"/>
                <w:szCs w:val="20"/>
                <w:lang w:eastAsia="en-AU"/>
              </w:rPr>
              <w:t xml:space="preserve">programme </w:t>
            </w:r>
            <w:r w:rsidR="00E66A8D" w:rsidRPr="008B04E9">
              <w:rPr>
                <w:rFonts w:asciiTheme="minorHAnsi" w:hAnsiTheme="minorHAnsi"/>
                <w:b/>
                <w:noProof/>
                <w:sz w:val="18"/>
                <w:szCs w:val="20"/>
                <w:lang w:eastAsia="en-AU"/>
              </w:rPr>
              <w:t>CALD clients</w:t>
            </w:r>
          </w:p>
        </w:tc>
        <w:tc>
          <w:tcPr>
            <w:tcW w:w="1654" w:type="pct"/>
          </w:tcPr>
          <w:p w14:paraId="2E57C707" w14:textId="77777777" w:rsidR="008E513C" w:rsidRPr="008B04E9" w:rsidRDefault="00E66A8D" w:rsidP="008E513C">
            <w:pPr>
              <w:keepNext/>
              <w:spacing w:before="60" w:line="240" w:lineRule="auto"/>
              <w:jc w:val="center"/>
              <w:rPr>
                <w:rFonts w:asciiTheme="minorHAnsi" w:hAnsiTheme="minorHAnsi"/>
                <w:b/>
                <w:noProof/>
                <w:sz w:val="18"/>
                <w:szCs w:val="20"/>
                <w:highlight w:val="yellow"/>
                <w:lang w:eastAsia="en-AU"/>
              </w:rPr>
            </w:pPr>
            <w:r w:rsidRPr="008B04E9">
              <w:rPr>
                <w:rFonts w:asciiTheme="minorHAnsi" w:hAnsiTheme="minorHAnsi"/>
                <w:b/>
                <w:noProof/>
                <w:sz w:val="18"/>
                <w:szCs w:val="20"/>
                <w:lang w:eastAsia="en-AU"/>
              </w:rPr>
              <w:t xml:space="preserve">SEE </w:t>
            </w:r>
            <w:r w:rsidR="00C6013B">
              <w:rPr>
                <w:rFonts w:asciiTheme="minorHAnsi" w:hAnsiTheme="minorHAnsi"/>
                <w:b/>
                <w:noProof/>
                <w:sz w:val="18"/>
                <w:szCs w:val="20"/>
                <w:lang w:eastAsia="en-AU"/>
              </w:rPr>
              <w:t xml:space="preserve">programme </w:t>
            </w:r>
            <w:r w:rsidRPr="008B04E9">
              <w:rPr>
                <w:rFonts w:asciiTheme="minorHAnsi" w:hAnsiTheme="minorHAnsi"/>
                <w:b/>
                <w:noProof/>
                <w:sz w:val="18"/>
                <w:szCs w:val="20"/>
                <w:lang w:eastAsia="en-AU"/>
              </w:rPr>
              <w:t>non-CALD clients</w:t>
            </w:r>
          </w:p>
        </w:tc>
      </w:tr>
      <w:tr w:rsidR="008E513C" w:rsidRPr="007C7460" w14:paraId="77D1D4DE" w14:textId="77777777" w:rsidTr="00E218CE">
        <w:tblPrEx>
          <w:tblCellMar>
            <w:left w:w="108" w:type="dxa"/>
            <w:right w:w="108" w:type="dxa"/>
          </w:tblCellMar>
        </w:tblPrEx>
        <w:trPr>
          <w:cantSplit/>
        </w:trPr>
        <w:tc>
          <w:tcPr>
            <w:tcW w:w="1682" w:type="pct"/>
          </w:tcPr>
          <w:p w14:paraId="294A8C77" w14:textId="77777777" w:rsidR="00E66A8D" w:rsidRDefault="009E56A8" w:rsidP="009E4FFA">
            <w:pPr>
              <w:keepNext/>
              <w:spacing w:before="60" w:line="240" w:lineRule="auto"/>
              <w:ind w:left="902" w:hanging="902"/>
              <w:jc w:val="center"/>
              <w:rPr>
                <w:noProof/>
                <w:sz w:val="18"/>
                <w:szCs w:val="20"/>
                <w:lang w:eastAsia="en-AU"/>
              </w:rPr>
            </w:pPr>
            <w:r>
              <w:rPr>
                <w:noProof/>
                <w:lang w:eastAsia="en-AU"/>
              </w:rPr>
              <w:drawing>
                <wp:inline distT="0" distB="0" distL="0" distR="0" wp14:anchorId="688D6F31" wp14:editId="7DB1A95D">
                  <wp:extent cx="2012315" cy="1857375"/>
                  <wp:effectExtent l="0" t="0" r="698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c>
          <w:tcPr>
            <w:tcW w:w="1664" w:type="pct"/>
          </w:tcPr>
          <w:p w14:paraId="2BFB774A" w14:textId="77777777" w:rsidR="008E513C" w:rsidRPr="007C7460" w:rsidRDefault="00E66A8D" w:rsidP="007C7460">
            <w:pPr>
              <w:keepNext/>
              <w:spacing w:before="60" w:line="240" w:lineRule="auto"/>
              <w:jc w:val="center"/>
              <w:rPr>
                <w:noProof/>
                <w:sz w:val="18"/>
                <w:szCs w:val="20"/>
                <w:lang w:eastAsia="en-AU"/>
              </w:rPr>
            </w:pPr>
            <w:r w:rsidRPr="008B04E9">
              <w:rPr>
                <w:noProof/>
                <w:sz w:val="18"/>
                <w:szCs w:val="20"/>
                <w:lang w:eastAsia="en-AU"/>
              </w:rPr>
              <w:drawing>
                <wp:inline distT="0" distB="0" distL="0" distR="0" wp14:anchorId="4458B265" wp14:editId="23BB5ECE">
                  <wp:extent cx="1990725" cy="185737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c>
          <w:tcPr>
            <w:tcW w:w="1654" w:type="pct"/>
          </w:tcPr>
          <w:p w14:paraId="691C255A" w14:textId="77777777" w:rsidR="008E513C" w:rsidRPr="007C7460" w:rsidRDefault="00E218CE" w:rsidP="008E513C">
            <w:pPr>
              <w:keepNext/>
              <w:spacing w:before="60" w:line="240" w:lineRule="auto"/>
              <w:jc w:val="center"/>
              <w:rPr>
                <w:noProof/>
                <w:sz w:val="18"/>
                <w:szCs w:val="20"/>
                <w:lang w:eastAsia="en-AU"/>
              </w:rPr>
            </w:pPr>
            <w:r>
              <w:rPr>
                <w:noProof/>
                <w:lang w:eastAsia="en-AU"/>
              </w:rPr>
              <w:drawing>
                <wp:inline distT="0" distB="0" distL="0" distR="0" wp14:anchorId="10738D8E" wp14:editId="585C6AE2">
                  <wp:extent cx="1977390" cy="1857375"/>
                  <wp:effectExtent l="0" t="0" r="381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bl>
    <w:p w14:paraId="47E04D6C" w14:textId="2765A136" w:rsidR="007C7460" w:rsidRPr="007C7460" w:rsidRDefault="007C7460" w:rsidP="007C7460">
      <w:pPr>
        <w:keepNext/>
        <w:keepLines/>
        <w:spacing w:before="40" w:after="0" w:line="180" w:lineRule="exact"/>
        <w:ind w:left="-2551"/>
        <w:rPr>
          <w:rFonts w:ascii="Arial" w:hAnsi="Arial"/>
          <w:sz w:val="16"/>
        </w:rPr>
      </w:pPr>
      <w:r w:rsidRPr="007C7460">
        <w:rPr>
          <w:rFonts w:ascii="Arial" w:hAnsi="Arial"/>
          <w:i/>
          <w:sz w:val="16"/>
        </w:rPr>
        <w:t>Note:</w:t>
      </w:r>
      <w:r w:rsidRPr="007C7460">
        <w:rPr>
          <w:rFonts w:ascii="Arial" w:hAnsi="Arial"/>
          <w:sz w:val="16"/>
        </w:rPr>
        <w:t xml:space="preserve"> </w:t>
      </w:r>
      <w:r w:rsidR="00DA79DC">
        <w:rPr>
          <w:rFonts w:ascii="Arial" w:hAnsi="Arial"/>
          <w:sz w:val="16"/>
        </w:rPr>
        <w:t xml:space="preserve">AMEP </w:t>
      </w:r>
      <w:r w:rsidR="009E56A8">
        <w:rPr>
          <w:rFonts w:ascii="Arial" w:hAnsi="Arial"/>
          <w:sz w:val="16"/>
        </w:rPr>
        <w:t xml:space="preserve">and </w:t>
      </w:r>
      <w:r w:rsidR="00AE13AC">
        <w:rPr>
          <w:rFonts w:ascii="Arial" w:hAnsi="Arial"/>
          <w:sz w:val="16"/>
        </w:rPr>
        <w:t>SEE programme</w:t>
      </w:r>
      <w:r w:rsidRPr="007C7460">
        <w:rPr>
          <w:rFonts w:ascii="Arial" w:hAnsi="Arial"/>
          <w:sz w:val="16"/>
        </w:rPr>
        <w:t xml:space="preserve"> clients that commenced training in 2010-11 </w:t>
      </w:r>
      <w:r w:rsidR="008836C5">
        <w:rPr>
          <w:rFonts w:ascii="Arial" w:hAnsi="Arial"/>
          <w:sz w:val="16"/>
        </w:rPr>
        <w:t xml:space="preserve">to </w:t>
      </w:r>
      <w:r w:rsidRPr="007C7460">
        <w:rPr>
          <w:rFonts w:ascii="Arial" w:hAnsi="Arial"/>
          <w:sz w:val="16"/>
        </w:rPr>
        <w:t>2013-14.</w:t>
      </w:r>
    </w:p>
    <w:p w14:paraId="0306FCFB" w14:textId="00E66C10" w:rsidR="007C7460" w:rsidRPr="007C7460" w:rsidRDefault="007C7460" w:rsidP="007C7460">
      <w:pPr>
        <w:pBdr>
          <w:bottom w:val="single" w:sz="2" w:space="1" w:color="C0C0C0"/>
        </w:pBdr>
        <w:spacing w:before="40" w:after="60" w:line="180" w:lineRule="exact"/>
        <w:ind w:left="-2551"/>
        <w:rPr>
          <w:rFonts w:ascii="Arial" w:hAnsi="Arial"/>
          <w:i/>
          <w:sz w:val="16"/>
          <w:szCs w:val="14"/>
          <w:lang w:eastAsia="en-AU"/>
        </w:rPr>
      </w:pPr>
      <w:r w:rsidRPr="00CF544E">
        <w:rPr>
          <w:rFonts w:ascii="Arial" w:hAnsi="Arial"/>
          <w:sz w:val="16"/>
          <w:szCs w:val="14"/>
          <w:lang w:eastAsia="en-AU"/>
        </w:rPr>
        <w:t>Source:</w:t>
      </w:r>
      <w:r w:rsidRPr="007C7460">
        <w:rPr>
          <w:rFonts w:ascii="Arial" w:hAnsi="Arial"/>
          <w:sz w:val="16"/>
          <w:szCs w:val="14"/>
          <w:lang w:eastAsia="en-AU"/>
        </w:rPr>
        <w:t xml:space="preserve"> </w:t>
      </w:r>
      <w:r w:rsidR="00CF544E" w:rsidRPr="00CF544E">
        <w:rPr>
          <w:rFonts w:ascii="Arial" w:hAnsi="Arial"/>
          <w:sz w:val="16"/>
          <w:szCs w:val="14"/>
          <w:lang w:eastAsia="en-AU"/>
        </w:rPr>
        <w:t xml:space="preserve">AMEP </w:t>
      </w:r>
      <w:r w:rsidR="007D43E3">
        <w:rPr>
          <w:rFonts w:ascii="Arial" w:hAnsi="Arial"/>
          <w:sz w:val="16"/>
          <w:szCs w:val="14"/>
          <w:lang w:eastAsia="en-AU"/>
        </w:rPr>
        <w:t>dataset</w:t>
      </w:r>
      <w:r w:rsidR="00CF544E" w:rsidRPr="00CF544E">
        <w:rPr>
          <w:rFonts w:ascii="Arial" w:hAnsi="Arial"/>
          <w:sz w:val="16"/>
          <w:szCs w:val="14"/>
          <w:lang w:eastAsia="en-AU"/>
        </w:rPr>
        <w:t xml:space="preserve"> and </w:t>
      </w:r>
      <w:r w:rsidR="00AE13AC">
        <w:rPr>
          <w:rFonts w:ascii="Arial" w:hAnsi="Arial"/>
          <w:sz w:val="16"/>
          <w:szCs w:val="14"/>
          <w:lang w:eastAsia="en-AU"/>
        </w:rPr>
        <w:t>SEE programme</w:t>
      </w:r>
      <w:r w:rsidR="00CF544E" w:rsidRPr="00CF544E">
        <w:rPr>
          <w:rFonts w:ascii="Arial" w:hAnsi="Arial"/>
          <w:sz w:val="16"/>
          <w:szCs w:val="14"/>
          <w:lang w:eastAsia="en-AU"/>
        </w:rPr>
        <w:t xml:space="preserve"> </w:t>
      </w:r>
      <w:r w:rsidR="007D43E3">
        <w:rPr>
          <w:rFonts w:ascii="Arial" w:hAnsi="Arial"/>
          <w:sz w:val="16"/>
          <w:szCs w:val="14"/>
          <w:lang w:eastAsia="en-AU"/>
        </w:rPr>
        <w:t>dataset</w:t>
      </w:r>
    </w:p>
    <w:p w14:paraId="3E23ED5E" w14:textId="41A3DF8F" w:rsidR="008E513C" w:rsidRDefault="005A278C" w:rsidP="008E513C">
      <w:pPr>
        <w:pStyle w:val="BodyText"/>
      </w:pPr>
      <w:r>
        <w:t xml:space="preserve">The age profiles of the AMEP and SEE </w:t>
      </w:r>
      <w:r w:rsidR="00AE13AC">
        <w:t>p</w:t>
      </w:r>
      <w:r>
        <w:t>rogramme are more distinct</w:t>
      </w:r>
      <w:r w:rsidR="008836C5">
        <w:t xml:space="preserve">, as shown </w:t>
      </w:r>
      <w:r>
        <w:t xml:space="preserve">in </w:t>
      </w:r>
      <w:r>
        <w:fldChar w:fldCharType="begin"/>
      </w:r>
      <w:r>
        <w:instrText xml:space="preserve"> REF _Ref408305970 \h </w:instrText>
      </w:r>
      <w:r>
        <w:fldChar w:fldCharType="separate"/>
      </w:r>
      <w:r w:rsidR="00902F05">
        <w:t xml:space="preserve">Figure </w:t>
      </w:r>
      <w:r w:rsidR="00902F05">
        <w:rPr>
          <w:noProof/>
        </w:rPr>
        <w:t>7</w:t>
      </w:r>
      <w:r>
        <w:fldChar w:fldCharType="end"/>
      </w:r>
      <w:r>
        <w:t>.</w:t>
      </w:r>
    </w:p>
    <w:p w14:paraId="0356143C" w14:textId="77777777" w:rsidR="00EB1B34" w:rsidRDefault="00EB1B34" w:rsidP="00EB1B34">
      <w:pPr>
        <w:pStyle w:val="ListDash"/>
      </w:pPr>
      <w:r>
        <w:t>The age profile of AMEP participants is skewed towards younger age cohorts, peaking at the 25 to 29 year old age group.</w:t>
      </w:r>
    </w:p>
    <w:p w14:paraId="1852E730" w14:textId="64D28593" w:rsidR="00EB1B34" w:rsidRDefault="00EB1B34" w:rsidP="00EB1B34">
      <w:pPr>
        <w:pStyle w:val="ListDash"/>
      </w:pPr>
      <w:r>
        <w:t xml:space="preserve">CALD participants in the </w:t>
      </w:r>
      <w:r w:rsidR="00AE13AC">
        <w:t>SEE programme</w:t>
      </w:r>
      <w:r>
        <w:t xml:space="preserve"> have a somewhat more even distribution across the age groups, peaking </w:t>
      </w:r>
      <w:r w:rsidR="008836C5">
        <w:t>in</w:t>
      </w:r>
      <w:r>
        <w:t xml:space="preserve"> the 40-44 year old age </w:t>
      </w:r>
      <w:r w:rsidR="008836C5">
        <w:t>bracket</w:t>
      </w:r>
      <w:r>
        <w:t>.</w:t>
      </w:r>
    </w:p>
    <w:p w14:paraId="3F7BE86A" w14:textId="12865AC3" w:rsidR="00EB1B34" w:rsidRDefault="00EB1B34" w:rsidP="00EB1B34">
      <w:pPr>
        <w:pStyle w:val="ListDash"/>
      </w:pPr>
      <w:r>
        <w:t xml:space="preserve">Non-CALD participants in the </w:t>
      </w:r>
      <w:r w:rsidR="00AE13AC">
        <w:t>SEE programme</w:t>
      </w:r>
      <w:r>
        <w:t xml:space="preserve"> </w:t>
      </w:r>
      <w:r w:rsidRPr="00192DAF">
        <w:t>exhibit</w:t>
      </w:r>
      <w:r>
        <w:t xml:space="preserve"> a significantly different distribution, with a large proportion of participants aged under 24 years of age.</w:t>
      </w:r>
    </w:p>
    <w:p w14:paraId="0F900B65" w14:textId="4754976C" w:rsidR="002E4B20" w:rsidRDefault="002E4B20" w:rsidP="002E4B20">
      <w:pPr>
        <w:pStyle w:val="Caption"/>
        <w:framePr w:w="9921" w:hSpace="181" w:wrap="notBeside" w:vAnchor="text" w:hAnchor="text" w:x="-2550" w:y="1"/>
      </w:pPr>
      <w:bookmarkStart w:id="36" w:name="_Ref408305970"/>
      <w:bookmarkStart w:id="37" w:name="_Toc420078562"/>
      <w:r>
        <w:lastRenderedPageBreak/>
        <w:t xml:space="preserve">Figure </w:t>
      </w:r>
      <w:r w:rsidR="00902F05">
        <w:fldChar w:fldCharType="begin"/>
      </w:r>
      <w:r w:rsidR="00902F05">
        <w:instrText xml:space="preserve"> SEQ Figure \*</w:instrText>
      </w:r>
      <w:r w:rsidR="00902F05">
        <w:instrText xml:space="preserve"> ARABIC </w:instrText>
      </w:r>
      <w:r w:rsidR="00902F05">
        <w:fldChar w:fldCharType="separate"/>
      </w:r>
      <w:r w:rsidR="00902F05">
        <w:rPr>
          <w:noProof/>
        </w:rPr>
        <w:t>7</w:t>
      </w:r>
      <w:r w:rsidR="00902F05">
        <w:rPr>
          <w:noProof/>
        </w:rPr>
        <w:fldChar w:fldCharType="end"/>
      </w:r>
      <w:bookmarkEnd w:id="36"/>
      <w:r w:rsidRPr="004E0C91">
        <w:rPr>
          <w:b/>
          <w:color w:val="000080"/>
        </w:rPr>
        <w:tab/>
      </w:r>
      <w:r w:rsidR="00237905" w:rsidRPr="00237905">
        <w:rPr>
          <w:b/>
        </w:rPr>
        <w:t xml:space="preserve">Age profile of AMEP and </w:t>
      </w:r>
      <w:r w:rsidR="00022AF6">
        <w:rPr>
          <w:b/>
        </w:rPr>
        <w:t>SEE programme</w:t>
      </w:r>
      <w:r w:rsidR="00237905" w:rsidRPr="00237905">
        <w:rPr>
          <w:b/>
        </w:rPr>
        <w:t xml:space="preserve"> clients</w:t>
      </w:r>
      <w:r w:rsidR="002C0E33">
        <w:rPr>
          <w:b/>
        </w:rPr>
        <w:t xml:space="preserve"> (2010-11 to 2013-14)</w:t>
      </w:r>
      <w:bookmarkEnd w:id="37"/>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4959"/>
        <w:gridCol w:w="4960"/>
      </w:tblGrid>
      <w:tr w:rsidR="002E4B20" w14:paraId="5A5F8D79" w14:textId="77777777" w:rsidTr="005D1CA5">
        <w:tc>
          <w:tcPr>
            <w:tcW w:w="5000" w:type="pct"/>
            <w:gridSpan w:val="2"/>
          </w:tcPr>
          <w:p w14:paraId="2411CFD9" w14:textId="77777777" w:rsidR="002E4B20" w:rsidRDefault="002E4B20" w:rsidP="002E4B20">
            <w:pPr>
              <w:pStyle w:val="SmallDeltasRightAligned"/>
              <w:keepNext/>
              <w:keepLines/>
              <w:framePr w:w="9921" w:hSpace="181" w:wrap="notBeside" w:vAnchor="text" w:hAnchor="text" w:x="-2550" w:y="1"/>
            </w:pPr>
            <w:r>
              <w:rPr>
                <w:noProof/>
                <w:lang w:eastAsia="en-AU"/>
              </w:rPr>
              <w:drawing>
                <wp:inline distT="0" distB="0" distL="0" distR="0" wp14:anchorId="6D260ADF" wp14:editId="677C0472">
                  <wp:extent cx="481585" cy="234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AB5ECF" w14:paraId="0F597E7B" w14:textId="77777777" w:rsidTr="00B14884">
        <w:tblPrEx>
          <w:tblCellMar>
            <w:left w:w="108" w:type="dxa"/>
            <w:right w:w="108" w:type="dxa"/>
          </w:tblCellMar>
        </w:tblPrEx>
        <w:tc>
          <w:tcPr>
            <w:tcW w:w="2500" w:type="pct"/>
          </w:tcPr>
          <w:p w14:paraId="1EC34C67" w14:textId="77777777" w:rsidR="00237905" w:rsidRPr="00237905" w:rsidRDefault="00237905" w:rsidP="002E4B20">
            <w:pPr>
              <w:pStyle w:val="Figure"/>
              <w:keepLines/>
              <w:framePr w:w="9921" w:hSpace="181" w:wrap="notBeside" w:vAnchor="text" w:hAnchor="text" w:x="-2550" w:y="1"/>
              <w:rPr>
                <w:b/>
              </w:rPr>
            </w:pPr>
            <w:r w:rsidRPr="00237905">
              <w:rPr>
                <w:b/>
              </w:rPr>
              <w:t>AMEP</w:t>
            </w:r>
            <w:r w:rsidR="009E4FFA">
              <w:rPr>
                <w:b/>
              </w:rPr>
              <w:t xml:space="preserve"> – all clients</w:t>
            </w:r>
          </w:p>
          <w:p w14:paraId="4556BF0B" w14:textId="77777777" w:rsidR="00AB5ECF" w:rsidRDefault="002C0E33" w:rsidP="002E4B20">
            <w:pPr>
              <w:pStyle w:val="Figure"/>
              <w:keepLines/>
              <w:framePr w:w="9921" w:hSpace="181" w:wrap="notBeside" w:vAnchor="text" w:hAnchor="text" w:x="-2550" w:y="1"/>
            </w:pPr>
            <w:r>
              <w:rPr>
                <w:noProof/>
                <w:lang w:eastAsia="en-AU"/>
              </w:rPr>
              <w:drawing>
                <wp:inline distT="0" distB="0" distL="0" distR="0" wp14:anchorId="1BC377F0" wp14:editId="1C4E28E4">
                  <wp:extent cx="3148642" cy="2735580"/>
                  <wp:effectExtent l="0" t="0" r="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c>
        <w:tc>
          <w:tcPr>
            <w:tcW w:w="2500" w:type="pct"/>
          </w:tcPr>
          <w:p w14:paraId="2BEBE89B" w14:textId="6FD9C886" w:rsidR="00237905" w:rsidRPr="00237905" w:rsidRDefault="00AE13AC" w:rsidP="002E4B20">
            <w:pPr>
              <w:pStyle w:val="Figure"/>
              <w:keepLines/>
              <w:framePr w:w="9921" w:hSpace="181" w:wrap="notBeside" w:vAnchor="text" w:hAnchor="text" w:x="-2550" w:y="1"/>
              <w:rPr>
                <w:b/>
              </w:rPr>
            </w:pPr>
            <w:r>
              <w:rPr>
                <w:b/>
              </w:rPr>
              <w:t>SEE programme</w:t>
            </w:r>
            <w:r w:rsidR="009E4FFA">
              <w:rPr>
                <w:b/>
              </w:rPr>
              <w:t xml:space="preserve"> – clients by CALD status</w:t>
            </w:r>
          </w:p>
          <w:p w14:paraId="14475375" w14:textId="77777777" w:rsidR="00AB5ECF" w:rsidRDefault="00B14884" w:rsidP="002E4B20">
            <w:pPr>
              <w:pStyle w:val="Figure"/>
              <w:keepLines/>
              <w:framePr w:w="9921" w:hSpace="181" w:wrap="notBeside" w:vAnchor="text" w:hAnchor="text" w:x="-2550" w:y="1"/>
            </w:pPr>
            <w:r>
              <w:rPr>
                <w:noProof/>
                <w:lang w:eastAsia="en-AU"/>
              </w:rPr>
              <w:drawing>
                <wp:inline distT="0" distB="0" distL="0" distR="0" wp14:anchorId="18EDA1BC" wp14:editId="6745BD11">
                  <wp:extent cx="3157268" cy="2735580"/>
                  <wp:effectExtent l="0" t="0" r="5080" b="76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bl>
    <w:p w14:paraId="7755F964" w14:textId="10EEBFE2" w:rsidR="002E4B20" w:rsidRPr="00AE6C4B" w:rsidRDefault="002E4B20" w:rsidP="002E4B20">
      <w:pPr>
        <w:pStyle w:val="Source"/>
        <w:framePr w:w="9921" w:hSpace="181" w:wrap="notBeside" w:vAnchor="text" w:hAnchor="text" w:x="-2550" w:y="1"/>
      </w:pPr>
      <w:r w:rsidRPr="00CF544E">
        <w:t>Source:</w:t>
      </w:r>
      <w:r w:rsidRPr="00954EED">
        <w:t xml:space="preserve"> </w:t>
      </w:r>
      <w:r w:rsidR="00CF544E" w:rsidRPr="00CF544E">
        <w:t xml:space="preserve">AMEP </w:t>
      </w:r>
      <w:r w:rsidR="007D43E3">
        <w:t>dataset</w:t>
      </w:r>
      <w:r w:rsidR="00CF544E" w:rsidRPr="00CF544E">
        <w:t xml:space="preserve"> and </w:t>
      </w:r>
      <w:r w:rsidR="00B04A46">
        <w:t>SEE programme</w:t>
      </w:r>
      <w:r w:rsidR="00CF544E" w:rsidRPr="00CF544E">
        <w:t xml:space="preserve"> </w:t>
      </w:r>
      <w:r w:rsidR="007D43E3">
        <w:t>dataset</w:t>
      </w:r>
    </w:p>
    <w:p w14:paraId="384D60D2" w14:textId="2C04BABA" w:rsidR="009E4FFA" w:rsidRDefault="009E4FFA" w:rsidP="009E4FFA">
      <w:pPr>
        <w:pStyle w:val="BodyText"/>
      </w:pPr>
      <w:r>
        <w:t xml:space="preserve">The data on age distribution further suggests </w:t>
      </w:r>
      <w:r w:rsidR="008E326E">
        <w:t xml:space="preserve">CALD </w:t>
      </w:r>
      <w:r>
        <w:t xml:space="preserve">clients undertake </w:t>
      </w:r>
      <w:r w:rsidR="00A20395">
        <w:t>the AMEP</w:t>
      </w:r>
      <w:r>
        <w:t xml:space="preserve"> before moving on to the </w:t>
      </w:r>
      <w:r w:rsidR="00AE13AC">
        <w:t>SEE programme</w:t>
      </w:r>
      <w:r w:rsidR="008836C5">
        <w:t xml:space="preserve">, </w:t>
      </w:r>
      <w:r>
        <w:t xml:space="preserve">when they subsequently become an eligible job seeker. More importantly, it shows a distinct age pattern whereby the age distribution of clients in </w:t>
      </w:r>
      <w:r w:rsidR="00A20395">
        <w:t>the AMEP</w:t>
      </w:r>
      <w:r w:rsidR="008836C5">
        <w:t xml:space="preserve">, along with </w:t>
      </w:r>
      <w:r>
        <w:t xml:space="preserve">CALD clients in </w:t>
      </w:r>
      <w:r w:rsidR="00022AF6">
        <w:t>the SEE programme</w:t>
      </w:r>
      <w:r w:rsidR="008836C5">
        <w:t>,</w:t>
      </w:r>
      <w:r>
        <w:t xml:space="preserve"> </w:t>
      </w:r>
      <w:r w:rsidR="008836C5">
        <w:t xml:space="preserve">is </w:t>
      </w:r>
      <w:r>
        <w:t>similar and substantially different from the highly youth</w:t>
      </w:r>
      <w:r w:rsidR="00A42C43">
        <w:noBreakHyphen/>
      </w:r>
      <w:r>
        <w:t xml:space="preserve">oriented non-CALD clients in </w:t>
      </w:r>
      <w:r w:rsidR="00022AF6">
        <w:t>the SEE programme</w:t>
      </w:r>
      <w:r>
        <w:t xml:space="preserve">. As discussed in the </w:t>
      </w:r>
      <w:r w:rsidR="00492999">
        <w:t>SEE P</w:t>
      </w:r>
      <w:r w:rsidR="00AE13AC">
        <w:t>rogramme</w:t>
      </w:r>
      <w:r w:rsidR="00A42C43">
        <w:t xml:space="preserve"> </w:t>
      </w:r>
      <w:r>
        <w:t xml:space="preserve">Evaluation Report, this would indicate that the </w:t>
      </w:r>
      <w:r w:rsidR="00AE13AC">
        <w:t>SEE programme</w:t>
      </w:r>
      <w:r>
        <w:t xml:space="preserve"> comprises a large proportion of Australian born school</w:t>
      </w:r>
      <w:r w:rsidR="00A42C43">
        <w:noBreakHyphen/>
      </w:r>
      <w:r>
        <w:t xml:space="preserve">age and youth cohorts </w:t>
      </w:r>
      <w:r w:rsidR="00A42C43">
        <w:t xml:space="preserve">as </w:t>
      </w:r>
      <w:r>
        <w:t xml:space="preserve">distinct </w:t>
      </w:r>
      <w:r w:rsidR="00A42C43">
        <w:t xml:space="preserve">from </w:t>
      </w:r>
      <w:r>
        <w:t xml:space="preserve">the older age CALD participants in </w:t>
      </w:r>
      <w:r w:rsidR="00022AF6">
        <w:t>the SEE programme</w:t>
      </w:r>
      <w:r>
        <w:t xml:space="preserve"> and </w:t>
      </w:r>
      <w:r w:rsidR="00A20395">
        <w:t>the AMEP</w:t>
      </w:r>
      <w:r>
        <w:t>.</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9E4FFA" w14:paraId="0495DB0B" w14:textId="77777777" w:rsidTr="00152392">
        <w:tc>
          <w:tcPr>
            <w:tcW w:w="5000" w:type="pct"/>
            <w:shd w:val="pct12" w:color="auto" w:fill="auto"/>
          </w:tcPr>
          <w:p w14:paraId="0B883CEC" w14:textId="77777777" w:rsidR="009E4FFA" w:rsidRDefault="009E4FFA" w:rsidP="00152392">
            <w:pPr>
              <w:pStyle w:val="Caption"/>
              <w:spacing w:before="120" w:after="60"/>
              <w:ind w:left="1112" w:hanging="1112"/>
              <w:rPr>
                <w:rFonts w:ascii="Arial Bold" w:hAnsi="Arial Bold"/>
                <w:color w:val="000080"/>
              </w:rPr>
            </w:pPr>
            <w:r>
              <w:t xml:space="preserve">Key Finding </w:t>
            </w:r>
            <w:r w:rsidR="00902F05">
              <w:fldChar w:fldCharType="begin"/>
            </w:r>
            <w:r w:rsidR="00902F05">
              <w:instrText xml:space="preserve"> SEQ Key_Finding \* ARABIC </w:instrText>
            </w:r>
            <w:r w:rsidR="00902F05">
              <w:fldChar w:fldCharType="separate"/>
            </w:r>
            <w:r w:rsidR="00902F05">
              <w:rPr>
                <w:noProof/>
              </w:rPr>
              <w:t>5</w:t>
            </w:r>
            <w:r w:rsidR="00902F05">
              <w:rPr>
                <w:noProof/>
              </w:rPr>
              <w:fldChar w:fldCharType="end"/>
            </w:r>
          </w:p>
        </w:tc>
      </w:tr>
      <w:tr w:rsidR="009E4FFA" w14:paraId="7DC9A7C5" w14:textId="77777777" w:rsidTr="00152392">
        <w:tc>
          <w:tcPr>
            <w:tcW w:w="5000" w:type="pct"/>
            <w:shd w:val="pct12" w:color="auto" w:fill="auto"/>
          </w:tcPr>
          <w:p w14:paraId="0400D60B" w14:textId="5371FA57" w:rsidR="009E4FFA" w:rsidRDefault="009E4FFA" w:rsidP="00152392">
            <w:pPr>
              <w:pStyle w:val="BoxText"/>
            </w:pPr>
            <w:r>
              <w:t>The age and gender profile</w:t>
            </w:r>
            <w:r w:rsidR="00BD1686">
              <w:t>s</w:t>
            </w:r>
            <w:r>
              <w:t xml:space="preserve"> of CALD participants in </w:t>
            </w:r>
            <w:r w:rsidR="00022AF6">
              <w:t>the SEE programme</w:t>
            </w:r>
            <w:r>
              <w:t xml:space="preserve"> have more in common with the profile of participants in </w:t>
            </w:r>
            <w:r w:rsidR="00BD1686">
              <w:t xml:space="preserve">the </w:t>
            </w:r>
            <w:r>
              <w:t>AMEP</w:t>
            </w:r>
            <w:r w:rsidR="00BD1686">
              <w:t xml:space="preserve"> than</w:t>
            </w:r>
            <w:r>
              <w:t xml:space="preserve"> </w:t>
            </w:r>
            <w:r w:rsidR="00BD1686">
              <w:t xml:space="preserve">with </w:t>
            </w:r>
            <w:r>
              <w:t xml:space="preserve">non-CALD participants within </w:t>
            </w:r>
            <w:r w:rsidR="00022AF6">
              <w:t>the SEE programme</w:t>
            </w:r>
            <w:r>
              <w:t>.</w:t>
            </w:r>
          </w:p>
          <w:p w14:paraId="2F201B72" w14:textId="77777777" w:rsidR="009E4FFA" w:rsidRPr="00090BC6" w:rsidRDefault="009E4FFA" w:rsidP="00152392">
            <w:pPr>
              <w:pStyle w:val="SmallDeltasRightAligned"/>
            </w:pPr>
            <w:r w:rsidRPr="00090BC6">
              <w:rPr>
                <w:noProof/>
                <w:lang w:eastAsia="en-AU"/>
              </w:rPr>
              <w:drawing>
                <wp:inline distT="0" distB="0" distL="0" distR="0" wp14:anchorId="2DCFAF9C" wp14:editId="1390B670">
                  <wp:extent cx="481585" cy="234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9E4FFA" w14:paraId="07ABD3DD" w14:textId="77777777" w:rsidTr="00152392">
        <w:trPr>
          <w:trHeight w:hRule="exact" w:val="80"/>
        </w:trPr>
        <w:tc>
          <w:tcPr>
            <w:tcW w:w="5000" w:type="pct"/>
            <w:shd w:val="pct12" w:color="auto" w:fill="auto"/>
          </w:tcPr>
          <w:p w14:paraId="3C363C15" w14:textId="77777777" w:rsidR="009E4FFA" w:rsidRDefault="009E4FFA" w:rsidP="00152392">
            <w:pPr>
              <w:spacing w:before="160"/>
            </w:pPr>
            <w:r>
              <w:t xml:space="preserve"> </w:t>
            </w:r>
          </w:p>
        </w:tc>
      </w:tr>
    </w:tbl>
    <w:p w14:paraId="65EB7DC7" w14:textId="77777777" w:rsidR="009E4FFA" w:rsidRDefault="009E4FFA" w:rsidP="009E4FFA">
      <w:pPr>
        <w:pStyle w:val="BodyText"/>
      </w:pPr>
    </w:p>
    <w:p w14:paraId="164539DA" w14:textId="77777777" w:rsidR="00BA0149" w:rsidRDefault="00BA0149" w:rsidP="00F05C72">
      <w:pPr>
        <w:pStyle w:val="BodyText"/>
      </w:pPr>
    </w:p>
    <w:p w14:paraId="78C90BA7" w14:textId="77777777" w:rsidR="00F40597" w:rsidRDefault="00F40597" w:rsidP="00F40597">
      <w:pPr>
        <w:pStyle w:val="Heading1"/>
      </w:pPr>
      <w:bookmarkStart w:id="38" w:name="_Toc420078538"/>
      <w:r>
        <w:lastRenderedPageBreak/>
        <w:t>Participant outcomes and pathways</w:t>
      </w:r>
      <w:bookmarkEnd w:id="38"/>
    </w:p>
    <w:p w14:paraId="53D0ECFE" w14:textId="77777777" w:rsidR="000120E4" w:rsidRDefault="000120E4" w:rsidP="00F47359">
      <w:pPr>
        <w:pStyle w:val="Heading2"/>
      </w:pPr>
      <w:bookmarkStart w:id="39" w:name="_Toc420078539"/>
      <w:r>
        <w:t xml:space="preserve">Participant </w:t>
      </w:r>
      <w:r w:rsidR="00DA79DC">
        <w:t>hours</w:t>
      </w:r>
      <w:bookmarkEnd w:id="39"/>
    </w:p>
    <w:p w14:paraId="2F5A5823" w14:textId="5190E238" w:rsidR="0017121E" w:rsidRDefault="0017121E" w:rsidP="000120E4">
      <w:pPr>
        <w:pStyle w:val="BodyText"/>
      </w:pPr>
      <w:r>
        <w:t>The AMEP and SEE programme have different patterns of participant retention, as illustrated in</w:t>
      </w:r>
      <w:r w:rsidR="00111F29">
        <w:t xml:space="preserve"> </w:t>
      </w:r>
      <w:r w:rsidR="00111F29">
        <w:fldChar w:fldCharType="begin"/>
      </w:r>
      <w:r w:rsidR="00111F29">
        <w:instrText xml:space="preserve"> REF _Ref408306973 \h </w:instrText>
      </w:r>
      <w:r w:rsidR="00A42C43">
        <w:instrText xml:space="preserve"> \* MERGEFORMAT </w:instrText>
      </w:r>
      <w:r w:rsidR="00111F29">
        <w:fldChar w:fldCharType="separate"/>
      </w:r>
      <w:r w:rsidR="00902F05" w:rsidRPr="00902F05">
        <w:t>Figure 8</w:t>
      </w:r>
      <w:r w:rsidR="00111F29">
        <w:fldChar w:fldCharType="end"/>
      </w:r>
      <w:r>
        <w:t xml:space="preserve">. </w:t>
      </w:r>
      <w:r w:rsidR="009D3403">
        <w:t>A</w:t>
      </w:r>
      <w:r>
        <w:t xml:space="preserve">pproximately 30 per cent </w:t>
      </w:r>
      <w:r w:rsidR="009D3403">
        <w:t>of AMEP participants</w:t>
      </w:r>
      <w:r>
        <w:t xml:space="preserve"> make it to the end of their total allocation of 510 hours (or more</w:t>
      </w:r>
      <w:r w:rsidR="008836C5">
        <w:t xml:space="preserve"> with addition</w:t>
      </w:r>
      <w:r w:rsidR="00D1753B">
        <w:t>al sub-programme hours</w:t>
      </w:r>
      <w:r>
        <w:t xml:space="preserve">). SEE </w:t>
      </w:r>
      <w:r w:rsidR="00022AF6">
        <w:t xml:space="preserve">programme </w:t>
      </w:r>
      <w:r>
        <w:t>participants tend to favour fewer hours of participation in the programme, with approximately 30 per cent participating for less than 100 hours.</w:t>
      </w:r>
      <w:r w:rsidR="00D1753B">
        <w:t xml:space="preserve"> </w:t>
      </w:r>
      <w:r>
        <w:t>There are likely a range of reasons for this:</w:t>
      </w:r>
    </w:p>
    <w:p w14:paraId="37F3F787" w14:textId="77777777" w:rsidR="0017121E" w:rsidRDefault="0017121E" w:rsidP="0017121E">
      <w:pPr>
        <w:pStyle w:val="ListDash"/>
      </w:pPr>
      <w:r>
        <w:t>AMEP clients tend to self-select into the programme based on need whereas some SEE</w:t>
      </w:r>
      <w:r w:rsidR="00022AF6">
        <w:t xml:space="preserve"> programme</w:t>
      </w:r>
      <w:r>
        <w:t xml:space="preserve"> clients may be required to participate as a condition of their ongoing receipt of income support.</w:t>
      </w:r>
    </w:p>
    <w:p w14:paraId="256BD474" w14:textId="77777777" w:rsidR="0017121E" w:rsidRDefault="0017121E" w:rsidP="0017121E">
      <w:pPr>
        <w:pStyle w:val="ListDash"/>
      </w:pPr>
      <w:r>
        <w:t>AMEP clients tend to have a higher level of need for both language and settlement instruction and a</w:t>
      </w:r>
      <w:r w:rsidR="00D1753B">
        <w:t>re</w:t>
      </w:r>
      <w:r>
        <w:t xml:space="preserve"> therefore more likely to remain in the AMEP course for a greater length of time.</w:t>
      </w:r>
    </w:p>
    <w:p w14:paraId="34C23AE3" w14:textId="77777777" w:rsidR="0017121E" w:rsidRDefault="0017121E" w:rsidP="0017121E">
      <w:pPr>
        <w:pStyle w:val="ListDash"/>
      </w:pPr>
      <w:r>
        <w:t xml:space="preserve">SEE </w:t>
      </w:r>
      <w:r w:rsidR="00022AF6">
        <w:t xml:space="preserve">programme </w:t>
      </w:r>
      <w:r>
        <w:t>clients may have access to a wider range of alternative activities</w:t>
      </w:r>
      <w:r w:rsidR="00D1753B">
        <w:t>,</w:t>
      </w:r>
      <w:r>
        <w:t xml:space="preserve"> including other LLN programmes and vocational training.</w:t>
      </w:r>
    </w:p>
    <w:p w14:paraId="1A59DAA7" w14:textId="77777777" w:rsidR="000120E4" w:rsidRDefault="001B1F2D" w:rsidP="000120E4">
      <w:pPr>
        <w:pStyle w:val="ListDash"/>
      </w:pPr>
      <w:r>
        <w:t xml:space="preserve">SEE </w:t>
      </w:r>
      <w:r w:rsidR="00D30F30">
        <w:t xml:space="preserve">programme </w:t>
      </w:r>
      <w:r>
        <w:t>clients are reportedly more likely to exit the programme when they are presented with employment opportunities, based on the instruction or advice of their referring agencies.</w:t>
      </w:r>
    </w:p>
    <w:p w14:paraId="0425F763" w14:textId="77ECE331" w:rsidR="00704A3D" w:rsidRDefault="00704A3D" w:rsidP="00704A3D">
      <w:pPr>
        <w:pStyle w:val="BodyText"/>
      </w:pPr>
      <w:r>
        <w:t xml:space="preserve">The tendency for migrant participants to remain engaged in the AMEP for longer is reflected in the participation patterns of CALD and non-CALD clients in the </w:t>
      </w:r>
      <w:r w:rsidR="00B04A46">
        <w:t>SEE programme</w:t>
      </w:r>
      <w:r w:rsidR="00D1753B">
        <w:t xml:space="preserve">. This is illustrated in </w:t>
      </w:r>
      <w:r>
        <w:fldChar w:fldCharType="begin"/>
      </w:r>
      <w:r>
        <w:instrText xml:space="preserve"> REF _Ref408306973 \h </w:instrText>
      </w:r>
      <w:r w:rsidR="00153F26">
        <w:instrText xml:space="preserve"> \* MERGEFORMAT </w:instrText>
      </w:r>
      <w:r>
        <w:fldChar w:fldCharType="separate"/>
      </w:r>
      <w:r w:rsidR="00902F05" w:rsidRPr="00902F05">
        <w:t>Figure 8</w:t>
      </w:r>
      <w:r>
        <w:fldChar w:fldCharType="end"/>
      </w:r>
      <w:r w:rsidR="00D1753B">
        <w:t xml:space="preserve">, </w:t>
      </w:r>
      <w:r>
        <w:t>which shows that:</w:t>
      </w:r>
    </w:p>
    <w:p w14:paraId="3F9045B7" w14:textId="4AF27E8D" w:rsidR="00704A3D" w:rsidRDefault="00D1753B" w:rsidP="00704A3D">
      <w:pPr>
        <w:pStyle w:val="ListDash"/>
      </w:pPr>
      <w:r>
        <w:t>o</w:t>
      </w:r>
      <w:r w:rsidR="00704A3D">
        <w:t xml:space="preserve">nly 20 per cent of CALD clients spend 100 hours or less in the </w:t>
      </w:r>
      <w:r w:rsidR="00B04A46">
        <w:t>SEE programme</w:t>
      </w:r>
      <w:r w:rsidR="00704A3D">
        <w:t>; this is less than half of the rate for non-CALD clients (51 per cent)</w:t>
      </w:r>
    </w:p>
    <w:p w14:paraId="1CCF5287" w14:textId="64E04ADF" w:rsidR="00704A3D" w:rsidRDefault="00D1753B" w:rsidP="00704A3D">
      <w:pPr>
        <w:pStyle w:val="ListDash"/>
      </w:pPr>
      <w:r>
        <w:t>o</w:t>
      </w:r>
      <w:r w:rsidR="00704A3D">
        <w:t xml:space="preserve">nly </w:t>
      </w:r>
      <w:r w:rsidR="00FB6953">
        <w:t>16</w:t>
      </w:r>
      <w:r w:rsidR="00704A3D">
        <w:t xml:space="preserve"> per cent of </w:t>
      </w:r>
      <w:r w:rsidR="00FB6953">
        <w:t>non-CALD</w:t>
      </w:r>
      <w:r w:rsidR="00704A3D">
        <w:t xml:space="preserve"> clients spend more than 400 hours in </w:t>
      </w:r>
      <w:r w:rsidR="00D30F30">
        <w:t>the SEE programme</w:t>
      </w:r>
      <w:r w:rsidR="00704A3D">
        <w:t xml:space="preserve"> and 46 per cent</w:t>
      </w:r>
      <w:r w:rsidR="00704A3D" w:rsidRPr="003B1D52">
        <w:t xml:space="preserve"> </w:t>
      </w:r>
      <w:r w:rsidR="00704A3D">
        <w:t xml:space="preserve">of CALD clients spent 400 hours or more in the </w:t>
      </w:r>
      <w:r w:rsidR="00AE13AC">
        <w:t>SEE programme</w:t>
      </w:r>
      <w:r w:rsidR="00704A3D">
        <w:t>.</w:t>
      </w:r>
    </w:p>
    <w:p w14:paraId="589DBEBD" w14:textId="1A1E0C63" w:rsidR="00704A3D" w:rsidRDefault="00704A3D" w:rsidP="00704A3D">
      <w:pPr>
        <w:pStyle w:val="BodyText"/>
      </w:pPr>
      <w:r>
        <w:t xml:space="preserve">The average number of hours completed by a CALD participant in </w:t>
      </w:r>
      <w:r w:rsidR="00D30F30">
        <w:t>the SEE programme</w:t>
      </w:r>
      <w:r>
        <w:t xml:space="preserve"> is 427 hours, compared to averages of 117 hours f</w:t>
      </w:r>
      <w:r w:rsidR="002C2E0A">
        <w:t xml:space="preserve">or Indigenous and non-CALD, </w:t>
      </w:r>
      <w:r w:rsidR="0092139F">
        <w:t xml:space="preserve">and 217 hours </w:t>
      </w:r>
      <w:r w:rsidR="002C2E0A">
        <w:t>non</w:t>
      </w:r>
      <w:r w:rsidR="002C2E0A">
        <w:noBreakHyphen/>
      </w:r>
      <w:r>
        <w:t>Indigenous participants respectively.</w:t>
      </w:r>
    </w:p>
    <w:p w14:paraId="36AB2D41" w14:textId="293DBE74" w:rsidR="00704A3D" w:rsidRDefault="00704A3D" w:rsidP="00704A3D">
      <w:pPr>
        <w:pStyle w:val="BodyText"/>
      </w:pPr>
      <w:r>
        <w:t xml:space="preserve">This data shows that while participants tend to complete a larger proportion of their allocated hours in </w:t>
      </w:r>
      <w:r w:rsidR="00A20395">
        <w:t>the AMEP</w:t>
      </w:r>
      <w:r>
        <w:t xml:space="preserve"> compared to </w:t>
      </w:r>
      <w:r w:rsidR="00D30F30">
        <w:t>the SEE programme</w:t>
      </w:r>
      <w:r>
        <w:t xml:space="preserve">, when restricting the analysis to CALD participants in the </w:t>
      </w:r>
      <w:r w:rsidR="00B04A46">
        <w:t>SEE programme</w:t>
      </w:r>
      <w:r>
        <w:t>, a similarly high rate of retention is observed.</w:t>
      </w:r>
    </w:p>
    <w:p w14:paraId="5FF3F339" w14:textId="77777777" w:rsidR="00111F29" w:rsidRPr="001B1F2D" w:rsidRDefault="00111F29" w:rsidP="00111F29">
      <w:pPr>
        <w:keepNext/>
        <w:spacing w:before="360" w:after="40"/>
        <w:ind w:left="993" w:hanging="993"/>
        <w:outlineLvl w:val="8"/>
        <w:rPr>
          <w:rFonts w:asciiTheme="majorHAnsi" w:hAnsiTheme="majorHAnsi" w:cs="Arial"/>
          <w:sz w:val="20"/>
        </w:rPr>
      </w:pPr>
      <w:bookmarkStart w:id="40" w:name="_Ref408306973"/>
      <w:bookmarkStart w:id="41" w:name="_Toc408084372"/>
      <w:bookmarkStart w:id="42" w:name="_Toc420078563"/>
      <w:r w:rsidRPr="001B1F2D">
        <w:rPr>
          <w:rFonts w:asciiTheme="majorHAnsi" w:hAnsiTheme="majorHAnsi" w:cs="Arial"/>
          <w:sz w:val="20"/>
        </w:rPr>
        <w:lastRenderedPageBreak/>
        <w:t xml:space="preserve">Figure </w:t>
      </w:r>
      <w:r w:rsidRPr="001B1F2D">
        <w:rPr>
          <w:rFonts w:asciiTheme="majorHAnsi" w:hAnsiTheme="majorHAnsi" w:cs="Arial"/>
          <w:sz w:val="20"/>
        </w:rPr>
        <w:fldChar w:fldCharType="begin"/>
      </w:r>
      <w:r w:rsidRPr="001B1F2D">
        <w:rPr>
          <w:rFonts w:asciiTheme="majorHAnsi" w:hAnsiTheme="majorHAnsi" w:cs="Arial"/>
          <w:sz w:val="20"/>
        </w:rPr>
        <w:instrText xml:space="preserve"> SEQ Figure \* ARABIC </w:instrText>
      </w:r>
      <w:r w:rsidRPr="001B1F2D">
        <w:rPr>
          <w:rFonts w:asciiTheme="majorHAnsi" w:hAnsiTheme="majorHAnsi" w:cs="Arial"/>
          <w:sz w:val="20"/>
        </w:rPr>
        <w:fldChar w:fldCharType="separate"/>
      </w:r>
      <w:r w:rsidR="00902F05">
        <w:rPr>
          <w:rFonts w:asciiTheme="majorHAnsi" w:hAnsiTheme="majorHAnsi" w:cs="Arial"/>
          <w:noProof/>
          <w:sz w:val="20"/>
        </w:rPr>
        <w:t>8</w:t>
      </w:r>
      <w:r w:rsidRPr="001B1F2D">
        <w:rPr>
          <w:rFonts w:asciiTheme="majorHAnsi" w:hAnsiTheme="majorHAnsi" w:cs="Arial"/>
          <w:noProof/>
          <w:sz w:val="20"/>
        </w:rPr>
        <w:fldChar w:fldCharType="end"/>
      </w:r>
      <w:bookmarkEnd w:id="40"/>
      <w:r w:rsidRPr="001B1F2D">
        <w:rPr>
          <w:rFonts w:asciiTheme="majorHAnsi" w:hAnsiTheme="majorHAnsi" w:cs="Arial"/>
          <w:b/>
          <w:color w:val="000080"/>
          <w:sz w:val="20"/>
        </w:rPr>
        <w:tab/>
      </w:r>
      <w:r w:rsidRPr="005D62FC">
        <w:rPr>
          <w:rFonts w:asciiTheme="majorHAnsi" w:hAnsiTheme="majorHAnsi" w:cs="Arial"/>
          <w:b/>
          <w:sz w:val="20"/>
        </w:rPr>
        <w:t xml:space="preserve">All AMEP and CALD SEE </w:t>
      </w:r>
      <w:r w:rsidR="00D30F30">
        <w:rPr>
          <w:rFonts w:asciiTheme="majorHAnsi" w:hAnsiTheme="majorHAnsi" w:cs="Arial"/>
          <w:b/>
          <w:sz w:val="20"/>
        </w:rPr>
        <w:t xml:space="preserve">programme </w:t>
      </w:r>
      <w:r>
        <w:rPr>
          <w:rFonts w:asciiTheme="majorHAnsi" w:hAnsiTheme="majorHAnsi" w:cs="Arial"/>
          <w:b/>
          <w:sz w:val="20"/>
        </w:rPr>
        <w:t>clients</w:t>
      </w:r>
      <w:r w:rsidRPr="001B1F2D">
        <w:rPr>
          <w:rFonts w:asciiTheme="majorHAnsi" w:hAnsiTheme="majorHAnsi" w:cs="Arial"/>
          <w:b/>
          <w:sz w:val="20"/>
        </w:rPr>
        <w:t xml:space="preserve"> hours</w:t>
      </w:r>
      <w:r>
        <w:rPr>
          <w:rFonts w:asciiTheme="majorHAnsi" w:hAnsiTheme="majorHAnsi" w:cs="Arial"/>
          <w:b/>
          <w:sz w:val="20"/>
        </w:rPr>
        <w:t xml:space="preserve"> used</w:t>
      </w:r>
      <w:bookmarkEnd w:id="41"/>
      <w:bookmarkEnd w:id="42"/>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1"/>
      </w:tblGrid>
      <w:tr w:rsidR="00111F29" w:rsidRPr="001B1F2D" w14:paraId="5F9B49E8" w14:textId="77777777" w:rsidTr="00152392">
        <w:trPr>
          <w:cantSplit/>
        </w:trPr>
        <w:tc>
          <w:tcPr>
            <w:tcW w:w="5000" w:type="pct"/>
          </w:tcPr>
          <w:p w14:paraId="2CC6BF07" w14:textId="77777777" w:rsidR="00111F29" w:rsidRPr="001B1F2D" w:rsidRDefault="00111F29" w:rsidP="00152392">
            <w:pPr>
              <w:keepNext/>
              <w:spacing w:before="0" w:after="0" w:line="240" w:lineRule="auto"/>
              <w:jc w:val="right"/>
            </w:pPr>
            <w:r w:rsidRPr="001B1F2D">
              <w:rPr>
                <w:noProof/>
                <w:lang w:eastAsia="en-AU"/>
              </w:rPr>
              <w:drawing>
                <wp:inline distT="0" distB="0" distL="0" distR="0" wp14:anchorId="31B39418" wp14:editId="51453968">
                  <wp:extent cx="481585" cy="23469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111F29" w:rsidRPr="001B1F2D" w14:paraId="39F96A0E" w14:textId="77777777" w:rsidTr="00152392">
        <w:tblPrEx>
          <w:tblCellMar>
            <w:left w:w="108" w:type="dxa"/>
            <w:right w:w="108" w:type="dxa"/>
          </w:tblCellMar>
        </w:tblPrEx>
        <w:trPr>
          <w:cantSplit/>
        </w:trPr>
        <w:tc>
          <w:tcPr>
            <w:tcW w:w="5000" w:type="pct"/>
          </w:tcPr>
          <w:p w14:paraId="636F255E" w14:textId="77777777" w:rsidR="00111F29" w:rsidRPr="001B1F2D" w:rsidRDefault="00111F29" w:rsidP="00152392">
            <w:pPr>
              <w:keepNext/>
              <w:spacing w:before="60" w:line="240" w:lineRule="auto"/>
              <w:jc w:val="center"/>
              <w:rPr>
                <w:sz w:val="18"/>
                <w:szCs w:val="20"/>
              </w:rPr>
            </w:pPr>
            <w:r>
              <w:rPr>
                <w:noProof/>
                <w:lang w:eastAsia="en-AU"/>
              </w:rPr>
              <w:drawing>
                <wp:inline distT="0" distB="0" distL="0" distR="0" wp14:anchorId="67B818B4" wp14:editId="4D9DE82B">
                  <wp:extent cx="4524375" cy="3130279"/>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c>
      </w:tr>
    </w:tbl>
    <w:p w14:paraId="30666BEF" w14:textId="40C03431" w:rsidR="00111F29" w:rsidRPr="001B1F2D" w:rsidRDefault="00111F29" w:rsidP="00111F29">
      <w:pPr>
        <w:keepNext/>
        <w:keepLines/>
        <w:spacing w:before="40" w:after="0" w:line="180" w:lineRule="exact"/>
        <w:rPr>
          <w:rFonts w:ascii="Arial" w:hAnsi="Arial"/>
          <w:sz w:val="16"/>
        </w:rPr>
      </w:pPr>
      <w:r w:rsidRPr="001B1F2D">
        <w:rPr>
          <w:rFonts w:ascii="Arial" w:hAnsi="Arial"/>
          <w:i/>
          <w:sz w:val="16"/>
        </w:rPr>
        <w:t>Note:</w:t>
      </w:r>
      <w:r w:rsidRPr="001B1F2D">
        <w:rPr>
          <w:rFonts w:ascii="Arial" w:hAnsi="Arial"/>
          <w:sz w:val="16"/>
        </w:rPr>
        <w:t xml:space="preserve"> </w:t>
      </w:r>
      <w:r w:rsidR="002C2E0A">
        <w:rPr>
          <w:rFonts w:ascii="Arial" w:hAnsi="Arial"/>
          <w:sz w:val="16"/>
        </w:rPr>
        <w:t xml:space="preserve">AMEP and </w:t>
      </w:r>
      <w:r w:rsidR="00B04A46">
        <w:rPr>
          <w:rFonts w:ascii="Arial" w:hAnsi="Arial"/>
          <w:sz w:val="16"/>
        </w:rPr>
        <w:t>SEE programme</w:t>
      </w:r>
      <w:r w:rsidRPr="001B1F2D">
        <w:rPr>
          <w:rFonts w:ascii="Arial" w:hAnsi="Arial"/>
          <w:sz w:val="16"/>
        </w:rPr>
        <w:t xml:space="preserve"> clients that commenced in 2010-11 to 2012-13.</w:t>
      </w:r>
    </w:p>
    <w:p w14:paraId="64478949" w14:textId="1481F832" w:rsidR="00111F29" w:rsidRPr="001B1F2D" w:rsidRDefault="00111F29" w:rsidP="00111F29">
      <w:pPr>
        <w:pBdr>
          <w:bottom w:val="single" w:sz="2" w:space="0" w:color="C0C0C0"/>
        </w:pBdr>
        <w:spacing w:before="40" w:after="60" w:line="180" w:lineRule="exact"/>
        <w:rPr>
          <w:rFonts w:ascii="Arial" w:hAnsi="Arial"/>
          <w:i/>
          <w:sz w:val="16"/>
          <w:szCs w:val="14"/>
          <w:lang w:eastAsia="en-AU"/>
        </w:rPr>
      </w:pPr>
      <w:r w:rsidRPr="001B1F2D">
        <w:rPr>
          <w:rFonts w:ascii="Arial" w:hAnsi="Arial"/>
          <w:sz w:val="16"/>
          <w:szCs w:val="14"/>
          <w:lang w:eastAsia="en-AU"/>
        </w:rPr>
        <w:t xml:space="preserve">Source: </w:t>
      </w:r>
      <w:r w:rsidRPr="00CF544E">
        <w:rPr>
          <w:rFonts w:ascii="Arial" w:hAnsi="Arial"/>
          <w:sz w:val="16"/>
          <w:szCs w:val="14"/>
          <w:lang w:eastAsia="en-AU"/>
        </w:rPr>
        <w:t xml:space="preserve">AMEP </w:t>
      </w:r>
      <w:r w:rsidR="00AE13AC">
        <w:rPr>
          <w:rFonts w:ascii="Arial" w:hAnsi="Arial"/>
          <w:sz w:val="16"/>
          <w:szCs w:val="14"/>
          <w:lang w:eastAsia="en-AU"/>
        </w:rPr>
        <w:t>d</w:t>
      </w:r>
      <w:r w:rsidRPr="00CF544E">
        <w:rPr>
          <w:rFonts w:ascii="Arial" w:hAnsi="Arial"/>
          <w:sz w:val="16"/>
          <w:szCs w:val="14"/>
          <w:lang w:eastAsia="en-AU"/>
        </w:rPr>
        <w:t xml:space="preserve">ataset and </w:t>
      </w:r>
      <w:r w:rsidR="00B04A46">
        <w:rPr>
          <w:rFonts w:ascii="Arial" w:hAnsi="Arial"/>
          <w:sz w:val="16"/>
          <w:szCs w:val="14"/>
          <w:lang w:eastAsia="en-AU"/>
        </w:rPr>
        <w:t>SEE programme</w:t>
      </w:r>
      <w:r w:rsidRPr="00CF544E">
        <w:rPr>
          <w:rFonts w:ascii="Arial" w:hAnsi="Arial"/>
          <w:sz w:val="16"/>
          <w:szCs w:val="14"/>
          <w:lang w:eastAsia="en-AU"/>
        </w:rPr>
        <w:t xml:space="preserve"> </w:t>
      </w:r>
      <w:r w:rsidR="007D43E3">
        <w:rPr>
          <w:rFonts w:ascii="Arial" w:hAnsi="Arial"/>
          <w:sz w:val="16"/>
          <w:szCs w:val="14"/>
          <w:lang w:eastAsia="en-AU"/>
        </w:rPr>
        <w:t>dataset</w:t>
      </w:r>
    </w:p>
    <w:p w14:paraId="276AB114" w14:textId="77777777" w:rsidR="003B1D52" w:rsidRDefault="003B1D52" w:rsidP="001B1F2D">
      <w:pPr>
        <w:pStyle w:val="BodyText"/>
      </w:pP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2878AC" w14:paraId="0DC02AE9" w14:textId="77777777" w:rsidTr="0071501F">
        <w:tc>
          <w:tcPr>
            <w:tcW w:w="5000" w:type="pct"/>
            <w:shd w:val="pct12" w:color="auto" w:fill="auto"/>
          </w:tcPr>
          <w:p w14:paraId="431813E6" w14:textId="77777777" w:rsidR="002878AC" w:rsidRDefault="002878AC" w:rsidP="0071501F">
            <w:pPr>
              <w:pStyle w:val="Caption"/>
              <w:spacing w:before="120" w:after="60"/>
              <w:ind w:left="1112" w:hanging="1112"/>
              <w:rPr>
                <w:rFonts w:ascii="Arial Bold" w:hAnsi="Arial Bold"/>
                <w:color w:val="000080"/>
              </w:rPr>
            </w:pPr>
            <w:r>
              <w:t xml:space="preserve">Key Finding </w:t>
            </w:r>
            <w:r w:rsidR="00902F05">
              <w:fldChar w:fldCharType="begin"/>
            </w:r>
            <w:r w:rsidR="00902F05">
              <w:instrText xml:space="preserve"> SEQ Key_Finding \* ARABIC </w:instrText>
            </w:r>
            <w:r w:rsidR="00902F05">
              <w:fldChar w:fldCharType="separate"/>
            </w:r>
            <w:r w:rsidR="00902F05">
              <w:rPr>
                <w:noProof/>
              </w:rPr>
              <w:t>6</w:t>
            </w:r>
            <w:r w:rsidR="00902F05">
              <w:rPr>
                <w:noProof/>
              </w:rPr>
              <w:fldChar w:fldCharType="end"/>
            </w:r>
          </w:p>
        </w:tc>
      </w:tr>
      <w:tr w:rsidR="002878AC" w14:paraId="3EFB8DBC" w14:textId="77777777" w:rsidTr="0071501F">
        <w:tc>
          <w:tcPr>
            <w:tcW w:w="5000" w:type="pct"/>
            <w:shd w:val="pct12" w:color="auto" w:fill="auto"/>
          </w:tcPr>
          <w:p w14:paraId="203AE3A5" w14:textId="77777777" w:rsidR="00DA79DC" w:rsidRDefault="00F005C8" w:rsidP="0071501F">
            <w:pPr>
              <w:pStyle w:val="BoxText"/>
            </w:pPr>
            <w:r>
              <w:t xml:space="preserve">On average, AMEP </w:t>
            </w:r>
            <w:r w:rsidRPr="00F005C8">
              <w:t>participants tend to complete a larger proportion of their allocated hours compared to SEE</w:t>
            </w:r>
            <w:r>
              <w:t xml:space="preserve"> </w:t>
            </w:r>
            <w:r w:rsidR="00D30F30">
              <w:t xml:space="preserve">programme </w:t>
            </w:r>
            <w:r>
              <w:t xml:space="preserve">participants. </w:t>
            </w:r>
          </w:p>
          <w:p w14:paraId="0E3BF0DC" w14:textId="77777777" w:rsidR="002878AC" w:rsidRDefault="00F005C8" w:rsidP="0071501F">
            <w:pPr>
              <w:pStyle w:val="BoxText"/>
            </w:pPr>
            <w:r>
              <w:t>However, within the SEE programme</w:t>
            </w:r>
            <w:r w:rsidR="00D1753B">
              <w:t>,</w:t>
            </w:r>
            <w:r>
              <w:t xml:space="preserve"> </w:t>
            </w:r>
            <w:r w:rsidRPr="00F005C8">
              <w:t xml:space="preserve">CALD participants </w:t>
            </w:r>
            <w:r>
              <w:t xml:space="preserve">complete </w:t>
            </w:r>
            <w:r w:rsidRPr="00F005C8">
              <w:t xml:space="preserve">a similarly high </w:t>
            </w:r>
            <w:r>
              <w:t>proportion of allocated hours compared to non-CALD cohorts</w:t>
            </w:r>
            <w:r w:rsidRPr="00F005C8">
              <w:t>.</w:t>
            </w:r>
          </w:p>
          <w:p w14:paraId="2C93D914" w14:textId="77777777" w:rsidR="002878AC" w:rsidRPr="00090BC6" w:rsidRDefault="002878AC" w:rsidP="0071501F">
            <w:pPr>
              <w:pStyle w:val="SmallDeltasRightAligned"/>
            </w:pPr>
            <w:r w:rsidRPr="00090BC6">
              <w:rPr>
                <w:noProof/>
                <w:lang w:eastAsia="en-AU"/>
              </w:rPr>
              <w:drawing>
                <wp:inline distT="0" distB="0" distL="0" distR="0" wp14:anchorId="2857EC1A" wp14:editId="50095A77">
                  <wp:extent cx="481585" cy="23469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2878AC" w14:paraId="6F4C7E4E" w14:textId="77777777" w:rsidTr="0071501F">
        <w:trPr>
          <w:trHeight w:hRule="exact" w:val="80"/>
        </w:trPr>
        <w:tc>
          <w:tcPr>
            <w:tcW w:w="5000" w:type="pct"/>
            <w:shd w:val="pct12" w:color="auto" w:fill="auto"/>
          </w:tcPr>
          <w:p w14:paraId="53794B59" w14:textId="77777777" w:rsidR="002878AC" w:rsidRDefault="002878AC" w:rsidP="0071501F">
            <w:pPr>
              <w:spacing w:before="160"/>
            </w:pPr>
            <w:r>
              <w:t xml:space="preserve"> </w:t>
            </w:r>
          </w:p>
        </w:tc>
      </w:tr>
    </w:tbl>
    <w:p w14:paraId="64966288" w14:textId="77777777" w:rsidR="00F47359" w:rsidRPr="005E443A" w:rsidRDefault="00F47359" w:rsidP="00F47359">
      <w:pPr>
        <w:pStyle w:val="Heading2"/>
      </w:pPr>
      <w:bookmarkStart w:id="43" w:name="_Ref408314152"/>
      <w:bookmarkStart w:id="44" w:name="_Toc420078540"/>
      <w:r>
        <w:t>Employment outcomes and alignment with industry needs</w:t>
      </w:r>
      <w:bookmarkEnd w:id="43"/>
      <w:bookmarkEnd w:id="44"/>
    </w:p>
    <w:p w14:paraId="784EE055" w14:textId="09E74798" w:rsidR="00F47359" w:rsidRDefault="004E0CE5" w:rsidP="004E0CE5">
      <w:pPr>
        <w:pStyle w:val="BodyText"/>
      </w:pPr>
      <w:r>
        <w:t xml:space="preserve">As discussed in the respective </w:t>
      </w:r>
      <w:r w:rsidR="00D1753B">
        <w:t>e</w:t>
      </w:r>
      <w:r>
        <w:t xml:space="preserve">valuation </w:t>
      </w:r>
      <w:r w:rsidR="00D1753B">
        <w:t>r</w:t>
      </w:r>
      <w:r>
        <w:t>eports, t</w:t>
      </w:r>
      <w:r w:rsidR="00016D32">
        <w:t xml:space="preserve">here are differences between the emphasis on employment outcomes and industry linkages between the two </w:t>
      </w:r>
      <w:r w:rsidR="0070776B">
        <w:t>programmes</w:t>
      </w:r>
      <w:r>
        <w:t>.</w:t>
      </w:r>
    </w:p>
    <w:p w14:paraId="0501106C" w14:textId="311DE07B" w:rsidR="004E0CE5" w:rsidRDefault="004E0CE5" w:rsidP="004E0CE5">
      <w:pPr>
        <w:pStyle w:val="ListDash"/>
      </w:pPr>
      <w:r>
        <w:t xml:space="preserve">The </w:t>
      </w:r>
      <w:r w:rsidR="00AE13AC">
        <w:t>SEE programme</w:t>
      </w:r>
      <w:r>
        <w:t xml:space="preserve"> </w:t>
      </w:r>
      <w:r w:rsidR="00016D32">
        <w:t>has a very strong emphasis on employment and job seekers</w:t>
      </w:r>
      <w:r w:rsidR="00D1753B">
        <w:t>’</w:t>
      </w:r>
      <w:r w:rsidR="00016D32">
        <w:t xml:space="preserve"> short-term opportunities</w:t>
      </w:r>
      <w:r>
        <w:t xml:space="preserve">, and the flexibility of </w:t>
      </w:r>
      <w:r w:rsidR="00D1753B">
        <w:t xml:space="preserve">the </w:t>
      </w:r>
      <w:r>
        <w:t>curriculum to allow for a wide variety of vocational units to be included</w:t>
      </w:r>
      <w:r w:rsidR="00D1753B">
        <w:t>,</w:t>
      </w:r>
      <w:r>
        <w:t xml:space="preserve"> along with work experience.</w:t>
      </w:r>
    </w:p>
    <w:p w14:paraId="14DFB64F" w14:textId="573FA2A8" w:rsidR="00016D32" w:rsidRDefault="004E0CE5" w:rsidP="004C7851">
      <w:pPr>
        <w:pStyle w:val="ListDash"/>
      </w:pPr>
      <w:r>
        <w:t xml:space="preserve">The </w:t>
      </w:r>
      <w:r w:rsidR="00016D32">
        <w:t>AMEP has an emphasis on work readiness to the extent that it is an important part of the settlement of migrants</w:t>
      </w:r>
      <w:r>
        <w:t>, although work experience is limited to eligible participants</w:t>
      </w:r>
      <w:r w:rsidR="00D1753B">
        <w:t xml:space="preserve">. The </w:t>
      </w:r>
      <w:r>
        <w:t>level of language proficiency developed through the programme is capped to functional English.</w:t>
      </w:r>
      <w:r w:rsidR="004C7851">
        <w:t xml:space="preserve"> </w:t>
      </w:r>
      <w:r w:rsidR="00A20395">
        <w:t>The AMEP</w:t>
      </w:r>
      <w:r w:rsidR="004C7851" w:rsidRPr="004C7851">
        <w:t xml:space="preserve"> is not a job</w:t>
      </w:r>
      <w:r w:rsidR="0028096F">
        <w:t xml:space="preserve"> </w:t>
      </w:r>
      <w:r w:rsidR="004C7851" w:rsidRPr="004C7851">
        <w:t>seeker programme</w:t>
      </w:r>
      <w:r w:rsidR="004C7851">
        <w:t>.</w:t>
      </w:r>
    </w:p>
    <w:p w14:paraId="6561BB94" w14:textId="1683DEF2" w:rsidR="00016D32" w:rsidRDefault="00724477" w:rsidP="00016D32">
      <w:pPr>
        <w:pStyle w:val="ListNumber"/>
        <w:numPr>
          <w:ilvl w:val="0"/>
          <w:numId w:val="0"/>
        </w:numPr>
      </w:pPr>
      <w:r w:rsidRPr="002E7247">
        <w:t xml:space="preserve">As discussed in the AMEP Evaluation Report, </w:t>
      </w:r>
      <w:r w:rsidR="0024250A" w:rsidRPr="002E7247">
        <w:t>f</w:t>
      </w:r>
      <w:r w:rsidR="00016D32" w:rsidRPr="002E7247">
        <w:t xml:space="preserve">eedback from stakeholders </w:t>
      </w:r>
      <w:r w:rsidR="00D1753B">
        <w:t xml:space="preserve">consistently </w:t>
      </w:r>
      <w:r w:rsidR="00016D32" w:rsidRPr="002E7247">
        <w:t>suggest</w:t>
      </w:r>
      <w:r w:rsidR="00D1753B">
        <w:t>ed</w:t>
      </w:r>
      <w:r w:rsidR="00016D32" w:rsidRPr="002E7247">
        <w:t xml:space="preserve"> that the AMEP does not meet the needs of some </w:t>
      </w:r>
      <w:r w:rsidR="0028096F" w:rsidRPr="002E7247">
        <w:t>employment</w:t>
      </w:r>
      <w:r w:rsidR="0028096F">
        <w:t>-</w:t>
      </w:r>
      <w:r w:rsidR="00016D32" w:rsidRPr="002E7247">
        <w:t>focused migrants, with at least a proportion exiting</w:t>
      </w:r>
      <w:r w:rsidR="002E7247">
        <w:t xml:space="preserve"> before achieving sufficient levels of English language proficiency in order to find </w:t>
      </w:r>
      <w:r w:rsidR="00016D32" w:rsidRPr="002E7247">
        <w:t xml:space="preserve">work or </w:t>
      </w:r>
      <w:r w:rsidR="002E7247">
        <w:t xml:space="preserve">to </w:t>
      </w:r>
      <w:r w:rsidR="00016D32" w:rsidRPr="002E7247">
        <w:t xml:space="preserve">commence in </w:t>
      </w:r>
      <w:r w:rsidR="002E7247">
        <w:t xml:space="preserve">the </w:t>
      </w:r>
      <w:r w:rsidR="00AE13AC">
        <w:t>SEE programme</w:t>
      </w:r>
      <w:r w:rsidR="00016D32" w:rsidRPr="002E7247">
        <w:t>.</w:t>
      </w:r>
      <w:r w:rsidR="002E7247">
        <w:t xml:space="preserve"> This can create significant challenges for both providers and </w:t>
      </w:r>
      <w:r w:rsidR="0092139F">
        <w:t>client</w:t>
      </w:r>
      <w:r w:rsidR="002E7247">
        <w:t xml:space="preserve">s, particularly </w:t>
      </w:r>
      <w:r w:rsidR="00D1753B">
        <w:t xml:space="preserve">where </w:t>
      </w:r>
      <w:r w:rsidR="002E7247">
        <w:t xml:space="preserve">there are a </w:t>
      </w:r>
      <w:r w:rsidR="002E7247">
        <w:lastRenderedPageBreak/>
        <w:t xml:space="preserve">proportion of clients that transition </w:t>
      </w:r>
      <w:r w:rsidR="007C3326">
        <w:t xml:space="preserve">from </w:t>
      </w:r>
      <w:r w:rsidR="00A20395">
        <w:t>the AMEP</w:t>
      </w:r>
      <w:r w:rsidR="007C3326">
        <w:t xml:space="preserve"> to </w:t>
      </w:r>
      <w:r w:rsidR="00D30F30">
        <w:t>the SEE programme</w:t>
      </w:r>
      <w:r w:rsidR="007C3326">
        <w:t xml:space="preserve"> and back to </w:t>
      </w:r>
      <w:r w:rsidR="00A20395">
        <w:t>the AMEP</w:t>
      </w:r>
      <w:r w:rsidR="007C3326">
        <w:t xml:space="preserve"> as a result (see Section </w:t>
      </w:r>
      <w:r w:rsidR="007C3326">
        <w:fldChar w:fldCharType="begin"/>
      </w:r>
      <w:r w:rsidR="007C3326">
        <w:instrText xml:space="preserve"> REF _Ref408406226 \r \h </w:instrText>
      </w:r>
      <w:r w:rsidR="007C3326">
        <w:fldChar w:fldCharType="separate"/>
      </w:r>
      <w:r w:rsidR="00902F05">
        <w:t>3.3</w:t>
      </w:r>
      <w:r w:rsidR="007C3326">
        <w:fldChar w:fldCharType="end"/>
      </w:r>
      <w:r w:rsidR="007C3326">
        <w:t>).</w:t>
      </w:r>
    </w:p>
    <w:p w14:paraId="71661685" w14:textId="4563034D" w:rsidR="00016D32" w:rsidRDefault="0024250A" w:rsidP="00016D32">
      <w:pPr>
        <w:pStyle w:val="ListNumber"/>
        <w:numPr>
          <w:ilvl w:val="0"/>
          <w:numId w:val="0"/>
        </w:numPr>
      </w:pPr>
      <w:r>
        <w:t xml:space="preserve">That being said, the data </w:t>
      </w:r>
      <w:r w:rsidR="00FE1DF1">
        <w:t xml:space="preserve">(see </w:t>
      </w:r>
      <w:r w:rsidR="00FE1DF1">
        <w:fldChar w:fldCharType="begin"/>
      </w:r>
      <w:r w:rsidR="00FE1DF1">
        <w:instrText xml:space="preserve"> REF _Ref408312425 \h </w:instrText>
      </w:r>
      <w:r w:rsidR="00FE1DF1">
        <w:fldChar w:fldCharType="separate"/>
      </w:r>
      <w:r w:rsidR="00902F05">
        <w:t xml:space="preserve">Table </w:t>
      </w:r>
      <w:r w:rsidR="00902F05">
        <w:rPr>
          <w:noProof/>
        </w:rPr>
        <w:t>2</w:t>
      </w:r>
      <w:r w:rsidR="00FE1DF1">
        <w:fldChar w:fldCharType="end"/>
      </w:r>
      <w:r w:rsidR="00FE1DF1">
        <w:t xml:space="preserve">) </w:t>
      </w:r>
      <w:r>
        <w:t xml:space="preserve">suggests that the work experience component of the AMEP enjoys a higher rate of participation than </w:t>
      </w:r>
      <w:r w:rsidR="00D30F30">
        <w:t>the SEE programme</w:t>
      </w:r>
      <w:r>
        <w:t>.</w:t>
      </w:r>
    </w:p>
    <w:p w14:paraId="747AF2E2" w14:textId="77777777" w:rsidR="004E0CE5" w:rsidRDefault="004E0CE5" w:rsidP="0024250A">
      <w:pPr>
        <w:pStyle w:val="ListDash"/>
      </w:pPr>
      <w:r>
        <w:t xml:space="preserve">Approximately 4 per cent of all SEE </w:t>
      </w:r>
      <w:r w:rsidR="00D30F30">
        <w:t xml:space="preserve">programme </w:t>
      </w:r>
      <w:r>
        <w:t>participants engage in work experience for an average</w:t>
      </w:r>
      <w:r w:rsidR="0024250A">
        <w:t xml:space="preserve"> total</w:t>
      </w:r>
      <w:r>
        <w:t xml:space="preserve"> duration of 36 hours (see</w:t>
      </w:r>
      <w:r w:rsidR="00F81E97">
        <w:t xml:space="preserve"> the</w:t>
      </w:r>
      <w:r>
        <w:t xml:space="preserve"> SEE </w:t>
      </w:r>
      <w:r w:rsidR="00492999">
        <w:t xml:space="preserve">Programme </w:t>
      </w:r>
      <w:r>
        <w:t>Evaluation Report).</w:t>
      </w:r>
    </w:p>
    <w:p w14:paraId="2BC4D0FF" w14:textId="77777777" w:rsidR="0024250A" w:rsidRDefault="0024250A" w:rsidP="0024250A">
      <w:pPr>
        <w:pStyle w:val="ListDash"/>
      </w:pPr>
      <w:r>
        <w:t xml:space="preserve">By comparison, approximately </w:t>
      </w:r>
      <w:r w:rsidR="001D32C5">
        <w:t>9</w:t>
      </w:r>
      <w:r>
        <w:t xml:space="preserve"> per cent of all AMEP participants participate in the SLPET component of the programme and spend an average duration of </w:t>
      </w:r>
      <w:r w:rsidR="00E7453A">
        <w:t>170</w:t>
      </w:r>
      <w:r>
        <w:t xml:space="preserve"> hours (see AMEP Evaluation Report).</w:t>
      </w:r>
    </w:p>
    <w:p w14:paraId="38929B15" w14:textId="77777777" w:rsidR="00DE7B3A" w:rsidRDefault="00DE7B3A" w:rsidP="00DE7B3A">
      <w:pPr>
        <w:pStyle w:val="BodyText"/>
      </w:pPr>
      <w:r>
        <w:t xml:space="preserve">The possible reasons for this and potential next steps are discussed in Section </w:t>
      </w:r>
      <w:r>
        <w:fldChar w:fldCharType="begin"/>
      </w:r>
      <w:r>
        <w:instrText xml:space="preserve"> REF _Ref408314321 \r \h </w:instrText>
      </w:r>
      <w:r>
        <w:fldChar w:fldCharType="separate"/>
      </w:r>
      <w:r w:rsidR="00902F05">
        <w:t>4.3</w:t>
      </w:r>
      <w:r>
        <w:fldChar w:fldCharType="end"/>
      </w:r>
      <w:r>
        <w:t>.</w:t>
      </w:r>
    </w:p>
    <w:p w14:paraId="6B54434D" w14:textId="77777777" w:rsidR="0024250A" w:rsidRDefault="0024250A" w:rsidP="0024250A">
      <w:pPr>
        <w:pStyle w:val="Caption"/>
      </w:pPr>
      <w:bookmarkStart w:id="45" w:name="_Ref408312425"/>
      <w:bookmarkStart w:id="46" w:name="_Toc420078567"/>
      <w:r>
        <w:t xml:space="preserve">Table </w:t>
      </w:r>
      <w:r w:rsidR="00902F05">
        <w:fldChar w:fldCharType="begin"/>
      </w:r>
      <w:r w:rsidR="00902F05">
        <w:instrText xml:space="preserve"> SEQ Table \* MERGEFORMAT </w:instrText>
      </w:r>
      <w:r w:rsidR="00902F05">
        <w:fldChar w:fldCharType="separate"/>
      </w:r>
      <w:r w:rsidR="00902F05">
        <w:rPr>
          <w:noProof/>
        </w:rPr>
        <w:t>2</w:t>
      </w:r>
      <w:r w:rsidR="00902F05">
        <w:rPr>
          <w:noProof/>
        </w:rPr>
        <w:fldChar w:fldCharType="end"/>
      </w:r>
      <w:bookmarkEnd w:id="45"/>
      <w:r w:rsidRPr="00F47359">
        <w:rPr>
          <w:b/>
          <w:color w:val="000000"/>
        </w:rPr>
        <w:tab/>
      </w:r>
      <w:r>
        <w:rPr>
          <w:b/>
          <w:color w:val="000000"/>
        </w:rPr>
        <w:t>Approach to training for employment and work experience</w:t>
      </w:r>
      <w:bookmarkEnd w:id="46"/>
    </w:p>
    <w:tbl>
      <w:tblPr>
        <w:tblW w:w="7372" w:type="dxa"/>
        <w:tblInd w:w="28" w:type="dxa"/>
        <w:tblBorders>
          <w:bottom w:val="single" w:sz="2" w:space="0" w:color="C0C0C0"/>
          <w:insideH w:val="single" w:sz="2" w:space="0" w:color="C0C0C0"/>
        </w:tblBorders>
        <w:tblLayout w:type="fixed"/>
        <w:tblCellMar>
          <w:left w:w="142" w:type="dxa"/>
          <w:right w:w="56" w:type="dxa"/>
        </w:tblCellMar>
        <w:tblLook w:val="0000" w:firstRow="0" w:lastRow="0" w:firstColumn="0" w:lastColumn="0" w:noHBand="0" w:noVBand="0"/>
      </w:tblPr>
      <w:tblGrid>
        <w:gridCol w:w="2457"/>
        <w:gridCol w:w="2457"/>
        <w:gridCol w:w="2458"/>
      </w:tblGrid>
      <w:tr w:rsidR="0024250A" w14:paraId="0963B695" w14:textId="77777777" w:rsidTr="0071501F">
        <w:trPr>
          <w:cantSplit/>
        </w:trPr>
        <w:tc>
          <w:tcPr>
            <w:tcW w:w="2457" w:type="dxa"/>
            <w:tcBorders>
              <w:top w:val="nil"/>
              <w:bottom w:val="single" w:sz="2" w:space="0" w:color="C0C0C0"/>
            </w:tcBorders>
            <w:shd w:val="solid" w:color="9757A6" w:fill="auto"/>
            <w:vAlign w:val="center"/>
          </w:tcPr>
          <w:p w14:paraId="1AA6D68A" w14:textId="77777777" w:rsidR="0024250A" w:rsidRDefault="0024250A" w:rsidP="0071501F">
            <w:pPr>
              <w:pStyle w:val="Tablecolumnheadings"/>
            </w:pPr>
          </w:p>
        </w:tc>
        <w:tc>
          <w:tcPr>
            <w:tcW w:w="2457" w:type="dxa"/>
            <w:tcBorders>
              <w:top w:val="nil"/>
              <w:bottom w:val="single" w:sz="2" w:space="0" w:color="C0C0C0"/>
            </w:tcBorders>
            <w:shd w:val="solid" w:color="9757A6" w:fill="auto"/>
            <w:vAlign w:val="center"/>
          </w:tcPr>
          <w:p w14:paraId="0D811F76" w14:textId="028280CF" w:rsidR="0024250A" w:rsidRDefault="00A20395" w:rsidP="0071501F">
            <w:pPr>
              <w:pStyle w:val="Tablecolumnheadings"/>
            </w:pPr>
            <w:r>
              <w:t>The AMEP</w:t>
            </w:r>
          </w:p>
        </w:tc>
        <w:tc>
          <w:tcPr>
            <w:tcW w:w="2458" w:type="dxa"/>
            <w:tcBorders>
              <w:top w:val="nil"/>
              <w:bottom w:val="single" w:sz="2" w:space="0" w:color="C0C0C0"/>
            </w:tcBorders>
            <w:shd w:val="solid" w:color="9757A6" w:fill="auto"/>
            <w:vAlign w:val="center"/>
          </w:tcPr>
          <w:p w14:paraId="2DA0B59B" w14:textId="639444E3" w:rsidR="0024250A" w:rsidRDefault="00D30F30" w:rsidP="002E77F2">
            <w:pPr>
              <w:pStyle w:val="Tablecolumnheadings"/>
            </w:pPr>
            <w:r>
              <w:t>The SEE programme</w:t>
            </w:r>
          </w:p>
        </w:tc>
      </w:tr>
      <w:tr w:rsidR="00400A43" w14:paraId="2D005E2C" w14:textId="77777777" w:rsidTr="0071501F">
        <w:trPr>
          <w:cantSplit/>
        </w:trPr>
        <w:tc>
          <w:tcPr>
            <w:tcW w:w="2457" w:type="dxa"/>
            <w:shd w:val="clear" w:color="auto" w:fill="auto"/>
            <w:vAlign w:val="center"/>
          </w:tcPr>
          <w:p w14:paraId="5160193E" w14:textId="77777777" w:rsidR="00400A43" w:rsidRPr="006C7B38" w:rsidRDefault="00400A43" w:rsidP="0071501F">
            <w:pPr>
              <w:pStyle w:val="Tabletext"/>
              <w:rPr>
                <w:b/>
              </w:rPr>
            </w:pPr>
            <w:r w:rsidRPr="006C7B38">
              <w:rPr>
                <w:b/>
              </w:rPr>
              <w:t>Year introduced</w:t>
            </w:r>
          </w:p>
        </w:tc>
        <w:tc>
          <w:tcPr>
            <w:tcW w:w="2457" w:type="dxa"/>
            <w:shd w:val="clear" w:color="auto" w:fill="auto"/>
            <w:vAlign w:val="center"/>
          </w:tcPr>
          <w:p w14:paraId="6EB53251" w14:textId="77777777" w:rsidR="00400A43" w:rsidRPr="006C7B38" w:rsidRDefault="00EE2B32" w:rsidP="008B04E9">
            <w:pPr>
              <w:pStyle w:val="Tabletext"/>
            </w:pPr>
            <w:r w:rsidRPr="008B04E9">
              <w:t>2008 (EPP/TEWR)</w:t>
            </w:r>
            <w:r w:rsidR="006C7B38" w:rsidRPr="008B04E9">
              <w:t>,</w:t>
            </w:r>
            <w:r w:rsidRPr="008B04E9">
              <w:t xml:space="preserve"> 2011 </w:t>
            </w:r>
            <w:r w:rsidR="006C7B38" w:rsidRPr="008B04E9">
              <w:t>(</w:t>
            </w:r>
            <w:r w:rsidRPr="008B04E9">
              <w:t>SLPET</w:t>
            </w:r>
            <w:r w:rsidR="006C7B38" w:rsidRPr="008B04E9">
              <w:t>)</w:t>
            </w:r>
          </w:p>
        </w:tc>
        <w:tc>
          <w:tcPr>
            <w:tcW w:w="2458" w:type="dxa"/>
            <w:shd w:val="clear" w:color="auto" w:fill="auto"/>
            <w:vAlign w:val="center"/>
          </w:tcPr>
          <w:p w14:paraId="3858429D" w14:textId="77777777" w:rsidR="00400A43" w:rsidRPr="006C7B38" w:rsidRDefault="006C7B38" w:rsidP="008B04E9">
            <w:pPr>
              <w:pStyle w:val="Tabletext"/>
            </w:pPr>
            <w:r w:rsidRPr="008B04E9">
              <w:t>2008 (limited), 2013 (available to all participants)</w:t>
            </w:r>
          </w:p>
        </w:tc>
      </w:tr>
      <w:tr w:rsidR="0024250A" w14:paraId="71D3BACF" w14:textId="77777777" w:rsidTr="0071501F">
        <w:trPr>
          <w:cantSplit/>
        </w:trPr>
        <w:tc>
          <w:tcPr>
            <w:tcW w:w="2457" w:type="dxa"/>
            <w:shd w:val="clear" w:color="auto" w:fill="auto"/>
            <w:vAlign w:val="center"/>
          </w:tcPr>
          <w:p w14:paraId="02298F5C" w14:textId="77777777" w:rsidR="0024250A" w:rsidRPr="00495B9F" w:rsidRDefault="0024250A" w:rsidP="0071501F">
            <w:pPr>
              <w:pStyle w:val="Tabletext"/>
              <w:rPr>
                <w:b/>
              </w:rPr>
            </w:pPr>
            <w:r>
              <w:rPr>
                <w:b/>
              </w:rPr>
              <w:t>Curriculum flexibility</w:t>
            </w:r>
          </w:p>
        </w:tc>
        <w:tc>
          <w:tcPr>
            <w:tcW w:w="2457" w:type="dxa"/>
            <w:shd w:val="clear" w:color="auto" w:fill="auto"/>
            <w:vAlign w:val="center"/>
          </w:tcPr>
          <w:p w14:paraId="0F6D79F1" w14:textId="77777777" w:rsidR="0024250A" w:rsidRDefault="0024250A" w:rsidP="0071501F">
            <w:pPr>
              <w:pStyle w:val="Tabletext"/>
            </w:pPr>
            <w:r>
              <w:t>CSWE mandatory curriculum</w:t>
            </w:r>
            <w:r w:rsidR="007C444A">
              <w:t xml:space="preserve"> framework</w:t>
            </w:r>
          </w:p>
        </w:tc>
        <w:tc>
          <w:tcPr>
            <w:tcW w:w="2458" w:type="dxa"/>
            <w:shd w:val="clear" w:color="auto" w:fill="auto"/>
            <w:vAlign w:val="center"/>
          </w:tcPr>
          <w:p w14:paraId="75EBCAE5" w14:textId="77777777" w:rsidR="0024250A" w:rsidRDefault="0024250A" w:rsidP="0071501F">
            <w:pPr>
              <w:pStyle w:val="Tabletext"/>
            </w:pPr>
            <w:r>
              <w:t>Flexibility to incorporate vocational units mapped to ACSF</w:t>
            </w:r>
          </w:p>
        </w:tc>
      </w:tr>
      <w:tr w:rsidR="0024250A" w14:paraId="5789BB21" w14:textId="77777777" w:rsidTr="0071501F">
        <w:trPr>
          <w:cantSplit/>
        </w:trPr>
        <w:tc>
          <w:tcPr>
            <w:tcW w:w="2457" w:type="dxa"/>
            <w:shd w:val="clear" w:color="auto" w:fill="auto"/>
            <w:vAlign w:val="center"/>
          </w:tcPr>
          <w:p w14:paraId="62B28EB5" w14:textId="77777777" w:rsidR="0024250A" w:rsidRPr="00495B9F" w:rsidRDefault="0024250A" w:rsidP="0071501F">
            <w:pPr>
              <w:pStyle w:val="Tabletext"/>
              <w:rPr>
                <w:b/>
              </w:rPr>
            </w:pPr>
            <w:r>
              <w:rPr>
                <w:b/>
              </w:rPr>
              <w:t>Work experience component</w:t>
            </w:r>
          </w:p>
        </w:tc>
        <w:tc>
          <w:tcPr>
            <w:tcW w:w="2457" w:type="dxa"/>
            <w:shd w:val="clear" w:color="auto" w:fill="auto"/>
            <w:vAlign w:val="center"/>
          </w:tcPr>
          <w:p w14:paraId="7719AB2A" w14:textId="77777777" w:rsidR="0024250A" w:rsidRDefault="0024250A" w:rsidP="0071501F">
            <w:pPr>
              <w:pStyle w:val="Tabletext"/>
            </w:pPr>
            <w:r>
              <w:t xml:space="preserve">SLPET comprises 200 hours of which </w:t>
            </w:r>
            <w:r w:rsidR="00D95840">
              <w:t>up to 80</w:t>
            </w:r>
            <w:r>
              <w:t xml:space="preserve"> hours are in a workplace</w:t>
            </w:r>
          </w:p>
        </w:tc>
        <w:tc>
          <w:tcPr>
            <w:tcW w:w="2458" w:type="dxa"/>
            <w:shd w:val="clear" w:color="auto" w:fill="auto"/>
            <w:vAlign w:val="center"/>
          </w:tcPr>
          <w:p w14:paraId="2EC85C4D" w14:textId="77777777" w:rsidR="001D32C5" w:rsidRDefault="001D32C5" w:rsidP="0071501F">
            <w:pPr>
              <w:pStyle w:val="Tabletext"/>
            </w:pPr>
            <w:r w:rsidRPr="001D32C5">
              <w:t>A work experience placement cannot be longer than four consecutive weeks, and cannot be utilised for more than 12 weeks in total.</w:t>
            </w:r>
          </w:p>
        </w:tc>
      </w:tr>
      <w:tr w:rsidR="0024250A" w14:paraId="470B75AB" w14:textId="77777777" w:rsidTr="0071501F">
        <w:trPr>
          <w:cantSplit/>
        </w:trPr>
        <w:tc>
          <w:tcPr>
            <w:tcW w:w="2457" w:type="dxa"/>
            <w:tcBorders>
              <w:bottom w:val="single" w:sz="2" w:space="0" w:color="C0C0C0"/>
            </w:tcBorders>
            <w:shd w:val="clear" w:color="auto" w:fill="auto"/>
            <w:vAlign w:val="center"/>
          </w:tcPr>
          <w:p w14:paraId="59DCD3ED" w14:textId="77777777" w:rsidR="0024250A" w:rsidRPr="00495B9F" w:rsidRDefault="0024250A" w:rsidP="0071501F">
            <w:pPr>
              <w:pStyle w:val="Tabletext"/>
              <w:rPr>
                <w:b/>
              </w:rPr>
            </w:pPr>
            <w:r>
              <w:rPr>
                <w:b/>
              </w:rPr>
              <w:t xml:space="preserve">Work experience eligibility </w:t>
            </w:r>
          </w:p>
        </w:tc>
        <w:tc>
          <w:tcPr>
            <w:tcW w:w="2457" w:type="dxa"/>
            <w:tcBorders>
              <w:bottom w:val="single" w:sz="2" w:space="0" w:color="C0C0C0"/>
            </w:tcBorders>
            <w:shd w:val="clear" w:color="auto" w:fill="auto"/>
            <w:vAlign w:val="center"/>
          </w:tcPr>
          <w:p w14:paraId="07BB1D5E" w14:textId="77777777" w:rsidR="0024250A" w:rsidRDefault="0024250A" w:rsidP="0071501F">
            <w:pPr>
              <w:pStyle w:val="Tabletext"/>
            </w:pPr>
            <w:r>
              <w:t>Limited to those completing CSWE III (with some exemptions give</w:t>
            </w:r>
            <w:r w:rsidR="002A4649">
              <w:t>n</w:t>
            </w:r>
            <w:r>
              <w:t>)</w:t>
            </w:r>
          </w:p>
        </w:tc>
        <w:tc>
          <w:tcPr>
            <w:tcW w:w="2458" w:type="dxa"/>
            <w:tcBorders>
              <w:bottom w:val="single" w:sz="2" w:space="0" w:color="C0C0C0"/>
            </w:tcBorders>
            <w:shd w:val="clear" w:color="auto" w:fill="auto"/>
            <w:vAlign w:val="center"/>
          </w:tcPr>
          <w:p w14:paraId="306252B3" w14:textId="77777777" w:rsidR="0024250A" w:rsidRDefault="0024250A" w:rsidP="00152392">
            <w:pPr>
              <w:pStyle w:val="Tabletext"/>
            </w:pPr>
            <w:r>
              <w:t xml:space="preserve">Available to all </w:t>
            </w:r>
            <w:r w:rsidR="00152392">
              <w:t>clients</w:t>
            </w:r>
          </w:p>
        </w:tc>
      </w:tr>
      <w:tr w:rsidR="0024250A" w14:paraId="6E363609" w14:textId="77777777" w:rsidTr="0071501F">
        <w:trPr>
          <w:cantSplit/>
        </w:trPr>
        <w:tc>
          <w:tcPr>
            <w:tcW w:w="2457" w:type="dxa"/>
            <w:tcBorders>
              <w:bottom w:val="single" w:sz="2" w:space="0" w:color="C0C0C0"/>
            </w:tcBorders>
            <w:shd w:val="clear" w:color="auto" w:fill="auto"/>
            <w:vAlign w:val="center"/>
          </w:tcPr>
          <w:p w14:paraId="1DADF664" w14:textId="77777777" w:rsidR="0024250A" w:rsidRPr="00495B9F" w:rsidRDefault="0024250A" w:rsidP="0071501F">
            <w:pPr>
              <w:pStyle w:val="Tabletext"/>
              <w:rPr>
                <w:b/>
              </w:rPr>
            </w:pPr>
            <w:r>
              <w:rPr>
                <w:b/>
              </w:rPr>
              <w:t>Work experience take up rate</w:t>
            </w:r>
          </w:p>
        </w:tc>
        <w:tc>
          <w:tcPr>
            <w:tcW w:w="2457" w:type="dxa"/>
            <w:tcBorders>
              <w:bottom w:val="single" w:sz="2" w:space="0" w:color="C0C0C0"/>
            </w:tcBorders>
            <w:shd w:val="clear" w:color="auto" w:fill="auto"/>
            <w:vAlign w:val="center"/>
          </w:tcPr>
          <w:p w14:paraId="35D228EE" w14:textId="77777777" w:rsidR="0024250A" w:rsidRPr="00FE1DF1" w:rsidRDefault="001D32C5" w:rsidP="00152392">
            <w:pPr>
              <w:pStyle w:val="Tabletext"/>
              <w:rPr>
                <w:highlight w:val="yellow"/>
              </w:rPr>
            </w:pPr>
            <w:r w:rsidRPr="00831761">
              <w:t>9</w:t>
            </w:r>
            <w:r w:rsidR="0024250A" w:rsidRPr="00831761">
              <w:t xml:space="preserve"> per cent of </w:t>
            </w:r>
            <w:r w:rsidR="00152392">
              <w:t>clients</w:t>
            </w:r>
          </w:p>
        </w:tc>
        <w:tc>
          <w:tcPr>
            <w:tcW w:w="2458" w:type="dxa"/>
            <w:tcBorders>
              <w:bottom w:val="single" w:sz="2" w:space="0" w:color="C0C0C0"/>
            </w:tcBorders>
            <w:shd w:val="clear" w:color="auto" w:fill="auto"/>
            <w:vAlign w:val="center"/>
          </w:tcPr>
          <w:p w14:paraId="5A78FAB1" w14:textId="77777777" w:rsidR="0024250A" w:rsidRDefault="0024250A" w:rsidP="00152392">
            <w:pPr>
              <w:pStyle w:val="Tabletext"/>
            </w:pPr>
            <w:r>
              <w:t xml:space="preserve">4 per cent of </w:t>
            </w:r>
            <w:r w:rsidR="00152392">
              <w:t>clients</w:t>
            </w:r>
          </w:p>
        </w:tc>
      </w:tr>
      <w:tr w:rsidR="0024250A" w14:paraId="54784D0E" w14:textId="77777777" w:rsidTr="0071501F">
        <w:trPr>
          <w:cantSplit/>
        </w:trPr>
        <w:tc>
          <w:tcPr>
            <w:tcW w:w="2457" w:type="dxa"/>
            <w:tcBorders>
              <w:bottom w:val="single" w:sz="2" w:space="0" w:color="C0C0C0"/>
            </w:tcBorders>
            <w:shd w:val="clear" w:color="auto" w:fill="auto"/>
            <w:vAlign w:val="center"/>
          </w:tcPr>
          <w:p w14:paraId="30C3DA07" w14:textId="77777777" w:rsidR="0024250A" w:rsidRPr="00495B9F" w:rsidRDefault="009C219E" w:rsidP="0071501F">
            <w:pPr>
              <w:pStyle w:val="Tabletext"/>
              <w:rPr>
                <w:b/>
              </w:rPr>
            </w:pPr>
            <w:r>
              <w:rPr>
                <w:b/>
              </w:rPr>
              <w:t>W</w:t>
            </w:r>
            <w:r w:rsidR="0024250A">
              <w:rPr>
                <w:b/>
              </w:rPr>
              <w:t>ork experience</w:t>
            </w:r>
            <w:r>
              <w:rPr>
                <w:b/>
              </w:rPr>
              <w:t xml:space="preserve"> details</w:t>
            </w:r>
          </w:p>
        </w:tc>
        <w:tc>
          <w:tcPr>
            <w:tcW w:w="2457" w:type="dxa"/>
            <w:tcBorders>
              <w:bottom w:val="single" w:sz="2" w:space="0" w:color="C0C0C0"/>
            </w:tcBorders>
            <w:shd w:val="clear" w:color="auto" w:fill="auto"/>
            <w:vAlign w:val="center"/>
          </w:tcPr>
          <w:p w14:paraId="6490019A" w14:textId="77777777" w:rsidR="0024250A" w:rsidRPr="00CE509D" w:rsidRDefault="00CE509D" w:rsidP="00152392">
            <w:pPr>
              <w:pStyle w:val="Tabletext"/>
            </w:pPr>
            <w:r w:rsidRPr="00CE509D">
              <w:t xml:space="preserve">9 per cent of </w:t>
            </w:r>
            <w:r w:rsidR="00D95840">
              <w:t xml:space="preserve">AMEP </w:t>
            </w:r>
            <w:r w:rsidR="00152392">
              <w:t xml:space="preserve">clients </w:t>
            </w:r>
            <w:r w:rsidRPr="00CE509D">
              <w:t>undertake work experience</w:t>
            </w:r>
          </w:p>
        </w:tc>
        <w:tc>
          <w:tcPr>
            <w:tcW w:w="2458" w:type="dxa"/>
            <w:tcBorders>
              <w:bottom w:val="single" w:sz="2" w:space="0" w:color="C0C0C0"/>
            </w:tcBorders>
            <w:shd w:val="clear" w:color="auto" w:fill="auto"/>
            <w:vAlign w:val="center"/>
          </w:tcPr>
          <w:p w14:paraId="039A6098" w14:textId="77777777" w:rsidR="0024250A" w:rsidRDefault="0024250A" w:rsidP="0071501F">
            <w:pPr>
              <w:pStyle w:val="Tabletext"/>
            </w:pPr>
            <w:r>
              <w:t>36 hours</w:t>
            </w:r>
            <w:r w:rsidR="00DE7B3A">
              <w:t xml:space="preserve"> for work experience</w:t>
            </w:r>
          </w:p>
        </w:tc>
      </w:tr>
      <w:tr w:rsidR="0024250A" w14:paraId="2BFADADD" w14:textId="77777777" w:rsidTr="0071501F">
        <w:trPr>
          <w:cantSplit/>
        </w:trPr>
        <w:tc>
          <w:tcPr>
            <w:tcW w:w="2457" w:type="dxa"/>
            <w:tcBorders>
              <w:top w:val="single" w:sz="2" w:space="0" w:color="C0C0C0"/>
              <w:bottom w:val="single" w:sz="2" w:space="0" w:color="C0C0C0"/>
            </w:tcBorders>
            <w:shd w:val="clear" w:color="auto" w:fill="auto"/>
            <w:vAlign w:val="center"/>
          </w:tcPr>
          <w:p w14:paraId="263107E0" w14:textId="77777777" w:rsidR="0024250A" w:rsidRPr="00495B9F" w:rsidRDefault="00FE1DF1" w:rsidP="0071501F">
            <w:pPr>
              <w:pStyle w:val="Tabletext"/>
              <w:rPr>
                <w:b/>
              </w:rPr>
            </w:pPr>
            <w:r>
              <w:rPr>
                <w:b/>
              </w:rPr>
              <w:t>Funding approach</w:t>
            </w:r>
          </w:p>
        </w:tc>
        <w:tc>
          <w:tcPr>
            <w:tcW w:w="2457" w:type="dxa"/>
            <w:tcBorders>
              <w:top w:val="single" w:sz="2" w:space="0" w:color="C0C0C0"/>
              <w:bottom w:val="single" w:sz="2" w:space="0" w:color="C0C0C0"/>
            </w:tcBorders>
            <w:shd w:val="clear" w:color="auto" w:fill="auto"/>
            <w:vAlign w:val="center"/>
          </w:tcPr>
          <w:p w14:paraId="4207E488" w14:textId="77777777" w:rsidR="0024250A" w:rsidRPr="009C219E" w:rsidRDefault="009C219E" w:rsidP="0071501F">
            <w:pPr>
              <w:pStyle w:val="Tabletext"/>
            </w:pPr>
            <w:r>
              <w:t>Different</w:t>
            </w:r>
            <w:r w:rsidR="00FE1DF1" w:rsidRPr="009C219E">
              <w:t xml:space="preserve"> funding rate </w:t>
            </w:r>
          </w:p>
        </w:tc>
        <w:tc>
          <w:tcPr>
            <w:tcW w:w="2458" w:type="dxa"/>
            <w:tcBorders>
              <w:top w:val="single" w:sz="2" w:space="0" w:color="C0C0C0"/>
              <w:bottom w:val="single" w:sz="2" w:space="0" w:color="C0C0C0"/>
            </w:tcBorders>
            <w:shd w:val="clear" w:color="auto" w:fill="auto"/>
            <w:vAlign w:val="center"/>
          </w:tcPr>
          <w:p w14:paraId="43D70C2C" w14:textId="77777777" w:rsidR="0024250A" w:rsidRPr="009C219E" w:rsidRDefault="00FE1DF1" w:rsidP="0071501F">
            <w:pPr>
              <w:pStyle w:val="Tabletext"/>
            </w:pPr>
            <w:r w:rsidRPr="009C219E">
              <w:t>Part of standard funding rate</w:t>
            </w:r>
          </w:p>
        </w:tc>
      </w:tr>
    </w:tbl>
    <w:p w14:paraId="51AB12D2" w14:textId="03FA0855" w:rsidR="0024250A" w:rsidRDefault="0024250A" w:rsidP="0024250A">
      <w:pPr>
        <w:pStyle w:val="Source"/>
      </w:pPr>
      <w:r w:rsidRPr="00CE509D">
        <w:t>Source:</w:t>
      </w:r>
      <w:r>
        <w:t xml:space="preserve"> </w:t>
      </w:r>
      <w:r w:rsidR="00CF544E" w:rsidRPr="00CF544E">
        <w:t xml:space="preserve">AMEP </w:t>
      </w:r>
      <w:r w:rsidR="007045B5">
        <w:t>d</w:t>
      </w:r>
      <w:r w:rsidR="00CF544E" w:rsidRPr="00CF544E">
        <w:t xml:space="preserve">ataset and </w:t>
      </w:r>
      <w:r w:rsidR="00AE13AC">
        <w:t xml:space="preserve">SEE </w:t>
      </w:r>
      <w:r w:rsidR="007045B5">
        <w:t>p</w:t>
      </w:r>
      <w:r w:rsidR="00AE13AC">
        <w:t>rogramme</w:t>
      </w:r>
      <w:r w:rsidR="00CF544E" w:rsidRPr="00CF544E">
        <w:t xml:space="preserve"> </w:t>
      </w:r>
      <w:r w:rsidR="007045B5">
        <w:t>d</w:t>
      </w:r>
      <w:r w:rsidR="00CF544E" w:rsidRPr="00CF544E">
        <w:t>ataset</w:t>
      </w:r>
    </w:p>
    <w:p w14:paraId="2AFDE785" w14:textId="77777777" w:rsidR="00016D32" w:rsidRDefault="00016D32" w:rsidP="00016D32">
      <w:pPr>
        <w:pStyle w:val="ListNumber"/>
        <w:numPr>
          <w:ilvl w:val="0"/>
          <w:numId w:val="0"/>
        </w:numPr>
      </w:pP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724477" w14:paraId="5E189F2A" w14:textId="77777777" w:rsidTr="0071501F">
        <w:tc>
          <w:tcPr>
            <w:tcW w:w="5000" w:type="pct"/>
            <w:shd w:val="pct12" w:color="auto" w:fill="auto"/>
          </w:tcPr>
          <w:p w14:paraId="69A79C00" w14:textId="77777777" w:rsidR="00724477" w:rsidRDefault="00724477" w:rsidP="0071501F">
            <w:pPr>
              <w:pStyle w:val="Caption"/>
              <w:spacing w:before="120" w:after="60"/>
              <w:ind w:left="1112" w:hanging="1112"/>
              <w:rPr>
                <w:rFonts w:ascii="Arial Bold" w:hAnsi="Arial Bold"/>
                <w:color w:val="000080"/>
              </w:rPr>
            </w:pPr>
            <w:r>
              <w:t xml:space="preserve">Key Finding </w:t>
            </w:r>
            <w:r w:rsidR="00902F05">
              <w:fldChar w:fldCharType="begin"/>
            </w:r>
            <w:r w:rsidR="00902F05">
              <w:instrText xml:space="preserve"> SEQ Key_Finding \* ARABIC </w:instrText>
            </w:r>
            <w:r w:rsidR="00902F05">
              <w:fldChar w:fldCharType="separate"/>
            </w:r>
            <w:r w:rsidR="00902F05">
              <w:rPr>
                <w:noProof/>
              </w:rPr>
              <w:t>7</w:t>
            </w:r>
            <w:r w:rsidR="00902F05">
              <w:rPr>
                <w:noProof/>
              </w:rPr>
              <w:fldChar w:fldCharType="end"/>
            </w:r>
          </w:p>
        </w:tc>
      </w:tr>
      <w:tr w:rsidR="00724477" w14:paraId="225FF8A0" w14:textId="77777777" w:rsidTr="0071501F">
        <w:tc>
          <w:tcPr>
            <w:tcW w:w="5000" w:type="pct"/>
            <w:shd w:val="pct12" w:color="auto" w:fill="auto"/>
          </w:tcPr>
          <w:p w14:paraId="719EEF10" w14:textId="77777777" w:rsidR="00724477" w:rsidRDefault="00724477" w:rsidP="00724477">
            <w:pPr>
              <w:pStyle w:val="BoxText"/>
            </w:pPr>
            <w:r>
              <w:t>Both programmes have a focus on employment outcomes:</w:t>
            </w:r>
          </w:p>
          <w:p w14:paraId="79462CB9" w14:textId="2A1E4C85" w:rsidR="00724477" w:rsidRDefault="00D30F30" w:rsidP="00724477">
            <w:pPr>
              <w:pStyle w:val="BoxListBullet"/>
            </w:pPr>
            <w:r>
              <w:t>The SEE programme</w:t>
            </w:r>
            <w:r w:rsidR="00724477">
              <w:t xml:space="preserve"> is much more focused on the short-term employment prospects of job</w:t>
            </w:r>
            <w:r w:rsidR="00CD1FBD">
              <w:t xml:space="preserve"> </w:t>
            </w:r>
            <w:r w:rsidR="00724477">
              <w:t>seekers</w:t>
            </w:r>
            <w:r w:rsidR="007045B5">
              <w:t>.</w:t>
            </w:r>
          </w:p>
          <w:p w14:paraId="142EB56A" w14:textId="77777777" w:rsidR="00724477" w:rsidRDefault="00724477" w:rsidP="00724477">
            <w:pPr>
              <w:pStyle w:val="BoxListBullet"/>
            </w:pPr>
            <w:r>
              <w:t>AMEP contributes directly through SLPET and indirectly through attainment of functional English</w:t>
            </w:r>
            <w:r w:rsidR="002E7247">
              <w:t>.</w:t>
            </w:r>
          </w:p>
          <w:p w14:paraId="5EF24EE4" w14:textId="419BB461" w:rsidR="002E7247" w:rsidRDefault="00724477" w:rsidP="00724477">
            <w:pPr>
              <w:pStyle w:val="BoxText"/>
              <w:rPr>
                <w:highlight w:val="yellow"/>
              </w:rPr>
            </w:pPr>
            <w:r w:rsidRPr="002E7247">
              <w:t>Consistent feedback from stakeholders suggest</w:t>
            </w:r>
            <w:r w:rsidR="007045B5">
              <w:t>s</w:t>
            </w:r>
            <w:r w:rsidRPr="002E7247">
              <w:t xml:space="preserve"> that the AMEP does not meet the needs of some employment</w:t>
            </w:r>
            <w:r w:rsidR="00A9587E">
              <w:t>-</w:t>
            </w:r>
            <w:r w:rsidRPr="002E7247">
              <w:t>focused migrants,</w:t>
            </w:r>
            <w:r w:rsidR="00A9587E">
              <w:t xml:space="preserve"> although employment is not the aim of the AMEP</w:t>
            </w:r>
            <w:r w:rsidR="007045B5">
              <w:t>, as noted in the AMEP report</w:t>
            </w:r>
            <w:r w:rsidR="00A9587E">
              <w:t>.</w:t>
            </w:r>
            <w:r w:rsidRPr="002E7247">
              <w:t xml:space="preserve"> </w:t>
            </w:r>
            <w:r w:rsidR="00A9587E">
              <w:t>A</w:t>
            </w:r>
            <w:r w:rsidRPr="002E7247">
              <w:t xml:space="preserve">t proportion </w:t>
            </w:r>
            <w:r w:rsidR="00A9587E">
              <w:t xml:space="preserve">of AMEP </w:t>
            </w:r>
            <w:r w:rsidR="00A9587E" w:rsidRPr="002E7247">
              <w:t>employment</w:t>
            </w:r>
            <w:r w:rsidR="00A9587E">
              <w:t>-</w:t>
            </w:r>
            <w:r w:rsidR="00A9587E" w:rsidRPr="002E7247">
              <w:t xml:space="preserve">focused </w:t>
            </w:r>
            <w:r w:rsidR="00A9587E">
              <w:t xml:space="preserve">clients </w:t>
            </w:r>
            <w:r w:rsidRPr="002E7247">
              <w:t>exit the programme</w:t>
            </w:r>
            <w:r w:rsidR="002E7247" w:rsidRPr="002E7247">
              <w:t xml:space="preserve"> before achieving sufficient levels of English language proficiency in order to find work or to commence in the </w:t>
            </w:r>
            <w:r w:rsidR="00AE13AC">
              <w:t>SEE programme</w:t>
            </w:r>
            <w:r w:rsidR="002E7247" w:rsidRPr="002E7247">
              <w:t>.</w:t>
            </w:r>
            <w:r w:rsidR="00A9587E">
              <w:t xml:space="preserve"> </w:t>
            </w:r>
          </w:p>
          <w:p w14:paraId="10C96130" w14:textId="0D63D252" w:rsidR="00724477" w:rsidRDefault="00724477" w:rsidP="00724477">
            <w:pPr>
              <w:pStyle w:val="BoxText"/>
            </w:pPr>
            <w:r w:rsidRPr="002E7247">
              <w:t xml:space="preserve">That being said however, the data show that the work experience component of the AMEP enjoys a higher rate of participation than </w:t>
            </w:r>
            <w:r w:rsidR="00D30F30">
              <w:t>the SEE programme</w:t>
            </w:r>
            <w:r w:rsidRPr="002E7247">
              <w:t>.</w:t>
            </w:r>
          </w:p>
          <w:p w14:paraId="18A2388B" w14:textId="77777777" w:rsidR="00724477" w:rsidRPr="00090BC6" w:rsidRDefault="00724477" w:rsidP="0071501F">
            <w:pPr>
              <w:pStyle w:val="SmallDeltasRightAligned"/>
            </w:pPr>
            <w:r w:rsidRPr="00090BC6">
              <w:rPr>
                <w:noProof/>
                <w:lang w:eastAsia="en-AU"/>
              </w:rPr>
              <w:drawing>
                <wp:inline distT="0" distB="0" distL="0" distR="0" wp14:anchorId="11E069D7" wp14:editId="69491214">
                  <wp:extent cx="481585" cy="23469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724477" w14:paraId="4BBB5268" w14:textId="77777777" w:rsidTr="0071501F">
        <w:trPr>
          <w:trHeight w:hRule="exact" w:val="80"/>
        </w:trPr>
        <w:tc>
          <w:tcPr>
            <w:tcW w:w="5000" w:type="pct"/>
            <w:shd w:val="pct12" w:color="auto" w:fill="auto"/>
          </w:tcPr>
          <w:p w14:paraId="56D1DA94" w14:textId="77777777" w:rsidR="00724477" w:rsidRDefault="00724477" w:rsidP="0071501F">
            <w:pPr>
              <w:spacing w:before="160"/>
            </w:pPr>
            <w:r>
              <w:t xml:space="preserve"> </w:t>
            </w:r>
          </w:p>
        </w:tc>
      </w:tr>
    </w:tbl>
    <w:p w14:paraId="6C55362C" w14:textId="77777777" w:rsidR="00016D32" w:rsidRDefault="00016D32" w:rsidP="00016D32">
      <w:pPr>
        <w:pStyle w:val="Heading2"/>
      </w:pPr>
      <w:bookmarkStart w:id="47" w:name="_Toc420078541"/>
      <w:bookmarkStart w:id="48" w:name="_Ref408406226"/>
      <w:r>
        <w:t>P</w:t>
      </w:r>
      <w:r w:rsidR="007C3326">
        <w:t>rogramme p</w:t>
      </w:r>
      <w:r>
        <w:t>athways</w:t>
      </w:r>
      <w:bookmarkEnd w:id="47"/>
      <w:r>
        <w:t xml:space="preserve"> </w:t>
      </w:r>
      <w:bookmarkEnd w:id="48"/>
    </w:p>
    <w:p w14:paraId="1C0C2063" w14:textId="0C53AB2E" w:rsidR="00E458C2" w:rsidRDefault="00E458C2" w:rsidP="00E458C2">
      <w:pPr>
        <w:pStyle w:val="Heading3"/>
      </w:pPr>
      <w:bookmarkStart w:id="49" w:name="_Ref408406281"/>
      <w:r>
        <w:t xml:space="preserve">Pathways </w:t>
      </w:r>
      <w:r w:rsidR="007C3326">
        <w:t xml:space="preserve">between </w:t>
      </w:r>
      <w:r w:rsidR="00A20395">
        <w:t>the AMEP</w:t>
      </w:r>
      <w:r>
        <w:t xml:space="preserve"> </w:t>
      </w:r>
      <w:r w:rsidR="00A42C43">
        <w:t xml:space="preserve">and </w:t>
      </w:r>
      <w:bookmarkEnd w:id="49"/>
      <w:r w:rsidR="00D30F30">
        <w:t>the SEE programme</w:t>
      </w:r>
    </w:p>
    <w:p w14:paraId="184326BF" w14:textId="7875CCB9" w:rsidR="007045B5" w:rsidRDefault="00464825" w:rsidP="007045B5">
      <w:pPr>
        <w:pStyle w:val="BodyText"/>
      </w:pPr>
      <w:r>
        <w:t xml:space="preserve">Given the higher levels of skills catered to by the </w:t>
      </w:r>
      <w:r w:rsidR="00AE13AC">
        <w:t>SEE programme</w:t>
      </w:r>
      <w:r>
        <w:t xml:space="preserve">, and the fact that the AMEP is intended to be undertaken in the period immediately following an individual arriving </w:t>
      </w:r>
      <w:r>
        <w:lastRenderedPageBreak/>
        <w:t xml:space="preserve">in Australia, it is generally considered that for those who are eligible, </w:t>
      </w:r>
      <w:r w:rsidR="00A20395">
        <w:t>the AMEP</w:t>
      </w:r>
      <w:r>
        <w:t xml:space="preserve"> is the precursor to the </w:t>
      </w:r>
      <w:r w:rsidR="00AE13AC">
        <w:t>SEE programme</w:t>
      </w:r>
      <w:r>
        <w:t>.</w:t>
      </w:r>
      <w:r w:rsidR="007045B5" w:rsidRPr="007045B5">
        <w:t xml:space="preserve"> </w:t>
      </w:r>
      <w:r w:rsidR="007045B5">
        <w:t>Participants that move from the AMEP into the SEE programme may do so:</w:t>
      </w:r>
    </w:p>
    <w:p w14:paraId="63322A60" w14:textId="77777777" w:rsidR="007045B5" w:rsidRDefault="007045B5" w:rsidP="007045B5">
      <w:pPr>
        <w:pStyle w:val="ListDash"/>
      </w:pPr>
      <w:r>
        <w:t>Because they consider that the SEE programme will better meet their needs, especially for those migrants that are employment-focused</w:t>
      </w:r>
    </w:p>
    <w:p w14:paraId="16909F89" w14:textId="77777777" w:rsidR="007045B5" w:rsidRDefault="007045B5" w:rsidP="007045B5">
      <w:pPr>
        <w:pStyle w:val="ListDash"/>
      </w:pPr>
      <w:r>
        <w:t>Because they have exhausted their AMEP hours</w:t>
      </w:r>
    </w:p>
    <w:p w14:paraId="45450B82" w14:textId="77777777" w:rsidR="007045B5" w:rsidRDefault="007045B5" w:rsidP="007045B5">
      <w:pPr>
        <w:pStyle w:val="ListDash"/>
      </w:pPr>
      <w:r>
        <w:t>Because they are no longer eligible for the AMEP.</w:t>
      </w:r>
    </w:p>
    <w:p w14:paraId="04D751AC" w14:textId="77777777" w:rsidR="007045B5" w:rsidRDefault="007045B5" w:rsidP="007045B5">
      <w:pPr>
        <w:pStyle w:val="BodyText"/>
      </w:pPr>
      <w:r>
        <w:t>It is also possible that some participants eligible for the AMEP never participate, and commence directly in the SEE programme when they become an eligible job seeker. The feedback from stakeholders suggest that this is generally unlikely given that the AMEP enjoys a high degree of public recognition and i</w:t>
      </w:r>
      <w:r w:rsidRPr="002E7247">
        <w:t xml:space="preserve">s well publicised amongst </w:t>
      </w:r>
      <w:r>
        <w:t xml:space="preserve">migrant and refugee communities. </w:t>
      </w:r>
    </w:p>
    <w:p w14:paraId="1215B444" w14:textId="33E4CEBA" w:rsidR="00583426" w:rsidRDefault="00A9587E" w:rsidP="00583426">
      <w:pPr>
        <w:pStyle w:val="BodyText"/>
      </w:pPr>
      <w:r>
        <w:t xml:space="preserve">As noted in Section </w:t>
      </w:r>
      <w:r>
        <w:fldChar w:fldCharType="begin"/>
      </w:r>
      <w:r>
        <w:instrText xml:space="preserve"> REF _Ref408394345 \r \h </w:instrText>
      </w:r>
      <w:r>
        <w:fldChar w:fldCharType="separate"/>
      </w:r>
      <w:r w:rsidR="00902F05">
        <w:t>2.4</w:t>
      </w:r>
      <w:r>
        <w:fldChar w:fldCharType="end"/>
      </w:r>
      <w:r>
        <w:t xml:space="preserve">, records are not kept of </w:t>
      </w:r>
      <w:r w:rsidR="00DE7B3A">
        <w:t xml:space="preserve">the </w:t>
      </w:r>
      <w:r>
        <w:t xml:space="preserve">number </w:t>
      </w:r>
      <w:r w:rsidR="00DE7B3A">
        <w:t xml:space="preserve">of AMEP participants that move into the </w:t>
      </w:r>
      <w:r w:rsidR="00AE13AC">
        <w:t>SEE programme</w:t>
      </w:r>
      <w:r w:rsidR="00DE7B3A">
        <w:t>.</w:t>
      </w:r>
      <w:r w:rsidR="00A137A1">
        <w:t xml:space="preserve"> </w:t>
      </w:r>
      <w:r w:rsidR="00583426">
        <w:t xml:space="preserve">There are two views on the appropriateness of AMEP participants transitioning into the </w:t>
      </w:r>
      <w:r w:rsidR="00AE13AC">
        <w:t>SEE programme</w:t>
      </w:r>
      <w:r w:rsidR="00583426">
        <w:t xml:space="preserve"> (or other training for that matter).</w:t>
      </w:r>
    </w:p>
    <w:p w14:paraId="65B14195" w14:textId="2391392B" w:rsidR="00583426" w:rsidRDefault="00583426" w:rsidP="00583426">
      <w:pPr>
        <w:pStyle w:val="BodyText"/>
      </w:pPr>
      <w:r>
        <w:t xml:space="preserve">First, some stakeholders and most AMEP </w:t>
      </w:r>
      <w:r w:rsidR="00CD1FBD">
        <w:t xml:space="preserve">service </w:t>
      </w:r>
      <w:r>
        <w:t xml:space="preserve">providers are of the view that it is in the client’s best interest for them to </w:t>
      </w:r>
      <w:r w:rsidR="00AD4C68">
        <w:t>maximise the use of</w:t>
      </w:r>
      <w:r>
        <w:t xml:space="preserve"> their AMEP entitlement before moving </w:t>
      </w:r>
      <w:r w:rsidR="007045B5">
        <w:t>in</w:t>
      </w:r>
      <w:r>
        <w:t xml:space="preserve">to the </w:t>
      </w:r>
      <w:r w:rsidR="00AE13AC">
        <w:t>SEE programme</w:t>
      </w:r>
      <w:r>
        <w:t>, on the grounds that:</w:t>
      </w:r>
    </w:p>
    <w:p w14:paraId="5C2DE9C3" w14:textId="77777777" w:rsidR="0021600E" w:rsidRDefault="0021600E" w:rsidP="0021600E">
      <w:pPr>
        <w:pStyle w:val="ListDash"/>
      </w:pPr>
      <w:r>
        <w:t>Clients should make full use of the entitlement afforded to them under the AMEP rather than allowing it to expire</w:t>
      </w:r>
      <w:r w:rsidR="00C07B31">
        <w:t>.</w:t>
      </w:r>
    </w:p>
    <w:p w14:paraId="686DC89C" w14:textId="77777777" w:rsidR="00583426" w:rsidRDefault="00583426" w:rsidP="0021600E">
      <w:pPr>
        <w:pStyle w:val="ListDash"/>
      </w:pPr>
      <w:r>
        <w:t>This will ensure that participants have sufficient LLN skills to “achieve the optimum benefit from the SEE programme”</w:t>
      </w:r>
      <w:r w:rsidR="0021600E">
        <w:t xml:space="preserve"> (</w:t>
      </w:r>
      <w:r w:rsidR="0021600E" w:rsidRPr="0021600E">
        <w:t xml:space="preserve">AMEP </w:t>
      </w:r>
      <w:r w:rsidR="00EF32C9">
        <w:t xml:space="preserve">service </w:t>
      </w:r>
      <w:r w:rsidR="0021600E" w:rsidRPr="0021600E">
        <w:t>provider confidential submission</w:t>
      </w:r>
      <w:r w:rsidR="0021600E">
        <w:t>)</w:t>
      </w:r>
      <w:r w:rsidR="00C07B31">
        <w:t>.</w:t>
      </w:r>
    </w:p>
    <w:p w14:paraId="56B602A7" w14:textId="77777777" w:rsidR="0021600E" w:rsidRDefault="0021600E" w:rsidP="0021600E">
      <w:pPr>
        <w:pStyle w:val="ListDash"/>
      </w:pPr>
      <w:r>
        <w:t>All settlement issues should be dealt with via the AMEP prior to engaging in other activities.</w:t>
      </w:r>
    </w:p>
    <w:p w14:paraId="1F90B5C8" w14:textId="7815CF47" w:rsidR="00357D08" w:rsidRDefault="0021600E" w:rsidP="00357D08">
      <w:pPr>
        <w:pStyle w:val="BodyText"/>
      </w:pPr>
      <w:r>
        <w:t xml:space="preserve">As </w:t>
      </w:r>
      <w:r w:rsidR="007045B5">
        <w:t xml:space="preserve">one </w:t>
      </w:r>
      <w:r>
        <w:t xml:space="preserve">submissions noted, in the past there had been a requirement for SEE </w:t>
      </w:r>
      <w:r w:rsidR="00D30F30">
        <w:t xml:space="preserve">programme </w:t>
      </w:r>
      <w:r>
        <w:t>participants to have first completed 460 hours of their AMEP entitlement</w:t>
      </w:r>
      <w:r w:rsidR="007045B5">
        <w:t>:</w:t>
      </w:r>
    </w:p>
    <w:p w14:paraId="0D9A8FD4" w14:textId="77777777" w:rsidR="00357D08" w:rsidRDefault="00357D08" w:rsidP="0021600E">
      <w:pPr>
        <w:pStyle w:val="Quote"/>
      </w:pPr>
      <w:r>
        <w:t>Under the previous model, AMEP clients were required to complete 460 hours in the AMEP before transitioning into the SEE program</w:t>
      </w:r>
      <w:r w:rsidR="00D30F30">
        <w:t>me</w:t>
      </w:r>
      <w:r>
        <w:t>. This previous mandatory requirement has been lifted under the current business model and has resulted in clients moving between the two progr</w:t>
      </w:r>
      <w:r w:rsidR="0021600E">
        <w:t>ams</w:t>
      </w:r>
      <w:r>
        <w:t xml:space="preserve">. </w:t>
      </w:r>
    </w:p>
    <w:p w14:paraId="7D8C6724" w14:textId="77777777" w:rsidR="00357D08" w:rsidRDefault="00357D08" w:rsidP="00357D08">
      <w:pPr>
        <w:pStyle w:val="QuoteSource"/>
      </w:pPr>
      <w:r>
        <w:t xml:space="preserve">– AMEP </w:t>
      </w:r>
      <w:r w:rsidR="00CD1FBD">
        <w:t xml:space="preserve">service </w:t>
      </w:r>
      <w:r>
        <w:t>provider confidential submission</w:t>
      </w:r>
    </w:p>
    <w:p w14:paraId="0E5DD9F3" w14:textId="034863F6" w:rsidR="00016D32" w:rsidRDefault="0021600E" w:rsidP="0021600E">
      <w:pPr>
        <w:pStyle w:val="BodyText"/>
      </w:pPr>
      <w:r>
        <w:t>SEE</w:t>
      </w:r>
      <w:r w:rsidR="00D30F30">
        <w:t xml:space="preserve"> </w:t>
      </w:r>
      <w:r>
        <w:t xml:space="preserve">providers consider the flexibility to move into the </w:t>
      </w:r>
      <w:r w:rsidR="00AE13AC">
        <w:t>SEE programme</w:t>
      </w:r>
      <w:r>
        <w:t xml:space="preserve"> to be appropriate</w:t>
      </w:r>
      <w:r w:rsidR="00464825">
        <w:t xml:space="preserve">, as it allows the client the opportunity to choose the programme that best meets </w:t>
      </w:r>
      <w:r w:rsidR="007045B5">
        <w:t xml:space="preserve">its </w:t>
      </w:r>
      <w:r w:rsidR="00464825">
        <w:t>needs</w:t>
      </w:r>
      <w:r>
        <w:t>.</w:t>
      </w:r>
    </w:p>
    <w:p w14:paraId="417EFB25" w14:textId="0B2F933C" w:rsidR="00464825" w:rsidRDefault="007045B5" w:rsidP="00464825">
      <w:pPr>
        <w:pStyle w:val="Quote"/>
      </w:pPr>
      <w:r>
        <w:t>…(the) a</w:t>
      </w:r>
      <w:r w:rsidR="00464825" w:rsidRPr="00CC4286">
        <w:t>bility to move to SEE prior to finishing AMEP hours has improved options for clients who want to fast track to employment.  This is because in SEE there is the opportunity to gain formal qualifications and a stronger focus on LLN contextualized in the workplace.</w:t>
      </w:r>
    </w:p>
    <w:p w14:paraId="3F75994D" w14:textId="77777777" w:rsidR="00464825" w:rsidRDefault="00464825" w:rsidP="00464825">
      <w:pPr>
        <w:pStyle w:val="QuoteSource"/>
      </w:pPr>
      <w:r w:rsidRPr="00CC4286">
        <w:t>GoTAFE, Chisholm Institute and LfE joint submission</w:t>
      </w:r>
    </w:p>
    <w:p w14:paraId="1D86F72A" w14:textId="77777777" w:rsidR="00464825" w:rsidRDefault="00464825" w:rsidP="00464825">
      <w:pPr>
        <w:pStyle w:val="BodyText"/>
      </w:pPr>
    </w:p>
    <w:p w14:paraId="5DC4D814" w14:textId="77777777" w:rsidR="005A278C" w:rsidRDefault="005A278C" w:rsidP="005A278C">
      <w:pPr>
        <w:pStyle w:val="Quote"/>
      </w:pPr>
      <w:r w:rsidRPr="00BA0149">
        <w:t xml:space="preserve">Currently, it is possible to do fewer than 510 hours before transitioning to SEE. This arrangement provides reasonable flexibility for job seekers with good language skills to move to SEE (if that is the support they are assessed as needing) without needing to complete the full 510 hours. </w:t>
      </w:r>
    </w:p>
    <w:p w14:paraId="63A25E97" w14:textId="77777777" w:rsidR="005A278C" w:rsidRPr="00BA0149" w:rsidRDefault="005A278C" w:rsidP="005A278C">
      <w:pPr>
        <w:pStyle w:val="QuoteSource"/>
      </w:pPr>
      <w:r>
        <w:t>– Jobs Australia submission</w:t>
      </w:r>
    </w:p>
    <w:p w14:paraId="6713B333" w14:textId="28F11960" w:rsidR="00622F2D" w:rsidRDefault="00622F2D" w:rsidP="00622F2D">
      <w:pPr>
        <w:pStyle w:val="BodyText"/>
      </w:pPr>
      <w:r>
        <w:t xml:space="preserve">As discussed in Section </w:t>
      </w:r>
      <w:r>
        <w:fldChar w:fldCharType="begin"/>
      </w:r>
      <w:r>
        <w:instrText xml:space="preserve"> REF _Ref408318377 \r \h </w:instrText>
      </w:r>
      <w:r>
        <w:fldChar w:fldCharType="separate"/>
      </w:r>
      <w:r w:rsidR="00902F05">
        <w:t>2.2</w:t>
      </w:r>
      <w:r>
        <w:fldChar w:fldCharType="end"/>
      </w:r>
      <w:r>
        <w:t xml:space="preserve">, AMEP participant eligibility for </w:t>
      </w:r>
      <w:r w:rsidR="00D30F30">
        <w:t>the SEE programme</w:t>
      </w:r>
      <w:r>
        <w:t xml:space="preserve"> cannot be assumed and there are currently some inconsistencies in the criteria between the two programmes. There are practical </w:t>
      </w:r>
      <w:r w:rsidR="007045B5">
        <w:t xml:space="preserve">considerations </w:t>
      </w:r>
      <w:r w:rsidRPr="00EF32C9">
        <w:t>associated</w:t>
      </w:r>
      <w:r w:rsidR="00EF32C9">
        <w:t xml:space="preserve"> with</w:t>
      </w:r>
      <w:r w:rsidRPr="00EF32C9">
        <w:t xml:space="preserve"> whether the pathway from </w:t>
      </w:r>
      <w:r w:rsidR="00A20395">
        <w:t>the AMEP</w:t>
      </w:r>
      <w:r w:rsidRPr="00EF32C9">
        <w:t xml:space="preserve"> into </w:t>
      </w:r>
      <w:r w:rsidR="00D30F30">
        <w:t>the SEE programme</w:t>
      </w:r>
      <w:r w:rsidRPr="00EF32C9">
        <w:t xml:space="preserve"> is indeed available for a given client.</w:t>
      </w:r>
    </w:p>
    <w:p w14:paraId="79CE9E64" w14:textId="44674E44" w:rsidR="00662CD7" w:rsidRDefault="00662CD7" w:rsidP="00152392">
      <w:pPr>
        <w:pStyle w:val="Quote"/>
        <w:keepNext/>
      </w:pPr>
      <w:r>
        <w:lastRenderedPageBreak/>
        <w:t xml:space="preserve">Only some exiting AMEP clients are eligible for the </w:t>
      </w:r>
      <w:r w:rsidR="00AE13AC">
        <w:t>SEE programme</w:t>
      </w:r>
      <w:r>
        <w:t>. Currently this means that those who may benefit from a pathway into the SEE need to go through a sometimes complex process to check eligibility and be referred. This can cause delay and disappointment for the client as well as the additional administrative burden for providers of AMEP, SEE and JSAs.</w:t>
      </w:r>
    </w:p>
    <w:p w14:paraId="069F4DA1" w14:textId="77777777" w:rsidR="00662CD7" w:rsidRDefault="00662CD7" w:rsidP="00662CD7">
      <w:pPr>
        <w:pStyle w:val="QuoteSource"/>
      </w:pPr>
      <w:r>
        <w:t>Confidential submission</w:t>
      </w:r>
    </w:p>
    <w:p w14:paraId="2871D129" w14:textId="248F5965" w:rsidR="00662CD7" w:rsidRDefault="00464825" w:rsidP="005B649C">
      <w:pPr>
        <w:pStyle w:val="BodyText"/>
      </w:pPr>
      <w:r>
        <w:t xml:space="preserve">For those participants who would seek to ‘reverse articulate’ from </w:t>
      </w:r>
      <w:r w:rsidR="00D30F30">
        <w:t>the SEE programme</w:t>
      </w:r>
      <w:r>
        <w:t xml:space="preserve"> into </w:t>
      </w:r>
      <w:r w:rsidR="00A20395">
        <w:t>the AMEP</w:t>
      </w:r>
      <w:r>
        <w:t>, most would agree that it would be preferable to avoid such a pathway altogether</w:t>
      </w:r>
      <w:r w:rsidR="007045B5">
        <w:t xml:space="preserve">. The AMEP is primarily seen as supporting </w:t>
      </w:r>
      <w:r>
        <w:t xml:space="preserve">those </w:t>
      </w:r>
      <w:r w:rsidR="007045B5">
        <w:t xml:space="preserve">in </w:t>
      </w:r>
      <w:r>
        <w:t xml:space="preserve">need </w:t>
      </w:r>
      <w:r w:rsidR="007045B5">
        <w:t xml:space="preserve">of </w:t>
      </w:r>
      <w:r>
        <w:t xml:space="preserve">basic language and settlement. There </w:t>
      </w:r>
      <w:r w:rsidR="00F81E97">
        <w:t xml:space="preserve">are </w:t>
      </w:r>
      <w:r>
        <w:t xml:space="preserve">however no data available to quantify the extent to which movement from </w:t>
      </w:r>
      <w:r w:rsidR="00D30F30">
        <w:t>the SEE programme</w:t>
      </w:r>
      <w:r>
        <w:t xml:space="preserve"> into </w:t>
      </w:r>
      <w:r w:rsidR="00A20395">
        <w:t>the AMEP</w:t>
      </w:r>
      <w:r>
        <w:t xml:space="preserve"> takes place.</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464825" w14:paraId="7A30FFAE" w14:textId="77777777" w:rsidTr="000943CF">
        <w:tc>
          <w:tcPr>
            <w:tcW w:w="5000" w:type="pct"/>
            <w:shd w:val="pct12" w:color="auto" w:fill="auto"/>
          </w:tcPr>
          <w:p w14:paraId="3171EA29" w14:textId="77777777" w:rsidR="00464825" w:rsidRDefault="00464825" w:rsidP="000943CF">
            <w:pPr>
              <w:pStyle w:val="Caption"/>
              <w:spacing w:before="120" w:after="60"/>
              <w:ind w:left="1112" w:hanging="1112"/>
              <w:rPr>
                <w:rFonts w:ascii="Arial Bold" w:hAnsi="Arial Bold"/>
                <w:color w:val="000080"/>
              </w:rPr>
            </w:pPr>
            <w:r>
              <w:t xml:space="preserve">Key Finding </w:t>
            </w:r>
            <w:r w:rsidR="00902F05">
              <w:fldChar w:fldCharType="begin"/>
            </w:r>
            <w:r w:rsidR="00902F05">
              <w:instrText xml:space="preserve"> SEQ Key_Finding \* ARABIC </w:instrText>
            </w:r>
            <w:r w:rsidR="00902F05">
              <w:fldChar w:fldCharType="separate"/>
            </w:r>
            <w:r w:rsidR="00902F05">
              <w:rPr>
                <w:noProof/>
              </w:rPr>
              <w:t>8</w:t>
            </w:r>
            <w:r w:rsidR="00902F05">
              <w:rPr>
                <w:noProof/>
              </w:rPr>
              <w:fldChar w:fldCharType="end"/>
            </w:r>
          </w:p>
        </w:tc>
      </w:tr>
      <w:tr w:rsidR="00464825" w14:paraId="5255C504" w14:textId="77777777" w:rsidTr="000943CF">
        <w:tc>
          <w:tcPr>
            <w:tcW w:w="5000" w:type="pct"/>
            <w:shd w:val="pct12" w:color="auto" w:fill="auto"/>
          </w:tcPr>
          <w:p w14:paraId="44CDBFC8" w14:textId="2A372094" w:rsidR="00E458C2" w:rsidRDefault="00E458C2" w:rsidP="000943CF">
            <w:pPr>
              <w:pStyle w:val="BoxText"/>
            </w:pPr>
            <w:r>
              <w:t xml:space="preserve">It is generally accepted that for eligible clients, the AMEP is the precursor to the </w:t>
            </w:r>
            <w:r w:rsidR="00AE13AC">
              <w:t>SEE programme</w:t>
            </w:r>
            <w:r>
              <w:t xml:space="preserve">, however there are no formal processes or pathways from </w:t>
            </w:r>
            <w:r w:rsidR="00A20395">
              <w:t>the AMEP</w:t>
            </w:r>
            <w:r>
              <w:t xml:space="preserve"> to </w:t>
            </w:r>
            <w:r w:rsidR="00D30F30">
              <w:t>the SEE programme</w:t>
            </w:r>
            <w:r>
              <w:t>.</w:t>
            </w:r>
          </w:p>
          <w:p w14:paraId="24432204" w14:textId="7A9278A2" w:rsidR="007C3326" w:rsidRDefault="007C3326" w:rsidP="007C3326">
            <w:pPr>
              <w:pStyle w:val="BoxText"/>
            </w:pPr>
            <w:r>
              <w:t xml:space="preserve">There are no data available on the proportion of AMEP participants that move into the </w:t>
            </w:r>
            <w:r w:rsidR="00AE13AC">
              <w:t>SEE programme</w:t>
            </w:r>
            <w:r>
              <w:t>, or vice versa.</w:t>
            </w:r>
          </w:p>
          <w:p w14:paraId="3E7CBC6F" w14:textId="77777777" w:rsidR="00464825" w:rsidRPr="00090BC6" w:rsidRDefault="00464825" w:rsidP="000943CF">
            <w:pPr>
              <w:pStyle w:val="SmallDeltasRightAligned"/>
            </w:pPr>
            <w:r w:rsidRPr="00090BC6">
              <w:rPr>
                <w:noProof/>
                <w:lang w:eastAsia="en-AU"/>
              </w:rPr>
              <w:drawing>
                <wp:inline distT="0" distB="0" distL="0" distR="0" wp14:anchorId="33477337" wp14:editId="571BD8AD">
                  <wp:extent cx="481585" cy="23469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464825" w14:paraId="61BE5871" w14:textId="77777777" w:rsidTr="000943CF">
        <w:trPr>
          <w:trHeight w:hRule="exact" w:val="80"/>
        </w:trPr>
        <w:tc>
          <w:tcPr>
            <w:tcW w:w="5000" w:type="pct"/>
            <w:shd w:val="pct12" w:color="auto" w:fill="auto"/>
          </w:tcPr>
          <w:p w14:paraId="3F740A5D" w14:textId="77777777" w:rsidR="00464825" w:rsidRDefault="00464825" w:rsidP="000943CF">
            <w:pPr>
              <w:spacing w:before="160"/>
            </w:pPr>
            <w:r>
              <w:t xml:space="preserve"> </w:t>
            </w:r>
          </w:p>
        </w:tc>
      </w:tr>
    </w:tbl>
    <w:p w14:paraId="5E53CBE7" w14:textId="6803CA86" w:rsidR="00E97C0A" w:rsidRDefault="00E97C0A" w:rsidP="00E97C0A">
      <w:pPr>
        <w:pStyle w:val="Heading3"/>
      </w:pPr>
      <w:bookmarkStart w:id="50" w:name="_Ref408408076"/>
      <w:r>
        <w:t>Pathways in dual AMEP-</w:t>
      </w:r>
      <w:r w:rsidR="00D30F30">
        <w:t xml:space="preserve">SEE </w:t>
      </w:r>
      <w:r>
        <w:t>providers</w:t>
      </w:r>
      <w:bookmarkEnd w:id="50"/>
    </w:p>
    <w:p w14:paraId="4FC2497D" w14:textId="08445BF2" w:rsidR="00392CAA" w:rsidRDefault="00392CAA" w:rsidP="004D154F">
      <w:pPr>
        <w:pStyle w:val="BodyText"/>
      </w:pPr>
      <w:r>
        <w:t xml:space="preserve">To date, given that the </w:t>
      </w:r>
      <w:r w:rsidR="006A5882">
        <w:t xml:space="preserve">two programmes </w:t>
      </w:r>
      <w:r w:rsidR="00207EBF">
        <w:t xml:space="preserve">have been </w:t>
      </w:r>
      <w:r w:rsidR="006A5882">
        <w:t xml:space="preserve">managed </w:t>
      </w:r>
      <w:r w:rsidR="002C01D4">
        <w:t>in</w:t>
      </w:r>
      <w:r w:rsidR="00207EBF">
        <w:t xml:space="preserve"> separate portfolios</w:t>
      </w:r>
      <w:r w:rsidR="006A5882">
        <w:t xml:space="preserve">, </w:t>
      </w:r>
      <w:r w:rsidR="00C516D1">
        <w:t xml:space="preserve">the AMEP and SEE programmes </w:t>
      </w:r>
      <w:r w:rsidR="002C01D4">
        <w:t xml:space="preserve">have </w:t>
      </w:r>
      <w:r w:rsidR="00C516D1">
        <w:t xml:space="preserve">run separate </w:t>
      </w:r>
      <w:r>
        <w:t>tender process</w:t>
      </w:r>
      <w:r w:rsidR="00C516D1">
        <w:t xml:space="preserve">es. </w:t>
      </w:r>
      <w:r w:rsidR="00207EBF">
        <w:t xml:space="preserve">As </w:t>
      </w:r>
      <w:r w:rsidR="00FB6953">
        <w:fldChar w:fldCharType="begin"/>
      </w:r>
      <w:r w:rsidR="00FB6953">
        <w:instrText xml:space="preserve"> REF _Ref408397594 \h </w:instrText>
      </w:r>
      <w:r w:rsidR="00FB6953">
        <w:fldChar w:fldCharType="separate"/>
      </w:r>
      <w:r w:rsidR="00902F05">
        <w:t xml:space="preserve">Figure </w:t>
      </w:r>
      <w:r w:rsidR="00902F05">
        <w:rPr>
          <w:noProof/>
        </w:rPr>
        <w:t>9</w:t>
      </w:r>
      <w:r w:rsidR="00FB6953">
        <w:fldChar w:fldCharType="end"/>
      </w:r>
      <w:r w:rsidR="00207EBF">
        <w:t xml:space="preserve"> </w:t>
      </w:r>
      <w:r w:rsidR="006A1F34">
        <w:t>shows, the two programmes have appointed different providers</w:t>
      </w:r>
      <w:r w:rsidR="004E4CBE">
        <w:t>:</w:t>
      </w:r>
      <w:r w:rsidR="002C01D4">
        <w:t xml:space="preserve"> </w:t>
      </w:r>
    </w:p>
    <w:p w14:paraId="6B8A21D1" w14:textId="4188136D" w:rsidR="004E4CBE" w:rsidRDefault="00A20395" w:rsidP="004E4CBE">
      <w:pPr>
        <w:pStyle w:val="ListDash"/>
      </w:pPr>
      <w:r>
        <w:t>The AMEP</w:t>
      </w:r>
      <w:r w:rsidR="002C01D4">
        <w:t xml:space="preserve"> has appointed</w:t>
      </w:r>
      <w:r w:rsidR="004E4CBE">
        <w:t xml:space="preserve"> </w:t>
      </w:r>
      <w:r w:rsidR="008D3D6F">
        <w:t>11 providers, which in turn engage 55 subcontractors</w:t>
      </w:r>
    </w:p>
    <w:p w14:paraId="2D402DDD" w14:textId="1C5E2580" w:rsidR="002C01D4" w:rsidRDefault="00D30F30" w:rsidP="004E4CBE">
      <w:pPr>
        <w:pStyle w:val="ListDash"/>
      </w:pPr>
      <w:r>
        <w:t>The SEE programme</w:t>
      </w:r>
      <w:r w:rsidR="004E4CBE">
        <w:t xml:space="preserve"> has appointed </w:t>
      </w:r>
      <w:r w:rsidR="008D3D6F">
        <w:t>65</w:t>
      </w:r>
      <w:r w:rsidR="004E4CBE">
        <w:t xml:space="preserve"> providers across </w:t>
      </w:r>
      <w:r w:rsidR="004E4CBE" w:rsidRPr="004E4CBE">
        <w:t>146</w:t>
      </w:r>
      <w:r w:rsidR="004E4CBE">
        <w:t xml:space="preserve"> SDAs</w:t>
      </w:r>
      <w:r w:rsidR="008D3D6F">
        <w:t>.</w:t>
      </w:r>
    </w:p>
    <w:p w14:paraId="122C3029" w14:textId="77777777" w:rsidR="006A1F34" w:rsidRDefault="00400A43" w:rsidP="004D154F">
      <w:pPr>
        <w:pStyle w:val="BodyText"/>
      </w:pPr>
      <w:r>
        <w:t>Including both primary and subcontractors, t</w:t>
      </w:r>
      <w:r w:rsidR="004E4CBE">
        <w:t>here are</w:t>
      </w:r>
      <w:r>
        <w:t xml:space="preserve"> an estimated 15</w:t>
      </w:r>
      <w:r w:rsidR="00D80058">
        <w:t xml:space="preserve"> providers of both programmes although there </w:t>
      </w:r>
      <w:r w:rsidR="004E4CBE">
        <w:t xml:space="preserve">may also be SEE providers and </w:t>
      </w:r>
      <w:r w:rsidR="00F44121">
        <w:t>providers within a consortia for one programme that also deliver in the other.</w:t>
      </w:r>
    </w:p>
    <w:p w14:paraId="44404333" w14:textId="6E2F3245" w:rsidR="004E4CBE" w:rsidRDefault="004E4CBE" w:rsidP="004E4CBE">
      <w:pPr>
        <w:pStyle w:val="BodyText"/>
      </w:pPr>
      <w:r>
        <w:t xml:space="preserve">Stakeholders and programme participants report that where there is a dual AMEP-SEE provider, there are clear benefits for </w:t>
      </w:r>
      <w:r w:rsidR="0092139F">
        <w:t>client</w:t>
      </w:r>
      <w:r>
        <w:t xml:space="preserve">s and providers. </w:t>
      </w:r>
    </w:p>
    <w:p w14:paraId="705EDF1B" w14:textId="62D15E5D" w:rsidR="004E4CBE" w:rsidRDefault="004E4CBE" w:rsidP="004E4CBE">
      <w:pPr>
        <w:pStyle w:val="ListDash"/>
      </w:pPr>
      <w:r>
        <w:t>There tends to be a better understanding of both programmes and pathways between the programmes are clearer.</w:t>
      </w:r>
    </w:p>
    <w:p w14:paraId="02A1F803" w14:textId="0F776838" w:rsidR="004E4CBE" w:rsidRDefault="0092139F" w:rsidP="004E4CBE">
      <w:pPr>
        <w:pStyle w:val="ListDash"/>
      </w:pPr>
      <w:r>
        <w:t>Client</w:t>
      </w:r>
      <w:r w:rsidR="004E4CBE">
        <w:t xml:space="preserve">s are encouraged to use up their AMEP allocation prior to progressing to </w:t>
      </w:r>
      <w:r w:rsidR="00D30F30">
        <w:t>the SEE programme</w:t>
      </w:r>
      <w:r w:rsidR="00C07B31">
        <w:t>.</w:t>
      </w:r>
    </w:p>
    <w:p w14:paraId="1AB43F78" w14:textId="764FBDE6" w:rsidR="004E4CBE" w:rsidRDefault="004E4CBE" w:rsidP="004E4CBE">
      <w:pPr>
        <w:pStyle w:val="ListDash"/>
      </w:pPr>
      <w:r>
        <w:t xml:space="preserve">Where there is a transition to </w:t>
      </w:r>
      <w:r w:rsidR="00D30F30">
        <w:t>the SEE programme</w:t>
      </w:r>
      <w:r>
        <w:t xml:space="preserve"> after </w:t>
      </w:r>
      <w:r w:rsidR="00A20395">
        <w:t>the AMEP</w:t>
      </w:r>
      <w:r>
        <w:t xml:space="preserve">, </w:t>
      </w:r>
      <w:r w:rsidR="0092139F">
        <w:t>client</w:t>
      </w:r>
      <w:r>
        <w:t xml:space="preserve">s have the benefit of </w:t>
      </w:r>
      <w:r w:rsidR="00886BCD">
        <w:t xml:space="preserve">remaining </w:t>
      </w:r>
      <w:r>
        <w:t>at the same campus environment the same classmates.</w:t>
      </w:r>
    </w:p>
    <w:p w14:paraId="0FF390CD" w14:textId="2605CE4D" w:rsidR="004E4CBE" w:rsidRDefault="004E4CBE" w:rsidP="004E4CBE">
      <w:pPr>
        <w:pStyle w:val="BodyText"/>
      </w:pPr>
      <w:r>
        <w:t xml:space="preserve">From the provider’s perspective, there are benefits from economies of scale and scope in delivering both </w:t>
      </w:r>
      <w:r w:rsidR="00A20395">
        <w:t>the AMEP</w:t>
      </w:r>
      <w:r>
        <w:t xml:space="preserve"> and </w:t>
      </w:r>
      <w:r w:rsidR="00D30F30">
        <w:t>the SEE programme</w:t>
      </w:r>
      <w:r>
        <w:t>, although some aspects</w:t>
      </w:r>
      <w:r w:rsidR="00886BCD">
        <w:t>,</w:t>
      </w:r>
      <w:r>
        <w:t xml:space="preserve"> such as reporting</w:t>
      </w:r>
      <w:r w:rsidR="00886BCD">
        <w:t>,</w:t>
      </w:r>
      <w:r>
        <w:t xml:space="preserve"> still require two separate systems to be in place.</w:t>
      </w:r>
    </w:p>
    <w:p w14:paraId="0E06C76A" w14:textId="77777777" w:rsidR="004E4CBE" w:rsidRDefault="004E4CBE" w:rsidP="004E4CBE">
      <w:pPr>
        <w:pStyle w:val="BodyText"/>
      </w:pPr>
      <w:r>
        <w:t xml:space="preserve">Given the likely overlap in eligible clients discussed in Section </w:t>
      </w:r>
      <w:r>
        <w:fldChar w:fldCharType="begin"/>
      </w:r>
      <w:r>
        <w:instrText xml:space="preserve"> REF _Ref408394345 \r \h </w:instrText>
      </w:r>
      <w:r>
        <w:fldChar w:fldCharType="separate"/>
      </w:r>
      <w:r w:rsidR="00902F05">
        <w:t>2.4</w:t>
      </w:r>
      <w:r>
        <w:fldChar w:fldCharType="end"/>
      </w:r>
      <w:r>
        <w:t xml:space="preserve">, </w:t>
      </w:r>
      <w:r w:rsidR="00F44121">
        <w:t xml:space="preserve">by comparison, </w:t>
      </w:r>
      <w:r>
        <w:t xml:space="preserve">there appears to be substantially less overlap in the </w:t>
      </w:r>
      <w:r w:rsidR="00F44121">
        <w:t>providers delivering across both programmes than one would expect. This is also surprising given that both programmes have appointed fewer providers than there are contracts.</w:t>
      </w:r>
    </w:p>
    <w:p w14:paraId="351CF72A" w14:textId="4D928016" w:rsidR="00F44121" w:rsidRDefault="00F44121" w:rsidP="004E4CBE">
      <w:pPr>
        <w:pStyle w:val="BodyText"/>
      </w:pPr>
      <w:r>
        <w:t xml:space="preserve">While the two programmes have distinct objectives and approaches, the commonality in the delivery of English language training to CALD cohorts would suggest that there is opportunity for both </w:t>
      </w:r>
      <w:r w:rsidR="0092139F">
        <w:t>client</w:t>
      </w:r>
      <w:r>
        <w:t xml:space="preserve">s and providers to enjoy the benefits of increased provider crossover between </w:t>
      </w:r>
      <w:r w:rsidR="00A20395">
        <w:t>the AMEP</w:t>
      </w:r>
      <w:r>
        <w:t xml:space="preserve"> and </w:t>
      </w:r>
      <w:r w:rsidR="00D30F30">
        <w:t>the SEE programme</w:t>
      </w:r>
      <w:r w:rsidR="00516850">
        <w:t xml:space="preserve"> (without compromising the diversity of providers in either programme)</w:t>
      </w:r>
      <w:r>
        <w:t>.</w:t>
      </w:r>
    </w:p>
    <w:p w14:paraId="3342CEF0" w14:textId="77777777" w:rsidR="00F44121" w:rsidRDefault="00F44121">
      <w:pPr>
        <w:pStyle w:val="Caption"/>
      </w:pPr>
      <w:bookmarkStart w:id="51" w:name="_Ref408397594"/>
      <w:bookmarkStart w:id="52" w:name="_Ref408397587"/>
      <w:bookmarkStart w:id="53" w:name="_Toc420078564"/>
      <w:r>
        <w:lastRenderedPageBreak/>
        <w:t xml:space="preserve">Figure </w:t>
      </w:r>
      <w:r w:rsidR="00902F05">
        <w:fldChar w:fldCharType="begin"/>
      </w:r>
      <w:r w:rsidR="00902F05">
        <w:instrText xml:space="preserve"> SEQ Figure \* ARABIC </w:instrText>
      </w:r>
      <w:r w:rsidR="00902F05">
        <w:fldChar w:fldCharType="separate"/>
      </w:r>
      <w:r w:rsidR="00902F05">
        <w:rPr>
          <w:noProof/>
        </w:rPr>
        <w:t>9</w:t>
      </w:r>
      <w:r w:rsidR="00902F05">
        <w:rPr>
          <w:noProof/>
        </w:rPr>
        <w:fldChar w:fldCharType="end"/>
      </w:r>
      <w:bookmarkEnd w:id="51"/>
      <w:r w:rsidRPr="004E0C91">
        <w:rPr>
          <w:b/>
          <w:color w:val="000080"/>
        </w:rPr>
        <w:tab/>
      </w:r>
      <w:r>
        <w:rPr>
          <w:rStyle w:val="CaptionLabel"/>
        </w:rPr>
        <w:t>AMEP and SEE providers and subcontractors</w:t>
      </w:r>
      <w:bookmarkEnd w:id="52"/>
      <w:bookmarkEnd w:id="53"/>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1"/>
      </w:tblGrid>
      <w:tr w:rsidR="00F44121" w14:paraId="7F733C8A" w14:textId="77777777" w:rsidTr="000943CF">
        <w:trPr>
          <w:cantSplit/>
        </w:trPr>
        <w:tc>
          <w:tcPr>
            <w:tcW w:w="5000" w:type="pct"/>
          </w:tcPr>
          <w:p w14:paraId="2509AE5F" w14:textId="77777777" w:rsidR="00F44121" w:rsidRDefault="00F44121" w:rsidP="000943CF">
            <w:pPr>
              <w:pStyle w:val="SmallDeltasRightAligned"/>
              <w:keepNext/>
            </w:pPr>
            <w:r>
              <w:rPr>
                <w:noProof/>
                <w:lang w:eastAsia="en-AU"/>
              </w:rPr>
              <w:drawing>
                <wp:inline distT="0" distB="0" distL="0" distR="0" wp14:anchorId="62543A90" wp14:editId="54579EB9">
                  <wp:extent cx="481585" cy="23469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F44121" w14:paraId="5BD6AAAE" w14:textId="77777777" w:rsidTr="000943CF">
        <w:trPr>
          <w:cantSplit/>
        </w:trPr>
        <w:tc>
          <w:tcPr>
            <w:tcW w:w="5000" w:type="pct"/>
          </w:tcPr>
          <w:p w14:paraId="02E665A9" w14:textId="77777777" w:rsidR="00F44121" w:rsidRDefault="00152392" w:rsidP="000943CF">
            <w:pPr>
              <w:pStyle w:val="Figure"/>
            </w:pPr>
            <w:r>
              <w:rPr>
                <w:noProof/>
                <w:lang w:eastAsia="en-AU"/>
              </w:rPr>
              <w:drawing>
                <wp:inline distT="0" distB="0" distL="0" distR="0" wp14:anchorId="4070F513" wp14:editId="4876B9E3">
                  <wp:extent cx="3683479" cy="20902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88157" cy="2092896"/>
                          </a:xfrm>
                          <a:prstGeom prst="rect">
                            <a:avLst/>
                          </a:prstGeom>
                          <a:noFill/>
                        </pic:spPr>
                      </pic:pic>
                    </a:graphicData>
                  </a:graphic>
                </wp:inline>
              </w:drawing>
            </w:r>
          </w:p>
        </w:tc>
      </w:tr>
    </w:tbl>
    <w:p w14:paraId="555ECE72" w14:textId="77777777" w:rsidR="00F44121" w:rsidRPr="00B50A1B" w:rsidRDefault="00F44121" w:rsidP="000943CF">
      <w:pPr>
        <w:pStyle w:val="Source"/>
        <w:rPr>
          <w:i/>
        </w:rPr>
      </w:pPr>
      <w:r>
        <w:t>S</w:t>
      </w:r>
      <w:r w:rsidRPr="00B50A1B">
        <w:t>ource:</w:t>
      </w:r>
      <w:r w:rsidRPr="00954EED">
        <w:t xml:space="preserve"> </w:t>
      </w:r>
      <w:r w:rsidR="00B745A6">
        <w:t>AMEP and SEE programme documentation</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016D32" w14:paraId="20CD5F91" w14:textId="77777777" w:rsidTr="00C3647D">
        <w:tc>
          <w:tcPr>
            <w:tcW w:w="5000" w:type="pct"/>
            <w:shd w:val="pct12" w:color="auto" w:fill="auto"/>
          </w:tcPr>
          <w:p w14:paraId="3122D836" w14:textId="77777777" w:rsidR="00016D32" w:rsidRDefault="00016D32" w:rsidP="00C3647D">
            <w:pPr>
              <w:pStyle w:val="Caption"/>
              <w:spacing w:before="120" w:after="60"/>
              <w:ind w:left="1112" w:hanging="1112"/>
              <w:rPr>
                <w:rFonts w:ascii="Arial Bold" w:hAnsi="Arial Bold"/>
                <w:color w:val="000080"/>
              </w:rPr>
            </w:pPr>
            <w:r>
              <w:t xml:space="preserve">Key Finding </w:t>
            </w:r>
            <w:r w:rsidR="00902F05">
              <w:fldChar w:fldCharType="begin"/>
            </w:r>
            <w:r w:rsidR="00902F05">
              <w:instrText xml:space="preserve"> SEQ Key_Finding \* ARABIC </w:instrText>
            </w:r>
            <w:r w:rsidR="00902F05">
              <w:fldChar w:fldCharType="separate"/>
            </w:r>
            <w:r w:rsidR="00902F05">
              <w:rPr>
                <w:noProof/>
              </w:rPr>
              <w:t>9</w:t>
            </w:r>
            <w:r w:rsidR="00902F05">
              <w:rPr>
                <w:noProof/>
              </w:rPr>
              <w:fldChar w:fldCharType="end"/>
            </w:r>
          </w:p>
        </w:tc>
      </w:tr>
      <w:tr w:rsidR="00016D32" w14:paraId="13184CB8" w14:textId="77777777" w:rsidTr="00C3647D">
        <w:tc>
          <w:tcPr>
            <w:tcW w:w="5000" w:type="pct"/>
            <w:shd w:val="pct12" w:color="auto" w:fill="auto"/>
          </w:tcPr>
          <w:p w14:paraId="01D81040" w14:textId="77777777" w:rsidR="00886BCD" w:rsidRDefault="00886BCD" w:rsidP="00886BCD">
            <w:pPr>
              <w:pStyle w:val="BoxText"/>
            </w:pPr>
            <w:r>
              <w:t xml:space="preserve">While the participants in both programmes share similar characteristics and learning needs, there </w:t>
            </w:r>
            <w:r w:rsidRPr="00B745A6">
              <w:t xml:space="preserve">appears to be </w:t>
            </w:r>
            <w:r>
              <w:t xml:space="preserve">limited </w:t>
            </w:r>
            <w:r w:rsidRPr="00B745A6">
              <w:t>overlap in the providers delivering across both programmes</w:t>
            </w:r>
            <w:r>
              <w:t xml:space="preserve">. </w:t>
            </w:r>
          </w:p>
          <w:p w14:paraId="58F4212B" w14:textId="6487BFA3" w:rsidR="00932FD1" w:rsidRDefault="004E4CBE" w:rsidP="00F44121">
            <w:pPr>
              <w:pStyle w:val="BoxText"/>
            </w:pPr>
            <w:r>
              <w:t xml:space="preserve">Where there is a dual AMEP-SEE provider, benefits </w:t>
            </w:r>
            <w:r w:rsidR="00932FD1">
              <w:t xml:space="preserve">were reported </w:t>
            </w:r>
            <w:r>
              <w:t xml:space="preserve">for both </w:t>
            </w:r>
            <w:r w:rsidR="0092139F">
              <w:t>client</w:t>
            </w:r>
            <w:r>
              <w:t>s and providers.</w:t>
            </w:r>
            <w:r w:rsidR="00F44121">
              <w:t xml:space="preserve"> </w:t>
            </w:r>
            <w:r w:rsidR="00886BCD">
              <w:t>While the two programmes have distinct objectives and approaches, the commonality in the delivery of English language training to CALD cohorts suggests that increases in the overlap in providers delivering both programmes would be beneficial.</w:t>
            </w:r>
          </w:p>
          <w:p w14:paraId="03A68484" w14:textId="7073BBD7" w:rsidR="00F44121" w:rsidRDefault="00F44121" w:rsidP="00F44121">
            <w:pPr>
              <w:pStyle w:val="BoxText"/>
            </w:pPr>
          </w:p>
          <w:p w14:paraId="26367AF8" w14:textId="77777777" w:rsidR="00016D32" w:rsidRPr="00090BC6" w:rsidRDefault="00016D32" w:rsidP="00C3647D">
            <w:pPr>
              <w:pStyle w:val="SmallDeltasRightAligned"/>
            </w:pPr>
            <w:r w:rsidRPr="00090BC6">
              <w:rPr>
                <w:noProof/>
                <w:lang w:eastAsia="en-AU"/>
              </w:rPr>
              <w:drawing>
                <wp:inline distT="0" distB="0" distL="0" distR="0" wp14:anchorId="0DC60718" wp14:editId="010ADE18">
                  <wp:extent cx="481585" cy="234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016D32" w14:paraId="17DD97FA" w14:textId="77777777" w:rsidTr="00C3647D">
        <w:trPr>
          <w:trHeight w:hRule="exact" w:val="80"/>
        </w:trPr>
        <w:tc>
          <w:tcPr>
            <w:tcW w:w="5000" w:type="pct"/>
            <w:shd w:val="pct12" w:color="auto" w:fill="auto"/>
          </w:tcPr>
          <w:p w14:paraId="2643F368" w14:textId="77777777" w:rsidR="00016D32" w:rsidRDefault="00016D32" w:rsidP="00C3647D">
            <w:pPr>
              <w:spacing w:before="160"/>
            </w:pPr>
            <w:r>
              <w:t xml:space="preserve"> </w:t>
            </w:r>
          </w:p>
        </w:tc>
      </w:tr>
    </w:tbl>
    <w:p w14:paraId="2B1C1854" w14:textId="77777777" w:rsidR="00F47359" w:rsidRDefault="00F47359" w:rsidP="0071501F">
      <w:pPr>
        <w:pStyle w:val="Heading1"/>
      </w:pPr>
      <w:bookmarkStart w:id="54" w:name="_Toc420078542"/>
      <w:r>
        <w:lastRenderedPageBreak/>
        <w:t>Opportunities to improve client outcomes</w:t>
      </w:r>
      <w:bookmarkEnd w:id="54"/>
    </w:p>
    <w:p w14:paraId="6FDE256E" w14:textId="77777777" w:rsidR="000120E4" w:rsidRDefault="00E97C0A" w:rsidP="0071501F">
      <w:pPr>
        <w:pStyle w:val="Heading2"/>
      </w:pPr>
      <w:bookmarkStart w:id="55" w:name="_Toc420078543"/>
      <w:r>
        <w:t xml:space="preserve">Addressing the eligibility </w:t>
      </w:r>
      <w:r w:rsidR="000120E4">
        <w:t>gap</w:t>
      </w:r>
      <w:bookmarkEnd w:id="55"/>
    </w:p>
    <w:p w14:paraId="384EE1C6" w14:textId="3257C3B2" w:rsidR="00C052BD" w:rsidRDefault="00C052BD" w:rsidP="000120E4">
      <w:pPr>
        <w:pStyle w:val="BodyText"/>
      </w:pPr>
      <w:r>
        <w:t xml:space="preserve">As discussed in Section </w:t>
      </w:r>
      <w:r>
        <w:fldChar w:fldCharType="begin"/>
      </w:r>
      <w:r>
        <w:instrText xml:space="preserve"> REF _Ref408396771 \r \h </w:instrText>
      </w:r>
      <w:r>
        <w:fldChar w:fldCharType="separate"/>
      </w:r>
      <w:r w:rsidR="00902F05">
        <w:t>2.2</w:t>
      </w:r>
      <w:r>
        <w:fldChar w:fldCharType="end"/>
      </w:r>
      <w:r>
        <w:t xml:space="preserve">, </w:t>
      </w:r>
      <w:r w:rsidRPr="00C052BD">
        <w:t xml:space="preserve">there are clear eligibility gaps between the AMEP and </w:t>
      </w:r>
      <w:r w:rsidR="00CC178C">
        <w:t xml:space="preserve">the </w:t>
      </w:r>
      <w:r w:rsidR="00AE13AC">
        <w:t>SEE programme</w:t>
      </w:r>
      <w:r w:rsidRPr="00C052BD">
        <w:t xml:space="preserve">. Most of these gaps </w:t>
      </w:r>
      <w:r>
        <w:t xml:space="preserve">– in particular those relating to the requirement that </w:t>
      </w:r>
      <w:r w:rsidR="00D30F30">
        <w:t>SEE programme</w:t>
      </w:r>
      <w:r>
        <w:t xml:space="preserve"> clients are in receipt of income support and receive a referral from a</w:t>
      </w:r>
      <w:r w:rsidR="00CC178C">
        <w:t xml:space="preserve">nother </w:t>
      </w:r>
      <w:r>
        <w:t xml:space="preserve">agency – </w:t>
      </w:r>
      <w:r w:rsidRPr="00C052BD">
        <w:t>can be explained by the deliberate targeting of each programme</w:t>
      </w:r>
      <w:r>
        <w:t>.</w:t>
      </w:r>
      <w:r w:rsidRPr="00C052BD">
        <w:t xml:space="preserve"> </w:t>
      </w:r>
    </w:p>
    <w:p w14:paraId="453849AA" w14:textId="20D2627E" w:rsidR="000120E4" w:rsidRDefault="00C052BD" w:rsidP="000120E4">
      <w:pPr>
        <w:pStyle w:val="BodyText"/>
      </w:pPr>
      <w:r>
        <w:t>H</w:t>
      </w:r>
      <w:r w:rsidRPr="00C052BD">
        <w:t xml:space="preserve">owever, </w:t>
      </w:r>
      <w:r w:rsidR="00053229">
        <w:t xml:space="preserve">while </w:t>
      </w:r>
      <w:r w:rsidR="007C0C2B">
        <w:t>those that arrive in Australia under the skilled migrant stream</w:t>
      </w:r>
      <w:r w:rsidR="00053229">
        <w:t xml:space="preserve"> </w:t>
      </w:r>
      <w:r w:rsidRPr="00C052BD">
        <w:t xml:space="preserve">are eligible for </w:t>
      </w:r>
      <w:r w:rsidR="00A20395">
        <w:t>the AMEP</w:t>
      </w:r>
      <w:r w:rsidRPr="00C052BD">
        <w:t xml:space="preserve"> </w:t>
      </w:r>
      <w:r w:rsidR="00053229">
        <w:t>they</w:t>
      </w:r>
      <w:r w:rsidR="00053229" w:rsidRPr="00C052BD">
        <w:t xml:space="preserve"> </w:t>
      </w:r>
      <w:r w:rsidRPr="00C052BD">
        <w:t xml:space="preserve">are specifically excluded from participating in </w:t>
      </w:r>
      <w:r w:rsidR="00D30F30">
        <w:t>the SEE programme</w:t>
      </w:r>
      <w:r w:rsidRPr="00C052BD">
        <w:t>.</w:t>
      </w:r>
    </w:p>
    <w:p w14:paraId="1B6EC558" w14:textId="5561E15A" w:rsidR="00C052BD" w:rsidRDefault="00C052BD" w:rsidP="000120E4">
      <w:pPr>
        <w:pStyle w:val="BodyText"/>
      </w:pPr>
      <w:r>
        <w:t xml:space="preserve">There </w:t>
      </w:r>
      <w:r w:rsidR="00053229">
        <w:t xml:space="preserve">are </w:t>
      </w:r>
      <w:r>
        <w:t xml:space="preserve">insufficient data to assess </w:t>
      </w:r>
      <w:r w:rsidR="007C0C2B">
        <w:t>the likely impact of</w:t>
      </w:r>
      <w:r>
        <w:t xml:space="preserve"> extending the </w:t>
      </w:r>
      <w:r w:rsidR="00AE13AC">
        <w:t>SEE programme</w:t>
      </w:r>
      <w:r>
        <w:t xml:space="preserve"> to skilled migrants</w:t>
      </w:r>
      <w:r w:rsidR="007C0C2B">
        <w:t>.</w:t>
      </w:r>
      <w:r>
        <w:t xml:space="preserve"> </w:t>
      </w:r>
      <w:r w:rsidR="007C0C2B">
        <w:t>H</w:t>
      </w:r>
      <w:r>
        <w:t>owever</w:t>
      </w:r>
      <w:r w:rsidR="007C0C2B">
        <w:t>,</w:t>
      </w:r>
      <w:r>
        <w:t xml:space="preserve"> based on the fact that skilled migrants comprise</w:t>
      </w:r>
      <w:r w:rsidR="00CC178C">
        <w:t>d</w:t>
      </w:r>
      <w:r>
        <w:t xml:space="preserve"> </w:t>
      </w:r>
      <w:r w:rsidR="007C0C2B">
        <w:t xml:space="preserve">17 </w:t>
      </w:r>
      <w:r>
        <w:t xml:space="preserve">per cent of </w:t>
      </w:r>
      <w:r w:rsidR="007C0C2B">
        <w:t xml:space="preserve">AMEP </w:t>
      </w:r>
      <w:r>
        <w:t xml:space="preserve">participants in </w:t>
      </w:r>
      <w:r w:rsidR="007C0C2B">
        <w:t xml:space="preserve">2013-14, allowing skilled migrants to participate in </w:t>
      </w:r>
      <w:r w:rsidR="00D30F30">
        <w:t>the SEE programme</w:t>
      </w:r>
      <w:r w:rsidR="007C0C2B">
        <w:t xml:space="preserve"> could see a significant increase in enrolments into the program</w:t>
      </w:r>
      <w:r w:rsidR="00053229">
        <w:t>me</w:t>
      </w:r>
      <w:r w:rsidR="007C0C2B">
        <w:t>.</w:t>
      </w:r>
    </w:p>
    <w:p w14:paraId="0395787F" w14:textId="77777777" w:rsidR="00BA5947" w:rsidRPr="00495B9F" w:rsidRDefault="00BA5947" w:rsidP="00BA5947">
      <w:pPr>
        <w:pStyle w:val="BodyText"/>
      </w:pPr>
      <w:r>
        <w:t xml:space="preserve">The inclusion of skilled migrants </w:t>
      </w:r>
      <w:r w:rsidR="00407926">
        <w:t xml:space="preserve">– in particular dependents of the primary applicant – </w:t>
      </w:r>
      <w:r>
        <w:t>would target genuine need given that participation in the programme requires a significant commitment from participants, and it is likely that only those requiring genuine LLN training would seek to enrol in the programme.</w:t>
      </w:r>
    </w:p>
    <w:p w14:paraId="183C441B" w14:textId="1252D51C" w:rsidR="00C052BD" w:rsidRDefault="00A8102E" w:rsidP="000120E4">
      <w:pPr>
        <w:pStyle w:val="BodyText"/>
      </w:pPr>
      <w:r>
        <w:t xml:space="preserve">The rationale for excluding skilled migrants – including dependents – from the </w:t>
      </w:r>
      <w:r w:rsidR="00AE13AC">
        <w:t>SEE programme</w:t>
      </w:r>
      <w:r>
        <w:t xml:space="preserve"> is unclear. If skilled migrants become eligible job seekers and are in need </w:t>
      </w:r>
      <w:r w:rsidR="009F7DCC">
        <w:t xml:space="preserve">of </w:t>
      </w:r>
      <w:r>
        <w:t xml:space="preserve">LLN training to achieve success in employment or further training, there is a case on equity grounds for allowing these residents equal access to the </w:t>
      </w:r>
      <w:r w:rsidR="00AE13AC">
        <w:t>SEE programme</w:t>
      </w:r>
      <w:r>
        <w:t xml:space="preserve">. </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0120E4" w14:paraId="2F207CC7" w14:textId="77777777" w:rsidTr="0014604C">
        <w:tc>
          <w:tcPr>
            <w:tcW w:w="5000" w:type="pct"/>
            <w:shd w:val="pct12" w:color="auto" w:fill="auto"/>
          </w:tcPr>
          <w:p w14:paraId="5B0D7A7A" w14:textId="77777777" w:rsidR="000120E4" w:rsidRDefault="000120E4" w:rsidP="0014604C">
            <w:pPr>
              <w:pStyle w:val="Caption"/>
              <w:spacing w:before="120" w:after="60"/>
              <w:ind w:left="1112" w:hanging="1112"/>
              <w:rPr>
                <w:rFonts w:ascii="Arial Bold" w:hAnsi="Arial Bold"/>
                <w:color w:val="000080"/>
              </w:rPr>
            </w:pPr>
            <w:r>
              <w:t xml:space="preserve">Recommendation </w:t>
            </w:r>
            <w:r w:rsidR="00902F05">
              <w:fldChar w:fldCharType="begin"/>
            </w:r>
            <w:r w:rsidR="00902F05">
              <w:instrText xml:space="preserve"> SEQ Recommendation \* ARABIC </w:instrText>
            </w:r>
            <w:r w:rsidR="00902F05">
              <w:fldChar w:fldCharType="separate"/>
            </w:r>
            <w:r w:rsidR="00902F05">
              <w:rPr>
                <w:noProof/>
              </w:rPr>
              <w:t>1</w:t>
            </w:r>
            <w:r w:rsidR="00902F05">
              <w:rPr>
                <w:noProof/>
              </w:rPr>
              <w:fldChar w:fldCharType="end"/>
            </w:r>
          </w:p>
        </w:tc>
      </w:tr>
      <w:tr w:rsidR="000120E4" w14:paraId="41A28FB8" w14:textId="77777777" w:rsidTr="0014604C">
        <w:tc>
          <w:tcPr>
            <w:tcW w:w="5000" w:type="pct"/>
            <w:shd w:val="pct12" w:color="auto" w:fill="auto"/>
          </w:tcPr>
          <w:p w14:paraId="0C5FABB3" w14:textId="19391104" w:rsidR="000120E4" w:rsidRDefault="001039CD">
            <w:pPr>
              <w:pStyle w:val="BoxText"/>
            </w:pPr>
            <w:r w:rsidRPr="001039CD">
              <w:t xml:space="preserve">Further investigation should be carried out on whether the dependents of skilled migrants should be eligible for </w:t>
            </w:r>
            <w:r w:rsidR="00D30F30">
              <w:t>the SEE programme</w:t>
            </w:r>
            <w:r w:rsidRPr="001039CD">
              <w:t xml:space="preserve">. This should look at both the financial implications of widening </w:t>
            </w:r>
            <w:r w:rsidR="00D30F30">
              <w:t>the SEE programme</w:t>
            </w:r>
            <w:r w:rsidRPr="001039CD">
              <w:t xml:space="preserve"> eligibility and the potential positive economic impact of this cohort being able to better integrate into the workforce.</w:t>
            </w:r>
          </w:p>
          <w:p w14:paraId="4D4A977E" w14:textId="77777777" w:rsidR="000120E4" w:rsidRDefault="000120E4" w:rsidP="0014604C">
            <w:pPr>
              <w:pStyle w:val="SmallDeltasRightAligned"/>
            </w:pPr>
            <w:r>
              <w:rPr>
                <w:noProof/>
                <w:lang w:eastAsia="en-AU"/>
              </w:rPr>
              <w:drawing>
                <wp:inline distT="0" distB="0" distL="0" distR="0" wp14:anchorId="18F6DEF1" wp14:editId="51D37B13">
                  <wp:extent cx="481585" cy="23469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0120E4" w14:paraId="3683A934" w14:textId="77777777" w:rsidTr="0014604C">
        <w:trPr>
          <w:trHeight w:hRule="exact" w:val="80"/>
        </w:trPr>
        <w:tc>
          <w:tcPr>
            <w:tcW w:w="5000" w:type="pct"/>
            <w:shd w:val="pct12" w:color="auto" w:fill="auto"/>
          </w:tcPr>
          <w:p w14:paraId="1470629C" w14:textId="77777777" w:rsidR="000120E4" w:rsidRDefault="000120E4">
            <w:pPr>
              <w:spacing w:before="160"/>
            </w:pPr>
            <w:r>
              <w:t xml:space="preserve"> </w:t>
            </w:r>
          </w:p>
        </w:tc>
      </w:tr>
    </w:tbl>
    <w:p w14:paraId="73FF0202" w14:textId="77777777" w:rsidR="00666915" w:rsidRDefault="000120E4" w:rsidP="0071501F">
      <w:pPr>
        <w:pStyle w:val="Heading2"/>
      </w:pPr>
      <w:bookmarkStart w:id="56" w:name="_Toc420078544"/>
      <w:r>
        <w:t>Addressing the</w:t>
      </w:r>
      <w:r w:rsidR="00E97C0A">
        <w:t xml:space="preserve"> proficiency gap</w:t>
      </w:r>
      <w:bookmarkEnd w:id="56"/>
    </w:p>
    <w:p w14:paraId="18FD09EE" w14:textId="77777777" w:rsidR="00BF07DA" w:rsidRDefault="00C052BD" w:rsidP="00BF07DA">
      <w:pPr>
        <w:pStyle w:val="BodyText"/>
      </w:pPr>
      <w:r>
        <w:t>Many stakeholders and focus group participants from both programmes have highlighted the fact that</w:t>
      </w:r>
      <w:r w:rsidR="00662CD7">
        <w:t xml:space="preserve"> clients </w:t>
      </w:r>
      <w:r w:rsidR="00932FD1">
        <w:t>who</w:t>
      </w:r>
      <w:r w:rsidR="00BF07DA">
        <w:t xml:space="preserve"> complete their 510 hour allocation </w:t>
      </w:r>
      <w:r w:rsidR="00D95840">
        <w:t>may</w:t>
      </w:r>
      <w:r w:rsidR="00EF79EF">
        <w:t xml:space="preserve"> </w:t>
      </w:r>
      <w:r w:rsidR="00BF07DA">
        <w:t xml:space="preserve">exit the programme with a </w:t>
      </w:r>
      <w:r w:rsidR="00662CD7">
        <w:t>low level of English competency</w:t>
      </w:r>
      <w:r w:rsidR="00BF07DA">
        <w:t xml:space="preserve">. </w:t>
      </w:r>
    </w:p>
    <w:p w14:paraId="3E72A509" w14:textId="372E09E4" w:rsidR="004640D4" w:rsidRDefault="004640D4" w:rsidP="004640D4">
      <w:pPr>
        <w:pStyle w:val="BodyText"/>
      </w:pPr>
      <w:r>
        <w:t>As depicted in</w:t>
      </w:r>
      <w:r w:rsidR="00852F1C">
        <w:t xml:space="preserve"> </w:t>
      </w:r>
      <w:r w:rsidR="00760E92">
        <w:fldChar w:fldCharType="begin"/>
      </w:r>
      <w:r w:rsidR="00760E92">
        <w:instrText xml:space="preserve"> REF _Ref408795225 \h </w:instrText>
      </w:r>
      <w:r w:rsidR="00760E92">
        <w:fldChar w:fldCharType="separate"/>
      </w:r>
      <w:r w:rsidR="00902F05">
        <w:t xml:space="preserve">Figure </w:t>
      </w:r>
      <w:r w:rsidR="00902F05">
        <w:rPr>
          <w:noProof/>
        </w:rPr>
        <w:t>10</w:t>
      </w:r>
      <w:r w:rsidR="00760E92">
        <w:fldChar w:fldCharType="end"/>
      </w:r>
      <w:r>
        <w:t xml:space="preserve">, the high proportion of those entering the AMEP with zero proficiency and that subsequently exit the AMEP with very low language skills may form the large proportion </w:t>
      </w:r>
      <w:r w:rsidR="006D28A8">
        <w:t xml:space="preserve">entering the </w:t>
      </w:r>
      <w:r w:rsidR="00AE13AC">
        <w:t>SEE programme</w:t>
      </w:r>
      <w:r>
        <w:t xml:space="preserve"> at </w:t>
      </w:r>
      <w:r w:rsidR="006D28A8">
        <w:t>p</w:t>
      </w:r>
      <w:r>
        <w:t>re</w:t>
      </w:r>
      <w:r w:rsidR="006D28A8">
        <w:t>-</w:t>
      </w:r>
      <w:r>
        <w:t>level 1 skills on the ACSF.</w:t>
      </w:r>
    </w:p>
    <w:p w14:paraId="4F321F3D" w14:textId="2B2B4530" w:rsidR="00662CD7" w:rsidRDefault="00EF79EF" w:rsidP="00BF07DA">
      <w:pPr>
        <w:pStyle w:val="BodyText"/>
      </w:pPr>
      <w:r>
        <w:t>If t</w:t>
      </w:r>
      <w:r w:rsidR="00BF07DA">
        <w:t xml:space="preserve">hese clients </w:t>
      </w:r>
      <w:r>
        <w:t xml:space="preserve">then seek to </w:t>
      </w:r>
      <w:r w:rsidR="00BF07DA">
        <w:t xml:space="preserve">enter the </w:t>
      </w:r>
      <w:r w:rsidR="00AE13AC">
        <w:t>SEE programme</w:t>
      </w:r>
      <w:r w:rsidR="00BF07DA">
        <w:t xml:space="preserve"> </w:t>
      </w:r>
      <w:r>
        <w:t xml:space="preserve">they </w:t>
      </w:r>
      <w:r w:rsidR="00BF07DA">
        <w:t xml:space="preserve">face a ‘proficiency gap’ in that they </w:t>
      </w:r>
      <w:r w:rsidR="00662CD7">
        <w:t xml:space="preserve">may not be able to benefit from the </w:t>
      </w:r>
      <w:r w:rsidR="00BF07DA">
        <w:t xml:space="preserve">programme given their very low level of English language proficiency. Issues regarding the </w:t>
      </w:r>
      <w:r w:rsidR="00AE13AC">
        <w:t>SEE programme</w:t>
      </w:r>
      <w:r w:rsidR="00BF07DA">
        <w:t xml:space="preserve"> and its ability to accommodate the needs of very low LLN </w:t>
      </w:r>
      <w:r w:rsidR="0092139F">
        <w:t>client</w:t>
      </w:r>
      <w:r w:rsidR="00BF07DA">
        <w:t xml:space="preserve">s are discussed </w:t>
      </w:r>
      <w:r>
        <w:t xml:space="preserve">in more detail </w:t>
      </w:r>
      <w:r w:rsidR="00BF07DA">
        <w:t xml:space="preserve">in the SEE </w:t>
      </w:r>
      <w:r w:rsidR="00AE13AC">
        <w:t xml:space="preserve">Programme </w:t>
      </w:r>
      <w:r w:rsidR="00BF07DA">
        <w:t>Evaluation Report.</w:t>
      </w:r>
    </w:p>
    <w:p w14:paraId="50E54040" w14:textId="77777777" w:rsidR="00EF79EF" w:rsidRDefault="00EF79EF" w:rsidP="00EF79EF">
      <w:pPr>
        <w:pStyle w:val="Caption"/>
      </w:pPr>
      <w:bookmarkStart w:id="57" w:name="_Ref408795225"/>
      <w:bookmarkStart w:id="58" w:name="_Toc420078565"/>
      <w:r>
        <w:lastRenderedPageBreak/>
        <w:t xml:space="preserve">Figure </w:t>
      </w:r>
      <w:r w:rsidR="00902F05">
        <w:fldChar w:fldCharType="begin"/>
      </w:r>
      <w:r w:rsidR="00902F05">
        <w:instrText xml:space="preserve"> SEQ Fig</w:instrText>
      </w:r>
      <w:r w:rsidR="00902F05">
        <w:instrText xml:space="preserve">ure \* ARABIC </w:instrText>
      </w:r>
      <w:r w:rsidR="00902F05">
        <w:fldChar w:fldCharType="separate"/>
      </w:r>
      <w:r w:rsidR="00902F05">
        <w:rPr>
          <w:noProof/>
        </w:rPr>
        <w:t>10</w:t>
      </w:r>
      <w:r w:rsidR="00902F05">
        <w:rPr>
          <w:noProof/>
        </w:rPr>
        <w:fldChar w:fldCharType="end"/>
      </w:r>
      <w:bookmarkEnd w:id="57"/>
      <w:r w:rsidRPr="004E0C91">
        <w:rPr>
          <w:b/>
          <w:color w:val="000080"/>
        </w:rPr>
        <w:tab/>
      </w:r>
      <w:r>
        <w:rPr>
          <w:rStyle w:val="CaptionLabel"/>
        </w:rPr>
        <w:t>Addressing the proficiency gap</w:t>
      </w:r>
      <w:bookmarkEnd w:id="58"/>
    </w:p>
    <w:tbl>
      <w:tblPr>
        <w:tblW w:w="4999"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1"/>
      </w:tblGrid>
      <w:tr w:rsidR="00EF79EF" w14:paraId="4B1172F8" w14:textId="77777777" w:rsidTr="00AA697E">
        <w:trPr>
          <w:cantSplit/>
        </w:trPr>
        <w:tc>
          <w:tcPr>
            <w:tcW w:w="5000" w:type="pct"/>
          </w:tcPr>
          <w:p w14:paraId="05DEAFF8" w14:textId="77777777" w:rsidR="00EF79EF" w:rsidRDefault="00EF79EF" w:rsidP="00AA697E">
            <w:pPr>
              <w:pStyle w:val="SmallDeltasRightAligned"/>
              <w:keepNext/>
            </w:pPr>
            <w:r>
              <w:rPr>
                <w:noProof/>
                <w:lang w:eastAsia="en-AU"/>
              </w:rPr>
              <w:drawing>
                <wp:inline distT="0" distB="0" distL="0" distR="0" wp14:anchorId="39255DBC" wp14:editId="6989BE93">
                  <wp:extent cx="481585" cy="234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dal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EF79EF" w14:paraId="465CF602" w14:textId="77777777" w:rsidTr="00AA697E">
        <w:trPr>
          <w:cantSplit/>
        </w:trPr>
        <w:tc>
          <w:tcPr>
            <w:tcW w:w="5000" w:type="pct"/>
          </w:tcPr>
          <w:p w14:paraId="77745E92" w14:textId="77777777" w:rsidR="00EF79EF" w:rsidRDefault="00EF79EF" w:rsidP="00AA697E">
            <w:pPr>
              <w:pStyle w:val="Figure"/>
            </w:pPr>
            <w:r>
              <w:rPr>
                <w:noProof/>
                <w:lang w:eastAsia="en-AU"/>
              </w:rPr>
              <w:drawing>
                <wp:inline distT="0" distB="0" distL="0" distR="0" wp14:anchorId="6460FFF7" wp14:editId="78489C84">
                  <wp:extent cx="4586147" cy="334123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99666" cy="3351082"/>
                          </a:xfrm>
                          <a:prstGeom prst="rect">
                            <a:avLst/>
                          </a:prstGeom>
                          <a:noFill/>
                        </pic:spPr>
                      </pic:pic>
                    </a:graphicData>
                  </a:graphic>
                </wp:inline>
              </w:drawing>
            </w:r>
          </w:p>
        </w:tc>
      </w:tr>
    </w:tbl>
    <w:p w14:paraId="77568503" w14:textId="32EC1D4C" w:rsidR="00EF79EF" w:rsidRPr="00B50A1B" w:rsidRDefault="00EF79EF" w:rsidP="00EF79EF">
      <w:pPr>
        <w:pStyle w:val="Source"/>
        <w:rPr>
          <w:i/>
        </w:rPr>
      </w:pPr>
      <w:r w:rsidRPr="00CF544E">
        <w:t>Source:</w:t>
      </w:r>
      <w:r w:rsidRPr="00954EED">
        <w:t xml:space="preserve"> </w:t>
      </w:r>
      <w:r w:rsidRPr="00CF544E">
        <w:t xml:space="preserve">AMEP </w:t>
      </w:r>
      <w:r w:rsidR="007D43E3">
        <w:t>dataset</w:t>
      </w:r>
      <w:r w:rsidRPr="00CF544E">
        <w:t xml:space="preserve"> and </w:t>
      </w:r>
      <w:r w:rsidR="00AE13AC">
        <w:t>SEE programme</w:t>
      </w:r>
      <w:r w:rsidRPr="00CF544E">
        <w:t xml:space="preserve"> </w:t>
      </w:r>
      <w:r w:rsidR="007D43E3">
        <w:t>dataset</w:t>
      </w:r>
    </w:p>
    <w:p w14:paraId="4D39BF92" w14:textId="77777777" w:rsidR="00852F1C" w:rsidRDefault="00EF79EF" w:rsidP="00BF07DA">
      <w:pPr>
        <w:pStyle w:val="BodyText"/>
      </w:pPr>
      <w:r>
        <w:t>P</w:t>
      </w:r>
      <w:r w:rsidR="00852F1C">
        <w:t xml:space="preserve">ossible options </w:t>
      </w:r>
      <w:r w:rsidR="00495536">
        <w:t xml:space="preserve">(in no particular order) </w:t>
      </w:r>
      <w:r w:rsidR="00852F1C">
        <w:t xml:space="preserve">to address the proficiency gap </w:t>
      </w:r>
      <w:r w:rsidR="000943CF">
        <w:t xml:space="preserve">depicted in </w:t>
      </w:r>
      <w:r w:rsidR="00760E92">
        <w:fldChar w:fldCharType="begin"/>
      </w:r>
      <w:r w:rsidR="00760E92">
        <w:instrText xml:space="preserve"> REF _Ref408795225 \h </w:instrText>
      </w:r>
      <w:r w:rsidR="00760E92">
        <w:fldChar w:fldCharType="separate"/>
      </w:r>
      <w:r w:rsidR="00902F05">
        <w:t xml:space="preserve">Figure </w:t>
      </w:r>
      <w:r w:rsidR="00902F05">
        <w:rPr>
          <w:noProof/>
        </w:rPr>
        <w:t>10</w:t>
      </w:r>
      <w:r w:rsidR="00760E92">
        <w:fldChar w:fldCharType="end"/>
      </w:r>
      <w:r w:rsidR="000943CF">
        <w:t xml:space="preserve"> are</w:t>
      </w:r>
      <w:r w:rsidR="00852F1C">
        <w:t>:</w:t>
      </w:r>
    </w:p>
    <w:p w14:paraId="3B772B11" w14:textId="3FF2A93E" w:rsidR="00662CD7" w:rsidRDefault="00DE7B3A" w:rsidP="001E5064">
      <w:pPr>
        <w:pStyle w:val="ListDash"/>
      </w:pPr>
      <w:r w:rsidRPr="001E5064">
        <w:rPr>
          <w:i/>
        </w:rPr>
        <w:t xml:space="preserve">Option 1: Extending hours in </w:t>
      </w:r>
      <w:r w:rsidR="00A20395">
        <w:rPr>
          <w:i/>
        </w:rPr>
        <w:t>the AMEP</w:t>
      </w:r>
      <w:r w:rsidR="00852F1C">
        <w:t xml:space="preserve"> in order to ensure fewer number</w:t>
      </w:r>
      <w:r w:rsidR="00CC178C">
        <w:t>s</w:t>
      </w:r>
      <w:r w:rsidR="00852F1C">
        <w:t xml:space="preserve"> of AMEP participants exit at ISLPR 0/0+</w:t>
      </w:r>
      <w:r w:rsidR="000943CF">
        <w:t xml:space="preserve">. </w:t>
      </w:r>
      <w:r w:rsidR="00CC178C">
        <w:t>I</w:t>
      </w:r>
      <w:r w:rsidR="001E5064">
        <w:t xml:space="preserve">f AMEP participants exiting the programme were able to achieve the target level of functional English, the issue of SEE </w:t>
      </w:r>
      <w:r w:rsidR="00D30F30">
        <w:t xml:space="preserve">programme </w:t>
      </w:r>
      <w:r w:rsidR="001E5064">
        <w:t xml:space="preserve">participants commencing at </w:t>
      </w:r>
      <w:r w:rsidR="006D28A8">
        <w:t>p</w:t>
      </w:r>
      <w:r w:rsidR="001E5064">
        <w:t>re</w:t>
      </w:r>
      <w:r w:rsidR="006D28A8">
        <w:t>-</w:t>
      </w:r>
      <w:r w:rsidR="001E5064">
        <w:t xml:space="preserve">level 1 would be significantly reduced. However, there are conceptual and practical </w:t>
      </w:r>
      <w:r w:rsidR="000943CF">
        <w:t>issues around selecting an appropriate allocation of hours that supports delivery of the programme objectives</w:t>
      </w:r>
      <w:r w:rsidR="00CC178C">
        <w:t>;</w:t>
      </w:r>
      <w:r w:rsidR="001E5064">
        <w:t xml:space="preserve"> these </w:t>
      </w:r>
      <w:r w:rsidR="000943CF">
        <w:t>are discussed at length in the AMEP Evaluation Report.</w:t>
      </w:r>
      <w:r w:rsidR="00C631E6">
        <w:t xml:space="preserve"> In addition, expansion of the AMEP would not cater to non</w:t>
      </w:r>
      <w:r w:rsidR="00540E20">
        <w:noBreakHyphen/>
      </w:r>
      <w:r w:rsidR="00C631E6">
        <w:t xml:space="preserve">migrants with significant LLN needs, or those whose eligibility to </w:t>
      </w:r>
      <w:r w:rsidR="00A20395">
        <w:t>the AMEP</w:t>
      </w:r>
      <w:r w:rsidR="00C631E6">
        <w:t xml:space="preserve"> has been exhausted or has elapsed.</w:t>
      </w:r>
    </w:p>
    <w:p w14:paraId="65BBFBA6" w14:textId="77777777" w:rsidR="00852F1C" w:rsidRDefault="00852F1C" w:rsidP="000943CF">
      <w:pPr>
        <w:pStyle w:val="ListDash"/>
      </w:pPr>
      <w:r w:rsidRPr="001E5064">
        <w:rPr>
          <w:i/>
        </w:rPr>
        <w:t>Option 2: Developing an intermediate language and literacy programme</w:t>
      </w:r>
      <w:r w:rsidR="000943CF">
        <w:t>, which could include</w:t>
      </w:r>
      <w:r>
        <w:t xml:space="preserve"> state-based </w:t>
      </w:r>
      <w:r w:rsidR="000943CF">
        <w:t xml:space="preserve">LLN </w:t>
      </w:r>
      <w:r>
        <w:t>programme</w:t>
      </w:r>
      <w:r w:rsidR="000943CF">
        <w:t>s</w:t>
      </w:r>
      <w:r>
        <w:t xml:space="preserve"> </w:t>
      </w:r>
      <w:r w:rsidR="000943CF">
        <w:t>that are generally available through the broader VET system. An extension of existing programmes would be preferred over an additional Commonwealth programme in this regard.</w:t>
      </w:r>
    </w:p>
    <w:p w14:paraId="77B1EC4A" w14:textId="77777777" w:rsidR="00662CD7" w:rsidRDefault="00852F1C" w:rsidP="00662CD7">
      <w:pPr>
        <w:pStyle w:val="ListDash"/>
      </w:pPr>
      <w:r w:rsidRPr="001E5064">
        <w:rPr>
          <w:i/>
        </w:rPr>
        <w:t xml:space="preserve">Option 3: Improve SEE </w:t>
      </w:r>
      <w:r w:rsidR="00D30F30">
        <w:rPr>
          <w:i/>
        </w:rPr>
        <w:t xml:space="preserve">programme </w:t>
      </w:r>
      <w:r w:rsidRPr="001E5064">
        <w:rPr>
          <w:i/>
        </w:rPr>
        <w:t>coverage of those with very low LLN</w:t>
      </w:r>
      <w:r w:rsidR="001E5064">
        <w:t xml:space="preserve">. As discussed in the SEE </w:t>
      </w:r>
      <w:r w:rsidR="00492999">
        <w:t xml:space="preserve">Programme </w:t>
      </w:r>
      <w:r w:rsidR="001E5064">
        <w:t>Evaluation Report, whether or not the programme is intended to support those with very low LLN skills is unclear. Amending the programme design to better accommodate this cohort could effectively address the proficiency gap issue.</w:t>
      </w:r>
    </w:p>
    <w:p w14:paraId="7FC2BCAE" w14:textId="77777777" w:rsidR="00DE7B3A" w:rsidRDefault="00E36173" w:rsidP="001E5064">
      <w:pPr>
        <w:pStyle w:val="BodyText"/>
      </w:pPr>
      <w:r>
        <w:t>Some stakeholders have suggested that the two programmes could be integrated and “</w:t>
      </w:r>
      <w:r w:rsidR="00DE7B3A" w:rsidRPr="00337F38">
        <w:t xml:space="preserve">redesigned as an overarching </w:t>
      </w:r>
      <w:r w:rsidR="00B1278B">
        <w:t xml:space="preserve">programme </w:t>
      </w:r>
      <w:r w:rsidR="00DE7B3A" w:rsidRPr="00337F38">
        <w:t>with delivery streams for different cohorts depending on their learning needs and community access requirements</w:t>
      </w:r>
      <w:r>
        <w:t>”</w:t>
      </w:r>
      <w:r w:rsidR="009514D1">
        <w:t xml:space="preserve">. While </w:t>
      </w:r>
      <w:r>
        <w:t>the</w:t>
      </w:r>
      <w:r w:rsidR="009514D1">
        <w:t>re is some justification for</w:t>
      </w:r>
      <w:r>
        <w:t xml:space="preserve"> having “</w:t>
      </w:r>
      <w:r w:rsidR="00DE7B3A" w:rsidRPr="00337F38">
        <w:t>a streamlined service which takes clients from survival English through to workplace language and employability skills in a seamless transition</w:t>
      </w:r>
      <w:r>
        <w:t xml:space="preserve">” </w:t>
      </w:r>
      <w:r w:rsidR="001E5064">
        <w:t>(MTC submission),</w:t>
      </w:r>
      <w:r>
        <w:t xml:space="preserve"> </w:t>
      </w:r>
      <w:r w:rsidR="00A479EA">
        <w:t>it faces a number of practical issues</w:t>
      </w:r>
      <w:r>
        <w:t xml:space="preserve">. First, </w:t>
      </w:r>
      <w:r w:rsidR="00A479EA">
        <w:t xml:space="preserve">it </w:t>
      </w:r>
      <w:r>
        <w:t xml:space="preserve">risks conflating and confusing the </w:t>
      </w:r>
      <w:r w:rsidR="00A479EA">
        <w:t xml:space="preserve">current distinct and clear </w:t>
      </w:r>
      <w:r>
        <w:t xml:space="preserve">objectives of the two programmes. Second, </w:t>
      </w:r>
      <w:r w:rsidR="00A479EA">
        <w:t>it would render more difficult the</w:t>
      </w:r>
      <w:r>
        <w:t xml:space="preserve"> manage</w:t>
      </w:r>
      <w:r w:rsidR="00A479EA">
        <w:t>ment and operation of</w:t>
      </w:r>
      <w:r>
        <w:t xml:space="preserve"> the two programmes as distinct areas of </w:t>
      </w:r>
      <w:r w:rsidR="001E5064">
        <w:t>policy</w:t>
      </w:r>
      <w:r>
        <w:t>.</w:t>
      </w:r>
    </w:p>
    <w:p w14:paraId="6CCD4B54" w14:textId="77777777" w:rsidR="005B32CD" w:rsidRDefault="005B32CD" w:rsidP="005B32CD">
      <w:pPr>
        <w:pStyle w:val="Quote"/>
      </w:pPr>
      <w:r>
        <w:lastRenderedPageBreak/>
        <w:t>The links between AMEP and SEE need to be strengthened, while retaining the distinct focus of each program. There are gaps and differences in eligibility between the programs which can make a coordinated approach difficult.</w:t>
      </w:r>
    </w:p>
    <w:p w14:paraId="1ACFD9EB" w14:textId="77777777" w:rsidR="005B32CD" w:rsidRDefault="005B32CD" w:rsidP="005B32CD">
      <w:pPr>
        <w:pStyle w:val="QuoteSource"/>
      </w:pPr>
      <w:r>
        <w:softHyphen/>
        <w:t>– SCOA submission</w:t>
      </w:r>
    </w:p>
    <w:p w14:paraId="32E7BE59" w14:textId="3A071A6E" w:rsidR="000D51F9" w:rsidRDefault="00C11230" w:rsidP="005B32CD">
      <w:pPr>
        <w:pStyle w:val="BodyText"/>
      </w:pPr>
      <w:r>
        <w:t xml:space="preserve">Consistent with the recommendations in both the AMEP </w:t>
      </w:r>
      <w:r w:rsidR="00612B16">
        <w:t xml:space="preserve">Evaluation Report </w:t>
      </w:r>
      <w:r>
        <w:t xml:space="preserve">and </w:t>
      </w:r>
      <w:r w:rsidR="00612B16">
        <w:t xml:space="preserve">the </w:t>
      </w:r>
      <w:r>
        <w:t xml:space="preserve">SEE </w:t>
      </w:r>
      <w:r w:rsidR="00612B16">
        <w:t>Programme Evaluation Report</w:t>
      </w:r>
      <w:r>
        <w:t xml:space="preserve">, </w:t>
      </w:r>
      <w:r w:rsidR="000D51F9" w:rsidRPr="000D51F9">
        <w:t>f</w:t>
      </w:r>
      <w:r w:rsidR="000D51F9" w:rsidRPr="008B04E9">
        <w:t xml:space="preserve">urther consideration of whether this very low LLN group should be assisted through either expanding or changing the </w:t>
      </w:r>
      <w:r w:rsidR="00D30F30">
        <w:t>SEE programme</w:t>
      </w:r>
      <w:r w:rsidR="000D51F9" w:rsidRPr="008B04E9">
        <w:t xml:space="preserve"> target cohort</w:t>
      </w:r>
      <w:r w:rsidR="00CC178C">
        <w:t xml:space="preserve"> is needed</w:t>
      </w:r>
      <w:r w:rsidR="000D51F9" w:rsidRPr="008B04E9">
        <w:t xml:space="preserve">. </w:t>
      </w:r>
    </w:p>
    <w:p w14:paraId="7F7E3C16" w14:textId="1A3EA557" w:rsidR="00C631E6" w:rsidRDefault="000B3858" w:rsidP="00327875">
      <w:pPr>
        <w:pStyle w:val="BodyText"/>
      </w:pPr>
      <w:r>
        <w:t xml:space="preserve">Modifying the </w:t>
      </w:r>
      <w:r w:rsidR="00AE13AC">
        <w:t>SEE programme</w:t>
      </w:r>
      <w:r>
        <w:t xml:space="preserve"> to explicitly include </w:t>
      </w:r>
      <w:r w:rsidRPr="00DA2327">
        <w:t>very low LLN</w:t>
      </w:r>
      <w:r>
        <w:t xml:space="preserve"> </w:t>
      </w:r>
      <w:r w:rsidR="0092139F">
        <w:t>client</w:t>
      </w:r>
      <w:r>
        <w:t>s could increase the cost of the programme</w:t>
      </w:r>
      <w:r w:rsidR="00327875">
        <w:t xml:space="preserve">. While </w:t>
      </w:r>
      <w:r w:rsidR="00D30F30">
        <w:t>the SEE programme</w:t>
      </w:r>
      <w:r>
        <w:t xml:space="preserve"> expenditure </w:t>
      </w:r>
      <w:r w:rsidR="00327875">
        <w:t xml:space="preserve">is capped, </w:t>
      </w:r>
      <w:r w:rsidR="00327875" w:rsidRPr="00DA2327">
        <w:t>very low LLN</w:t>
      </w:r>
      <w:r w:rsidR="00327875">
        <w:t xml:space="preserve"> </w:t>
      </w:r>
      <w:r w:rsidR="0092139F">
        <w:t>client</w:t>
      </w:r>
      <w:r w:rsidR="00327875">
        <w:t xml:space="preserve">s would have higher needs and therefore would likely require greater resources than the current SEE </w:t>
      </w:r>
      <w:r w:rsidR="00D30F30">
        <w:t xml:space="preserve">programme </w:t>
      </w:r>
      <w:r w:rsidR="00327875">
        <w:t xml:space="preserve">target groups. Another issue to consider in any </w:t>
      </w:r>
      <w:r w:rsidR="00D30F30">
        <w:t>SEE programme</w:t>
      </w:r>
      <w:r w:rsidR="00327875">
        <w:t xml:space="preserve"> expansion include</w:t>
      </w:r>
      <w:r w:rsidR="00E53EB5">
        <w:t>s</w:t>
      </w:r>
      <w:r w:rsidR="00327875">
        <w:t xml:space="preserve"> </w:t>
      </w:r>
      <w:r w:rsidR="000D51F9" w:rsidRPr="008B04E9">
        <w:t xml:space="preserve">the roles of the </w:t>
      </w:r>
      <w:r w:rsidR="00CC178C">
        <w:t xml:space="preserve">Australian Government </w:t>
      </w:r>
      <w:r w:rsidR="000D51F9" w:rsidRPr="008B04E9">
        <w:t>and states</w:t>
      </w:r>
      <w:r w:rsidR="00CC178C">
        <w:t xml:space="preserve"> and </w:t>
      </w:r>
      <w:r w:rsidR="000D51F9" w:rsidRPr="008B04E9">
        <w:t>territories</w:t>
      </w:r>
      <w:r w:rsidR="00327875">
        <w:t xml:space="preserve"> in providing LLN training</w:t>
      </w:r>
      <w:r w:rsidR="00AC56A1" w:rsidRPr="00AC56A1">
        <w:t>.</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5B32CD" w14:paraId="6C7A3EDB" w14:textId="77777777" w:rsidTr="002657DB">
        <w:tc>
          <w:tcPr>
            <w:tcW w:w="5000" w:type="pct"/>
            <w:shd w:val="pct12" w:color="auto" w:fill="auto"/>
          </w:tcPr>
          <w:p w14:paraId="28D41D71" w14:textId="77777777" w:rsidR="005B32CD" w:rsidRDefault="005B32CD" w:rsidP="002657DB">
            <w:pPr>
              <w:pStyle w:val="Caption"/>
              <w:spacing w:before="120" w:after="60"/>
              <w:ind w:left="1112" w:hanging="1112"/>
              <w:rPr>
                <w:rFonts w:ascii="Arial Bold" w:hAnsi="Arial Bold"/>
                <w:color w:val="000080"/>
              </w:rPr>
            </w:pPr>
            <w:r>
              <w:t xml:space="preserve">Recommendation </w:t>
            </w:r>
            <w:r w:rsidR="00902F05">
              <w:fldChar w:fldCharType="begin"/>
            </w:r>
            <w:r w:rsidR="00902F05">
              <w:instrText xml:space="preserve"> SEQ Recommendation \* ARABIC </w:instrText>
            </w:r>
            <w:r w:rsidR="00902F05">
              <w:fldChar w:fldCharType="separate"/>
            </w:r>
            <w:r w:rsidR="00902F05">
              <w:rPr>
                <w:noProof/>
              </w:rPr>
              <w:t>2</w:t>
            </w:r>
            <w:r w:rsidR="00902F05">
              <w:rPr>
                <w:noProof/>
              </w:rPr>
              <w:fldChar w:fldCharType="end"/>
            </w:r>
          </w:p>
        </w:tc>
      </w:tr>
      <w:tr w:rsidR="005B32CD" w14:paraId="6DBF618C" w14:textId="77777777" w:rsidTr="002657DB">
        <w:tc>
          <w:tcPr>
            <w:tcW w:w="5000" w:type="pct"/>
            <w:shd w:val="pct12" w:color="auto" w:fill="auto"/>
          </w:tcPr>
          <w:p w14:paraId="28CA4A5A" w14:textId="3CCFF634" w:rsidR="005B32CD" w:rsidRDefault="00E53EB5" w:rsidP="002657DB">
            <w:pPr>
              <w:pStyle w:val="BoxText"/>
            </w:pPr>
            <w:r w:rsidRPr="00E53EB5">
              <w:t xml:space="preserve">There are gaps in the development of client language and literacy proficiency which sees some very low LLN skilled clients unable to transition from </w:t>
            </w:r>
            <w:r w:rsidR="00A20395">
              <w:t xml:space="preserve">the </w:t>
            </w:r>
            <w:r w:rsidRPr="00E53EB5">
              <w:t xml:space="preserve">AMEP into </w:t>
            </w:r>
            <w:r w:rsidR="00D30F30">
              <w:t>the SEE programme</w:t>
            </w:r>
            <w:r w:rsidRPr="00E53EB5">
              <w:t xml:space="preserve">. Further consideration is needed </w:t>
            </w:r>
            <w:r w:rsidR="001D3F6A">
              <w:t xml:space="preserve">of </w:t>
            </w:r>
            <w:r w:rsidRPr="00E53EB5">
              <w:t xml:space="preserve">whether </w:t>
            </w:r>
            <w:r w:rsidR="001D3F6A">
              <w:t xml:space="preserve">this </w:t>
            </w:r>
            <w:r w:rsidRPr="00E53EB5">
              <w:t xml:space="preserve">very low LLN group should be assisted through either expanding or changing the SEE </w:t>
            </w:r>
            <w:r w:rsidR="00D30F30">
              <w:t>programme</w:t>
            </w:r>
            <w:r w:rsidR="001D3F6A">
              <w:t>’s</w:t>
            </w:r>
            <w:r w:rsidR="00D30F30">
              <w:t xml:space="preserve"> </w:t>
            </w:r>
            <w:r w:rsidRPr="00E53EB5">
              <w:t xml:space="preserve">target cohort. This will need to consider the roles of the </w:t>
            </w:r>
            <w:r w:rsidR="005F43BC">
              <w:t>Australian Government and s</w:t>
            </w:r>
            <w:r w:rsidRPr="00E53EB5">
              <w:t>tates</w:t>
            </w:r>
            <w:r w:rsidR="005F43BC">
              <w:t xml:space="preserve"> and </w:t>
            </w:r>
            <w:r w:rsidRPr="00E53EB5">
              <w:t>territories, the potential costs of change (noting the higher needs and thus cost of assisting this group), and the potential benefits of growing the pool of migrants with higher LLN skills</w:t>
            </w:r>
            <w:r w:rsidR="00407926" w:rsidRPr="00407926">
              <w:t>.</w:t>
            </w:r>
          </w:p>
          <w:p w14:paraId="73931CA8" w14:textId="77777777" w:rsidR="005B32CD" w:rsidRDefault="005B32CD" w:rsidP="002657DB">
            <w:pPr>
              <w:pStyle w:val="SmallDeltasRightAligned"/>
            </w:pPr>
            <w:r>
              <w:rPr>
                <w:noProof/>
                <w:lang w:eastAsia="en-AU"/>
              </w:rPr>
              <w:drawing>
                <wp:inline distT="0" distB="0" distL="0" distR="0" wp14:anchorId="14A9627A" wp14:editId="413392CD">
                  <wp:extent cx="481585" cy="234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5B32CD" w14:paraId="564492A9" w14:textId="77777777" w:rsidTr="002657DB">
        <w:trPr>
          <w:trHeight w:hRule="exact" w:val="80"/>
        </w:trPr>
        <w:tc>
          <w:tcPr>
            <w:tcW w:w="5000" w:type="pct"/>
            <w:shd w:val="pct12" w:color="auto" w:fill="auto"/>
          </w:tcPr>
          <w:p w14:paraId="620E3643" w14:textId="77777777" w:rsidR="005B32CD" w:rsidRDefault="005B32CD" w:rsidP="002657DB">
            <w:pPr>
              <w:spacing w:before="160"/>
            </w:pPr>
            <w:r>
              <w:t xml:space="preserve"> </w:t>
            </w:r>
          </w:p>
        </w:tc>
      </w:tr>
    </w:tbl>
    <w:p w14:paraId="1FBB53EF" w14:textId="77777777" w:rsidR="00DE7B3A" w:rsidRDefault="00F30F40" w:rsidP="0071501F">
      <w:pPr>
        <w:pStyle w:val="Heading2"/>
      </w:pPr>
      <w:bookmarkStart w:id="59" w:name="_Toc420078545"/>
      <w:bookmarkStart w:id="60" w:name="_Ref408314321"/>
      <w:r>
        <w:t xml:space="preserve">Improving </w:t>
      </w:r>
      <w:r w:rsidR="00DE7B3A">
        <w:t>transitions to employment</w:t>
      </w:r>
      <w:bookmarkEnd w:id="59"/>
    </w:p>
    <w:p w14:paraId="708FB8EF" w14:textId="77777777" w:rsidR="00F30F40" w:rsidRDefault="00DE7B3A" w:rsidP="00DE7B3A">
      <w:pPr>
        <w:pStyle w:val="Heading5"/>
      </w:pPr>
      <w:r>
        <w:t xml:space="preserve">Increasing </w:t>
      </w:r>
      <w:r w:rsidR="00F30F40">
        <w:t>participation in work experience</w:t>
      </w:r>
      <w:bookmarkEnd w:id="60"/>
    </w:p>
    <w:p w14:paraId="54B6A31B" w14:textId="7601DB4C" w:rsidR="00F30F40" w:rsidRDefault="00F30F40" w:rsidP="00F30F40">
      <w:pPr>
        <w:pStyle w:val="ListNumber"/>
        <w:numPr>
          <w:ilvl w:val="0"/>
          <w:numId w:val="0"/>
        </w:numPr>
      </w:pPr>
      <w:r>
        <w:t xml:space="preserve">As discussed in Section </w:t>
      </w:r>
      <w:r>
        <w:fldChar w:fldCharType="begin"/>
      </w:r>
      <w:r>
        <w:instrText xml:space="preserve"> REF _Ref408314152 \r \h </w:instrText>
      </w:r>
      <w:r>
        <w:fldChar w:fldCharType="separate"/>
      </w:r>
      <w:r w:rsidR="00902F05">
        <w:t>3.2</w:t>
      </w:r>
      <w:r>
        <w:fldChar w:fldCharType="end"/>
      </w:r>
      <w:r>
        <w:t>,</w:t>
      </w:r>
      <w:r w:rsidRPr="00F30F40">
        <w:t xml:space="preserve"> the data show that the work experience component of the AMEP </w:t>
      </w:r>
      <w:r w:rsidR="00932FD1">
        <w:t>has</w:t>
      </w:r>
      <w:r w:rsidRPr="00F30F40">
        <w:t xml:space="preserve"> a higher</w:t>
      </w:r>
      <w:r>
        <w:t xml:space="preserve"> rate of participation than </w:t>
      </w:r>
      <w:r w:rsidR="00D30F30">
        <w:t>the SEE programme</w:t>
      </w:r>
      <w:r>
        <w:t xml:space="preserve">, even though </w:t>
      </w:r>
      <w:r w:rsidR="00D30F30">
        <w:t>the SEE programme</w:t>
      </w:r>
      <w:r>
        <w:t xml:space="preserve"> is designed to have a more direct impact on participant employability and transitions into jobs.</w:t>
      </w:r>
      <w:r w:rsidR="004D305D">
        <w:t xml:space="preserve"> </w:t>
      </w:r>
      <w:r w:rsidR="004D305D" w:rsidRPr="00F30F40">
        <w:t xml:space="preserve">Consistent feedback from stakeholders </w:t>
      </w:r>
      <w:r w:rsidR="00AF402C" w:rsidRPr="00F30F40">
        <w:t>sugges</w:t>
      </w:r>
      <w:r w:rsidR="00AF402C">
        <w:t>t</w:t>
      </w:r>
      <w:r w:rsidR="004D305D" w:rsidRPr="00F30F40">
        <w:t xml:space="preserve"> that the AMEP does not meet the needs of some </w:t>
      </w:r>
      <w:r w:rsidR="009F7DCC" w:rsidRPr="00F30F40">
        <w:t>employment</w:t>
      </w:r>
      <w:r w:rsidR="009F7DCC">
        <w:t>-</w:t>
      </w:r>
      <w:r w:rsidR="004D305D" w:rsidRPr="00F30F40">
        <w:t xml:space="preserve">focused migrants, with at least a proportion exiting the programme </w:t>
      </w:r>
      <w:r w:rsidR="00574032">
        <w:t xml:space="preserve">early </w:t>
      </w:r>
      <w:r w:rsidR="004D305D" w:rsidRPr="00F30F40">
        <w:t xml:space="preserve">to work or commence in </w:t>
      </w:r>
      <w:r w:rsidR="00D30F30">
        <w:t>the SEE programme</w:t>
      </w:r>
      <w:r w:rsidR="004D305D" w:rsidRPr="00F30F40">
        <w:t xml:space="preserve">. </w:t>
      </w:r>
    </w:p>
    <w:p w14:paraId="7D9C2D6E" w14:textId="77777777" w:rsidR="00F30F40" w:rsidRDefault="00F30F40" w:rsidP="00F30F40">
      <w:pPr>
        <w:pStyle w:val="ListNumber"/>
        <w:numPr>
          <w:ilvl w:val="0"/>
          <w:numId w:val="0"/>
        </w:numPr>
      </w:pPr>
      <w:r>
        <w:t xml:space="preserve">There are a range of possible explanations for </w:t>
      </w:r>
      <w:r w:rsidR="004D305D">
        <w:t xml:space="preserve">the lower proportion of SEE </w:t>
      </w:r>
      <w:r w:rsidR="00D30F30">
        <w:t xml:space="preserve">programme </w:t>
      </w:r>
      <w:r w:rsidR="004D305D">
        <w:t>participants engaging in work experience:</w:t>
      </w:r>
    </w:p>
    <w:p w14:paraId="6B87C101" w14:textId="77777777" w:rsidR="00F30F40" w:rsidRDefault="00F30F40" w:rsidP="00F30F40">
      <w:pPr>
        <w:pStyle w:val="ListNumber"/>
        <w:numPr>
          <w:ilvl w:val="0"/>
          <w:numId w:val="39"/>
        </w:numPr>
      </w:pPr>
      <w:r>
        <w:rPr>
          <w:i/>
        </w:rPr>
        <w:t xml:space="preserve">Participant interests in gaining work experience – </w:t>
      </w:r>
      <w:r w:rsidRPr="00832CD7">
        <w:t>as</w:t>
      </w:r>
      <w:r>
        <w:rPr>
          <w:i/>
        </w:rPr>
        <w:t xml:space="preserve"> </w:t>
      </w:r>
      <w:r>
        <w:t>recent arrivals, AMEP clients generally have had only limited opportunity to work in Australia and as such SLPET would be considered a highly attractive opportunity to get some exposure to employment. As job</w:t>
      </w:r>
      <w:r w:rsidR="00DF5EB3">
        <w:t xml:space="preserve"> </w:t>
      </w:r>
      <w:r>
        <w:t xml:space="preserve">seekers, SEE </w:t>
      </w:r>
      <w:r w:rsidR="00D30F30">
        <w:t xml:space="preserve">programme </w:t>
      </w:r>
      <w:r>
        <w:t>clients are likely to have already held jobs</w:t>
      </w:r>
      <w:r w:rsidR="00DF5EB3">
        <w:t xml:space="preserve"> in Australia</w:t>
      </w:r>
      <w:r>
        <w:t>.</w:t>
      </w:r>
    </w:p>
    <w:p w14:paraId="520440DE" w14:textId="7648C75B" w:rsidR="00F30F40" w:rsidRDefault="00F30F40" w:rsidP="00F30F40">
      <w:pPr>
        <w:pStyle w:val="ListNumber"/>
        <w:numPr>
          <w:ilvl w:val="0"/>
          <w:numId w:val="39"/>
        </w:numPr>
      </w:pPr>
      <w:r w:rsidRPr="00F30F40">
        <w:rPr>
          <w:i/>
        </w:rPr>
        <w:t>Opportunities available for work experience</w:t>
      </w:r>
      <w:r>
        <w:t xml:space="preserve"> – as discussed above, as part of their status as job seekers receiving income support, SEE </w:t>
      </w:r>
      <w:r w:rsidR="00D30F30">
        <w:t xml:space="preserve">programme </w:t>
      </w:r>
      <w:r>
        <w:t xml:space="preserve">participants generally have access to a much wider range of training and employment opportunities, including paid employment. Paid employment outside of </w:t>
      </w:r>
      <w:r w:rsidR="00D30F30">
        <w:t>the SEE programme</w:t>
      </w:r>
      <w:r>
        <w:t xml:space="preserve"> may generally be considered to be more attractive than work experience within the programme, and as discussed in the </w:t>
      </w:r>
      <w:r w:rsidR="00AE13AC">
        <w:t>SEE Programme</w:t>
      </w:r>
      <w:r>
        <w:t xml:space="preserve"> </w:t>
      </w:r>
      <w:r w:rsidR="004539E7">
        <w:t>Evaluation Report</w:t>
      </w:r>
      <w:r>
        <w:t>, may often be the reason for exiting the programme.</w:t>
      </w:r>
    </w:p>
    <w:p w14:paraId="08396815" w14:textId="7AE2D3A3" w:rsidR="00E458C2" w:rsidRDefault="00DE7B3A" w:rsidP="00E458C2">
      <w:pPr>
        <w:pStyle w:val="ListNumber"/>
      </w:pPr>
      <w:r w:rsidRPr="00832CD7">
        <w:rPr>
          <w:i/>
        </w:rPr>
        <w:lastRenderedPageBreak/>
        <w:t>Factors relating to</w:t>
      </w:r>
      <w:r>
        <w:rPr>
          <w:i/>
        </w:rPr>
        <w:t xml:space="preserve"> programme design</w:t>
      </w:r>
      <w:r w:rsidR="00E458C2">
        <w:rPr>
          <w:i/>
        </w:rPr>
        <w:t xml:space="preserve"> – </w:t>
      </w:r>
      <w:r w:rsidR="00E458C2" w:rsidRPr="00E458C2">
        <w:t>s</w:t>
      </w:r>
      <w:r w:rsidR="00E458C2">
        <w:t xml:space="preserve">ome dual providers have suggested that SEE </w:t>
      </w:r>
      <w:r w:rsidR="00D30F30">
        <w:t xml:space="preserve">programme </w:t>
      </w:r>
      <w:r w:rsidR="00E458C2">
        <w:t>participants would benefit from a more structured focused on transitions into employment</w:t>
      </w:r>
      <w:r w:rsidR="005F43BC">
        <w:t>,</w:t>
      </w:r>
      <w:r w:rsidR="00E458C2">
        <w:t xml:space="preserve"> similar to the SLPET subcomponent of </w:t>
      </w:r>
      <w:r w:rsidR="00A20395">
        <w:t>the AMEP</w:t>
      </w:r>
      <w:r w:rsidR="00E458C2">
        <w:t>.</w:t>
      </w:r>
    </w:p>
    <w:p w14:paraId="1D5AA288" w14:textId="3C303C07" w:rsidR="00DE7B3A" w:rsidRDefault="00D548CE" w:rsidP="00DE7B3A">
      <w:pPr>
        <w:pStyle w:val="ListNumber"/>
        <w:numPr>
          <w:ilvl w:val="0"/>
          <w:numId w:val="39"/>
        </w:numPr>
      </w:pPr>
      <w:r>
        <w:rPr>
          <w:i/>
        </w:rPr>
        <w:t xml:space="preserve">Factors relating to </w:t>
      </w:r>
      <w:r w:rsidR="00DE7B3A" w:rsidRPr="00832CD7">
        <w:rPr>
          <w:i/>
        </w:rPr>
        <w:t>the funding model</w:t>
      </w:r>
      <w:r w:rsidR="00DE7B3A">
        <w:t xml:space="preserve"> </w:t>
      </w:r>
      <w:r w:rsidR="00DE7B3A">
        <w:softHyphen/>
        <w:t xml:space="preserve">– under the AMEP, the SLPET subcomponent attracts a higher rate of funding and provides access to significant additional hours of training, which would be attractive to </w:t>
      </w:r>
      <w:r w:rsidR="0092139F">
        <w:t>client</w:t>
      </w:r>
      <w:r w:rsidR="00DE7B3A">
        <w:t xml:space="preserve">s and providers alike. No such incentives exist for </w:t>
      </w:r>
      <w:r w:rsidR="00D30F30">
        <w:t>the SEE programme</w:t>
      </w:r>
      <w:r w:rsidR="005F43BC">
        <w:t>,</w:t>
      </w:r>
      <w:r w:rsidR="00DE7B3A">
        <w:t xml:space="preserve"> given that the same rate of funding applies for work experience as classroom training.</w:t>
      </w:r>
    </w:p>
    <w:p w14:paraId="3919F806" w14:textId="299509EC" w:rsidR="00F30F40" w:rsidRDefault="00F30F40" w:rsidP="00F30F40">
      <w:pPr>
        <w:pStyle w:val="BodyText"/>
      </w:pPr>
      <w:r>
        <w:t xml:space="preserve">There </w:t>
      </w:r>
      <w:r w:rsidR="00574032">
        <w:t>are</w:t>
      </w:r>
      <w:r>
        <w:t xml:space="preserve"> insufficient data and evidence available to determine the relative contribution of these various factors on SEE </w:t>
      </w:r>
      <w:r w:rsidR="00D30F30">
        <w:t xml:space="preserve">programme </w:t>
      </w:r>
      <w:r>
        <w:t xml:space="preserve">participants and </w:t>
      </w:r>
      <w:r w:rsidR="00574032">
        <w:t xml:space="preserve">their </w:t>
      </w:r>
      <w:r>
        <w:t xml:space="preserve">sub-cohorts (including CALD participants who may have more in common with AMEP participants). Given the significant difference between the participation rates in work experience, further research is warranted to determine the extent to which the lower rates of work experience in </w:t>
      </w:r>
      <w:r w:rsidR="00D30F30">
        <w:t>the SEE programme</w:t>
      </w:r>
      <w:r>
        <w:t xml:space="preserve"> may be remedied through chan</w:t>
      </w:r>
      <w:r w:rsidR="007C3326">
        <w:t xml:space="preserve">ges in the </w:t>
      </w:r>
      <w:r w:rsidR="00AE13AC">
        <w:t>SEE programme</w:t>
      </w:r>
      <w:r w:rsidR="007C3326">
        <w:t xml:space="preserve"> design, including the potential to adopt effective features from the design and implementation of </w:t>
      </w:r>
      <w:r w:rsidR="00A20395">
        <w:t>the AMEP</w:t>
      </w:r>
      <w:r w:rsidR="007C3326">
        <w:t>.</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DE7B3A" w14:paraId="02BA6CFC" w14:textId="77777777" w:rsidTr="0071501F">
        <w:tc>
          <w:tcPr>
            <w:tcW w:w="5000" w:type="pct"/>
            <w:shd w:val="pct12" w:color="auto" w:fill="auto"/>
          </w:tcPr>
          <w:p w14:paraId="344CD5FF" w14:textId="77777777" w:rsidR="00DE7B3A" w:rsidRDefault="00DE7B3A" w:rsidP="0071501F">
            <w:pPr>
              <w:pStyle w:val="Caption"/>
              <w:spacing w:before="120" w:after="60"/>
              <w:ind w:left="1112" w:hanging="1112"/>
              <w:rPr>
                <w:rFonts w:ascii="Arial Bold" w:hAnsi="Arial Bold"/>
                <w:color w:val="000080"/>
              </w:rPr>
            </w:pPr>
            <w:r>
              <w:t xml:space="preserve">Recommendation </w:t>
            </w:r>
            <w:r w:rsidR="00902F05">
              <w:fldChar w:fldCharType="begin"/>
            </w:r>
            <w:r w:rsidR="00902F05">
              <w:instrText xml:space="preserve"> SEQ Recommendation \* ARABIC </w:instrText>
            </w:r>
            <w:r w:rsidR="00902F05">
              <w:fldChar w:fldCharType="separate"/>
            </w:r>
            <w:r w:rsidR="00902F05">
              <w:rPr>
                <w:noProof/>
              </w:rPr>
              <w:t>3</w:t>
            </w:r>
            <w:r w:rsidR="00902F05">
              <w:rPr>
                <w:noProof/>
              </w:rPr>
              <w:fldChar w:fldCharType="end"/>
            </w:r>
          </w:p>
        </w:tc>
      </w:tr>
      <w:tr w:rsidR="00DE7B3A" w14:paraId="06240DD3" w14:textId="77777777" w:rsidTr="0071501F">
        <w:tc>
          <w:tcPr>
            <w:tcW w:w="5000" w:type="pct"/>
            <w:shd w:val="pct12" w:color="auto" w:fill="auto"/>
          </w:tcPr>
          <w:p w14:paraId="44F3AEC0" w14:textId="11286BC6" w:rsidR="00DE7B3A" w:rsidRDefault="007C3326">
            <w:pPr>
              <w:pStyle w:val="BoxText"/>
            </w:pPr>
            <w:r>
              <w:t>F</w:t>
            </w:r>
            <w:r w:rsidR="00E458C2">
              <w:t xml:space="preserve">urther research is warranted to determine the extent to which the lower rates of work experience in </w:t>
            </w:r>
            <w:r w:rsidR="00D30F30">
              <w:t>the SEE programme</w:t>
            </w:r>
            <w:r w:rsidR="00E458C2">
              <w:t xml:space="preserve"> may be </w:t>
            </w:r>
            <w:r w:rsidR="004761A8">
              <w:t xml:space="preserve">addressed </w:t>
            </w:r>
            <w:r w:rsidR="00E458C2">
              <w:t>through chan</w:t>
            </w:r>
            <w:r>
              <w:t xml:space="preserve">ges in the </w:t>
            </w:r>
            <w:r w:rsidR="00AE13AC">
              <w:t>SEE programme</w:t>
            </w:r>
            <w:r>
              <w:t xml:space="preserve"> design, including the potential to adopt effective features from the design and implementation of </w:t>
            </w:r>
            <w:r w:rsidR="00A20395">
              <w:t>the AMEP</w:t>
            </w:r>
            <w:r>
              <w:t>.</w:t>
            </w:r>
          </w:p>
          <w:p w14:paraId="5383E639" w14:textId="77777777" w:rsidR="00DE7B3A" w:rsidRDefault="00DE7B3A" w:rsidP="0071501F">
            <w:pPr>
              <w:pStyle w:val="SmallDeltasRightAligned"/>
            </w:pPr>
            <w:r>
              <w:rPr>
                <w:noProof/>
                <w:lang w:eastAsia="en-AU"/>
              </w:rPr>
              <w:drawing>
                <wp:inline distT="0" distB="0" distL="0" distR="0" wp14:anchorId="729389F4" wp14:editId="21203A6C">
                  <wp:extent cx="481585" cy="23469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DE7B3A" w14:paraId="30B1E900" w14:textId="77777777" w:rsidTr="0071501F">
        <w:trPr>
          <w:trHeight w:hRule="exact" w:val="80"/>
        </w:trPr>
        <w:tc>
          <w:tcPr>
            <w:tcW w:w="5000" w:type="pct"/>
            <w:shd w:val="pct12" w:color="auto" w:fill="auto"/>
          </w:tcPr>
          <w:p w14:paraId="30330775" w14:textId="77777777" w:rsidR="00DE7B3A" w:rsidRDefault="00DE7B3A">
            <w:pPr>
              <w:spacing w:before="160"/>
            </w:pPr>
            <w:r>
              <w:t xml:space="preserve"> </w:t>
            </w:r>
          </w:p>
        </w:tc>
      </w:tr>
    </w:tbl>
    <w:p w14:paraId="34446224" w14:textId="77777777" w:rsidR="00E97C0A" w:rsidRDefault="00E97C0A" w:rsidP="0071501F">
      <w:pPr>
        <w:pStyle w:val="Heading2"/>
      </w:pPr>
      <w:bookmarkStart w:id="61" w:name="_Toc420078546"/>
      <w:r>
        <w:t>Addressing the gaps in pathways</w:t>
      </w:r>
      <w:bookmarkEnd w:id="61"/>
    </w:p>
    <w:p w14:paraId="3E75E14F" w14:textId="3AD7B743" w:rsidR="005B649C" w:rsidRDefault="005B649C" w:rsidP="00666915">
      <w:pPr>
        <w:pStyle w:val="BodyText"/>
      </w:pPr>
      <w:r>
        <w:t>There are currently no formal pathways betwe</w:t>
      </w:r>
      <w:r w:rsidR="00E458C2">
        <w:t xml:space="preserve">en </w:t>
      </w:r>
      <w:r w:rsidR="00A20395">
        <w:t xml:space="preserve">the </w:t>
      </w:r>
      <w:r w:rsidR="00E458C2">
        <w:t xml:space="preserve">AMEP and </w:t>
      </w:r>
      <w:r w:rsidR="00D30F30">
        <w:t>the SEE programme</w:t>
      </w:r>
      <w:r w:rsidR="00E458C2">
        <w:t xml:space="preserve">, and vice versa, and insufficient data available to quantify the extent of </w:t>
      </w:r>
      <w:r w:rsidR="00993A23">
        <w:t xml:space="preserve">actual </w:t>
      </w:r>
      <w:r w:rsidR="00E458C2">
        <w:t xml:space="preserve">flows between the two programmes. As discussed in Section </w:t>
      </w:r>
      <w:r w:rsidR="00E458C2">
        <w:fldChar w:fldCharType="begin"/>
      </w:r>
      <w:r w:rsidR="00E458C2">
        <w:instrText xml:space="preserve"> REF _Ref408406281 \r \h </w:instrText>
      </w:r>
      <w:r w:rsidR="00E458C2">
        <w:fldChar w:fldCharType="separate"/>
      </w:r>
      <w:r w:rsidR="00902F05">
        <w:t>3.3.1</w:t>
      </w:r>
      <w:r w:rsidR="00E458C2">
        <w:fldChar w:fldCharType="end"/>
      </w:r>
      <w:r w:rsidR="00E458C2">
        <w:t>, i</w:t>
      </w:r>
      <w:r w:rsidR="00E458C2" w:rsidRPr="00E458C2">
        <w:t xml:space="preserve">t is generally accepted that for eligible clients, the AMEP is the precursor to the </w:t>
      </w:r>
      <w:r w:rsidR="00AE13AC">
        <w:t>SEE programme</w:t>
      </w:r>
      <w:r w:rsidR="00E458C2">
        <w:t>.</w:t>
      </w:r>
      <w:r w:rsidR="00E458C2" w:rsidRPr="00E458C2">
        <w:t xml:space="preserve"> </w:t>
      </w:r>
      <w:r w:rsidR="005B32CD">
        <w:t>Some providers and stakeholders propose that clearer processes are require</w:t>
      </w:r>
      <w:r w:rsidR="00020188">
        <w:t>d</w:t>
      </w:r>
      <w:r w:rsidR="005F43BC">
        <w:t>,</w:t>
      </w:r>
      <w:r w:rsidR="005B32CD">
        <w:t xml:space="preserve"> including explicit requirements for participants to first exhaust their AMEP entitlement before progressing to </w:t>
      </w:r>
      <w:r w:rsidR="00D30F30">
        <w:t>the SEE programme</w:t>
      </w:r>
      <w:r w:rsidR="005B32CD">
        <w:t>.</w:t>
      </w:r>
    </w:p>
    <w:p w14:paraId="4B51728F" w14:textId="20C4F34B" w:rsidR="00020188" w:rsidRDefault="00020188" w:rsidP="00666915">
      <w:pPr>
        <w:pStyle w:val="BodyText"/>
      </w:pPr>
      <w:r>
        <w:t xml:space="preserve">On balance, it would appear that while a formal process would be beneficial, this should not be so prescriptive as to </w:t>
      </w:r>
      <w:r w:rsidR="00993A23">
        <w:t xml:space="preserve">unduly limit </w:t>
      </w:r>
      <w:r w:rsidR="0092139F">
        <w:t>client</w:t>
      </w:r>
      <w:r>
        <w:t xml:space="preserve"> choice. As some SEE providers have identified, flexibility to move into the </w:t>
      </w:r>
      <w:r w:rsidR="00AE13AC">
        <w:t>SEE programme</w:t>
      </w:r>
      <w:r>
        <w:t xml:space="preserve"> regardless of their previous participation in </w:t>
      </w:r>
      <w:r w:rsidR="00A20395">
        <w:t>the AMEP</w:t>
      </w:r>
      <w:r>
        <w:t xml:space="preserve"> allows the client the opportunity to choose the programme that best meets their needs. A formal process implemented at the commencement of the </w:t>
      </w:r>
      <w:r w:rsidR="00AE13AC">
        <w:t>SEE programme</w:t>
      </w:r>
      <w:r>
        <w:t xml:space="preserve"> would be sufficient to ensure that ‘reverse articulation’ from </w:t>
      </w:r>
      <w:r w:rsidR="00D30F30">
        <w:t>the SEE programme</w:t>
      </w:r>
      <w:r>
        <w:t xml:space="preserve"> to </w:t>
      </w:r>
      <w:r w:rsidR="00A20395">
        <w:t>the AMEP</w:t>
      </w:r>
      <w:r>
        <w:t xml:space="preserve"> is minimised.</w:t>
      </w:r>
    </w:p>
    <w:p w14:paraId="0EA4B025" w14:textId="77777777" w:rsidR="00020188" w:rsidRDefault="00020188" w:rsidP="00666915">
      <w:pPr>
        <w:pStyle w:val="BodyText"/>
      </w:pPr>
      <w:r>
        <w:t xml:space="preserve">Such a process </w:t>
      </w:r>
      <w:r w:rsidR="00F163F4">
        <w:t>c</w:t>
      </w:r>
      <w:r>
        <w:t>ould work best if it were integrated with the current referral process such that:</w:t>
      </w:r>
    </w:p>
    <w:p w14:paraId="5F0626E6" w14:textId="77777777" w:rsidR="00020188" w:rsidRDefault="00020188" w:rsidP="00020188">
      <w:pPr>
        <w:pStyle w:val="ListNumber"/>
        <w:numPr>
          <w:ilvl w:val="0"/>
          <w:numId w:val="40"/>
        </w:numPr>
      </w:pPr>
      <w:r>
        <w:t>Eligible job seekers would present at a referring agency with LLN needs</w:t>
      </w:r>
      <w:r w:rsidR="00F163F4">
        <w:t>.</w:t>
      </w:r>
    </w:p>
    <w:p w14:paraId="0A0F2CE2" w14:textId="579D0C98" w:rsidR="00020188" w:rsidRDefault="00020188" w:rsidP="00020188">
      <w:pPr>
        <w:pStyle w:val="ListNumber"/>
        <w:numPr>
          <w:ilvl w:val="0"/>
          <w:numId w:val="40"/>
        </w:numPr>
      </w:pPr>
      <w:r>
        <w:t xml:space="preserve">The referring agency would </w:t>
      </w:r>
      <w:r w:rsidR="00C31B0F">
        <w:t xml:space="preserve">ascertain whether the client is eligible for </w:t>
      </w:r>
      <w:r w:rsidR="00A20395">
        <w:t>the AMEP</w:t>
      </w:r>
      <w:r w:rsidR="00C31B0F">
        <w:t xml:space="preserve">, </w:t>
      </w:r>
      <w:r w:rsidR="00D30F30">
        <w:t>the SEE programme</w:t>
      </w:r>
      <w:r w:rsidR="00C31B0F">
        <w:t xml:space="preserve"> or both</w:t>
      </w:r>
      <w:r w:rsidR="00F163F4">
        <w:t>.</w:t>
      </w:r>
    </w:p>
    <w:p w14:paraId="0339A017" w14:textId="71C8F1D7" w:rsidR="00C31B0F" w:rsidRDefault="00C31B0F" w:rsidP="00B1278B">
      <w:pPr>
        <w:pStyle w:val="ListNumber"/>
        <w:numPr>
          <w:ilvl w:val="0"/>
          <w:numId w:val="40"/>
        </w:numPr>
      </w:pPr>
      <w:r>
        <w:t>If eligible for both, the referring agency would have the information necessary to present both options to the client, including the relative benefits and emphasis of each programme, and the available providers for each programme</w:t>
      </w:r>
      <w:r w:rsidR="00F163F4">
        <w:t xml:space="preserve">. </w:t>
      </w:r>
      <w:r>
        <w:t xml:space="preserve">Where a client has clear settlement issues that have not been addressed, the referring agency would recommend participation in </w:t>
      </w:r>
      <w:r w:rsidR="00A20395">
        <w:t>the AMEP</w:t>
      </w:r>
      <w:r>
        <w:t xml:space="preserve"> prior to enrolment in </w:t>
      </w:r>
      <w:r w:rsidR="00D30F30">
        <w:t>the SEE programme</w:t>
      </w:r>
      <w:r w:rsidR="00F163F4">
        <w:t>.</w:t>
      </w:r>
    </w:p>
    <w:p w14:paraId="54BF387E" w14:textId="77777777" w:rsidR="00C31B0F" w:rsidRDefault="00C31B0F" w:rsidP="00C31B0F">
      <w:pPr>
        <w:pStyle w:val="ListNumber"/>
      </w:pPr>
      <w:r>
        <w:lastRenderedPageBreak/>
        <w:t>The client would select the preferred programme and provider based on their personal needs and circumstances.</w:t>
      </w:r>
    </w:p>
    <w:p w14:paraId="46E72513" w14:textId="44F2C9A7" w:rsidR="00E97C0A" w:rsidRDefault="00C31B0F" w:rsidP="005B649C">
      <w:pPr>
        <w:pStyle w:val="BodyText"/>
      </w:pPr>
      <w:r>
        <w:t xml:space="preserve">This formal process would need to be developed further and integrated with the communications and administrative systems rolled out to referring agencies as part of any other changes to the </w:t>
      </w:r>
      <w:r w:rsidR="00D30F30">
        <w:t>SEE programme</w:t>
      </w:r>
      <w:r>
        <w:t xml:space="preserve"> referrals process.</w:t>
      </w:r>
    </w:p>
    <w:p w14:paraId="2C861894" w14:textId="550748DF" w:rsidR="00993A23" w:rsidRDefault="00993A23" w:rsidP="00993A23">
      <w:pPr>
        <w:pStyle w:val="BodyText"/>
      </w:pPr>
      <w:r>
        <w:t xml:space="preserve">In </w:t>
      </w:r>
      <w:r w:rsidR="00F163F4">
        <w:t xml:space="preserve">relation to </w:t>
      </w:r>
      <w:r>
        <w:t xml:space="preserve">the gaps in the data on pathways </w:t>
      </w:r>
      <w:r w:rsidR="00F163F4">
        <w:t>between</w:t>
      </w:r>
      <w:r>
        <w:t xml:space="preserve"> </w:t>
      </w:r>
      <w:r w:rsidR="00A20395">
        <w:t>the AMEP</w:t>
      </w:r>
      <w:r>
        <w:t xml:space="preserve"> </w:t>
      </w:r>
      <w:r w:rsidR="00F163F4">
        <w:t>and</w:t>
      </w:r>
      <w:r>
        <w:t xml:space="preserve"> </w:t>
      </w:r>
      <w:r w:rsidR="00D30F30">
        <w:t>the SEE programme</w:t>
      </w:r>
      <w:r w:rsidR="00F163F4">
        <w:t>, t</w:t>
      </w:r>
      <w:r>
        <w:t xml:space="preserve">he </w:t>
      </w:r>
      <w:r w:rsidR="00F163F4">
        <w:t xml:space="preserve">forthcoming </w:t>
      </w:r>
      <w:r>
        <w:t xml:space="preserve">introduction of the Unique Student Identifier (USI) presents </w:t>
      </w:r>
      <w:r w:rsidR="00F163F4">
        <w:t>an</w:t>
      </w:r>
      <w:r>
        <w:t xml:space="preserve"> ideal opportunity to ensure that the use of pathways between </w:t>
      </w:r>
      <w:r w:rsidR="00A20395">
        <w:t>the AMEP</w:t>
      </w:r>
      <w:r>
        <w:t xml:space="preserve"> and </w:t>
      </w:r>
      <w:r w:rsidR="00D30F30">
        <w:t>the SEE programme</w:t>
      </w:r>
      <w:r>
        <w:t xml:space="preserve">, as well as in/out of other VET programmes can be quantified and better understood.  </w:t>
      </w:r>
    </w:p>
    <w:p w14:paraId="2F69B4F7" w14:textId="138382F5" w:rsidR="00993A23" w:rsidRDefault="00993A23" w:rsidP="005B649C">
      <w:pPr>
        <w:pStyle w:val="BodyText"/>
      </w:pPr>
      <w:r>
        <w:t>All Registered Training Organisations will be required to comply with the introduction of the USI where they are delivering a nationally accredited VET qualification and as such: AMEP</w:t>
      </w:r>
      <w:r w:rsidR="00DF5EB3">
        <w:t xml:space="preserve"> service </w:t>
      </w:r>
      <w:r>
        <w:t xml:space="preserve">providers would be required to report CSWE attainments and completions; and SEE providers would be required </w:t>
      </w:r>
      <w:r w:rsidR="005A08B3">
        <w:t xml:space="preserve">to report </w:t>
      </w:r>
      <w:r>
        <w:t>accredited VET attainments and completions. In this respect, AMEP and SEE programme administrators may not be required to take any action apart from ensuring that providers understand their obligations to report AMEP and SEE</w:t>
      </w:r>
      <w:r w:rsidR="00D30F30">
        <w:t xml:space="preserve"> programme</w:t>
      </w:r>
      <w:r>
        <w:t xml:space="preserve"> training against the USI protocols.</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E97C0A" w14:paraId="72E7B019" w14:textId="77777777" w:rsidTr="00C3647D">
        <w:tc>
          <w:tcPr>
            <w:tcW w:w="5000" w:type="pct"/>
            <w:shd w:val="pct12" w:color="auto" w:fill="auto"/>
          </w:tcPr>
          <w:p w14:paraId="05504159" w14:textId="77777777" w:rsidR="00E97C0A" w:rsidRDefault="00E97C0A" w:rsidP="00C3647D">
            <w:pPr>
              <w:pStyle w:val="Caption"/>
              <w:spacing w:before="120" w:after="60"/>
              <w:ind w:left="1112" w:hanging="1112"/>
              <w:rPr>
                <w:rFonts w:ascii="Arial Bold" w:hAnsi="Arial Bold"/>
                <w:color w:val="000080"/>
              </w:rPr>
            </w:pPr>
            <w:r>
              <w:t xml:space="preserve">Recommendation </w:t>
            </w:r>
            <w:r w:rsidR="00902F05">
              <w:fldChar w:fldCharType="begin"/>
            </w:r>
            <w:r w:rsidR="00902F05">
              <w:instrText xml:space="preserve"> SEQ Recommendation \* ARABIC </w:instrText>
            </w:r>
            <w:r w:rsidR="00902F05">
              <w:fldChar w:fldCharType="separate"/>
            </w:r>
            <w:r w:rsidR="00902F05">
              <w:rPr>
                <w:noProof/>
              </w:rPr>
              <w:t>4</w:t>
            </w:r>
            <w:r w:rsidR="00902F05">
              <w:rPr>
                <w:noProof/>
              </w:rPr>
              <w:fldChar w:fldCharType="end"/>
            </w:r>
          </w:p>
        </w:tc>
      </w:tr>
      <w:tr w:rsidR="00E97C0A" w14:paraId="5F65EC61" w14:textId="77777777" w:rsidTr="00C3647D">
        <w:tc>
          <w:tcPr>
            <w:tcW w:w="5000" w:type="pct"/>
            <w:shd w:val="pct12" w:color="auto" w:fill="auto"/>
          </w:tcPr>
          <w:p w14:paraId="3D5B94D6" w14:textId="7EE4D6D5" w:rsidR="002F1623" w:rsidRDefault="002F1623">
            <w:pPr>
              <w:pStyle w:val="BoxText"/>
            </w:pPr>
            <w:r w:rsidRPr="002F1623">
              <w:t>Establ</w:t>
            </w:r>
            <w:r>
              <w:t>ishing formal processes or pathways</w:t>
            </w:r>
            <w:r w:rsidRPr="002F1623">
              <w:t xml:space="preserve"> for transitions between </w:t>
            </w:r>
            <w:r w:rsidR="00A20395">
              <w:t>the AMEP</w:t>
            </w:r>
            <w:r w:rsidRPr="002F1623">
              <w:t xml:space="preserve"> and </w:t>
            </w:r>
            <w:r w:rsidR="00D30F30">
              <w:t>the SEE programme</w:t>
            </w:r>
            <w:r w:rsidRPr="002F1623">
              <w:t xml:space="preserve"> would be beneficial, but should not be so prescriptive as to limit </w:t>
            </w:r>
            <w:r w:rsidR="001D3F6A">
              <w:t>client</w:t>
            </w:r>
            <w:r w:rsidRPr="002F1623">
              <w:t xml:space="preserve"> choice of the programme that best meets their need</w:t>
            </w:r>
            <w:r w:rsidR="001D3F6A">
              <w:t>s</w:t>
            </w:r>
            <w:r w:rsidRPr="002F1623">
              <w:t xml:space="preserve">. </w:t>
            </w:r>
          </w:p>
          <w:p w14:paraId="7D69A2FD" w14:textId="60C7647B" w:rsidR="005B32CD" w:rsidRDefault="001D3F6A">
            <w:pPr>
              <w:pStyle w:val="BoxText"/>
            </w:pPr>
            <w:r>
              <w:t xml:space="preserve">The </w:t>
            </w:r>
            <w:r w:rsidR="002F1623" w:rsidRPr="002F1623">
              <w:t xml:space="preserve">AMEP and SEE programme administrators should ensure that providers understand their obligations to report </w:t>
            </w:r>
            <w:r>
              <w:t xml:space="preserve">the </w:t>
            </w:r>
            <w:r w:rsidR="002F1623" w:rsidRPr="002F1623">
              <w:t xml:space="preserve">AMEP and SEE </w:t>
            </w:r>
            <w:r w:rsidR="00D30F30">
              <w:t xml:space="preserve">programme </w:t>
            </w:r>
            <w:r w:rsidR="002F1623" w:rsidRPr="002F1623">
              <w:t xml:space="preserve">training against the forthcoming USI protocols to </w:t>
            </w:r>
            <w:r w:rsidR="00B47EBE">
              <w:t>ensure</w:t>
            </w:r>
            <w:r w:rsidR="002F1623" w:rsidRPr="002F1623">
              <w:t xml:space="preserve"> </w:t>
            </w:r>
            <w:r w:rsidR="002F1623" w:rsidRPr="00EF32C9">
              <w:t xml:space="preserve">better </w:t>
            </w:r>
            <w:r w:rsidR="00EF32C9" w:rsidRPr="00EF32C9">
              <w:t xml:space="preserve">data on </w:t>
            </w:r>
            <w:r w:rsidR="002F1623" w:rsidRPr="00EF32C9">
              <w:t>articulation</w:t>
            </w:r>
            <w:r w:rsidR="002F1623" w:rsidRPr="002F1623">
              <w:t xml:space="preserve"> between the </w:t>
            </w:r>
            <w:r w:rsidR="0070776B">
              <w:t>programmes</w:t>
            </w:r>
            <w:r w:rsidR="002F1623" w:rsidRPr="002F1623">
              <w:t>.</w:t>
            </w:r>
          </w:p>
          <w:p w14:paraId="589ECE87" w14:textId="77777777" w:rsidR="00E97C0A" w:rsidRDefault="00E97C0A" w:rsidP="00C3647D">
            <w:pPr>
              <w:pStyle w:val="SmallDeltasRightAligned"/>
            </w:pPr>
            <w:r>
              <w:rPr>
                <w:noProof/>
                <w:lang w:eastAsia="en-AU"/>
              </w:rPr>
              <w:drawing>
                <wp:inline distT="0" distB="0" distL="0" distR="0" wp14:anchorId="6C6E008C" wp14:editId="5317E75B">
                  <wp:extent cx="481585" cy="2346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E97C0A" w14:paraId="41611822" w14:textId="77777777" w:rsidTr="00C3647D">
        <w:trPr>
          <w:trHeight w:hRule="exact" w:val="80"/>
        </w:trPr>
        <w:tc>
          <w:tcPr>
            <w:tcW w:w="5000" w:type="pct"/>
            <w:shd w:val="pct12" w:color="auto" w:fill="auto"/>
          </w:tcPr>
          <w:p w14:paraId="642A2F2F" w14:textId="77777777" w:rsidR="00E97C0A" w:rsidRDefault="00E97C0A">
            <w:pPr>
              <w:spacing w:before="160"/>
            </w:pPr>
            <w:r>
              <w:t xml:space="preserve"> </w:t>
            </w:r>
          </w:p>
        </w:tc>
      </w:tr>
    </w:tbl>
    <w:p w14:paraId="44E7A612" w14:textId="77777777" w:rsidR="00716342" w:rsidRDefault="00716342" w:rsidP="00716342">
      <w:pPr>
        <w:pStyle w:val="Heading2"/>
      </w:pPr>
      <w:bookmarkStart w:id="62" w:name="_Toc420078547"/>
      <w:r>
        <w:t>Opportunities for aligning providers and provider management</w:t>
      </w:r>
      <w:bookmarkEnd w:id="62"/>
    </w:p>
    <w:p w14:paraId="05DAD297" w14:textId="77777777" w:rsidR="00716342" w:rsidRDefault="00716342" w:rsidP="00716342">
      <w:pPr>
        <w:pStyle w:val="Heading3"/>
      </w:pPr>
      <w:r>
        <w:t>Providers in common</w:t>
      </w:r>
    </w:p>
    <w:p w14:paraId="36CD9A5C" w14:textId="0B041088" w:rsidR="00FA3C3D" w:rsidRDefault="00FA3C3D" w:rsidP="00FA3C3D">
      <w:pPr>
        <w:pStyle w:val="BodyText"/>
      </w:pPr>
      <w:r>
        <w:t xml:space="preserve">As discussed in Section </w:t>
      </w:r>
      <w:r>
        <w:fldChar w:fldCharType="begin"/>
      </w:r>
      <w:r>
        <w:instrText xml:space="preserve"> REF _Ref408408076 \r \h </w:instrText>
      </w:r>
      <w:r>
        <w:fldChar w:fldCharType="separate"/>
      </w:r>
      <w:r w:rsidR="00902F05">
        <w:t>3.3.2</w:t>
      </w:r>
      <w:r>
        <w:fldChar w:fldCharType="end"/>
      </w:r>
      <w:r>
        <w:t xml:space="preserve">, the commonality in the delivery of English language training to CALD cohorts would suggest that there is opportunity for a higher degree of provider crossover between </w:t>
      </w:r>
      <w:r w:rsidR="00A20395">
        <w:t>the AMEP</w:t>
      </w:r>
      <w:r>
        <w:t xml:space="preserve"> and </w:t>
      </w:r>
      <w:r w:rsidR="00D30F30">
        <w:t>the SEE programme</w:t>
      </w:r>
      <w:r>
        <w:t xml:space="preserve">. This would deliver clear benefits for both students and providers. </w:t>
      </w:r>
    </w:p>
    <w:p w14:paraId="08A79B69" w14:textId="35FAEC3A" w:rsidR="0036747C" w:rsidRDefault="00FA3C3D" w:rsidP="00716342">
      <w:pPr>
        <w:pStyle w:val="BodyText"/>
      </w:pPr>
      <w:r>
        <w:t xml:space="preserve">As discussed above, the independent administration of the two programmes should be retained, but a greater level of provider overlap could be encouraged by inviting approved AMEP </w:t>
      </w:r>
      <w:r w:rsidR="00DF5EB3">
        <w:t xml:space="preserve">service </w:t>
      </w:r>
      <w:r>
        <w:t>providers to apply to be a SEE provider and vice versa. This would not grant automatic approval to providers looking to expand their delivery in one programme or the other, but rather highlight to providers the prospects for economies of scale and scope, and the likely positive contribution to the experience of students.</w:t>
      </w:r>
      <w:r w:rsidR="00F163F4">
        <w:t xml:space="preserve"> </w:t>
      </w:r>
      <w:r w:rsidR="0036747C">
        <w:t xml:space="preserve">The level of provider crossover would be increased if the recommendation in the AMEP Evaluation Report to adopt a multi-provider model similar to the approach taken in </w:t>
      </w:r>
      <w:r w:rsidR="00D30F30">
        <w:t>the SEE programme</w:t>
      </w:r>
      <w:r w:rsidR="0036747C">
        <w:t xml:space="preserve"> is adopted.</w:t>
      </w:r>
    </w:p>
    <w:p w14:paraId="2101B269" w14:textId="77777777" w:rsidR="004F7E0F" w:rsidRDefault="00FA3C3D" w:rsidP="00716342">
      <w:pPr>
        <w:pStyle w:val="BodyText"/>
      </w:pPr>
      <w:r>
        <w:t>In the interest of minimising the regulatory burden and the costs of programme administration, steps could also be taken to better integrate the generic provider requirements across the two programmes</w:t>
      </w:r>
      <w:r w:rsidR="004F7E0F">
        <w:t xml:space="preserve">, for example </w:t>
      </w:r>
      <w:r w:rsidR="00E157A2">
        <w:t xml:space="preserve">any requirements in relation to </w:t>
      </w:r>
      <w:r w:rsidR="004F7E0F">
        <w:t>incorporation, insurance, financial</w:t>
      </w:r>
      <w:r w:rsidR="00E157A2">
        <w:t>s, OH&amp;S, probity and sustainability policies</w:t>
      </w:r>
      <w:r w:rsidR="004F7E0F">
        <w:t xml:space="preserve">. Similarly, </w:t>
      </w:r>
      <w:r>
        <w:t xml:space="preserve">the </w:t>
      </w:r>
      <w:r>
        <w:lastRenderedPageBreak/>
        <w:t>duplication with other external systems, such as ASQA registration and NEAS accreditation</w:t>
      </w:r>
      <w:r w:rsidR="004F7E0F">
        <w:t>, should be minimised</w:t>
      </w:r>
      <w:r>
        <w:t>.</w:t>
      </w:r>
      <w:r w:rsidR="0036747C">
        <w:t xml:space="preserve"> </w:t>
      </w:r>
    </w:p>
    <w:p w14:paraId="59262083" w14:textId="77777777" w:rsidR="0036747C" w:rsidRDefault="00153F26" w:rsidP="00716342">
      <w:pPr>
        <w:pStyle w:val="BodyText"/>
      </w:pPr>
      <w:r>
        <w:t>I</w:t>
      </w:r>
      <w:r w:rsidR="00F163F4">
        <w:t>deally, t</w:t>
      </w:r>
      <w:r w:rsidR="0036747C">
        <w:t>he satisfaction of generic requirements in one programme should be recognised as sufficient to meet the same/similar requirements in the other programme. In the same way, a positive rating, performance and contract extension in one programme should count towards the applications made in the other programme.</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FA3C3D" w14:paraId="4F981BA7" w14:textId="77777777" w:rsidTr="002657DB">
        <w:tc>
          <w:tcPr>
            <w:tcW w:w="5000" w:type="pct"/>
            <w:shd w:val="pct12" w:color="auto" w:fill="auto"/>
          </w:tcPr>
          <w:p w14:paraId="26BA2E8A" w14:textId="77777777" w:rsidR="00FA3C3D" w:rsidRDefault="00FA3C3D" w:rsidP="002657DB">
            <w:pPr>
              <w:pStyle w:val="Caption"/>
              <w:spacing w:before="120" w:after="60"/>
              <w:ind w:left="1112" w:hanging="1112"/>
              <w:rPr>
                <w:rFonts w:ascii="Arial Bold" w:hAnsi="Arial Bold"/>
                <w:color w:val="000080"/>
              </w:rPr>
            </w:pPr>
            <w:r>
              <w:t xml:space="preserve">Recommendation </w:t>
            </w:r>
            <w:r w:rsidR="00902F05">
              <w:fldChar w:fldCharType="begin"/>
            </w:r>
            <w:r w:rsidR="00902F05">
              <w:instrText xml:space="preserve"> SEQ Recommendation \* ARABIC </w:instrText>
            </w:r>
            <w:r w:rsidR="00902F05">
              <w:fldChar w:fldCharType="separate"/>
            </w:r>
            <w:r w:rsidR="00902F05">
              <w:rPr>
                <w:noProof/>
              </w:rPr>
              <w:t>5</w:t>
            </w:r>
            <w:r w:rsidR="00902F05">
              <w:rPr>
                <w:noProof/>
              </w:rPr>
              <w:fldChar w:fldCharType="end"/>
            </w:r>
          </w:p>
        </w:tc>
      </w:tr>
      <w:tr w:rsidR="00FA3C3D" w14:paraId="146CC6FC" w14:textId="77777777" w:rsidTr="002657DB">
        <w:tc>
          <w:tcPr>
            <w:tcW w:w="5000" w:type="pct"/>
            <w:shd w:val="pct12" w:color="auto" w:fill="auto"/>
          </w:tcPr>
          <w:p w14:paraId="1969C65D" w14:textId="4E44F2F4" w:rsidR="00F75EDE" w:rsidRDefault="00F75EDE">
            <w:pPr>
              <w:pStyle w:val="BoxText"/>
            </w:pPr>
            <w:r w:rsidRPr="00F75EDE">
              <w:t>A greater level of providers in common between the two programmes could be encouraged by co-inviting approved AMEP</w:t>
            </w:r>
            <w:r w:rsidR="001D3F6A">
              <w:t xml:space="preserve"> service providers</w:t>
            </w:r>
            <w:r w:rsidRPr="00F75EDE">
              <w:t xml:space="preserve"> and SEE providers for the other programme</w:t>
            </w:r>
            <w:r w:rsidR="00AC1C3D" w:rsidRPr="00AC1C3D">
              <w:t xml:space="preserve">; this does not mean </w:t>
            </w:r>
            <w:r w:rsidRPr="00F75EDE">
              <w:t xml:space="preserve">granting automatic approval to providers looking to expand their delivery, but rather highlighting to providers the prospects for economies of scale and scope, and the likely positive contribution to the experience of </w:t>
            </w:r>
            <w:r w:rsidR="001D3F6A">
              <w:t>clients</w:t>
            </w:r>
            <w:r w:rsidRPr="00F75EDE">
              <w:t xml:space="preserve">. </w:t>
            </w:r>
          </w:p>
          <w:p w14:paraId="09EB9875" w14:textId="77777777" w:rsidR="00FA3C3D" w:rsidRDefault="00F75EDE">
            <w:pPr>
              <w:pStyle w:val="BoxText"/>
            </w:pPr>
            <w:r w:rsidRPr="00F75EDE">
              <w:t>Options could also be investigated for administrative synergies through co-recognition of provider characteristics across the two programmes.</w:t>
            </w:r>
          </w:p>
          <w:p w14:paraId="2E447C99" w14:textId="77777777" w:rsidR="00FA3C3D" w:rsidRDefault="00FA3C3D" w:rsidP="002657DB">
            <w:pPr>
              <w:pStyle w:val="SmallDeltasRightAligned"/>
            </w:pPr>
            <w:r>
              <w:rPr>
                <w:noProof/>
                <w:lang w:eastAsia="en-AU"/>
              </w:rPr>
              <w:drawing>
                <wp:inline distT="0" distB="0" distL="0" distR="0" wp14:anchorId="5713687F" wp14:editId="1E9CB332">
                  <wp:extent cx="481585" cy="234696"/>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FA3C3D" w14:paraId="0F489ED3" w14:textId="77777777" w:rsidTr="002657DB">
        <w:trPr>
          <w:trHeight w:hRule="exact" w:val="80"/>
        </w:trPr>
        <w:tc>
          <w:tcPr>
            <w:tcW w:w="5000" w:type="pct"/>
            <w:shd w:val="pct12" w:color="auto" w:fill="auto"/>
          </w:tcPr>
          <w:p w14:paraId="2C1A7D60" w14:textId="77777777" w:rsidR="00FA3C3D" w:rsidRDefault="00FA3C3D">
            <w:pPr>
              <w:spacing w:before="160"/>
            </w:pPr>
          </w:p>
        </w:tc>
      </w:tr>
    </w:tbl>
    <w:p w14:paraId="7001BB0C" w14:textId="77777777" w:rsidR="00E97C0A" w:rsidRDefault="00E97C0A" w:rsidP="0071501F">
      <w:pPr>
        <w:pStyle w:val="Heading2"/>
      </w:pPr>
      <w:bookmarkStart w:id="63" w:name="_Toc420078548"/>
      <w:r>
        <w:t xml:space="preserve">Addressing the </w:t>
      </w:r>
      <w:r w:rsidR="00932FD1">
        <w:t xml:space="preserve">differences </w:t>
      </w:r>
      <w:r>
        <w:t>in</w:t>
      </w:r>
      <w:r w:rsidR="00932FD1">
        <w:t xml:space="preserve"> the</w:t>
      </w:r>
      <w:r>
        <w:t xml:space="preserve"> curriculum and benchmark instruments</w:t>
      </w:r>
      <w:bookmarkEnd w:id="63"/>
    </w:p>
    <w:p w14:paraId="0D71B69F" w14:textId="77777777" w:rsidR="00662CD7" w:rsidRPr="00662CD7" w:rsidRDefault="00662CD7" w:rsidP="00662CD7">
      <w:pPr>
        <w:keepNext/>
        <w:numPr>
          <w:ilvl w:val="4"/>
          <w:numId w:val="20"/>
        </w:numPr>
        <w:spacing w:before="300" w:after="20" w:line="280" w:lineRule="exact"/>
        <w:outlineLvl w:val="4"/>
        <w:rPr>
          <w:rFonts w:asciiTheme="majorHAnsi" w:hAnsiTheme="majorHAnsi"/>
          <w:b/>
          <w:i/>
          <w:color w:val="9757A6"/>
          <w:sz w:val="20"/>
          <w:highlight w:val="yellow"/>
          <w:lang w:eastAsia="en-AU"/>
        </w:rPr>
      </w:pPr>
      <w:r w:rsidRPr="00662CD7">
        <w:rPr>
          <w:rFonts w:asciiTheme="majorHAnsi" w:hAnsiTheme="majorHAnsi"/>
          <w:b/>
          <w:i/>
          <w:color w:val="9757A6"/>
          <w:sz w:val="20"/>
          <w:lang w:eastAsia="en-AU"/>
        </w:rPr>
        <w:t>Integration with longer term language and lite</w:t>
      </w:r>
      <w:r w:rsidR="00843CBD">
        <w:rPr>
          <w:rFonts w:asciiTheme="majorHAnsi" w:hAnsiTheme="majorHAnsi"/>
          <w:b/>
          <w:i/>
          <w:color w:val="9757A6"/>
          <w:sz w:val="20"/>
          <w:lang w:eastAsia="en-AU"/>
        </w:rPr>
        <w:t>racy instruments and benchmarks</w:t>
      </w:r>
    </w:p>
    <w:p w14:paraId="5E779D98" w14:textId="76453719" w:rsidR="00E9501B" w:rsidRPr="00A47D83" w:rsidRDefault="00E9501B" w:rsidP="008B04E9">
      <w:pPr>
        <w:pStyle w:val="BodyText"/>
      </w:pPr>
      <w:r w:rsidRPr="00144EC5">
        <w:t xml:space="preserve">In considering the longer-term study aspirations of both </w:t>
      </w:r>
      <w:r w:rsidRPr="00F67D34">
        <w:t xml:space="preserve">AMEP and SEE </w:t>
      </w:r>
      <w:r w:rsidR="00D30F30">
        <w:t xml:space="preserve">programme </w:t>
      </w:r>
      <w:r w:rsidRPr="00984AF6">
        <w:t xml:space="preserve">clients, the question arises as to whether improved integration between </w:t>
      </w:r>
      <w:r w:rsidRPr="00A47D83">
        <w:t xml:space="preserve">the instruments and curriculum </w:t>
      </w:r>
      <w:r w:rsidR="001247EE">
        <w:t>of</w:t>
      </w:r>
      <w:r w:rsidR="001247EE" w:rsidRPr="00A47D83">
        <w:t xml:space="preserve"> </w:t>
      </w:r>
      <w:r w:rsidRPr="00A47D83">
        <w:t xml:space="preserve">both programmes – ISLPR and CSWE in AMEP and ACSF in </w:t>
      </w:r>
      <w:r w:rsidR="00D30F30">
        <w:t>the SEE programme</w:t>
      </w:r>
      <w:r w:rsidRPr="00A47D83">
        <w:t xml:space="preserve"> – with other language and literacy instruments and benchmarks could be achieved. </w:t>
      </w:r>
    </w:p>
    <w:p w14:paraId="2DE5B406" w14:textId="6B156B3C" w:rsidR="00E9501B" w:rsidRPr="00662CD7" w:rsidRDefault="00E9501B" w:rsidP="008B04E9">
      <w:pPr>
        <w:pStyle w:val="BodyText"/>
      </w:pPr>
      <w:r>
        <w:t>Some stakeholders note</w:t>
      </w:r>
      <w:r w:rsidR="008F3A69">
        <w:t>d</w:t>
      </w:r>
      <w:r>
        <w:t xml:space="preserve"> differences between the two programmes </w:t>
      </w:r>
      <w:r w:rsidR="008F3A69">
        <w:t xml:space="preserve">that </w:t>
      </w:r>
      <w:r>
        <w:t xml:space="preserve">undermine the potential benefits of continuity for learners </w:t>
      </w:r>
      <w:r w:rsidR="008F3A69">
        <w:t xml:space="preserve">who </w:t>
      </w:r>
      <w:r>
        <w:t xml:space="preserve">move between the two programmes, as well as other VET courses. </w:t>
      </w:r>
      <w:r w:rsidRPr="00662CD7">
        <w:t xml:space="preserve">In Canada </w:t>
      </w:r>
      <w:r>
        <w:t xml:space="preserve">for example, </w:t>
      </w:r>
      <w:r w:rsidRPr="00662CD7">
        <w:t xml:space="preserve">the Canadian Language Benchmarks (CLB) </w:t>
      </w:r>
      <w:r w:rsidR="009F03B4">
        <w:t>are</w:t>
      </w:r>
      <w:r w:rsidRPr="00662CD7">
        <w:t xml:space="preserve"> used to test language learning for adults in many adult ESL </w:t>
      </w:r>
      <w:r w:rsidR="0070776B">
        <w:t>programmes</w:t>
      </w:r>
      <w:r w:rsidRPr="00662CD7">
        <w:t xml:space="preserve"> throughout the country. This means that those participating in LINC (the equivalent programme to the AMEP) can then transition into other </w:t>
      </w:r>
      <w:r w:rsidR="0070776B">
        <w:t>programmes</w:t>
      </w:r>
      <w:r w:rsidRPr="00662CD7">
        <w:t xml:space="preserve"> using the same benchmark instrument. This allows for benefits of consistency, familiarity and continuity for both learners and providers.</w:t>
      </w:r>
    </w:p>
    <w:p w14:paraId="603821EB" w14:textId="77777777" w:rsidR="00E9501B" w:rsidRPr="00144EC5" w:rsidRDefault="00E9501B" w:rsidP="008B04E9">
      <w:pPr>
        <w:pStyle w:val="BodyText"/>
      </w:pPr>
      <w:r w:rsidRPr="00662CD7">
        <w:t>Given its position as the primary benchmark for language and literacy (as well as numeracy) in the Australian VET sector, the Australian Core Skills Framework (ACSF) would most likely provide the greatest continuity and coverage from a national perspective. However</w:t>
      </w:r>
      <w:r w:rsidR="001247EE">
        <w:t>,</w:t>
      </w:r>
      <w:r w:rsidR="001247EE" w:rsidRPr="001247EE">
        <w:t xml:space="preserve"> </w:t>
      </w:r>
      <w:r w:rsidR="001247EE">
        <w:t>there is insufficient evidence to definitively say</w:t>
      </w:r>
      <w:r w:rsidRPr="00662CD7">
        <w:t xml:space="preserve"> whether the ACSF would be as appropriate for migrant cohorts to test second language proficiency, compared to the ISLPR and CSWE</w:t>
      </w:r>
      <w:r w:rsidR="007C444A">
        <w:t xml:space="preserve"> curriculum framework</w:t>
      </w:r>
      <w:r w:rsidRPr="00662CD7">
        <w:t xml:space="preserve">. </w:t>
      </w:r>
    </w:p>
    <w:p w14:paraId="647A291C" w14:textId="6DF2E1BA" w:rsidR="00E9501B" w:rsidRPr="00984AF6" w:rsidRDefault="00E9501B" w:rsidP="008B04E9">
      <w:pPr>
        <w:pStyle w:val="BodyText"/>
      </w:pPr>
      <w:r w:rsidRPr="00144EC5">
        <w:t xml:space="preserve">Some providers suggest that the different instruments used for </w:t>
      </w:r>
      <w:r w:rsidR="00A20395">
        <w:t>the AMEP</w:t>
      </w:r>
      <w:r w:rsidRPr="00144EC5">
        <w:t xml:space="preserve"> and </w:t>
      </w:r>
      <w:r w:rsidR="00D30F30">
        <w:t>the SEE programme</w:t>
      </w:r>
      <w:r w:rsidRPr="00144EC5">
        <w:t xml:space="preserve"> are appropriate to the specific purposes </w:t>
      </w:r>
      <w:r w:rsidRPr="00F67D34">
        <w:t>of each programme.</w:t>
      </w:r>
    </w:p>
    <w:p w14:paraId="3D87F0DD" w14:textId="77777777" w:rsidR="00E9501B" w:rsidRPr="00662CD7" w:rsidRDefault="00E9501B" w:rsidP="008B04E9">
      <w:pPr>
        <w:pStyle w:val="Quote"/>
      </w:pPr>
      <w:r w:rsidRPr="00662CD7">
        <w:t>Currently AMEP uses ISLPR as an initial assessment and placement tool and CSWE Learning outcomes at course completion. The SEE program uses the Australian Core Skills Framework (ACSF) as the initial assessment and placement tool as well as to assess outcomes. Each is appropriate to the different program purposes.</w:t>
      </w:r>
    </w:p>
    <w:p w14:paraId="23301206" w14:textId="77777777" w:rsidR="00E9501B" w:rsidRPr="00662CD7" w:rsidRDefault="00E9501B" w:rsidP="008B04E9">
      <w:pPr>
        <w:pStyle w:val="QuoteSource"/>
      </w:pPr>
      <w:r w:rsidRPr="00662CD7">
        <w:t xml:space="preserve">– AMEP </w:t>
      </w:r>
      <w:r w:rsidR="00DF5EB3">
        <w:t xml:space="preserve">service </w:t>
      </w:r>
      <w:r w:rsidRPr="00662CD7">
        <w:t>p</w:t>
      </w:r>
      <w:r w:rsidR="00EA7FD7">
        <w:t>rovider confidential submission</w:t>
      </w:r>
    </w:p>
    <w:p w14:paraId="06302B74" w14:textId="0B419DFA" w:rsidR="00BF07DA" w:rsidRPr="00A47D83" w:rsidRDefault="00BF07DA" w:rsidP="008B04E9">
      <w:pPr>
        <w:pStyle w:val="BodyText"/>
      </w:pPr>
      <w:r w:rsidRPr="00144EC5">
        <w:lastRenderedPageBreak/>
        <w:t>The differences in curriculum between the two programmes may be overstated given that</w:t>
      </w:r>
      <w:r w:rsidR="008F3A69" w:rsidRPr="00144EC5">
        <w:t xml:space="preserve"> many</w:t>
      </w:r>
      <w:r w:rsidRPr="00F67D34">
        <w:t xml:space="preserve"> providers </w:t>
      </w:r>
      <w:r w:rsidR="008F3A69" w:rsidRPr="00F67D34">
        <w:t>only deliver one of the programmes an</w:t>
      </w:r>
      <w:r w:rsidR="008F3A69" w:rsidRPr="00984AF6">
        <w:t xml:space="preserve">d therefore </w:t>
      </w:r>
      <w:r w:rsidRPr="00A47D83">
        <w:t xml:space="preserve">may not have explored the possibility of improving the alignment, </w:t>
      </w:r>
      <w:r w:rsidR="008F3A69" w:rsidRPr="00A47D83">
        <w:t xml:space="preserve">as well as that </w:t>
      </w:r>
      <w:r w:rsidRPr="00A47D83">
        <w:t xml:space="preserve">providers can opt to deliver </w:t>
      </w:r>
      <w:r w:rsidR="007C444A">
        <w:t xml:space="preserve">training through the </w:t>
      </w:r>
      <w:r w:rsidRPr="00A47D83">
        <w:t xml:space="preserve">CSWE </w:t>
      </w:r>
      <w:r w:rsidR="007C444A">
        <w:t xml:space="preserve">curriculum framework </w:t>
      </w:r>
      <w:r w:rsidRPr="00A47D83">
        <w:t xml:space="preserve">under the </w:t>
      </w:r>
      <w:r w:rsidR="00AE13AC">
        <w:t>SEE programme</w:t>
      </w:r>
      <w:r w:rsidRPr="00A47D83">
        <w:t>.</w:t>
      </w:r>
    </w:p>
    <w:p w14:paraId="00FFA842" w14:textId="3B602C7A" w:rsidR="00662CD7" w:rsidRPr="00662CD7" w:rsidRDefault="00662CD7" w:rsidP="008B04E9">
      <w:pPr>
        <w:pStyle w:val="BodyText"/>
      </w:pPr>
      <w:r w:rsidRPr="00662CD7">
        <w:t xml:space="preserve">Other than adopting a single benchmark instrument as per the Canadian model, </w:t>
      </w:r>
      <w:r w:rsidR="008F3A69">
        <w:t>a possible</w:t>
      </w:r>
      <w:r w:rsidR="008F3A69" w:rsidRPr="00662CD7">
        <w:t xml:space="preserve"> </w:t>
      </w:r>
      <w:r w:rsidRPr="00662CD7">
        <w:t xml:space="preserve">alternative to achieve greater integration and continuity between the AMEP and other longer-term benchmarks is to undertake a formal mapping of benchmarks across relevant instruments. It is understood that the Department has commissioned a consortium of national experts to undertake formal mapping of the ACSF to the ISLPR and </w:t>
      </w:r>
      <w:r w:rsidR="007C444A">
        <w:t xml:space="preserve">the </w:t>
      </w:r>
      <w:r w:rsidRPr="00662CD7">
        <w:t>CSWE curriculum</w:t>
      </w:r>
      <w:r w:rsidR="007C444A">
        <w:t xml:space="preserve"> framework</w:t>
      </w:r>
      <w:r w:rsidRPr="00662CD7">
        <w:t xml:space="preserve">. </w:t>
      </w:r>
      <w:r w:rsidR="008F3A69">
        <w:t xml:space="preserve">Subject to the outcomes of </w:t>
      </w:r>
      <w:r w:rsidRPr="00662CD7">
        <w:t>this research</w:t>
      </w:r>
      <w:r w:rsidR="008F3A69">
        <w:t xml:space="preserve">, consideration should be given to </w:t>
      </w:r>
      <w:r w:rsidRPr="00662CD7">
        <w:t>formally adopt</w:t>
      </w:r>
      <w:r w:rsidR="008F3A69">
        <w:t>ing</w:t>
      </w:r>
      <w:r w:rsidRPr="00662CD7">
        <w:t xml:space="preserve"> </w:t>
      </w:r>
      <w:r w:rsidR="008F3A69">
        <w:t>the</w:t>
      </w:r>
      <w:r w:rsidR="008F3A69" w:rsidRPr="00662CD7">
        <w:t xml:space="preserve"> </w:t>
      </w:r>
      <w:r w:rsidRPr="00662CD7">
        <w:t xml:space="preserve">mapping framework </w:t>
      </w:r>
      <w:r w:rsidR="008F3A69">
        <w:t>to</w:t>
      </w:r>
      <w:r w:rsidR="008F3A69" w:rsidRPr="00662CD7">
        <w:t xml:space="preserve"> </w:t>
      </w:r>
      <w:r w:rsidRPr="00662CD7">
        <w:t xml:space="preserve">facilitate greater continuity between the instruments and benchmarks used in the AMEP with other training </w:t>
      </w:r>
      <w:r w:rsidR="0070776B">
        <w:t>programmes</w:t>
      </w:r>
      <w:r w:rsidRPr="00662CD7">
        <w:t xml:space="preserve"> and the tertiary education sector more broadly. The government will also then be in a position to consider the extent to which other </w:t>
      </w:r>
      <w:r w:rsidR="001D3F6A">
        <w:t>Training Package</w:t>
      </w:r>
      <w:r w:rsidRPr="00662CD7">
        <w:t xml:space="preserve"> units, such as the Foundation Skills Training Package which are already mapped to the ACSF could be used alongside the CSWE curriculum.</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662CD7" w:rsidRPr="00662CD7" w14:paraId="2B71C2F9" w14:textId="77777777" w:rsidTr="0071501F">
        <w:tc>
          <w:tcPr>
            <w:tcW w:w="5000" w:type="pct"/>
            <w:shd w:val="pct12" w:color="auto" w:fill="auto"/>
          </w:tcPr>
          <w:p w14:paraId="6AE69868" w14:textId="77777777" w:rsidR="00662CD7" w:rsidRPr="00662CD7" w:rsidRDefault="00662CD7" w:rsidP="00662CD7">
            <w:pPr>
              <w:keepNext/>
              <w:spacing w:after="60"/>
              <w:ind w:left="1112" w:hanging="1112"/>
              <w:outlineLvl w:val="8"/>
              <w:rPr>
                <w:rFonts w:ascii="Arial Bold" w:hAnsi="Arial Bold" w:cs="Arial"/>
                <w:color w:val="000080"/>
                <w:sz w:val="20"/>
              </w:rPr>
            </w:pPr>
            <w:r w:rsidRPr="00662CD7">
              <w:rPr>
                <w:rFonts w:asciiTheme="majorHAnsi" w:hAnsiTheme="majorHAnsi" w:cs="Arial"/>
                <w:sz w:val="20"/>
              </w:rPr>
              <w:t xml:space="preserve">Recommendation </w:t>
            </w:r>
            <w:r w:rsidRPr="00662CD7">
              <w:rPr>
                <w:rFonts w:asciiTheme="majorHAnsi" w:hAnsiTheme="majorHAnsi" w:cs="Arial"/>
                <w:sz w:val="20"/>
              </w:rPr>
              <w:fldChar w:fldCharType="begin"/>
            </w:r>
            <w:r w:rsidRPr="00662CD7">
              <w:rPr>
                <w:rFonts w:asciiTheme="majorHAnsi" w:hAnsiTheme="majorHAnsi" w:cs="Arial"/>
                <w:sz w:val="20"/>
              </w:rPr>
              <w:instrText xml:space="preserve"> SEQ Recommendation \* ARABIC </w:instrText>
            </w:r>
            <w:r w:rsidRPr="00662CD7">
              <w:rPr>
                <w:rFonts w:asciiTheme="majorHAnsi" w:hAnsiTheme="majorHAnsi" w:cs="Arial"/>
                <w:sz w:val="20"/>
              </w:rPr>
              <w:fldChar w:fldCharType="separate"/>
            </w:r>
            <w:r w:rsidR="00902F05">
              <w:rPr>
                <w:rFonts w:asciiTheme="majorHAnsi" w:hAnsiTheme="majorHAnsi" w:cs="Arial"/>
                <w:noProof/>
                <w:sz w:val="20"/>
              </w:rPr>
              <w:t>6</w:t>
            </w:r>
            <w:r w:rsidRPr="00662CD7">
              <w:rPr>
                <w:rFonts w:asciiTheme="majorHAnsi" w:hAnsiTheme="majorHAnsi" w:cs="Arial"/>
                <w:noProof/>
                <w:sz w:val="20"/>
              </w:rPr>
              <w:fldChar w:fldCharType="end"/>
            </w:r>
          </w:p>
        </w:tc>
      </w:tr>
      <w:tr w:rsidR="00662CD7" w:rsidRPr="00662CD7" w14:paraId="6D2A716A" w14:textId="77777777" w:rsidTr="0071501F">
        <w:tc>
          <w:tcPr>
            <w:tcW w:w="5000" w:type="pct"/>
            <w:shd w:val="pct12" w:color="auto" w:fill="auto"/>
          </w:tcPr>
          <w:p w14:paraId="46518CC5" w14:textId="36CD64C8" w:rsidR="00AC1C3D" w:rsidRPr="008B04E9" w:rsidRDefault="00AC1C3D" w:rsidP="008B04E9">
            <w:pPr>
              <w:pStyle w:val="BoxText"/>
            </w:pPr>
            <w:r w:rsidRPr="008B04E9">
              <w:t xml:space="preserve">Building on the recent research mapping the ACSF to the ISLPR and </w:t>
            </w:r>
            <w:r w:rsidR="002009D5">
              <w:t xml:space="preserve">the </w:t>
            </w:r>
            <w:r w:rsidRPr="008B04E9">
              <w:t>CSWE curriculum</w:t>
            </w:r>
            <w:r w:rsidR="002009D5">
              <w:t xml:space="preserve"> framework</w:t>
            </w:r>
            <w:r w:rsidRPr="008B04E9">
              <w:t xml:space="preserve">, the </w:t>
            </w:r>
            <w:r w:rsidR="007E05D1">
              <w:t>Australian G</w:t>
            </w:r>
            <w:r w:rsidRPr="008B04E9">
              <w:t xml:space="preserve">overnment should </w:t>
            </w:r>
            <w:r w:rsidR="001D3F6A">
              <w:t xml:space="preserve">consider </w:t>
            </w:r>
            <w:r w:rsidRPr="008B04E9">
              <w:t>formally adopt</w:t>
            </w:r>
            <w:r w:rsidR="001D3F6A">
              <w:t>ing</w:t>
            </w:r>
            <w:r w:rsidRPr="008B04E9">
              <w:t xml:space="preserve"> the mapping framework to facilitate greater pathways between the AMEP and other training </w:t>
            </w:r>
            <w:r w:rsidR="0070776B">
              <w:t>programmes</w:t>
            </w:r>
            <w:r w:rsidRPr="008B04E9">
              <w:t>, and the tertiary education sector more broadly.</w:t>
            </w:r>
          </w:p>
          <w:p w14:paraId="419231E4" w14:textId="1254BB22" w:rsidR="008F3A69" w:rsidRPr="00AC1C3D" w:rsidRDefault="00AC1C3D" w:rsidP="008B04E9">
            <w:pPr>
              <w:pStyle w:val="BoxText"/>
            </w:pPr>
            <w:r w:rsidRPr="008B04E9">
              <w:t xml:space="preserve">Similarly, the </w:t>
            </w:r>
            <w:r w:rsidR="007E05D1">
              <w:t>Australia</w:t>
            </w:r>
            <w:r w:rsidR="009F03B4">
              <w:t>n</w:t>
            </w:r>
            <w:r w:rsidR="007E05D1">
              <w:t xml:space="preserve"> G</w:t>
            </w:r>
            <w:r w:rsidRPr="008B04E9">
              <w:t xml:space="preserve">overnment should consider the extent to which other </w:t>
            </w:r>
            <w:r w:rsidR="001D3F6A">
              <w:t>T</w:t>
            </w:r>
            <w:r w:rsidRPr="008B04E9">
              <w:t xml:space="preserve">raining </w:t>
            </w:r>
            <w:r w:rsidR="001D3F6A">
              <w:t>P</w:t>
            </w:r>
            <w:r w:rsidRPr="008B04E9">
              <w:t>ackage units which are already mapped to the ACSF could be used alongside the CSWE curriculum</w:t>
            </w:r>
            <w:r w:rsidR="00321224">
              <w:t xml:space="preserve"> framework</w:t>
            </w:r>
            <w:r w:rsidR="008F3A69" w:rsidRPr="00AC1C3D">
              <w:t>.</w:t>
            </w:r>
          </w:p>
          <w:p w14:paraId="2090C6E1" w14:textId="77777777" w:rsidR="00662CD7" w:rsidRPr="00662CD7" w:rsidRDefault="00662CD7" w:rsidP="00662CD7">
            <w:pPr>
              <w:spacing w:before="0" w:after="0" w:line="240" w:lineRule="auto"/>
              <w:jc w:val="right"/>
            </w:pPr>
            <w:r w:rsidRPr="00662CD7">
              <w:rPr>
                <w:noProof/>
                <w:lang w:eastAsia="en-AU"/>
              </w:rPr>
              <w:drawing>
                <wp:inline distT="0" distB="0" distL="0" distR="0" wp14:anchorId="7C933D95" wp14:editId="37AE74B7">
                  <wp:extent cx="481585" cy="23469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bl>
    <w:p w14:paraId="104DDAE2" w14:textId="77777777" w:rsidR="00F40597" w:rsidRDefault="00F40597" w:rsidP="00666915">
      <w:pPr>
        <w:pStyle w:val="BodyText"/>
      </w:pPr>
    </w:p>
    <w:p w14:paraId="15D2CED2" w14:textId="5C2557CF" w:rsidR="00666915" w:rsidRDefault="00932FD1" w:rsidP="00F40597">
      <w:pPr>
        <w:pStyle w:val="Heading1"/>
      </w:pPr>
      <w:bookmarkStart w:id="64" w:name="_Toc420078549"/>
      <w:r>
        <w:lastRenderedPageBreak/>
        <w:t>Strengthening</w:t>
      </w:r>
      <w:r w:rsidR="004D154F">
        <w:t xml:space="preserve"> </w:t>
      </w:r>
      <w:r w:rsidR="00C26577">
        <w:t xml:space="preserve">the strategic </w:t>
      </w:r>
      <w:r w:rsidR="004D154F">
        <w:t>alignment</w:t>
      </w:r>
      <w:r w:rsidR="00C26577">
        <w:t xml:space="preserve"> of </w:t>
      </w:r>
      <w:r w:rsidR="00A20395">
        <w:t>the AMEP</w:t>
      </w:r>
      <w:r w:rsidR="00C26577">
        <w:t xml:space="preserve"> and </w:t>
      </w:r>
      <w:r w:rsidR="00D30F30">
        <w:t>the SEE programme</w:t>
      </w:r>
      <w:bookmarkEnd w:id="64"/>
    </w:p>
    <w:p w14:paraId="5355030A" w14:textId="77777777" w:rsidR="00F47359" w:rsidRDefault="00346859" w:rsidP="002657DB">
      <w:pPr>
        <w:pStyle w:val="Heading2"/>
      </w:pPr>
      <w:bookmarkStart w:id="65" w:name="_Toc420078550"/>
      <w:r>
        <w:t>Context for alignment</w:t>
      </w:r>
      <w:bookmarkEnd w:id="65"/>
    </w:p>
    <w:p w14:paraId="7F626BAC" w14:textId="54A3F544" w:rsidR="004D154F" w:rsidRDefault="00194742" w:rsidP="00C26577">
      <w:pPr>
        <w:pStyle w:val="BodyText"/>
      </w:pPr>
      <w:r>
        <w:t xml:space="preserve">Both </w:t>
      </w:r>
      <w:r w:rsidR="00A20395">
        <w:t xml:space="preserve">the </w:t>
      </w:r>
      <w:r>
        <w:t xml:space="preserve">AMEP and SEE evaluations have </w:t>
      </w:r>
      <w:r w:rsidR="00C26577">
        <w:t xml:space="preserve">acknowledged </w:t>
      </w:r>
      <w:r w:rsidR="009F03B4">
        <w:t xml:space="preserve">these </w:t>
      </w:r>
      <w:r w:rsidR="00C26577">
        <w:t>distinct programmes with different objectives and target groups.</w:t>
      </w:r>
      <w:r>
        <w:t xml:space="preserve"> Historically, they</w:t>
      </w:r>
      <w:r w:rsidR="00C26577">
        <w:t xml:space="preserve"> have resided in </w:t>
      </w:r>
      <w:r w:rsidR="004D154F">
        <w:t xml:space="preserve">separate </w:t>
      </w:r>
      <w:r w:rsidR="00C26577">
        <w:t xml:space="preserve">government </w:t>
      </w:r>
      <w:r w:rsidR="004D154F">
        <w:t>portfolios</w:t>
      </w:r>
      <w:r w:rsidR="00C26577">
        <w:t xml:space="preserve"> with limited formal connections between the two programmes.</w:t>
      </w:r>
    </w:p>
    <w:p w14:paraId="7DC9ABE7" w14:textId="60437639" w:rsidR="00C26577" w:rsidRDefault="00A20395" w:rsidP="00C26577">
      <w:pPr>
        <w:pStyle w:val="BodyText"/>
      </w:pPr>
      <w:r>
        <w:t>The AMEP</w:t>
      </w:r>
      <w:r w:rsidR="00C26577">
        <w:t xml:space="preserve"> has been a comparatively much longer-lived and relatively stable programme. The providers currently contracted to deliver the programme have been involved in doing so for many decades.</w:t>
      </w:r>
      <w:r w:rsidR="00194742">
        <w:t xml:space="preserve"> </w:t>
      </w:r>
      <w:r w:rsidR="00D30F30">
        <w:t>The SEE programme</w:t>
      </w:r>
      <w:r w:rsidR="004D154F">
        <w:t xml:space="preserve"> </w:t>
      </w:r>
      <w:r w:rsidR="00C26577">
        <w:t xml:space="preserve">is a more recent programme that has undergone various </w:t>
      </w:r>
      <w:r w:rsidR="00194742">
        <w:t xml:space="preserve">iterations </w:t>
      </w:r>
      <w:r w:rsidR="00C26577">
        <w:t xml:space="preserve">(as the LANT programme and then LLNP). </w:t>
      </w:r>
    </w:p>
    <w:p w14:paraId="3CD4B807" w14:textId="171B52F5" w:rsidR="004D154F" w:rsidRDefault="00194742" w:rsidP="00C26577">
      <w:pPr>
        <w:pStyle w:val="BodyText"/>
      </w:pPr>
      <w:r>
        <w:t>The</w:t>
      </w:r>
      <w:r w:rsidR="00C26577">
        <w:t xml:space="preserve"> </w:t>
      </w:r>
      <w:r w:rsidR="004D154F">
        <w:t xml:space="preserve">AMEP has </w:t>
      </w:r>
      <w:r>
        <w:t xml:space="preserve">largely </w:t>
      </w:r>
      <w:r w:rsidR="004D154F">
        <w:t xml:space="preserve">been managed </w:t>
      </w:r>
      <w:r>
        <w:t>and refined within</w:t>
      </w:r>
      <w:r w:rsidR="00C26577">
        <w:t xml:space="preserve"> the immigration portfolio, </w:t>
      </w:r>
      <w:r w:rsidR="004D154F">
        <w:t xml:space="preserve">whereas </w:t>
      </w:r>
      <w:r w:rsidR="00D30F30">
        <w:t>the SEE programme</w:t>
      </w:r>
      <w:r w:rsidR="004D154F">
        <w:t xml:space="preserve"> has been much more connected to developments in the broader VET sector</w:t>
      </w:r>
      <w:r w:rsidR="00346859">
        <w:t>, having resided within the industry or education portfolios in recent years.</w:t>
      </w:r>
    </w:p>
    <w:p w14:paraId="47A4A8CD" w14:textId="77777777" w:rsidR="0071501F" w:rsidRDefault="004D154F" w:rsidP="0071501F">
      <w:pPr>
        <w:pStyle w:val="BodyText"/>
      </w:pPr>
      <w:r>
        <w:t>Over the years</w:t>
      </w:r>
      <w:r w:rsidR="009F03B4">
        <w:t>,</w:t>
      </w:r>
      <w:r>
        <w:t xml:space="preserve"> the improvements that have been made to each programme have occurred </w:t>
      </w:r>
      <w:r w:rsidR="00AA697E">
        <w:t>independently</w:t>
      </w:r>
      <w:r w:rsidR="00346859">
        <w:t xml:space="preserve"> and this evaluation therefore presents a unique opportunity to improve the strategic alignment between the two programmes, but also with</w:t>
      </w:r>
      <w:r w:rsidR="00AA697E">
        <w:t>in</w:t>
      </w:r>
      <w:r w:rsidR="00346859">
        <w:t xml:space="preserve"> the broader suit</w:t>
      </w:r>
      <w:r w:rsidR="00AA697E">
        <w:t>e</w:t>
      </w:r>
      <w:r w:rsidR="00346859">
        <w:t>s of skills policies and programmes nationally.</w:t>
      </w:r>
    </w:p>
    <w:p w14:paraId="12ECAC86" w14:textId="77777777" w:rsidR="00156643" w:rsidRPr="00346859" w:rsidRDefault="00346859" w:rsidP="00156643">
      <w:pPr>
        <w:pStyle w:val="Heading2"/>
        <w:numPr>
          <w:ilvl w:val="1"/>
          <w:numId w:val="20"/>
        </w:numPr>
      </w:pPr>
      <w:bookmarkStart w:id="66" w:name="_Toc420078551"/>
      <w:bookmarkStart w:id="67" w:name="_Toc408083821"/>
      <w:r>
        <w:t>Recent developments in skills policies and programmes in Australia</w:t>
      </w:r>
      <w:bookmarkEnd w:id="66"/>
      <w:r w:rsidR="00156643" w:rsidRPr="00346859">
        <w:t xml:space="preserve"> </w:t>
      </w:r>
      <w:bookmarkEnd w:id="67"/>
    </w:p>
    <w:p w14:paraId="1CA34150" w14:textId="77777777" w:rsidR="000637AC" w:rsidRDefault="000637AC" w:rsidP="006E5E8F">
      <w:pPr>
        <w:pStyle w:val="Heading5"/>
      </w:pPr>
      <w:r>
        <w:t>The role of government in education and training</w:t>
      </w:r>
    </w:p>
    <w:p w14:paraId="3E0D491E" w14:textId="77777777" w:rsidR="000637AC" w:rsidRDefault="000637AC" w:rsidP="000637AC">
      <w:pPr>
        <w:pStyle w:val="BodyText"/>
      </w:pPr>
      <w:r>
        <w:t>The contemporary economic rationale for government investment in education and training emerges from the long established concept of human capital development, but also from more recent ‘new growth’ economic theory, which recognises the importance of the growth of knowledge while ensuring that its benefits are widely shared.</w:t>
      </w:r>
    </w:p>
    <w:p w14:paraId="1EBAE070" w14:textId="77777777" w:rsidR="000637AC" w:rsidRDefault="000637AC" w:rsidP="000637AC">
      <w:pPr>
        <w:pStyle w:val="BodyText"/>
      </w:pPr>
      <w:r>
        <w:t>Public investment in education and training is seen as an essential input to economic growth by ensuring that firms have access to skilled labour. While there are private returns to individuals and enterprises, spill over benefits to the economy and society more generally are seen to justify government subsidies.</w:t>
      </w:r>
    </w:p>
    <w:p w14:paraId="0240E8AE" w14:textId="77777777" w:rsidR="000637AC" w:rsidRDefault="000637AC" w:rsidP="000637AC">
      <w:pPr>
        <w:pStyle w:val="BodyText"/>
      </w:pPr>
      <w:r>
        <w:t xml:space="preserve">If investment in VET is left purely to private investment decisions by individuals and enterprises there are high risks of market failure. </w:t>
      </w:r>
    </w:p>
    <w:p w14:paraId="0F2B1356" w14:textId="77777777" w:rsidR="000637AC" w:rsidRDefault="000637AC" w:rsidP="000637AC">
      <w:pPr>
        <w:pStyle w:val="ListDash"/>
      </w:pPr>
      <w:r>
        <w:t xml:space="preserve">For individuals, there is likely to be suboptimal investment in training, because the full costs of investment in many courses are not seen as likely to result in reasonable private rates of return, particularly given the high upfront costs. </w:t>
      </w:r>
    </w:p>
    <w:p w14:paraId="02917F99" w14:textId="77777777" w:rsidR="000637AC" w:rsidRDefault="000637AC" w:rsidP="000637AC">
      <w:pPr>
        <w:pStyle w:val="ListDash"/>
      </w:pPr>
      <w:r>
        <w:t>Firms are also likely to invest less than the economically efficient level due to the risk that other firms who do not invest in workforce training will use their cost advantage to recruit skilled workers from those who do invest (the free rider problem).</w:t>
      </w:r>
    </w:p>
    <w:p w14:paraId="22D8C14A" w14:textId="0E4A4A36" w:rsidR="000637AC" w:rsidRDefault="000637AC" w:rsidP="000637AC">
      <w:pPr>
        <w:pStyle w:val="BodyText"/>
      </w:pPr>
      <w:r>
        <w:lastRenderedPageBreak/>
        <w:t xml:space="preserve">In Australia, public investment in VET was limited to public providers until the early 1990s when the concept of the training market emerged. The central role of the public providers in the delivery of </w:t>
      </w:r>
      <w:r w:rsidR="00A20395">
        <w:t>the AMEP</w:t>
      </w:r>
      <w:r>
        <w:t xml:space="preserve"> </w:t>
      </w:r>
      <w:r>
        <w:softHyphen/>
        <w:t>– in particular AMES in NSW and Victoria up to the present day – reflect this historical approach.</w:t>
      </w:r>
    </w:p>
    <w:p w14:paraId="707BE9E8" w14:textId="77777777" w:rsidR="000637AC" w:rsidRDefault="000637AC" w:rsidP="000637AC">
      <w:pPr>
        <w:pStyle w:val="BodyText"/>
      </w:pPr>
      <w:r>
        <w:t xml:space="preserve">The concept of a training market was designed in parallel with government’s role in purchasing training </w:t>
      </w:r>
      <w:r w:rsidR="0070776B">
        <w:t>programmes</w:t>
      </w:r>
      <w:r>
        <w:t xml:space="preserve"> </w:t>
      </w:r>
      <w:r w:rsidR="0078464D">
        <w:t xml:space="preserve">(as distinct </w:t>
      </w:r>
      <w:r>
        <w:t xml:space="preserve">from the delivery of training </w:t>
      </w:r>
      <w:r w:rsidR="0070776B">
        <w:t>programmes</w:t>
      </w:r>
      <w:r w:rsidR="0078464D">
        <w:t>)</w:t>
      </w:r>
      <w:r>
        <w:t xml:space="preserve"> and the objective of increasing the range of providers and driv</w:t>
      </w:r>
      <w:r w:rsidR="00BB0212">
        <w:t>ing</w:t>
      </w:r>
      <w:r>
        <w:t xml:space="preserve"> responsiveness and efficiency through competition between providers.</w:t>
      </w:r>
    </w:p>
    <w:p w14:paraId="5CC958B3" w14:textId="77777777" w:rsidR="00D80063" w:rsidRDefault="000637AC" w:rsidP="006E5E8F">
      <w:pPr>
        <w:pStyle w:val="Heading5"/>
      </w:pPr>
      <w:r>
        <w:t xml:space="preserve">Recent trends in </w:t>
      </w:r>
      <w:r w:rsidR="00D80063">
        <w:t xml:space="preserve">education </w:t>
      </w:r>
      <w:r>
        <w:t xml:space="preserve">and training </w:t>
      </w:r>
      <w:r w:rsidR="00D80063">
        <w:t xml:space="preserve">policy </w:t>
      </w:r>
    </w:p>
    <w:p w14:paraId="335CA8C4" w14:textId="77777777" w:rsidR="006E5E8F" w:rsidRDefault="006E5E8F" w:rsidP="00D80063">
      <w:pPr>
        <w:pStyle w:val="BodyText"/>
      </w:pPr>
      <w:r w:rsidRPr="006E5E8F">
        <w:t xml:space="preserve">The introduction of User Choice for apprenticeships and traineeships from 1997 through to the current state-based interpretations of the 2012 National Partnership Agreement </w:t>
      </w:r>
      <w:r w:rsidR="000426DF">
        <w:t xml:space="preserve">for </w:t>
      </w:r>
      <w:r w:rsidRPr="006E5E8F">
        <w:t xml:space="preserve">Skills Reform are part of a significant and ongoing transition for Australia’s tertiary sector away from </w:t>
      </w:r>
      <w:r>
        <w:t xml:space="preserve">profile funding and </w:t>
      </w:r>
      <w:r w:rsidRPr="006E5E8F">
        <w:t xml:space="preserve">competitive tendering towards funding models premised on increased competition and client choice. </w:t>
      </w:r>
    </w:p>
    <w:p w14:paraId="04C32399" w14:textId="77777777" w:rsidR="000426DF" w:rsidRDefault="000426DF" w:rsidP="000426DF">
      <w:pPr>
        <w:pStyle w:val="BodyText"/>
      </w:pPr>
      <w:r>
        <w:t>In its policy review of VET in Australia (2008) the OECD argued for a shift from a forecasting and planned supply VET funding model in Australia to an entitlement model driven by individual and enterprise choice. A similar rationale was advanced by the Bradley Review in relation to the uncapping of funding for subsidised undergraduate courses in higher education.</w:t>
      </w:r>
    </w:p>
    <w:p w14:paraId="4D39677E" w14:textId="77777777" w:rsidR="00D80063" w:rsidRDefault="00D80063" w:rsidP="00D80063">
      <w:pPr>
        <w:pStyle w:val="BodyText"/>
      </w:pPr>
      <w:r>
        <w:t xml:space="preserve">The </w:t>
      </w:r>
      <w:r w:rsidRPr="000426DF">
        <w:rPr>
          <w:i/>
        </w:rPr>
        <w:t>Victorian Training Guarantee</w:t>
      </w:r>
      <w:r>
        <w:t xml:space="preserve"> and South Australia’s </w:t>
      </w:r>
      <w:r w:rsidRPr="000426DF">
        <w:rPr>
          <w:i/>
        </w:rPr>
        <w:t>Skills for All</w:t>
      </w:r>
      <w:r>
        <w:t xml:space="preserve"> represent the first full implementation of a VET student entitlement model for Australia, </w:t>
      </w:r>
      <w:r w:rsidR="000426DF">
        <w:t xml:space="preserve">with other states following suit (Queensland in mid-2014 and NSW in 2015) in line with the </w:t>
      </w:r>
      <w:r>
        <w:t xml:space="preserve">commitments to an entitlement up to Certificate III in the National Partnership Agreement </w:t>
      </w:r>
      <w:r w:rsidR="000426DF">
        <w:t>for</w:t>
      </w:r>
      <w:r>
        <w:t xml:space="preserve"> Skills Reform.</w:t>
      </w:r>
    </w:p>
    <w:p w14:paraId="2E442E7B" w14:textId="7D1A9D1F" w:rsidR="000426DF" w:rsidRDefault="00D80063" w:rsidP="00D80063">
      <w:pPr>
        <w:pStyle w:val="BodyText"/>
      </w:pPr>
      <w:r>
        <w:t xml:space="preserve">More recently, the significant reforms to higher education </w:t>
      </w:r>
      <w:r w:rsidR="000426DF">
        <w:t xml:space="preserve">currently being debated in </w:t>
      </w:r>
      <w:r w:rsidR="009F03B4">
        <w:t xml:space="preserve">the Australian </w:t>
      </w:r>
      <w:r w:rsidR="000426DF">
        <w:t>Parliament</w:t>
      </w:r>
      <w:r w:rsidR="009F03B4">
        <w:t xml:space="preserve">, </w:t>
      </w:r>
      <w:r>
        <w:t>including the extension of demand driven funding to sub-bachelor places and non-university higher education providers, along with full fee deregulation</w:t>
      </w:r>
      <w:r w:rsidR="009F03B4">
        <w:t>,</w:t>
      </w:r>
      <w:r w:rsidR="000426DF">
        <w:t xml:space="preserve"> </w:t>
      </w:r>
      <w:r>
        <w:t xml:space="preserve">are poised to further </w:t>
      </w:r>
      <w:r w:rsidR="000637AC">
        <w:t>advance the principles of competition and choice across the tertiary sector.</w:t>
      </w:r>
    </w:p>
    <w:p w14:paraId="08B7F922" w14:textId="77777777" w:rsidR="000D0928" w:rsidRDefault="000D0928" w:rsidP="00D80063">
      <w:pPr>
        <w:pStyle w:val="BodyText"/>
      </w:pPr>
      <w:r>
        <w:t>It is worth noting that the</w:t>
      </w:r>
      <w:r w:rsidR="00AA1873">
        <w:t>se trends span not just the education and training sector but a range of other areas of service delivery where government had previously been a provider, including employment services, disability services and humanitarian settlement services.</w:t>
      </w:r>
      <w:r>
        <w:t xml:space="preserve"> </w:t>
      </w:r>
    </w:p>
    <w:p w14:paraId="14DD35AA" w14:textId="77777777" w:rsidR="000426DF" w:rsidRDefault="000637AC" w:rsidP="00BC25B7">
      <w:pPr>
        <w:pStyle w:val="Heading5"/>
      </w:pPr>
      <w:r>
        <w:t>Recent changes to Commonwealth Government policies and program</w:t>
      </w:r>
      <w:r w:rsidR="00BC25B7">
        <w:t>me</w:t>
      </w:r>
      <w:r>
        <w:t>s</w:t>
      </w:r>
      <w:r w:rsidR="00BC25B7">
        <w:t xml:space="preserve"> in VET</w:t>
      </w:r>
    </w:p>
    <w:p w14:paraId="056089F6" w14:textId="77777777" w:rsidR="000637AC" w:rsidRDefault="00D80063" w:rsidP="00D80063">
      <w:pPr>
        <w:pStyle w:val="BodyText"/>
      </w:pPr>
      <w:r>
        <w:t xml:space="preserve">Recent announcements in the area of VET reform nationally include significant reductions in Commonwealth expenditure on VET through the consolidation of various </w:t>
      </w:r>
      <w:r w:rsidR="0070776B">
        <w:t>programmes</w:t>
      </w:r>
      <w:r>
        <w:t xml:space="preserve"> including the National Workforce Development Fund, various apprenticeship support </w:t>
      </w:r>
      <w:r w:rsidR="0070776B">
        <w:t>programmes</w:t>
      </w:r>
      <w:r>
        <w:t xml:space="preserve">, and the Workplace English Language and Literacy </w:t>
      </w:r>
      <w:r w:rsidR="00B1278B">
        <w:t xml:space="preserve">programme </w:t>
      </w:r>
      <w:r>
        <w:t xml:space="preserve">amongst others, which are to be replaced by the Industry Skills Fund. </w:t>
      </w:r>
    </w:p>
    <w:p w14:paraId="6399559E" w14:textId="0D695C89" w:rsidR="00346859" w:rsidRDefault="00D80063" w:rsidP="00D80063">
      <w:pPr>
        <w:pStyle w:val="BodyText"/>
      </w:pPr>
      <w:r>
        <w:t xml:space="preserve">There are various system level changes underway including the closure of the Australian Workforce and Productivity Agency and the AQF Council, the </w:t>
      </w:r>
      <w:r w:rsidR="00AA697E">
        <w:t xml:space="preserve">future </w:t>
      </w:r>
      <w:r>
        <w:t xml:space="preserve">role for Industry Skills Councils with the move to competitively tender out responsibility for </w:t>
      </w:r>
      <w:r w:rsidR="001D3F6A">
        <w:t>Training Package</w:t>
      </w:r>
      <w:r>
        <w:t xml:space="preserve"> development, and changes to the Australian Skills Quality Authority’s approach to regulation.</w:t>
      </w:r>
    </w:p>
    <w:p w14:paraId="0C767188" w14:textId="77777777" w:rsidR="00F33669" w:rsidRDefault="00BC25B7" w:rsidP="00D80063">
      <w:pPr>
        <w:pStyle w:val="BodyText"/>
      </w:pPr>
      <w:r>
        <w:t xml:space="preserve">These changes are underpinned by the current government’s VET reform vision outlined in </w:t>
      </w:r>
      <w:r w:rsidR="00843CBD">
        <w:fldChar w:fldCharType="begin"/>
      </w:r>
      <w:r w:rsidR="00843CBD">
        <w:instrText xml:space="preserve"> REF _Ref408577230 \h </w:instrText>
      </w:r>
      <w:r w:rsidR="00843CBD">
        <w:fldChar w:fldCharType="separate"/>
      </w:r>
      <w:r w:rsidR="00902F05" w:rsidRPr="00D26202">
        <w:t>Box</w:t>
      </w:r>
      <w:r w:rsidR="00902F05">
        <w:t xml:space="preserve"> </w:t>
      </w:r>
      <w:r w:rsidR="00902F05">
        <w:rPr>
          <w:noProof/>
        </w:rPr>
        <w:t>1</w:t>
      </w:r>
      <w:r w:rsidR="00843CBD">
        <w:fldChar w:fldCharType="end"/>
      </w:r>
      <w:r>
        <w:t>.</w:t>
      </w:r>
      <w:r w:rsidR="00F33669">
        <w:t xml:space="preserve"> </w:t>
      </w:r>
    </w:p>
    <w:p w14:paraId="36EE2DCC" w14:textId="77777777" w:rsidR="00D80063" w:rsidRPr="00D26202" w:rsidRDefault="00D80063" w:rsidP="002657DB">
      <w:pPr>
        <w:pStyle w:val="Caption"/>
        <w:keepLines/>
      </w:pPr>
      <w:bookmarkStart w:id="68" w:name="_Ref408577230"/>
      <w:bookmarkStart w:id="69" w:name="_Toc420078555"/>
      <w:r w:rsidRPr="00D26202">
        <w:lastRenderedPageBreak/>
        <w:t>Box</w:t>
      </w:r>
      <w:r>
        <w:t xml:space="preserve"> </w:t>
      </w:r>
      <w:r w:rsidR="00902F05">
        <w:fldChar w:fldCharType="begin"/>
      </w:r>
      <w:r w:rsidR="00902F05">
        <w:instrText xml:space="preserve"> SEQ Box \* ARABIC  </w:instrText>
      </w:r>
      <w:r w:rsidR="00902F05">
        <w:fldChar w:fldCharType="separate"/>
      </w:r>
      <w:r w:rsidR="00902F05">
        <w:rPr>
          <w:noProof/>
        </w:rPr>
        <w:t>1</w:t>
      </w:r>
      <w:r w:rsidR="00902F05">
        <w:rPr>
          <w:noProof/>
        </w:rPr>
        <w:fldChar w:fldCharType="end"/>
      </w:r>
      <w:bookmarkEnd w:id="68"/>
      <w:r w:rsidRPr="00FB2565">
        <w:tab/>
      </w:r>
      <w:r>
        <w:rPr>
          <w:rStyle w:val="CaptionLabel"/>
        </w:rPr>
        <w:t>The VET reform vision</w:t>
      </w:r>
      <w:bookmarkEnd w:id="69"/>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D80063" w:rsidRPr="00D26202" w14:paraId="752AC5EF" w14:textId="77777777" w:rsidTr="002657DB">
        <w:tc>
          <w:tcPr>
            <w:tcW w:w="5000" w:type="pct"/>
            <w:shd w:val="pct12" w:color="auto" w:fill="auto"/>
          </w:tcPr>
          <w:p w14:paraId="6A5FB835" w14:textId="77777777" w:rsidR="00D80063" w:rsidRPr="00D26202" w:rsidRDefault="00D80063" w:rsidP="002657DB">
            <w:pPr>
              <w:pStyle w:val="SmallDeltasRightAligned"/>
              <w:keepNext/>
              <w:keepLines/>
            </w:pPr>
            <w:r w:rsidRPr="00D26202">
              <w:rPr>
                <w:noProof/>
                <w:lang w:eastAsia="en-AU"/>
              </w:rPr>
              <w:drawing>
                <wp:inline distT="0" distB="0" distL="0" distR="0" wp14:anchorId="3AC0666D" wp14:editId="02262431">
                  <wp:extent cx="481330" cy="23431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PURPLE_TRANS small -158x7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330" cy="234315"/>
                          </a:xfrm>
                          <a:prstGeom prst="rect">
                            <a:avLst/>
                          </a:prstGeom>
                        </pic:spPr>
                      </pic:pic>
                    </a:graphicData>
                  </a:graphic>
                </wp:inline>
              </w:drawing>
            </w:r>
          </w:p>
        </w:tc>
      </w:tr>
      <w:tr w:rsidR="00D80063" w14:paraId="32A60EDA" w14:textId="77777777" w:rsidTr="002657DB">
        <w:tc>
          <w:tcPr>
            <w:tcW w:w="5000" w:type="pct"/>
            <w:shd w:val="pct12" w:color="auto" w:fill="auto"/>
          </w:tcPr>
          <w:p w14:paraId="04F84542" w14:textId="77777777" w:rsidR="00D80063" w:rsidRDefault="00D80063" w:rsidP="00AA1873">
            <w:pPr>
              <w:pStyle w:val="BoxText"/>
            </w:pPr>
            <w:r w:rsidRPr="00D80063">
              <w:t xml:space="preserve">On 3 April 2014 the Hon Ian Macfarlane MP, Minister for Industry, chaired the inaugural meeting of the Council of Australian Governments (COAG) Industry and Skills Council, attended by state and territory ministers. </w:t>
            </w:r>
          </w:p>
          <w:p w14:paraId="4385A9F3" w14:textId="77777777" w:rsidR="00D80063" w:rsidRDefault="00D80063" w:rsidP="00D80063">
            <w:pPr>
              <w:pStyle w:val="BoxText"/>
            </w:pPr>
            <w:r w:rsidRPr="00D80063">
              <w:t>Australian government ministers made a commitment to ensuring industry has the skilled workforce and operating environment it needs to boost the nation’s productivity and increase international competitiveness.</w:t>
            </w:r>
          </w:p>
          <w:p w14:paraId="79D5B939" w14:textId="77777777" w:rsidR="00D80063" w:rsidRDefault="00D80063" w:rsidP="00D80063">
            <w:pPr>
              <w:pStyle w:val="BoxText"/>
            </w:pPr>
            <w:r>
              <w:t>Ministers agreed on six objectives for reform of the Vocational Education and Training (VET) system:</w:t>
            </w:r>
          </w:p>
          <w:p w14:paraId="172FB9C5" w14:textId="77777777" w:rsidR="00D80063" w:rsidRDefault="00D80063" w:rsidP="00D80063">
            <w:pPr>
              <w:pStyle w:val="BoxListNumber"/>
            </w:pPr>
            <w:r>
              <w:t>A national VET system which is governed effectively with clear roles and responsibilities for industry, the Commonwealth and the states and territories</w:t>
            </w:r>
          </w:p>
          <w:p w14:paraId="1CF66A00" w14:textId="77777777" w:rsidR="00D80063" w:rsidRDefault="00D80063" w:rsidP="00D80063">
            <w:pPr>
              <w:pStyle w:val="BoxListNumber"/>
            </w:pPr>
            <w:r>
              <w:t>A national system of streamlined industry-defined qualifications that is able to respond flexibly to major national and state priorities and emerging areas of skills need</w:t>
            </w:r>
          </w:p>
          <w:p w14:paraId="344D34A7" w14:textId="77777777" w:rsidR="00D80063" w:rsidRDefault="00D80063" w:rsidP="00D80063">
            <w:pPr>
              <w:pStyle w:val="BoxListNumber"/>
            </w:pPr>
            <w:r>
              <w:t>Trade apprenticeships that are appropriately valued and utilised as a career pathway</w:t>
            </w:r>
          </w:p>
          <w:p w14:paraId="10E9BC6B" w14:textId="77777777" w:rsidR="00D80063" w:rsidRDefault="00D80063" w:rsidP="00D80063">
            <w:pPr>
              <w:pStyle w:val="BoxListNumber"/>
            </w:pPr>
            <w:r>
              <w:t>A modern and responsive national regulatory system that applies a risk-management approach and supports a competitive and well-functioning market</w:t>
            </w:r>
          </w:p>
          <w:p w14:paraId="71EE0EDD" w14:textId="77777777" w:rsidR="00D80063" w:rsidRDefault="00D80063" w:rsidP="00D80063">
            <w:pPr>
              <w:pStyle w:val="BoxListNumber"/>
            </w:pPr>
            <w:r>
              <w:t>Informed consumers who have access to the information they need to make choices about providers and training that meets their needs</w:t>
            </w:r>
          </w:p>
          <w:p w14:paraId="54BD24C0" w14:textId="77777777" w:rsidR="00D80063" w:rsidRDefault="00D80063" w:rsidP="00D80063">
            <w:pPr>
              <w:pStyle w:val="BoxListNumber"/>
            </w:pPr>
            <w:r>
              <w:t>Targeted and efficient government funding that considers inconsistencies between jurisdictions or disruption to the fee-for-service market.</w:t>
            </w:r>
          </w:p>
          <w:p w14:paraId="7737CC50" w14:textId="77777777" w:rsidR="00D80063" w:rsidRPr="00F3152C" w:rsidRDefault="00D80063" w:rsidP="002657DB">
            <w:pPr>
              <w:pStyle w:val="BoxText"/>
            </w:pPr>
          </w:p>
        </w:tc>
      </w:tr>
    </w:tbl>
    <w:p w14:paraId="2794895A" w14:textId="77777777" w:rsidR="00D80063" w:rsidRDefault="00D80063" w:rsidP="002657DB">
      <w:pPr>
        <w:pStyle w:val="Source"/>
        <w:keepLines/>
      </w:pPr>
      <w:r w:rsidRPr="00071B29">
        <w:t>Source:</w:t>
      </w:r>
      <w:r w:rsidRPr="00FB2565">
        <w:t xml:space="preserve">  </w:t>
      </w:r>
      <w:r w:rsidR="00786A4B" w:rsidRPr="001E2332">
        <w:t>http://vetreform.industry.gov.au/vet-reform-vision</w:t>
      </w:r>
    </w:p>
    <w:p w14:paraId="08661877" w14:textId="010AA9BF" w:rsidR="00786A4B" w:rsidRPr="00153F26" w:rsidRDefault="00786A4B" w:rsidP="00B1278B">
      <w:pPr>
        <w:pStyle w:val="BodyText"/>
      </w:pPr>
      <w:r>
        <w:t>Although the focus on employment outcomes aligned with industry needs has been a core part of VET policy for a number of decades, current government policies and principles have given this even greater emphasis and priority. This was reflected in the initial machinery of government changes in 2013</w:t>
      </w:r>
      <w:r w:rsidR="009F03B4">
        <w:t>,</w:t>
      </w:r>
      <w:r>
        <w:t xml:space="preserve"> which saw responsibility for VET being moved into the industry portfolio</w:t>
      </w:r>
      <w:r w:rsidR="009F03B4">
        <w:t>,</w:t>
      </w:r>
      <w:r>
        <w:t xml:space="preserve"> although it returned to the </w:t>
      </w:r>
      <w:r w:rsidRPr="00EF32C9">
        <w:t>Department of Education</w:t>
      </w:r>
      <w:r w:rsidR="00EF32C9">
        <w:t xml:space="preserve"> and Training</w:t>
      </w:r>
      <w:r>
        <w:t xml:space="preserve"> at the end of 2014. The importance of education and training and a skilled labour force for industry </w:t>
      </w:r>
      <w:r w:rsidR="00775C5B">
        <w:t xml:space="preserve">is </w:t>
      </w:r>
      <w:r>
        <w:t>also highlighted in the Government’s Industry Innovation and Competitiveness Agenda (2014).</w:t>
      </w:r>
    </w:p>
    <w:p w14:paraId="4FC54DBE" w14:textId="111EC50E" w:rsidR="00D80063" w:rsidRDefault="00860168" w:rsidP="000D0928">
      <w:pPr>
        <w:pStyle w:val="Heading2"/>
      </w:pPr>
      <w:bookmarkStart w:id="70" w:name="_Toc420078552"/>
      <w:r>
        <w:t>Strengthening the</w:t>
      </w:r>
      <w:r w:rsidR="000D0928">
        <w:t xml:space="preserve"> strategic alignment of </w:t>
      </w:r>
      <w:r w:rsidR="00A20395">
        <w:t>the AMEP</w:t>
      </w:r>
      <w:r w:rsidR="000D0928">
        <w:t xml:space="preserve"> and SEE </w:t>
      </w:r>
      <w:r w:rsidR="00D30F30">
        <w:t xml:space="preserve">programme </w:t>
      </w:r>
      <w:r w:rsidR="000D0928">
        <w:t>with government policy</w:t>
      </w:r>
      <w:bookmarkEnd w:id="70"/>
    </w:p>
    <w:p w14:paraId="5F445AEC" w14:textId="77777777" w:rsidR="00820582" w:rsidRDefault="00820582" w:rsidP="005852BB">
      <w:pPr>
        <w:pStyle w:val="Heading3"/>
      </w:pPr>
      <w:r>
        <w:t xml:space="preserve">Focus on industry-relevant training and employment outcomes </w:t>
      </w:r>
    </w:p>
    <w:p w14:paraId="5C60F4F6" w14:textId="4862F341" w:rsidR="00820582" w:rsidRDefault="00820582" w:rsidP="00820582">
      <w:pPr>
        <w:pStyle w:val="BodyText"/>
      </w:pPr>
      <w:r>
        <w:t xml:space="preserve">Both the AMEP and </w:t>
      </w:r>
      <w:r w:rsidR="00AE13AC">
        <w:t>SEE programme</w:t>
      </w:r>
      <w:r>
        <w:t xml:space="preserve"> currently have a substantial focus on industry-relevant training and appropriate employment outcomes for clients</w:t>
      </w:r>
      <w:r w:rsidR="00786A4B">
        <w:t xml:space="preserve">. </w:t>
      </w:r>
      <w:r w:rsidR="00D30F30">
        <w:t>The SEE programme</w:t>
      </w:r>
      <w:r>
        <w:t xml:space="preserve"> has an explicit and direct focus on achieving employment for eligible job</w:t>
      </w:r>
      <w:r w:rsidR="00775C5B">
        <w:t xml:space="preserve"> </w:t>
      </w:r>
      <w:r>
        <w:t xml:space="preserve">seekers, while </w:t>
      </w:r>
      <w:r w:rsidR="00A20395">
        <w:t>the AMEP</w:t>
      </w:r>
      <w:r>
        <w:t xml:space="preserve"> recognises that engaging in the labour market is pivotal to successful settlement. This is especially apparent in the delivery of vocational units as part of the training in both programmes, and the opportunity to gain work experience</w:t>
      </w:r>
      <w:r w:rsidR="00786A4B">
        <w:t xml:space="preserve">; though, </w:t>
      </w:r>
      <w:r>
        <w:t xml:space="preserve">as highlighted in Section </w:t>
      </w:r>
      <w:r>
        <w:fldChar w:fldCharType="begin"/>
      </w:r>
      <w:r>
        <w:instrText xml:space="preserve"> REF _Ref408314152 \r \h </w:instrText>
      </w:r>
      <w:r>
        <w:fldChar w:fldCharType="separate"/>
      </w:r>
      <w:r w:rsidR="00902F05">
        <w:t>3.2</w:t>
      </w:r>
      <w:r>
        <w:fldChar w:fldCharType="end"/>
      </w:r>
      <w:r>
        <w:t xml:space="preserve">, the work experience component of the AMEP </w:t>
      </w:r>
      <w:r w:rsidR="00786A4B">
        <w:t xml:space="preserve">has </w:t>
      </w:r>
      <w:r>
        <w:t xml:space="preserve">a higher rate of participation than </w:t>
      </w:r>
      <w:r w:rsidR="00D30F30">
        <w:t>the SEE programme</w:t>
      </w:r>
      <w:r>
        <w:t>.</w:t>
      </w:r>
    </w:p>
    <w:p w14:paraId="0EA26A6C" w14:textId="7CF5295B" w:rsidR="002622BA" w:rsidRDefault="00901839" w:rsidP="00820582">
      <w:pPr>
        <w:pStyle w:val="BodyText"/>
      </w:pPr>
      <w:r>
        <w:t xml:space="preserve">The AMEP </w:t>
      </w:r>
      <w:r w:rsidR="00612B16">
        <w:t>E</w:t>
      </w:r>
      <w:r>
        <w:t xml:space="preserve">valuation </w:t>
      </w:r>
      <w:r w:rsidR="00612B16">
        <w:t>R</w:t>
      </w:r>
      <w:r>
        <w:t xml:space="preserve">eport discusses the tension between the programme’s focus on settlement versus employment and </w:t>
      </w:r>
      <w:r w:rsidR="00786A4B">
        <w:t>notes</w:t>
      </w:r>
      <w:r w:rsidR="00786A4B" w:rsidRPr="00901839">
        <w:t xml:space="preserve"> </w:t>
      </w:r>
      <w:r>
        <w:t xml:space="preserve">stakeholder </w:t>
      </w:r>
      <w:r w:rsidRPr="00901839">
        <w:t>concern</w:t>
      </w:r>
      <w:r w:rsidR="00786A4B">
        <w:t>s</w:t>
      </w:r>
      <w:r w:rsidRPr="00901839">
        <w:t xml:space="preserve"> that an increasing emphasis on employment and economic participation </w:t>
      </w:r>
      <w:r w:rsidR="00786A4B">
        <w:t>may</w:t>
      </w:r>
      <w:r w:rsidR="00786A4B" w:rsidRPr="00901839">
        <w:t xml:space="preserve"> </w:t>
      </w:r>
      <w:r w:rsidR="00786A4B">
        <w:t>risk</w:t>
      </w:r>
      <w:r w:rsidR="00786A4B" w:rsidRPr="00901839">
        <w:t xml:space="preserve"> </w:t>
      </w:r>
      <w:r w:rsidR="00786A4B">
        <w:t>gradual</w:t>
      </w:r>
      <w:r w:rsidRPr="00901839">
        <w:t xml:space="preserve"> displace</w:t>
      </w:r>
      <w:r w:rsidR="00786A4B">
        <w:t>ment of</w:t>
      </w:r>
      <w:r w:rsidRPr="00901839">
        <w:t xml:space="preserve"> the programme’s primary objective of settlement.</w:t>
      </w:r>
    </w:p>
    <w:p w14:paraId="07D957AD" w14:textId="77777777" w:rsidR="00901839" w:rsidRDefault="00901839" w:rsidP="00820582">
      <w:pPr>
        <w:pStyle w:val="BodyText"/>
      </w:pPr>
      <w:r>
        <w:lastRenderedPageBreak/>
        <w:t xml:space="preserve">Similarly the SEE </w:t>
      </w:r>
      <w:r w:rsidR="00AE13AC">
        <w:t xml:space="preserve">Programme </w:t>
      </w:r>
      <w:r>
        <w:t xml:space="preserve">Evaluation Report raises the </w:t>
      </w:r>
      <w:r w:rsidRPr="00901839">
        <w:t>tension between the long-term investment in LLN versus the short-term focus on job outcomes. While these objectives are not mutually exclusive, stakeholders report</w:t>
      </w:r>
      <w:r w:rsidR="00786A4B">
        <w:t>ed</w:t>
      </w:r>
      <w:r w:rsidRPr="00901839">
        <w:t xml:space="preserve"> that the current approach to employment services and income support means that immediate employment opportunities </w:t>
      </w:r>
      <w:r w:rsidR="00786A4B">
        <w:t>could</w:t>
      </w:r>
      <w:r w:rsidRPr="00901839">
        <w:t xml:space="preserve"> </w:t>
      </w:r>
      <w:r w:rsidR="00786A4B" w:rsidRPr="00901839">
        <w:t>displace</w:t>
      </w:r>
      <w:r w:rsidRPr="00901839">
        <w:t xml:space="preserve"> the long-term commitment required to improve on individuals language, literacy, or numeracy skills.</w:t>
      </w:r>
    </w:p>
    <w:p w14:paraId="3805424B" w14:textId="6F157707" w:rsidR="002622BA" w:rsidRDefault="00901839" w:rsidP="00820582">
      <w:pPr>
        <w:pStyle w:val="BodyText"/>
      </w:pPr>
      <w:r>
        <w:t xml:space="preserve">In both these cases, the fact that there are tensions that exist within both programmes highlights the fact that both </w:t>
      </w:r>
      <w:r w:rsidR="00A20395">
        <w:t>the AMEP</w:t>
      </w:r>
      <w:r>
        <w:t xml:space="preserve"> and </w:t>
      </w:r>
      <w:r w:rsidR="00D30F30">
        <w:t>the SEE programme</w:t>
      </w:r>
      <w:r>
        <w:t xml:space="preserve"> are multi-dimensional policies that seek to be adaptable to the needs a</w:t>
      </w:r>
      <w:r w:rsidR="005852BB">
        <w:t>nd priorities of the individual, whilst serving more than one public policy objective. The pursuit of industry-relevant training and employment outcomes should not be at the expense of the more diverse set of policy objectives, nor should it neglect the needs of the individual.</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820582" w14:paraId="203DDFE0" w14:textId="77777777" w:rsidTr="002657DB">
        <w:tc>
          <w:tcPr>
            <w:tcW w:w="5000" w:type="pct"/>
            <w:shd w:val="pct12" w:color="auto" w:fill="auto"/>
          </w:tcPr>
          <w:p w14:paraId="3CCD04CC" w14:textId="77777777" w:rsidR="00820582" w:rsidRDefault="00820582" w:rsidP="002657DB">
            <w:pPr>
              <w:pStyle w:val="Caption"/>
              <w:spacing w:before="120" w:after="60"/>
              <w:ind w:left="1112" w:hanging="1112"/>
              <w:rPr>
                <w:rFonts w:ascii="Arial Bold" w:hAnsi="Arial Bold"/>
                <w:color w:val="000080"/>
              </w:rPr>
            </w:pPr>
            <w:r>
              <w:t xml:space="preserve">Recommendation </w:t>
            </w:r>
            <w:r w:rsidR="00902F05">
              <w:fldChar w:fldCharType="begin"/>
            </w:r>
            <w:r w:rsidR="00902F05">
              <w:instrText xml:space="preserve"> SEQ Recommendation \* ARABIC </w:instrText>
            </w:r>
            <w:r w:rsidR="00902F05">
              <w:fldChar w:fldCharType="separate"/>
            </w:r>
            <w:r w:rsidR="00902F05">
              <w:rPr>
                <w:noProof/>
              </w:rPr>
              <w:t>7</w:t>
            </w:r>
            <w:r w:rsidR="00902F05">
              <w:rPr>
                <w:noProof/>
              </w:rPr>
              <w:fldChar w:fldCharType="end"/>
            </w:r>
          </w:p>
        </w:tc>
      </w:tr>
      <w:tr w:rsidR="00820582" w14:paraId="11321D2F" w14:textId="77777777" w:rsidTr="002657DB">
        <w:tc>
          <w:tcPr>
            <w:tcW w:w="5000" w:type="pct"/>
            <w:shd w:val="pct12" w:color="auto" w:fill="auto"/>
          </w:tcPr>
          <w:p w14:paraId="00C25F15" w14:textId="25844D24" w:rsidR="00364380" w:rsidRDefault="00364380">
            <w:pPr>
              <w:pStyle w:val="BoxText"/>
            </w:pPr>
            <w:r w:rsidRPr="00364380">
              <w:t xml:space="preserve">Both </w:t>
            </w:r>
            <w:r w:rsidR="00A20395">
              <w:t xml:space="preserve">the </w:t>
            </w:r>
            <w:r w:rsidRPr="00364380">
              <w:t xml:space="preserve">AMEP and </w:t>
            </w:r>
            <w:r w:rsidR="00D30F30">
              <w:t>the SEE programme</w:t>
            </w:r>
            <w:r w:rsidRPr="00364380">
              <w:t xml:space="preserve"> are multi-dimensional programmes serving more than one public policy objective </w:t>
            </w:r>
            <w:r>
              <w:t>and</w:t>
            </w:r>
            <w:r w:rsidRPr="00364380">
              <w:t xml:space="preserve"> seek to be adaptable to the needs and priorities of the individual.  </w:t>
            </w:r>
          </w:p>
          <w:p w14:paraId="3BC65FC7" w14:textId="39FA8CD6" w:rsidR="005852BB" w:rsidRDefault="00364380">
            <w:pPr>
              <w:pStyle w:val="BoxText"/>
            </w:pPr>
            <w:r w:rsidRPr="00364380">
              <w:t xml:space="preserve">Any future changes to either programme to improve the delivery of industry-relevant training and employment outcomes should not compromise the diverse policy objectives of </w:t>
            </w:r>
            <w:r w:rsidR="00A20395">
              <w:t>the AMEP</w:t>
            </w:r>
            <w:r w:rsidRPr="00364380">
              <w:t xml:space="preserve"> and </w:t>
            </w:r>
            <w:r w:rsidR="00D30F30">
              <w:t>the SEE programme</w:t>
            </w:r>
            <w:r w:rsidRPr="00364380">
              <w:t>, nor should</w:t>
            </w:r>
            <w:r>
              <w:t xml:space="preserve"> they</w:t>
            </w:r>
            <w:r w:rsidRPr="00364380">
              <w:t xml:space="preserve"> neglect the needs of the individual.</w:t>
            </w:r>
          </w:p>
          <w:p w14:paraId="44552325" w14:textId="77777777" w:rsidR="00820582" w:rsidRDefault="00820582" w:rsidP="002657DB">
            <w:pPr>
              <w:pStyle w:val="SmallDeltasRightAligned"/>
            </w:pPr>
            <w:r>
              <w:rPr>
                <w:noProof/>
                <w:lang w:eastAsia="en-AU"/>
              </w:rPr>
              <w:drawing>
                <wp:inline distT="0" distB="0" distL="0" distR="0" wp14:anchorId="0C470EF2" wp14:editId="1D1514AA">
                  <wp:extent cx="481585" cy="2346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820582" w14:paraId="0212E019" w14:textId="77777777" w:rsidTr="002657DB">
        <w:trPr>
          <w:trHeight w:hRule="exact" w:val="80"/>
        </w:trPr>
        <w:tc>
          <w:tcPr>
            <w:tcW w:w="5000" w:type="pct"/>
            <w:shd w:val="pct12" w:color="auto" w:fill="auto"/>
          </w:tcPr>
          <w:p w14:paraId="4A964647" w14:textId="77777777" w:rsidR="00820582" w:rsidRDefault="00820582">
            <w:pPr>
              <w:spacing w:before="160"/>
            </w:pPr>
          </w:p>
        </w:tc>
      </w:tr>
    </w:tbl>
    <w:p w14:paraId="292BCB71" w14:textId="77777777" w:rsidR="00D80063" w:rsidRDefault="007903C4" w:rsidP="005852BB">
      <w:pPr>
        <w:pStyle w:val="Heading3"/>
      </w:pPr>
      <w:r>
        <w:t>Consistency with market reforms and student choice</w:t>
      </w:r>
    </w:p>
    <w:p w14:paraId="102875EA" w14:textId="63B84D76" w:rsidR="007903C4" w:rsidRDefault="007903C4" w:rsidP="007903C4">
      <w:pPr>
        <w:pStyle w:val="BodyText"/>
      </w:pPr>
      <w:r>
        <w:t xml:space="preserve">The current approach to competitive tendering under both </w:t>
      </w:r>
      <w:r w:rsidR="00A20395">
        <w:t xml:space="preserve">the </w:t>
      </w:r>
      <w:r>
        <w:t xml:space="preserve">AMEP and </w:t>
      </w:r>
      <w:r w:rsidR="00D30F30">
        <w:t>the SEE programme</w:t>
      </w:r>
      <w:r>
        <w:t xml:space="preserve"> is consistent with the policy recommendations outlined in </w:t>
      </w:r>
      <w:r w:rsidRPr="007903C4">
        <w:t>Hilmer’s National Competition Policy Review (1993) and the subsequent adoption of competitive principles ad</w:t>
      </w:r>
      <w:r>
        <w:t>opted by COAG in the mid</w:t>
      </w:r>
      <w:r w:rsidR="00FB773E">
        <w:t>-</w:t>
      </w:r>
      <w:r>
        <w:t>1990s.</w:t>
      </w:r>
    </w:p>
    <w:p w14:paraId="7B403D8A" w14:textId="308087ED" w:rsidR="007903C4" w:rsidRDefault="007903C4" w:rsidP="007903C4">
      <w:pPr>
        <w:pStyle w:val="ListDash"/>
      </w:pPr>
      <w:r>
        <w:t xml:space="preserve">The competitive tendering of </w:t>
      </w:r>
      <w:r w:rsidR="00A20395">
        <w:t>the AMEP</w:t>
      </w:r>
      <w:r>
        <w:t xml:space="preserve"> since 1997 </w:t>
      </w:r>
      <w:r w:rsidR="00B82FE3">
        <w:t xml:space="preserve">is consistent with </w:t>
      </w:r>
      <w:r>
        <w:t>the broader transition in the role of government</w:t>
      </w:r>
      <w:r w:rsidR="00B82FE3">
        <w:t xml:space="preserve"> in VET</w:t>
      </w:r>
      <w:r>
        <w:t xml:space="preserve"> from provider to purchaser. </w:t>
      </w:r>
    </w:p>
    <w:p w14:paraId="6A85C56D" w14:textId="77777777" w:rsidR="007903C4" w:rsidRDefault="007903C4" w:rsidP="007903C4">
      <w:pPr>
        <w:pStyle w:val="ListDash"/>
      </w:pPr>
      <w:r>
        <w:t>The implementation of</w:t>
      </w:r>
      <w:r w:rsidRPr="006E5E8F">
        <w:t xml:space="preserve"> a multi-provider model in </w:t>
      </w:r>
      <w:r>
        <w:t xml:space="preserve">the </w:t>
      </w:r>
      <w:r w:rsidRPr="006E5E8F">
        <w:t xml:space="preserve">latest </w:t>
      </w:r>
      <w:r>
        <w:t xml:space="preserve">SEE </w:t>
      </w:r>
      <w:r w:rsidR="00D30F30">
        <w:t xml:space="preserve">programme </w:t>
      </w:r>
      <w:r w:rsidRPr="006E5E8F">
        <w:t>contracting round</w:t>
      </w:r>
      <w:r>
        <w:t xml:space="preserve"> </w:t>
      </w:r>
      <w:r w:rsidRPr="007903C4">
        <w:t xml:space="preserve">where </w:t>
      </w:r>
      <w:r>
        <w:t xml:space="preserve">students and referring agencies have the choice of </w:t>
      </w:r>
      <w:r w:rsidRPr="007903C4">
        <w:t>two or more providers appointed in a given region</w:t>
      </w:r>
      <w:r>
        <w:t xml:space="preserve"> is consistent with the broader market reforms being introduced across the VET sector</w:t>
      </w:r>
      <w:r w:rsidRPr="007903C4">
        <w:t>.</w:t>
      </w:r>
    </w:p>
    <w:p w14:paraId="28F3CED3" w14:textId="77777777" w:rsidR="00B82FE3" w:rsidRPr="008E4B82" w:rsidRDefault="00786A4B" w:rsidP="008B04E9">
      <w:pPr>
        <w:pStyle w:val="BodyText"/>
      </w:pPr>
      <w:r w:rsidRPr="008E4B82">
        <w:t>G</w:t>
      </w:r>
      <w:r w:rsidR="00B82FE3" w:rsidRPr="008E4B82">
        <w:t xml:space="preserve">reater competition between providers and improved client choice </w:t>
      </w:r>
      <w:r w:rsidRPr="008E4B82">
        <w:t xml:space="preserve">is expected to </w:t>
      </w:r>
      <w:r w:rsidR="00B82FE3" w:rsidRPr="008E4B82">
        <w:t>lead to:</w:t>
      </w:r>
    </w:p>
    <w:p w14:paraId="2C524188" w14:textId="4DEB63B1" w:rsidR="00B82FE3" w:rsidRPr="00AA1873" w:rsidRDefault="00FB773E" w:rsidP="00B1278B">
      <w:pPr>
        <w:pStyle w:val="ListDash"/>
      </w:pPr>
      <w:r>
        <w:t>I</w:t>
      </w:r>
      <w:r w:rsidR="00BB0212" w:rsidRPr="00AA1873">
        <w:t>mproved marketing and engagement with prospective eligible migrants</w:t>
      </w:r>
      <w:r>
        <w:t>.</w:t>
      </w:r>
    </w:p>
    <w:p w14:paraId="6AA8BFD1" w14:textId="5A5C59E9" w:rsidR="00B82FE3" w:rsidRPr="00AA1873" w:rsidRDefault="00FB773E" w:rsidP="00B1278B">
      <w:pPr>
        <w:pStyle w:val="ListDash"/>
      </w:pPr>
      <w:r>
        <w:t>I</w:t>
      </w:r>
      <w:r w:rsidR="00BB0212" w:rsidRPr="00AA1873">
        <w:t>ncreased partnerships that better enable providers to meet client needs</w:t>
      </w:r>
      <w:r>
        <w:t>.</w:t>
      </w:r>
    </w:p>
    <w:p w14:paraId="66D3A4B7" w14:textId="23F22CF8" w:rsidR="00B82FE3" w:rsidRDefault="00FB773E" w:rsidP="00B1278B">
      <w:pPr>
        <w:pStyle w:val="ListDash"/>
      </w:pPr>
      <w:r>
        <w:t>I</w:t>
      </w:r>
      <w:r w:rsidR="00BB0212" w:rsidRPr="00AA1873">
        <w:t>mproved regional access and delivery</w:t>
      </w:r>
      <w:r>
        <w:t>.</w:t>
      </w:r>
    </w:p>
    <w:p w14:paraId="606300FB" w14:textId="1CB3DA19" w:rsidR="00651EA7" w:rsidRPr="00AA1873" w:rsidRDefault="00FB773E" w:rsidP="00B1278B">
      <w:pPr>
        <w:pStyle w:val="ListDash"/>
      </w:pPr>
      <w:r>
        <w:t>M</w:t>
      </w:r>
      <w:r w:rsidR="00BB0212">
        <w:t>ore targeted models of training delivery</w:t>
      </w:r>
      <w:r>
        <w:t>.</w:t>
      </w:r>
    </w:p>
    <w:p w14:paraId="51298ABA" w14:textId="3AC2A6CE" w:rsidR="00B82FE3" w:rsidRPr="00AA1873" w:rsidRDefault="00FB773E" w:rsidP="00B1278B">
      <w:pPr>
        <w:pStyle w:val="ListDash"/>
      </w:pPr>
      <w:r>
        <w:t>S</w:t>
      </w:r>
      <w:r w:rsidR="00BB0212" w:rsidRPr="00AA1873">
        <w:t>pecialist providers and models that cater to specific client cohorts</w:t>
      </w:r>
      <w:r>
        <w:t>.</w:t>
      </w:r>
    </w:p>
    <w:p w14:paraId="41BBF0D7" w14:textId="58860FBD" w:rsidR="00B82FE3" w:rsidRPr="00AA1873" w:rsidRDefault="00FB773E" w:rsidP="00B1278B">
      <w:pPr>
        <w:pStyle w:val="ListDash"/>
      </w:pPr>
      <w:r>
        <w:t>U</w:t>
      </w:r>
      <w:r w:rsidR="00BB0212" w:rsidRPr="00AA1873">
        <w:t>npredictable client-focused innovation</w:t>
      </w:r>
      <w:r>
        <w:t>.</w:t>
      </w:r>
    </w:p>
    <w:p w14:paraId="621337D4" w14:textId="2A16BCDF" w:rsidR="00B82FE3" w:rsidRPr="00AA1873" w:rsidRDefault="00FB773E" w:rsidP="00B1278B">
      <w:pPr>
        <w:pStyle w:val="ListDash"/>
      </w:pPr>
      <w:r>
        <w:t>R</w:t>
      </w:r>
      <w:r w:rsidR="00BB0212" w:rsidRPr="00AA1873">
        <w:t>educed contract management requirements and contractual specificity (thereby increasing flexibility)</w:t>
      </w:r>
      <w:r w:rsidR="00BB0212">
        <w:t>.</w:t>
      </w:r>
    </w:p>
    <w:p w14:paraId="1651A40C" w14:textId="58952895" w:rsidR="001247EE" w:rsidRDefault="00B82FE3">
      <w:pPr>
        <w:pStyle w:val="BodyText"/>
      </w:pPr>
      <w:r>
        <w:t>However, g</w:t>
      </w:r>
      <w:r w:rsidR="007903C4">
        <w:t xml:space="preserve">iven the large number of vulnerable </w:t>
      </w:r>
      <w:r>
        <w:t xml:space="preserve">and/or non-English speaking </w:t>
      </w:r>
      <w:r w:rsidR="007903C4">
        <w:t xml:space="preserve">clients that make up the participants of both the AMEP and </w:t>
      </w:r>
      <w:r w:rsidR="00AE13AC">
        <w:t>SEE programme</w:t>
      </w:r>
      <w:r w:rsidR="007903C4">
        <w:t>,</w:t>
      </w:r>
      <w:r w:rsidR="00786A4B">
        <w:t xml:space="preserve"> as well as the experiences of jurisdictions who have ‘opened’ up </w:t>
      </w:r>
      <w:r w:rsidR="00E35917">
        <w:t>their contracted providers, it is important that t</w:t>
      </w:r>
      <w:r>
        <w:t xml:space="preserve">he quality standards and ongoing reporting and monitoring regimes </w:t>
      </w:r>
      <w:r w:rsidR="00E35917">
        <w:t xml:space="preserve">for providers contracted to deliver these </w:t>
      </w:r>
      <w:r w:rsidR="0070776B">
        <w:t>programmes</w:t>
      </w:r>
      <w:r w:rsidR="00E35917">
        <w:t xml:space="preserve"> </w:t>
      </w:r>
      <w:r>
        <w:t xml:space="preserve">remain necessarily high. </w:t>
      </w:r>
    </w:p>
    <w:p w14:paraId="550F26A4" w14:textId="7EE6D870" w:rsidR="007903C4" w:rsidRDefault="00B82FE3">
      <w:pPr>
        <w:pStyle w:val="BodyText"/>
      </w:pPr>
      <w:r>
        <w:lastRenderedPageBreak/>
        <w:t>That being said</w:t>
      </w:r>
      <w:r w:rsidR="00E35917">
        <w:t>,</w:t>
      </w:r>
      <w:r>
        <w:t xml:space="preserve"> however, </w:t>
      </w:r>
      <w:r w:rsidR="00E35917">
        <w:t xml:space="preserve">and </w:t>
      </w:r>
      <w:r>
        <w:t xml:space="preserve">as </w:t>
      </w:r>
      <w:r w:rsidR="00E35917">
        <w:t xml:space="preserve">outlined </w:t>
      </w:r>
      <w:r>
        <w:t>in the AMEP Evaluation Report, t</w:t>
      </w:r>
      <w:r w:rsidRPr="00B82FE3">
        <w:t xml:space="preserve">he next step in the evolution of the AMEP purchasing model </w:t>
      </w:r>
      <w:r>
        <w:t xml:space="preserve">should be </w:t>
      </w:r>
      <w:r w:rsidRPr="00B82FE3">
        <w:t>the phased introduction of contractual arrangements that include two or more providers competing in a given region.</w:t>
      </w:r>
      <w:r>
        <w:t xml:space="preserve"> </w:t>
      </w:r>
      <w:r w:rsidR="00651EA7">
        <w:t>Similarly</w:t>
      </w:r>
      <w:r>
        <w:t xml:space="preserve">, the </w:t>
      </w:r>
      <w:r w:rsidR="00492999">
        <w:t>SEE P</w:t>
      </w:r>
      <w:r w:rsidR="00AE13AC">
        <w:t>rogramme</w:t>
      </w:r>
      <w:r w:rsidR="00BB0212">
        <w:t xml:space="preserve"> </w:t>
      </w:r>
      <w:r>
        <w:t xml:space="preserve">Evaluation Report outlines how the design and operation of the multi-provider model in </w:t>
      </w:r>
      <w:r w:rsidR="00D30F30">
        <w:t>the SEE programme</w:t>
      </w:r>
      <w:r>
        <w:t xml:space="preserve"> could be improved.</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B82FE3" w14:paraId="5A03F074" w14:textId="77777777" w:rsidTr="002657DB">
        <w:tc>
          <w:tcPr>
            <w:tcW w:w="5000" w:type="pct"/>
            <w:shd w:val="pct12" w:color="auto" w:fill="auto"/>
          </w:tcPr>
          <w:p w14:paraId="414A49F4" w14:textId="77777777" w:rsidR="00B82FE3" w:rsidRDefault="00B82FE3" w:rsidP="002657DB">
            <w:pPr>
              <w:pStyle w:val="Caption"/>
              <w:spacing w:before="120" w:after="60"/>
              <w:ind w:left="1112" w:hanging="1112"/>
              <w:rPr>
                <w:rFonts w:ascii="Arial Bold" w:hAnsi="Arial Bold"/>
                <w:color w:val="000080"/>
              </w:rPr>
            </w:pPr>
            <w:r>
              <w:t xml:space="preserve">Recommendation </w:t>
            </w:r>
            <w:r w:rsidR="00902F05">
              <w:fldChar w:fldCharType="begin"/>
            </w:r>
            <w:r w:rsidR="00902F05">
              <w:instrText xml:space="preserve"> SEQ Recommendation \* ARABIC </w:instrText>
            </w:r>
            <w:r w:rsidR="00902F05">
              <w:fldChar w:fldCharType="separate"/>
            </w:r>
            <w:r w:rsidR="00902F05">
              <w:rPr>
                <w:noProof/>
              </w:rPr>
              <w:t>8</w:t>
            </w:r>
            <w:r w:rsidR="00902F05">
              <w:rPr>
                <w:noProof/>
              </w:rPr>
              <w:fldChar w:fldCharType="end"/>
            </w:r>
          </w:p>
        </w:tc>
      </w:tr>
      <w:tr w:rsidR="00B82FE3" w14:paraId="57BE1D44" w14:textId="77777777" w:rsidTr="002657DB">
        <w:tc>
          <w:tcPr>
            <w:tcW w:w="5000" w:type="pct"/>
            <w:shd w:val="pct12" w:color="auto" w:fill="auto"/>
          </w:tcPr>
          <w:p w14:paraId="642C71AC" w14:textId="5C731703" w:rsidR="00651EA7" w:rsidRDefault="004D35B0" w:rsidP="00820582">
            <w:pPr>
              <w:pStyle w:val="BoxText"/>
            </w:pPr>
            <w:r w:rsidRPr="004D35B0">
              <w:t xml:space="preserve">Consistent with VET market </w:t>
            </w:r>
            <w:r w:rsidR="003C359D">
              <w:t>reforms</w:t>
            </w:r>
            <w:r w:rsidRPr="004D35B0">
              <w:t xml:space="preserve"> to increase </w:t>
            </w:r>
            <w:r w:rsidR="003C359D">
              <w:t>client</w:t>
            </w:r>
            <w:r w:rsidRPr="004D35B0">
              <w:t xml:space="preserve"> choice, and as outlined </w:t>
            </w:r>
            <w:r w:rsidR="00775C5B">
              <w:t xml:space="preserve">in </w:t>
            </w:r>
            <w:r w:rsidRPr="004D35B0">
              <w:t>the respective evaluation reports</w:t>
            </w:r>
            <w:r w:rsidR="00651EA7">
              <w:t>:</w:t>
            </w:r>
          </w:p>
          <w:p w14:paraId="1811C408" w14:textId="58DBA85E" w:rsidR="00651EA7" w:rsidRDefault="003C359D" w:rsidP="008B04E9">
            <w:pPr>
              <w:pStyle w:val="BoxListBullet"/>
            </w:pPr>
            <w:r>
              <w:t>t</w:t>
            </w:r>
            <w:r w:rsidR="004D35B0" w:rsidRPr="004D35B0">
              <w:t xml:space="preserve">he AMEP purchasing model should consider the phased introduction of contractual arrangements that include two or more </w:t>
            </w:r>
            <w:r>
              <w:t xml:space="preserve">AMEP service </w:t>
            </w:r>
            <w:r w:rsidR="004D35B0" w:rsidRPr="004D35B0">
              <w:t>providers competing in a given region</w:t>
            </w:r>
          </w:p>
          <w:p w14:paraId="7C9A13A3" w14:textId="31D6A8AD" w:rsidR="004D35B0" w:rsidRDefault="003C359D" w:rsidP="008B04E9">
            <w:pPr>
              <w:pStyle w:val="BoxListBullet"/>
            </w:pPr>
            <w:r>
              <w:t>i</w:t>
            </w:r>
            <w:r w:rsidR="004D35B0" w:rsidRPr="004D35B0">
              <w:t xml:space="preserve">mprovements to the design and operation of the multi-provider model in </w:t>
            </w:r>
            <w:r w:rsidR="00D30F30">
              <w:t>the SEE programme</w:t>
            </w:r>
            <w:r w:rsidR="00651EA7">
              <w:t xml:space="preserve"> should be based on a framework for viable delivery</w:t>
            </w:r>
            <w:r w:rsidR="004D35B0" w:rsidRPr="004D35B0">
              <w:t xml:space="preserve">. </w:t>
            </w:r>
          </w:p>
          <w:p w14:paraId="3DF03EEA" w14:textId="10D85799" w:rsidR="004D35B0" w:rsidRDefault="004D35B0" w:rsidP="00820582">
            <w:pPr>
              <w:pStyle w:val="BoxText"/>
            </w:pPr>
            <w:r w:rsidRPr="004D35B0">
              <w:t xml:space="preserve">Given that clients for both </w:t>
            </w:r>
            <w:r w:rsidR="00A20395">
              <w:t>the AMEP</w:t>
            </w:r>
            <w:r w:rsidRPr="004D35B0">
              <w:t xml:space="preserve"> and SEE programme comprise vulnerable and/or non-English speaking participants, both </w:t>
            </w:r>
            <w:r w:rsidR="00A20395">
              <w:t>the AMEP</w:t>
            </w:r>
            <w:r w:rsidRPr="004D35B0">
              <w:t xml:space="preserve"> and </w:t>
            </w:r>
            <w:r w:rsidR="003C359D">
              <w:t xml:space="preserve">the </w:t>
            </w:r>
            <w:r w:rsidRPr="004D35B0">
              <w:t xml:space="preserve">SEE </w:t>
            </w:r>
            <w:r w:rsidR="00D30F30">
              <w:t xml:space="preserve">programme </w:t>
            </w:r>
            <w:r w:rsidRPr="004D35B0">
              <w:t xml:space="preserve">should </w:t>
            </w:r>
            <w:r w:rsidR="00651EA7">
              <w:t>ensure</w:t>
            </w:r>
            <w:r w:rsidR="00651EA7" w:rsidRPr="004D35B0">
              <w:t xml:space="preserve"> </w:t>
            </w:r>
            <w:r w:rsidRPr="004D35B0">
              <w:t>a necessarily high standard o</w:t>
            </w:r>
            <w:r w:rsidR="003C359D">
              <w:t>f</w:t>
            </w:r>
            <w:r w:rsidRPr="004D35B0">
              <w:t xml:space="preserve"> providers contracted to deliver these </w:t>
            </w:r>
            <w:r w:rsidR="0070776B">
              <w:t>programmes</w:t>
            </w:r>
            <w:r w:rsidRPr="004D35B0">
              <w:t xml:space="preserve">. </w:t>
            </w:r>
          </w:p>
          <w:p w14:paraId="44AA63A9" w14:textId="77777777" w:rsidR="00B82FE3" w:rsidRDefault="00B82FE3" w:rsidP="002657DB">
            <w:pPr>
              <w:pStyle w:val="SmallDeltasRightAligned"/>
            </w:pPr>
            <w:r>
              <w:rPr>
                <w:noProof/>
                <w:lang w:eastAsia="en-AU"/>
              </w:rPr>
              <w:drawing>
                <wp:inline distT="0" distB="0" distL="0" distR="0" wp14:anchorId="4CC67173" wp14:editId="73FB201A">
                  <wp:extent cx="481585" cy="23469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B82FE3" w14:paraId="400ED427" w14:textId="77777777" w:rsidTr="002657DB">
        <w:trPr>
          <w:trHeight w:hRule="exact" w:val="80"/>
        </w:trPr>
        <w:tc>
          <w:tcPr>
            <w:tcW w:w="5000" w:type="pct"/>
            <w:shd w:val="pct12" w:color="auto" w:fill="auto"/>
          </w:tcPr>
          <w:p w14:paraId="33758F7F" w14:textId="77777777" w:rsidR="00B82FE3" w:rsidRDefault="00B82FE3">
            <w:pPr>
              <w:spacing w:before="160"/>
            </w:pPr>
            <w:r>
              <w:t xml:space="preserve"> </w:t>
            </w:r>
          </w:p>
        </w:tc>
      </w:tr>
    </w:tbl>
    <w:p w14:paraId="13EDADEB" w14:textId="55FE53A2" w:rsidR="00ED3DF1" w:rsidRDefault="00ED3DF1" w:rsidP="00D653A7">
      <w:pPr>
        <w:pStyle w:val="Heading3"/>
      </w:pPr>
      <w:r>
        <w:t xml:space="preserve">Implications of skills reform for </w:t>
      </w:r>
      <w:r w:rsidR="00A20395">
        <w:t>the AMEP</w:t>
      </w:r>
      <w:r w:rsidR="00156643">
        <w:t xml:space="preserve"> </w:t>
      </w:r>
      <w:r w:rsidR="00D30F30">
        <w:t>and the SEE programme</w:t>
      </w:r>
      <w:r w:rsidR="005852BB">
        <w:t xml:space="preserve"> </w:t>
      </w:r>
    </w:p>
    <w:p w14:paraId="2035CA5E" w14:textId="30F5307B" w:rsidR="00F94FC3" w:rsidRDefault="00E35917" w:rsidP="00F94FC3">
      <w:pPr>
        <w:pStyle w:val="BodyText"/>
      </w:pPr>
      <w:r>
        <w:t>O</w:t>
      </w:r>
      <w:r w:rsidR="00F94FC3">
        <w:t xml:space="preserve">ne of the agreed principles for VET reform is for </w:t>
      </w:r>
      <w:r w:rsidR="00B525C4" w:rsidRPr="002622BA">
        <w:rPr>
          <w:i/>
        </w:rPr>
        <w:t>a</w:t>
      </w:r>
      <w:r w:rsidR="00F94FC3" w:rsidRPr="002622BA">
        <w:rPr>
          <w:i/>
        </w:rPr>
        <w:t xml:space="preserve"> national VET system which is governed effectively with clear roles and responsibilities for industry, the Commonwealth and the states and territories</w:t>
      </w:r>
      <w:r w:rsidR="00F94FC3">
        <w:rPr>
          <w:i/>
        </w:rPr>
        <w:t xml:space="preserve">. </w:t>
      </w:r>
      <w:r w:rsidR="00F94FC3">
        <w:t xml:space="preserve">As discussed in Section </w:t>
      </w:r>
      <w:r w:rsidR="00F94FC3">
        <w:fldChar w:fldCharType="begin"/>
      </w:r>
      <w:r w:rsidR="00F94FC3">
        <w:instrText xml:space="preserve"> REF _Ref408422120 \r \h </w:instrText>
      </w:r>
      <w:r w:rsidR="00F94FC3">
        <w:fldChar w:fldCharType="separate"/>
      </w:r>
      <w:r w:rsidR="00902F05">
        <w:t>2.1</w:t>
      </w:r>
      <w:r w:rsidR="00F94FC3">
        <w:fldChar w:fldCharType="end"/>
      </w:r>
      <w:r w:rsidR="00F94FC3">
        <w:t xml:space="preserve">, both the AMEP and </w:t>
      </w:r>
      <w:r w:rsidR="00D30F30">
        <w:t>the SEE programme</w:t>
      </w:r>
      <w:r w:rsidR="00F94FC3">
        <w:t xml:space="preserve"> are tied to areas of direct </w:t>
      </w:r>
      <w:r w:rsidR="00FB773E">
        <w:t xml:space="preserve">Australian Government </w:t>
      </w:r>
      <w:r w:rsidR="00F94FC3">
        <w:t xml:space="preserve">responsibility; </w:t>
      </w:r>
      <w:r>
        <w:t xml:space="preserve">namely </w:t>
      </w:r>
      <w:r w:rsidR="00F94FC3">
        <w:t xml:space="preserve">migration to Australia and the welfare support system respectively. State and </w:t>
      </w:r>
      <w:r w:rsidR="00BB0212">
        <w:t xml:space="preserve">territory governments </w:t>
      </w:r>
      <w:r w:rsidR="00F94FC3">
        <w:t>on the other hand have carriage of the broader VET system.</w:t>
      </w:r>
    </w:p>
    <w:p w14:paraId="4AA14241" w14:textId="5CFBB70D" w:rsidR="00ED3DF1" w:rsidRDefault="00ED3DF1" w:rsidP="00ED3DF1">
      <w:pPr>
        <w:pStyle w:val="BodyText"/>
      </w:pPr>
      <w:r>
        <w:t xml:space="preserve">As </w:t>
      </w:r>
      <w:r w:rsidR="00BB0212">
        <w:t xml:space="preserve">state and territory governments </w:t>
      </w:r>
      <w:r>
        <w:t xml:space="preserve">develop, implement and </w:t>
      </w:r>
      <w:r w:rsidR="00F94FC3">
        <w:t xml:space="preserve">amend </w:t>
      </w:r>
      <w:r>
        <w:t>various entitlement models in line with the</w:t>
      </w:r>
      <w:r w:rsidR="00F94FC3">
        <w:t>ir</w:t>
      </w:r>
      <w:r>
        <w:t xml:space="preserve"> commitment</w:t>
      </w:r>
      <w:r w:rsidR="00F94FC3">
        <w:t>s</w:t>
      </w:r>
      <w:r>
        <w:t xml:space="preserve"> set out the National Partnership Agreement for Skills Reform, the availability of publicly subsidised training is undergoing substantial change. There are two important implications of national skills reform for </w:t>
      </w:r>
      <w:r w:rsidR="00A20395">
        <w:t>the AMEP</w:t>
      </w:r>
      <w:r>
        <w:t xml:space="preserve"> and </w:t>
      </w:r>
      <w:r w:rsidR="00D30F30">
        <w:t>the SEE programme</w:t>
      </w:r>
      <w:r>
        <w:t>.</w:t>
      </w:r>
    </w:p>
    <w:p w14:paraId="277783BE" w14:textId="3FAA5AF8" w:rsidR="007E4A3E" w:rsidRPr="007E4A3E" w:rsidRDefault="00ED3DF1" w:rsidP="007E4A3E">
      <w:pPr>
        <w:pStyle w:val="BodyText"/>
      </w:pPr>
      <w:r>
        <w:t xml:space="preserve">First, the introduction of a student-led entitlement model should in many cases allow individuals to follow up </w:t>
      </w:r>
      <w:r w:rsidR="00A20395">
        <w:t>the AMEP</w:t>
      </w:r>
      <w:r>
        <w:t xml:space="preserve"> and SEE </w:t>
      </w:r>
      <w:r w:rsidR="00D30F30">
        <w:t xml:space="preserve">programme </w:t>
      </w:r>
      <w:r>
        <w:t xml:space="preserve">training with further VET courses. In order for this to be effective, both AMEP and SEE </w:t>
      </w:r>
      <w:r w:rsidR="00D30F30">
        <w:t xml:space="preserve">programme </w:t>
      </w:r>
      <w:r>
        <w:t xml:space="preserve">clients will need to be well informed regarding their entitlement eligibility, pathways and options. Ideally, this would also allow AMEP and SEE </w:t>
      </w:r>
      <w:r w:rsidR="00D30F30">
        <w:t xml:space="preserve">programme </w:t>
      </w:r>
      <w:r>
        <w:t xml:space="preserve">participants to make informed choice regarding the vocational units or work experience that they undertake in order to </w:t>
      </w:r>
      <w:r w:rsidR="007E4A3E">
        <w:t xml:space="preserve">better prepare them for further training. </w:t>
      </w:r>
      <w:r w:rsidR="007E4A3E" w:rsidRPr="002622BA">
        <w:rPr>
          <w:i/>
        </w:rPr>
        <w:t>Informed consumers who have access to the information they need to make choices about providers and training that meets their needs</w:t>
      </w:r>
      <w:r w:rsidR="007E4A3E">
        <w:rPr>
          <w:i/>
        </w:rPr>
        <w:t xml:space="preserve"> </w:t>
      </w:r>
      <w:r w:rsidR="007E4A3E" w:rsidRPr="007E4A3E">
        <w:t xml:space="preserve">is </w:t>
      </w:r>
      <w:r w:rsidR="00F94FC3">
        <w:t xml:space="preserve">another </w:t>
      </w:r>
      <w:r w:rsidR="007E4A3E" w:rsidRPr="007E4A3E">
        <w:t>of the</w:t>
      </w:r>
      <w:r w:rsidR="007E4A3E">
        <w:rPr>
          <w:i/>
        </w:rPr>
        <w:t xml:space="preserve"> </w:t>
      </w:r>
      <w:r w:rsidR="007E4A3E" w:rsidRPr="007E4A3E">
        <w:t>agreed</w:t>
      </w:r>
      <w:r w:rsidR="007E4A3E">
        <w:rPr>
          <w:i/>
        </w:rPr>
        <w:t xml:space="preserve"> </w:t>
      </w:r>
      <w:r w:rsidR="007E4A3E">
        <w:t>principles that will underpin VET reform in Australian in the coming years.</w:t>
      </w:r>
    </w:p>
    <w:p w14:paraId="2F05D87B" w14:textId="1B8FC3A1" w:rsidR="00ED3DF1" w:rsidRDefault="007E4A3E" w:rsidP="002622BA">
      <w:pPr>
        <w:pStyle w:val="BodyText"/>
      </w:pPr>
      <w:r>
        <w:t xml:space="preserve">Second, ongoing changes to VET funding at the state level </w:t>
      </w:r>
      <w:r w:rsidR="00E35917">
        <w:t xml:space="preserve">are </w:t>
      </w:r>
      <w:r>
        <w:t xml:space="preserve">likely to </w:t>
      </w:r>
      <w:r w:rsidR="00ED3DF1">
        <w:t>lead to a range of potential consequences on the availability of subsidised LLN training across the broader VET sector.</w:t>
      </w:r>
      <w:r>
        <w:t xml:space="preserve"> </w:t>
      </w:r>
      <w:r w:rsidR="00ED3DF1">
        <w:t>To the ex</w:t>
      </w:r>
      <w:r>
        <w:t xml:space="preserve">tent that access to and/or availability of subsidised LLN programmes </w:t>
      </w:r>
      <w:r w:rsidR="00E35917">
        <w:t>impacted</w:t>
      </w:r>
      <w:r>
        <w:t xml:space="preserve">, </w:t>
      </w:r>
      <w:r w:rsidR="00A20395">
        <w:t>the AMEP</w:t>
      </w:r>
      <w:r>
        <w:t xml:space="preserve"> and </w:t>
      </w:r>
      <w:r w:rsidR="00D30F30">
        <w:t>the SEE programme</w:t>
      </w:r>
      <w:r>
        <w:t xml:space="preserve"> may come under pressure to fulfil a role that is more significant than is intended. Consistent with the advice in both the AMEP </w:t>
      </w:r>
      <w:r w:rsidR="0092139F">
        <w:t xml:space="preserve">Evaluation Report </w:t>
      </w:r>
      <w:r>
        <w:t xml:space="preserve">and </w:t>
      </w:r>
      <w:r w:rsidR="0092139F">
        <w:t xml:space="preserve">the </w:t>
      </w:r>
      <w:r>
        <w:t xml:space="preserve">SEE </w:t>
      </w:r>
      <w:r w:rsidR="00492999">
        <w:t xml:space="preserve">Programme </w:t>
      </w:r>
      <w:r>
        <w:t xml:space="preserve">Evaluation Report, </w:t>
      </w:r>
      <w:r w:rsidR="00E35917" w:rsidRPr="00E35917">
        <w:t xml:space="preserve">programme participants </w:t>
      </w:r>
      <w:r w:rsidR="00E35917">
        <w:t xml:space="preserve">should be </w:t>
      </w:r>
      <w:r w:rsidR="00E35917" w:rsidRPr="00E35917">
        <w:t>well informed regarding their entitlement eligibility, pathways and options</w:t>
      </w:r>
      <w:r>
        <w:t>.</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7E4A3E" w14:paraId="7C345DC2" w14:textId="77777777" w:rsidTr="00D653A7">
        <w:tc>
          <w:tcPr>
            <w:tcW w:w="5000" w:type="pct"/>
            <w:shd w:val="pct12" w:color="auto" w:fill="auto"/>
          </w:tcPr>
          <w:p w14:paraId="0E4EB2F7" w14:textId="77777777" w:rsidR="007E4A3E" w:rsidRDefault="007E4A3E" w:rsidP="00D653A7">
            <w:pPr>
              <w:pStyle w:val="Caption"/>
              <w:spacing w:before="120" w:after="60"/>
              <w:ind w:left="1112" w:hanging="1112"/>
              <w:rPr>
                <w:rFonts w:ascii="Arial Bold" w:hAnsi="Arial Bold"/>
                <w:color w:val="000080"/>
              </w:rPr>
            </w:pPr>
            <w:r>
              <w:lastRenderedPageBreak/>
              <w:t xml:space="preserve">Recommendation </w:t>
            </w:r>
            <w:r w:rsidR="00902F05">
              <w:fldChar w:fldCharType="begin"/>
            </w:r>
            <w:r w:rsidR="00902F05">
              <w:instrText xml:space="preserve"> SEQ Recommendation \* ARABIC </w:instrText>
            </w:r>
            <w:r w:rsidR="00902F05">
              <w:fldChar w:fldCharType="separate"/>
            </w:r>
            <w:r w:rsidR="00902F05">
              <w:rPr>
                <w:noProof/>
              </w:rPr>
              <w:t>9</w:t>
            </w:r>
            <w:r w:rsidR="00902F05">
              <w:rPr>
                <w:noProof/>
              </w:rPr>
              <w:fldChar w:fldCharType="end"/>
            </w:r>
          </w:p>
        </w:tc>
      </w:tr>
      <w:tr w:rsidR="007E4A3E" w14:paraId="22702ADE" w14:textId="77777777" w:rsidTr="00D653A7">
        <w:tc>
          <w:tcPr>
            <w:tcW w:w="5000" w:type="pct"/>
            <w:shd w:val="pct12" w:color="auto" w:fill="auto"/>
          </w:tcPr>
          <w:p w14:paraId="4302FDB9" w14:textId="77777777" w:rsidR="003C359D" w:rsidRDefault="00B526E6" w:rsidP="00B1278B">
            <w:pPr>
              <w:pStyle w:val="BoxText"/>
            </w:pPr>
            <w:r w:rsidRPr="00B526E6">
              <w:t>T</w:t>
            </w:r>
            <w:r w:rsidR="003C359D">
              <w:t>here are t</w:t>
            </w:r>
            <w:r w:rsidRPr="00B526E6">
              <w:t xml:space="preserve">wo important implications of national skills reform for </w:t>
            </w:r>
            <w:r w:rsidR="00A20395">
              <w:t xml:space="preserve">the </w:t>
            </w:r>
            <w:r w:rsidRPr="00B526E6">
              <w:t xml:space="preserve">AMEP and </w:t>
            </w:r>
            <w:r w:rsidR="00D30F30">
              <w:t>the SEE programme</w:t>
            </w:r>
            <w:r w:rsidR="003C359D">
              <w:t xml:space="preserve">. </w:t>
            </w:r>
          </w:p>
          <w:p w14:paraId="16158F22" w14:textId="77777777" w:rsidR="003C359D" w:rsidRDefault="003C359D" w:rsidP="003C359D">
            <w:pPr>
              <w:pStyle w:val="BoxListBullet"/>
            </w:pPr>
            <w:r>
              <w:t>T</w:t>
            </w:r>
            <w:r w:rsidR="00B526E6" w:rsidRPr="00B526E6">
              <w:t xml:space="preserve">he introduction of a student-led entitlement model is likely to allow individuals to follow up AMEP and </w:t>
            </w:r>
            <w:r w:rsidR="00D30F30" w:rsidRPr="00B526E6">
              <w:t>SEE</w:t>
            </w:r>
            <w:r w:rsidR="00D30F30">
              <w:t xml:space="preserve"> programme </w:t>
            </w:r>
            <w:r w:rsidR="00B526E6" w:rsidRPr="00B526E6">
              <w:t>training with further VET courses</w:t>
            </w:r>
            <w:r>
              <w:t xml:space="preserve">. </w:t>
            </w:r>
          </w:p>
          <w:p w14:paraId="7FFDC5DF" w14:textId="27BA8E66" w:rsidR="00B526E6" w:rsidRDefault="003C359D" w:rsidP="003C359D">
            <w:pPr>
              <w:pStyle w:val="BoxListBullet"/>
            </w:pPr>
            <w:r>
              <w:t xml:space="preserve">Potential </w:t>
            </w:r>
            <w:r w:rsidR="00B526E6" w:rsidRPr="00B526E6">
              <w:t>change</w:t>
            </w:r>
            <w:r>
              <w:t>s</w:t>
            </w:r>
            <w:r w:rsidR="00B526E6" w:rsidRPr="00B526E6">
              <w:t xml:space="preserve"> </w:t>
            </w:r>
            <w:r>
              <w:t xml:space="preserve">to the </w:t>
            </w:r>
            <w:r w:rsidR="00B526E6" w:rsidRPr="00B526E6">
              <w:t xml:space="preserve">availability of subsidised LLN programmes, </w:t>
            </w:r>
            <w:r>
              <w:t xml:space="preserve">is likely to place </w:t>
            </w:r>
            <w:r w:rsidR="00B526E6" w:rsidRPr="00B526E6">
              <w:t xml:space="preserve">pressure on </w:t>
            </w:r>
            <w:r w:rsidR="00A20395">
              <w:t>the AMEP</w:t>
            </w:r>
            <w:r w:rsidR="00B526E6" w:rsidRPr="00B526E6">
              <w:t xml:space="preserve"> and </w:t>
            </w:r>
            <w:r w:rsidR="00D30F30">
              <w:t>the SEE programme</w:t>
            </w:r>
            <w:r w:rsidR="00B526E6" w:rsidRPr="00B526E6">
              <w:t xml:space="preserve"> to fulfil a role that is beyond what is intended. </w:t>
            </w:r>
          </w:p>
          <w:p w14:paraId="459CF984" w14:textId="4662A834" w:rsidR="007E4A3E" w:rsidRDefault="00B526E6" w:rsidP="00B1278B">
            <w:pPr>
              <w:pStyle w:val="BoxText"/>
            </w:pPr>
            <w:r w:rsidRPr="00B526E6">
              <w:t xml:space="preserve">In both cases there should therefore be clear and consistent communication of the programmes’ objectives to </w:t>
            </w:r>
            <w:r w:rsidR="003C359D">
              <w:t>clients</w:t>
            </w:r>
            <w:r w:rsidRPr="00B526E6">
              <w:t xml:space="preserve"> and stakeholders, with programme participants </w:t>
            </w:r>
            <w:r w:rsidR="003C359D">
              <w:t xml:space="preserve">being </w:t>
            </w:r>
            <w:r w:rsidRPr="00B526E6">
              <w:t xml:space="preserve">well informed </w:t>
            </w:r>
            <w:r w:rsidR="003C359D">
              <w:t xml:space="preserve">about </w:t>
            </w:r>
            <w:r w:rsidRPr="00B526E6">
              <w:t>their entitlement eligibility, pathways and options.</w:t>
            </w:r>
          </w:p>
          <w:p w14:paraId="321D2062" w14:textId="77777777" w:rsidR="007E4A3E" w:rsidRDefault="007E4A3E" w:rsidP="00D653A7">
            <w:pPr>
              <w:pStyle w:val="SmallDeltasRightAligned"/>
            </w:pPr>
            <w:r>
              <w:rPr>
                <w:noProof/>
                <w:lang w:eastAsia="en-AU"/>
              </w:rPr>
              <w:drawing>
                <wp:inline distT="0" distB="0" distL="0" distR="0" wp14:anchorId="040B8D5F" wp14:editId="4A3B15CE">
                  <wp:extent cx="481585" cy="234696"/>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7E4A3E" w14:paraId="7E065F84" w14:textId="77777777" w:rsidTr="00D653A7">
        <w:trPr>
          <w:trHeight w:hRule="exact" w:val="80"/>
        </w:trPr>
        <w:tc>
          <w:tcPr>
            <w:tcW w:w="5000" w:type="pct"/>
            <w:shd w:val="pct12" w:color="auto" w:fill="auto"/>
          </w:tcPr>
          <w:p w14:paraId="44294344" w14:textId="77777777" w:rsidR="007E4A3E" w:rsidRDefault="007E4A3E">
            <w:pPr>
              <w:spacing w:before="160"/>
            </w:pPr>
            <w:r>
              <w:t xml:space="preserve"> </w:t>
            </w:r>
          </w:p>
        </w:tc>
      </w:tr>
    </w:tbl>
    <w:p w14:paraId="558B46A9" w14:textId="77777777" w:rsidR="002622BA" w:rsidRDefault="002622BA" w:rsidP="00860168">
      <w:pPr>
        <w:pStyle w:val="Heading3"/>
      </w:pPr>
      <w:r>
        <w:t>Risk based approaches to regulation</w:t>
      </w:r>
    </w:p>
    <w:p w14:paraId="5B229709" w14:textId="77777777" w:rsidR="00F94FC3" w:rsidRDefault="00F94FC3" w:rsidP="00F94FC3">
      <w:pPr>
        <w:pStyle w:val="BodyText"/>
      </w:pPr>
      <w:r>
        <w:t xml:space="preserve">The </w:t>
      </w:r>
      <w:r w:rsidR="00E35917">
        <w:t xml:space="preserve">Australian </w:t>
      </w:r>
      <w:r w:rsidR="00770DF6">
        <w:t>G</w:t>
      </w:r>
      <w:r>
        <w:t xml:space="preserve">overnment has placed significant emphasis on the importance of reducing the regulatory burden for businesses in Australia. </w:t>
      </w:r>
      <w:r w:rsidR="00E35917">
        <w:t>The</w:t>
      </w:r>
      <w:r>
        <w:t xml:space="preserve"> recent Industry Innovation and Competitiveness Agenda</w:t>
      </w:r>
      <w:r w:rsidR="00E35917">
        <w:t>,</w:t>
      </w:r>
      <w:r>
        <w:t xml:space="preserve"> for example, committed to </w:t>
      </w:r>
      <w:r w:rsidR="008D7462">
        <w:t>pursuing “</w:t>
      </w:r>
      <w:r>
        <w:t>a lower cost, business friendly environment with less regulation, lower taxes and more</w:t>
      </w:r>
      <w:r w:rsidR="008D7462">
        <w:t xml:space="preserve"> competitive markets.”</w:t>
      </w:r>
    </w:p>
    <w:p w14:paraId="590925B6" w14:textId="77777777" w:rsidR="002622BA" w:rsidRDefault="008D7462" w:rsidP="002622BA">
      <w:pPr>
        <w:pStyle w:val="BodyText"/>
      </w:pPr>
      <w:r>
        <w:t xml:space="preserve">In the agreed principles underpinning VET reform, the government similarly committed to </w:t>
      </w:r>
      <w:r w:rsidR="00A74BCE" w:rsidRPr="002622BA">
        <w:rPr>
          <w:i/>
        </w:rPr>
        <w:t>a</w:t>
      </w:r>
      <w:r w:rsidR="002622BA" w:rsidRPr="002622BA">
        <w:rPr>
          <w:i/>
        </w:rPr>
        <w:t xml:space="preserve"> modern and responsive national regulatory system that applies a risk-management approach and supports a competitive and well-functioning market</w:t>
      </w:r>
      <w:r>
        <w:rPr>
          <w:i/>
        </w:rPr>
        <w:t xml:space="preserve">. </w:t>
      </w:r>
      <w:r>
        <w:t>Aspects of this approach have already been implemented with changes to how the national VET regulator – ASQA – goes about its role.</w:t>
      </w:r>
      <w:r w:rsidR="00860168">
        <w:t xml:space="preserve"> Characteristics of this revised approach include:</w:t>
      </w:r>
    </w:p>
    <w:p w14:paraId="4EF8911B" w14:textId="77777777" w:rsidR="00860168" w:rsidRDefault="00BB4B59" w:rsidP="00860168">
      <w:pPr>
        <w:pStyle w:val="ListDash"/>
      </w:pPr>
      <w:r>
        <w:t>An earned autonomy model which allows high performing RTOs to manage their own scope of registration</w:t>
      </w:r>
      <w:r w:rsidR="00BB0212">
        <w:t>.</w:t>
      </w:r>
    </w:p>
    <w:p w14:paraId="30E3986B" w14:textId="77777777" w:rsidR="00BB4B59" w:rsidRDefault="00BB4B59" w:rsidP="00860168">
      <w:pPr>
        <w:pStyle w:val="ListDash"/>
      </w:pPr>
      <w:r>
        <w:t>The removal of financial viability risk assessments for existing providers</w:t>
      </w:r>
      <w:r w:rsidR="00BB0212">
        <w:t>.</w:t>
      </w:r>
    </w:p>
    <w:p w14:paraId="265B1205" w14:textId="77777777" w:rsidR="00BB4B59" w:rsidRDefault="00BB4B59" w:rsidP="00860168">
      <w:pPr>
        <w:pStyle w:val="ListDash"/>
      </w:pPr>
      <w:r>
        <w:t>Streamlining of VET data reporting requirements</w:t>
      </w:r>
      <w:r w:rsidR="00BB0212">
        <w:t>.</w:t>
      </w:r>
    </w:p>
    <w:p w14:paraId="0ECF18CB" w14:textId="77777777" w:rsidR="00860168" w:rsidRDefault="00BB4B59" w:rsidP="00843CBD">
      <w:pPr>
        <w:pStyle w:val="ListDash"/>
      </w:pPr>
      <w:r>
        <w:t xml:space="preserve">Implementation of a </w:t>
      </w:r>
      <w:r w:rsidR="00E663A8">
        <w:t>risk-based approach that identifies those factors most critical to ensuring quality outcomes for students, and targeting providers that pose the greatest risk to delivering those outcomes.</w:t>
      </w:r>
    </w:p>
    <w:p w14:paraId="39F6E875" w14:textId="77777777" w:rsidR="00860168" w:rsidRDefault="008D7462">
      <w:pPr>
        <w:pStyle w:val="BodyText"/>
      </w:pPr>
      <w:r>
        <w:t xml:space="preserve">Calls from both AMEP and SEE providers for the reporting burden to be reduced should </w:t>
      </w:r>
      <w:r w:rsidR="00AB0051">
        <w:t>be considered alongside</w:t>
      </w:r>
      <w:r>
        <w:t xml:space="preserve"> </w:t>
      </w:r>
      <w:r w:rsidR="00DE3D92">
        <w:t>the G</w:t>
      </w:r>
      <w:r>
        <w:t>overnment’s agenda to reduce red tape</w:t>
      </w:r>
      <w:r w:rsidR="00AB0051">
        <w:t xml:space="preserve">. As such, </w:t>
      </w:r>
      <w:r>
        <w:t xml:space="preserve">programme administrators should carefully consider the options for streamlining the monitoring, reporting and performance management systems canvassed in the AMEP and SEE </w:t>
      </w:r>
      <w:r w:rsidR="00492999">
        <w:t xml:space="preserve">Programme </w:t>
      </w:r>
      <w:r>
        <w:t xml:space="preserve">Evaluation Reports, including any potential overlaps with ASQA and/or NEAS accreditation systems. </w:t>
      </w:r>
      <w:r w:rsidR="00AB0051">
        <w:t>Consideration should also be given to</w:t>
      </w:r>
      <w:r w:rsidR="00860168">
        <w:t>:</w:t>
      </w:r>
    </w:p>
    <w:p w14:paraId="504099A2" w14:textId="519CDE51" w:rsidR="00E663A8" w:rsidRDefault="00E663A8" w:rsidP="00860168">
      <w:pPr>
        <w:pStyle w:val="ListDash"/>
      </w:pPr>
      <w:r>
        <w:t xml:space="preserve">Improving the alignment and consistency of provider performance management, reporting and compliance between the AMEP and </w:t>
      </w:r>
      <w:r w:rsidR="00AE13AC">
        <w:t>SEE programme</w:t>
      </w:r>
      <w:r>
        <w:t xml:space="preserve"> to both increase the</w:t>
      </w:r>
      <w:r w:rsidR="00AB0051">
        <w:t>ir</w:t>
      </w:r>
      <w:r>
        <w:t xml:space="preserve"> effectiveness and minimise duplication for dual providers</w:t>
      </w:r>
      <w:r w:rsidR="00BB0212">
        <w:t>.</w:t>
      </w:r>
    </w:p>
    <w:p w14:paraId="5952C07B" w14:textId="77777777" w:rsidR="00860168" w:rsidRDefault="00AB0051" w:rsidP="00860168">
      <w:pPr>
        <w:pStyle w:val="ListDash"/>
      </w:pPr>
      <w:r>
        <w:t>D</w:t>
      </w:r>
      <w:r w:rsidR="00E663A8">
        <w:t>evelop</w:t>
      </w:r>
      <w:r>
        <w:t>ment of</w:t>
      </w:r>
      <w:r w:rsidR="00E663A8">
        <w:t xml:space="preserve"> r</w:t>
      </w:r>
      <w:r w:rsidR="008D7462">
        <w:t>isk-based approaches to provider quality assur</w:t>
      </w:r>
      <w:r w:rsidR="00860168">
        <w:t>ance and performance management consistent with the recent changes to the approaches taken in the regulation</w:t>
      </w:r>
      <w:r w:rsidR="00D5601E">
        <w:t xml:space="preserve"> </w:t>
      </w:r>
      <w:r w:rsidR="00860168">
        <w:t>of the broader VET sector</w:t>
      </w:r>
      <w:r w:rsidR="00E663A8">
        <w:t>.</w:t>
      </w:r>
    </w:p>
    <w:p w14:paraId="56AF0659" w14:textId="64602760" w:rsidR="00860168" w:rsidRPr="008D7462" w:rsidRDefault="00EB359B" w:rsidP="002622BA">
      <w:pPr>
        <w:pStyle w:val="BodyText"/>
      </w:pPr>
      <w:r>
        <w:t xml:space="preserve">As a first step, </w:t>
      </w:r>
      <w:r w:rsidR="00A20395">
        <w:t>the AMEP</w:t>
      </w:r>
      <w:r w:rsidR="00E663A8">
        <w:t xml:space="preserve"> and </w:t>
      </w:r>
      <w:r w:rsidR="00AE13AC">
        <w:t>SEE programme</w:t>
      </w:r>
      <w:r w:rsidR="00E663A8">
        <w:t xml:space="preserve"> </w:t>
      </w:r>
      <w:r w:rsidR="00AB0051">
        <w:t xml:space="preserve">should </w:t>
      </w:r>
      <w:r w:rsidR="00E663A8">
        <w:t>jointly commission</w:t>
      </w:r>
      <w:r>
        <w:t xml:space="preserve"> research and advice into both these areas. Any proposed improvements </w:t>
      </w:r>
      <w:r w:rsidR="00D5601E">
        <w:t xml:space="preserve">could </w:t>
      </w:r>
      <w:r>
        <w:t xml:space="preserve">then </w:t>
      </w:r>
      <w:r w:rsidR="00D5601E">
        <w:t>be developed and implemented in future contracting rounds.</w:t>
      </w:r>
    </w:p>
    <w:tbl>
      <w:tblPr>
        <w:tblW w:w="5000" w:type="pct"/>
        <w:tblInd w:w="57" w:type="dxa"/>
        <w:tblLayout w:type="fixed"/>
        <w:tblCellMar>
          <w:left w:w="142" w:type="dxa"/>
          <w:right w:w="142" w:type="dxa"/>
        </w:tblCellMar>
        <w:tblLook w:val="0000" w:firstRow="0" w:lastRow="0" w:firstColumn="0" w:lastColumn="0" w:noHBand="0" w:noVBand="0"/>
      </w:tblPr>
      <w:tblGrid>
        <w:gridCol w:w="7372"/>
      </w:tblGrid>
      <w:tr w:rsidR="00820582" w14:paraId="1A8D2D42" w14:textId="77777777" w:rsidTr="002657DB">
        <w:tc>
          <w:tcPr>
            <w:tcW w:w="5000" w:type="pct"/>
            <w:shd w:val="pct12" w:color="auto" w:fill="auto"/>
          </w:tcPr>
          <w:p w14:paraId="1393721B" w14:textId="77777777" w:rsidR="00820582" w:rsidRDefault="00820582" w:rsidP="002657DB">
            <w:pPr>
              <w:pStyle w:val="Caption"/>
              <w:spacing w:before="120" w:after="60"/>
              <w:ind w:left="1112" w:hanging="1112"/>
              <w:rPr>
                <w:rFonts w:ascii="Arial Bold" w:hAnsi="Arial Bold"/>
                <w:color w:val="000080"/>
              </w:rPr>
            </w:pPr>
            <w:r>
              <w:lastRenderedPageBreak/>
              <w:t xml:space="preserve">Recommendation </w:t>
            </w:r>
            <w:r w:rsidR="00902F05">
              <w:fldChar w:fldCharType="begin"/>
            </w:r>
            <w:r w:rsidR="00902F05">
              <w:instrText xml:space="preserve"> S</w:instrText>
            </w:r>
            <w:r w:rsidR="00902F05">
              <w:instrText xml:space="preserve">EQ Recommendation \* ARABIC </w:instrText>
            </w:r>
            <w:r w:rsidR="00902F05">
              <w:fldChar w:fldCharType="separate"/>
            </w:r>
            <w:r w:rsidR="00902F05">
              <w:rPr>
                <w:noProof/>
              </w:rPr>
              <w:t>10</w:t>
            </w:r>
            <w:r w:rsidR="00902F05">
              <w:rPr>
                <w:noProof/>
              </w:rPr>
              <w:fldChar w:fldCharType="end"/>
            </w:r>
          </w:p>
        </w:tc>
      </w:tr>
      <w:tr w:rsidR="00820582" w14:paraId="1E1BF8EE" w14:textId="77777777" w:rsidTr="002657DB">
        <w:tc>
          <w:tcPr>
            <w:tcW w:w="5000" w:type="pct"/>
            <w:shd w:val="pct12" w:color="auto" w:fill="auto"/>
          </w:tcPr>
          <w:p w14:paraId="350E0057" w14:textId="03A018F7" w:rsidR="008C5FFB" w:rsidRDefault="00890985" w:rsidP="00B1278B">
            <w:pPr>
              <w:pStyle w:val="BoxText"/>
            </w:pPr>
            <w:r w:rsidRPr="00890985">
              <w:t xml:space="preserve">In line with the </w:t>
            </w:r>
            <w:r w:rsidR="00770DF6">
              <w:t>Australian G</w:t>
            </w:r>
            <w:r w:rsidRPr="00890985">
              <w:t xml:space="preserve">overnment’s agenda to reduce </w:t>
            </w:r>
            <w:r w:rsidR="00FB773E">
              <w:t>the regulatory burden</w:t>
            </w:r>
            <w:r w:rsidRPr="00890985">
              <w:t xml:space="preserve">, </w:t>
            </w:r>
            <w:r w:rsidR="00A20395">
              <w:t>the AMEP</w:t>
            </w:r>
            <w:r w:rsidRPr="00890985">
              <w:t xml:space="preserve"> and </w:t>
            </w:r>
            <w:r w:rsidR="00D30F30">
              <w:t>the SEE programme</w:t>
            </w:r>
            <w:r w:rsidRPr="00890985">
              <w:t xml:space="preserve"> should consider options for streamlining the</w:t>
            </w:r>
            <w:r w:rsidR="003C359D">
              <w:t>ir</w:t>
            </w:r>
            <w:r w:rsidRPr="00890985">
              <w:t xml:space="preserve"> monitoring, reporting and performance management systems</w:t>
            </w:r>
            <w:r w:rsidR="003C359D">
              <w:t>,</w:t>
            </w:r>
            <w:r w:rsidRPr="00890985">
              <w:t xml:space="preserve"> as outlined in the AMEP </w:t>
            </w:r>
            <w:r w:rsidR="00612B16">
              <w:t>Evaluation Report</w:t>
            </w:r>
            <w:r w:rsidR="00612B16" w:rsidRPr="00890985">
              <w:t xml:space="preserve"> </w:t>
            </w:r>
            <w:r w:rsidRPr="00890985">
              <w:t xml:space="preserve">and </w:t>
            </w:r>
            <w:r w:rsidR="00612B16">
              <w:t xml:space="preserve">the </w:t>
            </w:r>
            <w:r w:rsidR="00AE13AC">
              <w:t xml:space="preserve">SEE </w:t>
            </w:r>
            <w:r w:rsidR="00612B16">
              <w:t>P</w:t>
            </w:r>
            <w:r w:rsidR="00AE13AC">
              <w:t>rogramme</w:t>
            </w:r>
            <w:r w:rsidR="00BB0212">
              <w:t xml:space="preserve"> </w:t>
            </w:r>
            <w:r w:rsidR="00612B16">
              <w:t>Evaluation Report</w:t>
            </w:r>
            <w:r w:rsidRPr="00890985">
              <w:t xml:space="preserve">. </w:t>
            </w:r>
          </w:p>
          <w:p w14:paraId="752FC864" w14:textId="65347CE2" w:rsidR="00EB359B" w:rsidRDefault="00890985" w:rsidP="00B1278B">
            <w:pPr>
              <w:pStyle w:val="BoxText"/>
            </w:pPr>
            <w:r w:rsidRPr="00890985">
              <w:t xml:space="preserve">This should include the </w:t>
            </w:r>
            <w:r w:rsidR="00651EA7">
              <w:t>expansion</w:t>
            </w:r>
            <w:r w:rsidRPr="00890985">
              <w:t xml:space="preserve"> of risk-based approaches to provider quality assurance and performance management</w:t>
            </w:r>
            <w:r w:rsidR="00D5068B">
              <w:t>,</w:t>
            </w:r>
            <w:r w:rsidRPr="00890985">
              <w:t xml:space="preserve"> consistent with the recent changes in the regulation of the broader VET sector.</w:t>
            </w:r>
          </w:p>
          <w:p w14:paraId="4527ACC6" w14:textId="77777777" w:rsidR="00820582" w:rsidRDefault="00820582" w:rsidP="002657DB">
            <w:pPr>
              <w:pStyle w:val="SmallDeltasRightAligned"/>
            </w:pPr>
            <w:r>
              <w:rPr>
                <w:noProof/>
                <w:lang w:eastAsia="en-AU"/>
              </w:rPr>
              <w:drawing>
                <wp:inline distT="0" distB="0" distL="0" distR="0" wp14:anchorId="57C064B0" wp14:editId="0AE3A083">
                  <wp:extent cx="481585" cy="234696"/>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_TRANS Small - Da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1585" cy="234696"/>
                          </a:xfrm>
                          <a:prstGeom prst="rect">
                            <a:avLst/>
                          </a:prstGeom>
                        </pic:spPr>
                      </pic:pic>
                    </a:graphicData>
                  </a:graphic>
                </wp:inline>
              </w:drawing>
            </w:r>
          </w:p>
        </w:tc>
      </w:tr>
      <w:tr w:rsidR="00820582" w14:paraId="7DA69273" w14:textId="77777777" w:rsidTr="002657DB">
        <w:trPr>
          <w:trHeight w:hRule="exact" w:val="80"/>
        </w:trPr>
        <w:tc>
          <w:tcPr>
            <w:tcW w:w="5000" w:type="pct"/>
            <w:shd w:val="pct12" w:color="auto" w:fill="auto"/>
          </w:tcPr>
          <w:p w14:paraId="32298380" w14:textId="77777777" w:rsidR="00820582" w:rsidRDefault="00820582">
            <w:pPr>
              <w:spacing w:before="160"/>
            </w:pPr>
            <w:r>
              <w:t xml:space="preserve"> </w:t>
            </w:r>
          </w:p>
        </w:tc>
      </w:tr>
    </w:tbl>
    <w:p w14:paraId="7A4D3485" w14:textId="77777777" w:rsidR="002657DB" w:rsidRDefault="002657DB" w:rsidP="002657DB">
      <w:pPr>
        <w:pStyle w:val="BodyText"/>
      </w:pPr>
    </w:p>
    <w:p w14:paraId="7EE4BE22" w14:textId="77777777" w:rsidR="0013380C" w:rsidRPr="00666915" w:rsidRDefault="0013380C" w:rsidP="0071501F">
      <w:pPr>
        <w:pStyle w:val="BodyText"/>
      </w:pPr>
    </w:p>
    <w:p w14:paraId="285F2D3E" w14:textId="77777777" w:rsidR="00A8047F" w:rsidRDefault="0071501F" w:rsidP="00EA7FD7">
      <w:pPr>
        <w:pStyle w:val="Heading1"/>
        <w:numPr>
          <w:ilvl w:val="0"/>
          <w:numId w:val="0"/>
        </w:numPr>
        <w:ind w:left="902" w:hanging="902"/>
      </w:pPr>
      <w:bookmarkStart w:id="71" w:name="_Toc420078553"/>
      <w:r>
        <w:lastRenderedPageBreak/>
        <w:t>R</w:t>
      </w:r>
      <w:r w:rsidR="00A8047F">
        <w:t>eferences</w:t>
      </w:r>
      <w:bookmarkEnd w:id="71"/>
    </w:p>
    <w:p w14:paraId="665765FC" w14:textId="77777777" w:rsidR="00F71106" w:rsidRDefault="00F71106" w:rsidP="00A8047F">
      <w:pPr>
        <w:pStyle w:val="BodyText"/>
      </w:pPr>
      <w:r w:rsidRPr="00F71106">
        <w:t xml:space="preserve">Department of Industry 2014, “Summary of Eligibility Criteria 2013-16”, Available from &lt;http://www.industry.gov.au/skills/ProgrammesandAssistance/SEE/Pages/Summary-of-Eligibility-Criteria-2013-16.aspx&gt;, Accessed </w:t>
      </w:r>
      <w:r w:rsidR="00AD2A56">
        <w:t>3</w:t>
      </w:r>
      <w:r w:rsidRPr="00F71106">
        <w:t xml:space="preserve"> </w:t>
      </w:r>
      <w:r w:rsidR="00AD2A56">
        <w:t>December 2014</w:t>
      </w:r>
      <w:r w:rsidRPr="00F71106">
        <w:t>.</w:t>
      </w:r>
    </w:p>
    <w:p w14:paraId="41F052CF" w14:textId="77777777" w:rsidR="00F71106" w:rsidRDefault="00F71106" w:rsidP="00A8047F">
      <w:pPr>
        <w:pStyle w:val="BodyText"/>
      </w:pPr>
    </w:p>
    <w:p w14:paraId="3BA59602" w14:textId="77777777" w:rsidR="00EA7FD7" w:rsidRDefault="00EA7FD7" w:rsidP="00EA7FD7">
      <w:pPr>
        <w:pStyle w:val="BodyText"/>
        <w:sectPr w:rsidR="00EA7FD7" w:rsidSect="009318A4">
          <w:headerReference w:type="even" r:id="rId51"/>
          <w:headerReference w:type="default" r:id="rId52"/>
          <w:footerReference w:type="even" r:id="rId53"/>
          <w:footerReference w:type="default" r:id="rId54"/>
          <w:headerReference w:type="first" r:id="rId55"/>
          <w:footerReference w:type="first" r:id="rId56"/>
          <w:pgSz w:w="11907" w:h="16839" w:code="9"/>
          <w:pgMar w:top="1134" w:right="850" w:bottom="907" w:left="3118" w:header="709" w:footer="567" w:gutter="567"/>
          <w:pgNumType w:start="1"/>
          <w:cols w:space="720"/>
          <w:docGrid w:linePitch="326"/>
        </w:sectPr>
      </w:pPr>
    </w:p>
    <w:p w14:paraId="5A789727" w14:textId="77777777" w:rsidR="00EE59E7" w:rsidRDefault="00F879A1" w:rsidP="00EE59E7">
      <w:pPr>
        <w:pStyle w:val="Heading7"/>
      </w:pPr>
      <w:bookmarkStart w:id="72" w:name="_Toc420078554"/>
      <w:r>
        <w:lastRenderedPageBreak/>
        <w:t>Mapping outcomes to the Australian Core Skills Framework</w:t>
      </w:r>
      <w:bookmarkEnd w:id="72"/>
    </w:p>
    <w:p w14:paraId="5F4B977F" w14:textId="77777777" w:rsidR="001C58D2" w:rsidRDefault="001C58D2" w:rsidP="00984B16">
      <w:pPr>
        <w:pStyle w:val="BodyText"/>
      </w:pPr>
      <w:r>
        <w:t>The acronyms used in this appendix are as follows:</w:t>
      </w:r>
    </w:p>
    <w:p w14:paraId="71FFC54A" w14:textId="77777777" w:rsidR="00984B16" w:rsidRDefault="00984B16" w:rsidP="00907436">
      <w:pPr>
        <w:pStyle w:val="ListDash"/>
      </w:pPr>
      <w:r>
        <w:t>ACSF: Australian Core Skills Framework</w:t>
      </w:r>
    </w:p>
    <w:p w14:paraId="7C40A622" w14:textId="77777777" w:rsidR="00984B16" w:rsidRDefault="00984B16" w:rsidP="00907436">
      <w:pPr>
        <w:pStyle w:val="ListDash"/>
      </w:pPr>
      <w:r>
        <w:t>CSWF: Certificate in Spoken and Written English</w:t>
      </w:r>
    </w:p>
    <w:p w14:paraId="5732691A" w14:textId="77777777" w:rsidR="00984B16" w:rsidRDefault="00984B16" w:rsidP="00907436">
      <w:pPr>
        <w:pStyle w:val="ListDash"/>
      </w:pPr>
      <w:r>
        <w:t>IELTS: International English Language Testing System</w:t>
      </w:r>
    </w:p>
    <w:p w14:paraId="43F6E2F0" w14:textId="77777777" w:rsidR="00984B16" w:rsidRDefault="00984B16" w:rsidP="00907436">
      <w:pPr>
        <w:pStyle w:val="ListDash"/>
      </w:pPr>
      <w:r>
        <w:t>ISLPR: International Second Language Proficiency Ratings</w:t>
      </w:r>
    </w:p>
    <w:p w14:paraId="716CD884" w14:textId="77777777" w:rsidR="00984B16" w:rsidRDefault="00984B16" w:rsidP="00907436">
      <w:pPr>
        <w:pStyle w:val="ListDash"/>
      </w:pPr>
      <w:r>
        <w:t>TOEFL: Test of English as a Foreign Language</w:t>
      </w:r>
    </w:p>
    <w:p w14:paraId="77BB3D28" w14:textId="77777777" w:rsidR="00984B16" w:rsidRDefault="00984B16" w:rsidP="00907436">
      <w:pPr>
        <w:pStyle w:val="ListDash"/>
      </w:pPr>
      <w:r>
        <w:t>CLB: Canadian Language Benchmarks (English as a Second Language)</w:t>
      </w:r>
    </w:p>
    <w:p w14:paraId="65261573" w14:textId="77777777" w:rsidR="00984B16" w:rsidRDefault="00984B16" w:rsidP="00907436">
      <w:pPr>
        <w:pStyle w:val="ListDash"/>
      </w:pPr>
      <w:r>
        <w:t>CGEA: Certificate in General Education for Adults</w:t>
      </w:r>
      <w:r w:rsidR="001C58D2">
        <w:t>.</w:t>
      </w:r>
    </w:p>
    <w:p w14:paraId="0111C89A" w14:textId="77777777" w:rsidR="00984B16" w:rsidRDefault="00984B16" w:rsidP="00F879A1">
      <w:pPr>
        <w:pStyle w:val="Heading3nonumber"/>
      </w:pPr>
      <w:r>
        <w:t>Notes on preliminary mapping</w:t>
      </w:r>
    </w:p>
    <w:p w14:paraId="22497E09" w14:textId="52A89BF7" w:rsidR="00984B16" w:rsidRDefault="00984B16" w:rsidP="00F879A1">
      <w:pPr>
        <w:pStyle w:val="ListDash"/>
      </w:pPr>
      <w:r>
        <w:t xml:space="preserve">The </w:t>
      </w:r>
      <w:r w:rsidR="00AE13AC">
        <w:t>SEE programme</w:t>
      </w:r>
      <w:r w:rsidR="00B1278B">
        <w:t xml:space="preserve"> </w:t>
      </w:r>
      <w:r>
        <w:t xml:space="preserve">records student outcomes according to the ACSF while </w:t>
      </w:r>
      <w:r w:rsidR="00A20395">
        <w:t>the AMEP</w:t>
      </w:r>
      <w:r>
        <w:t xml:space="preserve"> maps attainment according to the CSWE.</w:t>
      </w:r>
    </w:p>
    <w:p w14:paraId="7874DAB0" w14:textId="77777777" w:rsidR="00984B16" w:rsidRDefault="00984B16" w:rsidP="00F879A1">
      <w:pPr>
        <w:pStyle w:val="ListDash"/>
      </w:pPr>
      <w:r>
        <w:t>The CSWE and the CGEA have been mapped to the ACSF.</w:t>
      </w:r>
    </w:p>
    <w:p w14:paraId="35F678DA" w14:textId="77777777" w:rsidR="00984B16" w:rsidRDefault="00984B16" w:rsidP="00F879A1">
      <w:pPr>
        <w:pStyle w:val="ListDash"/>
      </w:pPr>
      <w:r>
        <w:t>IELTS has been informally mapped to CSWE</w:t>
      </w:r>
      <w:r w:rsidR="00BB0212">
        <w:t>.</w:t>
      </w:r>
    </w:p>
    <w:p w14:paraId="4B871C6F" w14:textId="77777777" w:rsidR="00984B16" w:rsidRDefault="00984B16" w:rsidP="00F879A1">
      <w:pPr>
        <w:pStyle w:val="ListDash"/>
      </w:pPr>
      <w:r>
        <w:t>ISLPR, TOEFL and CLB are mapped to IELTS, not the ACSF, CSWE or CGEA.</w:t>
      </w:r>
    </w:p>
    <w:p w14:paraId="195AB4FB" w14:textId="77777777" w:rsidR="00984B16" w:rsidRDefault="00984B16" w:rsidP="00F879A1">
      <w:pPr>
        <w:pStyle w:val="Heading3nonumber"/>
      </w:pPr>
      <w:r>
        <w:t>Proficiency requirements</w:t>
      </w:r>
    </w:p>
    <w:p w14:paraId="47DDAED1" w14:textId="77777777" w:rsidR="00984B16" w:rsidRDefault="00984B16" w:rsidP="00984B16">
      <w:pPr>
        <w:pStyle w:val="BodyText"/>
      </w:pPr>
      <w:r>
        <w:t>The Department of Immigration and Border Protection accepts IELTS Level 6 for each of speaking, reading, listening and writing as proof of competency in English.</w:t>
      </w:r>
    </w:p>
    <w:p w14:paraId="1E885328" w14:textId="29743916" w:rsidR="00984B16" w:rsidRDefault="00495536" w:rsidP="00984B16">
      <w:pPr>
        <w:pStyle w:val="BodyText"/>
      </w:pPr>
      <w:r>
        <w:t xml:space="preserve">The equivalent programme to </w:t>
      </w:r>
      <w:r w:rsidR="00A20395">
        <w:t>the AMEP</w:t>
      </w:r>
      <w:r>
        <w:t xml:space="preserve"> in Canada is the Language Instruction for Newcomers to Canada (LINC) program</w:t>
      </w:r>
      <w:r w:rsidR="006C7B38">
        <w:t>me</w:t>
      </w:r>
      <w:r>
        <w:t xml:space="preserve">. </w:t>
      </w:r>
      <w:r w:rsidR="00984B16">
        <w:t>Canadian citizenship requires applicants to meet at least CLB 4; exit from LINC is at CLB 6, attainment of citizenship or after three years participation (whichever is first).</w:t>
      </w:r>
    </w:p>
    <w:p w14:paraId="6EEAE717" w14:textId="77777777" w:rsidR="00984B16" w:rsidRDefault="00984B16" w:rsidP="00984B16">
      <w:pPr>
        <w:pStyle w:val="BodyText"/>
      </w:pPr>
      <w:r>
        <w:t xml:space="preserve">Language requirements for licensed professions (accountancy, nursing, medicine, law </w:t>
      </w:r>
      <w:r w:rsidR="000B6F86">
        <w:t>etc.</w:t>
      </w:r>
      <w:r>
        <w:t>) usually require higher levels of attainment for admission to the profession. IELTS guidance on this matter indicates that Bands 7.5-9.0 are acceptable for academic courses such as medicine, law or language intensive courses such as linguistics, journalism etc. Level 7.0 is usually acceptable for all other higher education courses. Vocational training courses tend to require Levels 6.0 – 6.5</w:t>
      </w:r>
      <w:r w:rsidR="00D54BA4">
        <w:t>.</w:t>
      </w:r>
    </w:p>
    <w:p w14:paraId="44B05B16" w14:textId="77777777" w:rsidR="00984B16" w:rsidRDefault="00984B16" w:rsidP="00F879A1">
      <w:pPr>
        <w:pStyle w:val="Heading3nonumber"/>
      </w:pPr>
      <w:r>
        <w:t>Sources of information</w:t>
      </w:r>
    </w:p>
    <w:p w14:paraId="3CA32D0A" w14:textId="77777777" w:rsidR="00984B16" w:rsidRDefault="00984B16" w:rsidP="00984B16">
      <w:pPr>
        <w:pStyle w:val="BodyText"/>
      </w:pPr>
      <w:r>
        <w:t>Main source of information on CSWE and ACSF concordance: AMES curriculum licence information at http://ames.edu.au/curriculum-licences/cswe-licences.aspx. Viewed 7 November 2014.</w:t>
      </w:r>
    </w:p>
    <w:p w14:paraId="5B03AE80" w14:textId="77777777" w:rsidR="00984B16" w:rsidRDefault="00984B16" w:rsidP="00984B16">
      <w:pPr>
        <w:pStyle w:val="BodyText"/>
      </w:pPr>
      <w:r>
        <w:t>Mapping of CGEA to ACSF: Implementation guide: Certificates in General Education for Adults, Department of Education and Early Childhood Development, Melbourne, 2014.</w:t>
      </w:r>
    </w:p>
    <w:p w14:paraId="374A447C" w14:textId="77777777" w:rsidR="00984B16" w:rsidRDefault="00984B16" w:rsidP="00984B16">
      <w:pPr>
        <w:pStyle w:val="BodyText"/>
      </w:pPr>
      <w:r>
        <w:t>http://islpr.org/why-use-islpr/summary-of-islpr/, viewed 10 November 2014</w:t>
      </w:r>
    </w:p>
    <w:p w14:paraId="373216AC" w14:textId="77777777" w:rsidR="00984B16" w:rsidRDefault="00984B16" w:rsidP="00984B16">
      <w:pPr>
        <w:pStyle w:val="BodyText"/>
      </w:pPr>
      <w:r>
        <w:t>http://www.ielts.org/institutions/test_format_and_results/ielts_band_scores.aspx, viewed 10 November 2014</w:t>
      </w:r>
    </w:p>
    <w:p w14:paraId="179CA538" w14:textId="77777777" w:rsidR="00EE59E7" w:rsidRPr="00EE59E7" w:rsidRDefault="00984B16" w:rsidP="00EE59E7">
      <w:pPr>
        <w:pStyle w:val="BodyText"/>
      </w:pPr>
      <w:r>
        <w:t>Canadian Language Benchmarks 2012 edition.</w:t>
      </w:r>
    </w:p>
    <w:p w14:paraId="6F7B1BEC" w14:textId="77777777" w:rsidR="00A8047F" w:rsidRDefault="00A8047F" w:rsidP="00A8047F">
      <w:pPr>
        <w:pStyle w:val="BodyText"/>
      </w:pPr>
    </w:p>
    <w:p w14:paraId="60EB30FB" w14:textId="77777777" w:rsidR="00F879A1" w:rsidRDefault="00F879A1" w:rsidP="00A8047F">
      <w:pPr>
        <w:pStyle w:val="BodyText"/>
        <w:sectPr w:rsidR="00F879A1" w:rsidSect="00A8047F">
          <w:headerReference w:type="even" r:id="rId57"/>
          <w:headerReference w:type="default" r:id="rId58"/>
          <w:footerReference w:type="even" r:id="rId59"/>
          <w:footerReference w:type="default" r:id="rId60"/>
          <w:headerReference w:type="first" r:id="rId61"/>
          <w:footerReference w:type="first" r:id="rId62"/>
          <w:pgSz w:w="11907" w:h="16839" w:code="9"/>
          <w:pgMar w:top="1134" w:right="850" w:bottom="907" w:left="3118" w:header="709" w:footer="567" w:gutter="567"/>
          <w:pgNumType w:start="1" w:chapStyle="7"/>
          <w:cols w:space="720"/>
          <w:docGrid w:linePitch="326"/>
        </w:sectPr>
      </w:pPr>
    </w:p>
    <w:p w14:paraId="39C2FDF4" w14:textId="77777777" w:rsidR="00F879A1" w:rsidRDefault="00F879A1" w:rsidP="00F879A1">
      <w:pPr>
        <w:pStyle w:val="Caption"/>
      </w:pPr>
      <w:bookmarkStart w:id="73" w:name="_Toc420078568"/>
      <w:r>
        <w:lastRenderedPageBreak/>
        <w:t xml:space="preserve">Table </w:t>
      </w:r>
      <w:r w:rsidR="00902F05">
        <w:fldChar w:fldCharType="begin"/>
      </w:r>
      <w:r w:rsidR="00902F05">
        <w:instrText xml:space="preserve"> SEQ Table \* MERGEFORMAT </w:instrText>
      </w:r>
      <w:r w:rsidR="00902F05">
        <w:fldChar w:fldCharType="separate"/>
      </w:r>
      <w:r w:rsidR="00902F05">
        <w:rPr>
          <w:noProof/>
        </w:rPr>
        <w:t>3</w:t>
      </w:r>
      <w:r w:rsidR="00902F05">
        <w:rPr>
          <w:noProof/>
        </w:rPr>
        <w:fldChar w:fldCharType="end"/>
      </w:r>
      <w:r w:rsidRPr="00AA4DE8">
        <w:rPr>
          <w:b/>
          <w:color w:val="000000"/>
        </w:rPr>
        <w:tab/>
      </w:r>
      <w:r>
        <w:rPr>
          <w:b/>
          <w:color w:val="000000"/>
        </w:rPr>
        <w:t>Preliminary mapping of LLN and ESL courses and test bands to ACSF</w:t>
      </w:r>
      <w:bookmarkEnd w:id="73"/>
    </w:p>
    <w:tbl>
      <w:tblPr>
        <w:tblW w:w="4897" w:type="pct"/>
        <w:tblBorders>
          <w:bottom w:val="single" w:sz="2" w:space="0" w:color="C0C0C0"/>
          <w:insideH w:val="single" w:sz="2" w:space="0" w:color="C0C0C0"/>
        </w:tblBorders>
        <w:tblCellMar>
          <w:left w:w="142" w:type="dxa"/>
          <w:right w:w="56" w:type="dxa"/>
        </w:tblCellMar>
        <w:tblLook w:val="0000" w:firstRow="0" w:lastRow="0" w:firstColumn="0" w:lastColumn="0" w:noHBand="0" w:noVBand="0"/>
      </w:tblPr>
      <w:tblGrid>
        <w:gridCol w:w="2153"/>
        <w:gridCol w:w="2153"/>
        <w:gridCol w:w="2157"/>
        <w:gridCol w:w="2157"/>
        <w:gridCol w:w="1586"/>
        <w:gridCol w:w="2411"/>
        <w:gridCol w:w="2154"/>
      </w:tblGrid>
      <w:tr w:rsidR="00F879A1" w14:paraId="5EABCD55" w14:textId="77777777" w:rsidTr="001F5F55">
        <w:trPr>
          <w:cantSplit/>
        </w:trPr>
        <w:tc>
          <w:tcPr>
            <w:tcW w:w="729" w:type="pct"/>
            <w:tcBorders>
              <w:top w:val="nil"/>
            </w:tcBorders>
            <w:shd w:val="solid" w:color="9757A6" w:fill="auto"/>
            <w:vAlign w:val="center"/>
          </w:tcPr>
          <w:p w14:paraId="08953B48" w14:textId="77777777" w:rsidR="00F879A1" w:rsidRDefault="00F879A1" w:rsidP="001F5F55">
            <w:pPr>
              <w:pStyle w:val="Tablecolumnheadings"/>
            </w:pPr>
            <w:r>
              <w:t>Australian Core Skills Framework (ACSF)</w:t>
            </w:r>
          </w:p>
        </w:tc>
        <w:tc>
          <w:tcPr>
            <w:tcW w:w="729" w:type="pct"/>
            <w:tcBorders>
              <w:top w:val="nil"/>
              <w:right w:val="nil"/>
            </w:tcBorders>
            <w:shd w:val="solid" w:color="9757A6" w:fill="auto"/>
            <w:vAlign w:val="center"/>
          </w:tcPr>
          <w:p w14:paraId="600FF120" w14:textId="77777777" w:rsidR="00F879A1" w:rsidRDefault="00F879A1" w:rsidP="001F5F55">
            <w:pPr>
              <w:pStyle w:val="Tablecolumnheadings"/>
            </w:pPr>
            <w:r>
              <w:t>Certificate in Spoken and Written English (CSWE)</w:t>
            </w:r>
          </w:p>
        </w:tc>
        <w:tc>
          <w:tcPr>
            <w:tcW w:w="730" w:type="pct"/>
            <w:tcBorders>
              <w:top w:val="nil"/>
              <w:left w:val="nil"/>
              <w:bottom w:val="nil"/>
            </w:tcBorders>
            <w:shd w:val="solid" w:color="9757A6" w:fill="auto"/>
            <w:vAlign w:val="center"/>
          </w:tcPr>
          <w:p w14:paraId="5EA24CC3" w14:textId="77777777" w:rsidR="00F879A1" w:rsidRDefault="00F879A1" w:rsidP="001F5F55">
            <w:pPr>
              <w:pStyle w:val="Tablecolumnheadings"/>
            </w:pPr>
            <w:r>
              <w:t>International English Language Testing System (IELTS)</w:t>
            </w:r>
          </w:p>
        </w:tc>
        <w:tc>
          <w:tcPr>
            <w:tcW w:w="730" w:type="pct"/>
            <w:tcBorders>
              <w:top w:val="nil"/>
            </w:tcBorders>
            <w:shd w:val="solid" w:color="9757A6" w:fill="auto"/>
            <w:vAlign w:val="center"/>
          </w:tcPr>
          <w:p w14:paraId="1367C383" w14:textId="77777777" w:rsidR="00F879A1" w:rsidRDefault="00F879A1" w:rsidP="001F5F55">
            <w:pPr>
              <w:pStyle w:val="Tablecolumnheadings"/>
            </w:pPr>
            <w:r>
              <w:t>International Second Language Proficiency Ratings (ISLPR) General</w:t>
            </w:r>
          </w:p>
        </w:tc>
        <w:tc>
          <w:tcPr>
            <w:tcW w:w="537" w:type="pct"/>
            <w:tcBorders>
              <w:top w:val="nil"/>
            </w:tcBorders>
            <w:shd w:val="solid" w:color="9757A6" w:fill="auto"/>
            <w:vAlign w:val="center"/>
          </w:tcPr>
          <w:p w14:paraId="0EC436EF" w14:textId="77777777" w:rsidR="00F879A1" w:rsidRDefault="00F879A1" w:rsidP="001F5F55">
            <w:pPr>
              <w:pStyle w:val="Tablecolumnheadings"/>
            </w:pPr>
            <w:r>
              <w:t>Test of English as a Foreign Language (TEOFL)</w:t>
            </w:r>
          </w:p>
        </w:tc>
        <w:tc>
          <w:tcPr>
            <w:tcW w:w="816" w:type="pct"/>
            <w:tcBorders>
              <w:top w:val="nil"/>
            </w:tcBorders>
            <w:shd w:val="solid" w:color="9757A6" w:fill="auto"/>
            <w:vAlign w:val="center"/>
          </w:tcPr>
          <w:p w14:paraId="187C2719" w14:textId="77777777" w:rsidR="00F879A1" w:rsidRDefault="00F879A1" w:rsidP="001F5F55">
            <w:pPr>
              <w:pStyle w:val="Tablecolumnheadings"/>
            </w:pPr>
            <w:r>
              <w:t>Canadian Language Benchmarks</w:t>
            </w:r>
          </w:p>
        </w:tc>
        <w:tc>
          <w:tcPr>
            <w:tcW w:w="729" w:type="pct"/>
            <w:tcBorders>
              <w:top w:val="nil"/>
              <w:left w:val="double" w:sz="4" w:space="0" w:color="A5A5A5" w:themeColor="accent3"/>
              <w:bottom w:val="nil"/>
              <w:right w:val="nil"/>
            </w:tcBorders>
            <w:shd w:val="solid" w:color="9757A6" w:fill="auto"/>
            <w:vAlign w:val="center"/>
          </w:tcPr>
          <w:p w14:paraId="6DF4AD5D" w14:textId="77777777" w:rsidR="00F879A1" w:rsidRDefault="00F879A1" w:rsidP="001F5F55">
            <w:pPr>
              <w:pStyle w:val="Tablecolumnheadings"/>
            </w:pPr>
            <w:r>
              <w:t>Certificate in General Education for Adults (CGEA)</w:t>
            </w:r>
          </w:p>
        </w:tc>
      </w:tr>
      <w:tr w:rsidR="00F879A1" w14:paraId="42ACD50E" w14:textId="77777777" w:rsidTr="001F5F55">
        <w:trPr>
          <w:cantSplit/>
        </w:trPr>
        <w:tc>
          <w:tcPr>
            <w:tcW w:w="729" w:type="pct"/>
            <w:shd w:val="clear" w:color="auto" w:fill="auto"/>
            <w:vAlign w:val="center"/>
          </w:tcPr>
          <w:p w14:paraId="7FF11C27" w14:textId="77777777" w:rsidR="00F879A1" w:rsidRDefault="00F879A1" w:rsidP="001F5F55">
            <w:pPr>
              <w:pStyle w:val="Tabletext"/>
            </w:pPr>
            <w:r>
              <w:t>Level 1</w:t>
            </w:r>
          </w:p>
        </w:tc>
        <w:tc>
          <w:tcPr>
            <w:tcW w:w="729" w:type="pct"/>
            <w:tcBorders>
              <w:right w:val="nil"/>
            </w:tcBorders>
            <w:shd w:val="clear" w:color="auto" w:fill="auto"/>
            <w:vAlign w:val="center"/>
          </w:tcPr>
          <w:p w14:paraId="5FD2020C" w14:textId="77777777" w:rsidR="00F879A1" w:rsidRDefault="00F879A1" w:rsidP="001F5F55">
            <w:pPr>
              <w:pStyle w:val="Tabletext"/>
            </w:pPr>
            <w:r>
              <w:t>Preliminary Course in SWE (partial)</w:t>
            </w:r>
          </w:p>
          <w:p w14:paraId="16A56632" w14:textId="77777777" w:rsidR="00F879A1" w:rsidRDefault="00F879A1" w:rsidP="001F5F55">
            <w:pPr>
              <w:pStyle w:val="Tabletext"/>
            </w:pPr>
            <w:r>
              <w:t>Certificate I (broad)</w:t>
            </w:r>
          </w:p>
        </w:tc>
        <w:tc>
          <w:tcPr>
            <w:tcW w:w="730" w:type="pct"/>
            <w:tcBorders>
              <w:top w:val="nil"/>
              <w:left w:val="nil"/>
              <w:bottom w:val="single" w:sz="4" w:space="0" w:color="A5A5A5" w:themeColor="accent3"/>
            </w:tcBorders>
            <w:shd w:val="clear" w:color="auto" w:fill="auto"/>
            <w:vAlign w:val="center"/>
          </w:tcPr>
          <w:p w14:paraId="624E4BDA" w14:textId="77777777" w:rsidR="00F879A1" w:rsidRDefault="00F879A1" w:rsidP="001F5F55">
            <w:pPr>
              <w:pStyle w:val="Tabletext"/>
            </w:pPr>
            <w:r>
              <w:t>0 Did not attempt test</w:t>
            </w:r>
          </w:p>
          <w:p w14:paraId="70C0D32B" w14:textId="77777777" w:rsidR="00F879A1" w:rsidRDefault="00F879A1" w:rsidP="001F5F55">
            <w:pPr>
              <w:pStyle w:val="Tabletext"/>
            </w:pPr>
            <w:r>
              <w:t>1 Non user</w:t>
            </w:r>
          </w:p>
          <w:p w14:paraId="307204D2" w14:textId="77777777" w:rsidR="00F879A1" w:rsidRDefault="00F879A1" w:rsidP="001F5F55">
            <w:pPr>
              <w:pStyle w:val="Tabletext"/>
            </w:pPr>
            <w:r>
              <w:t>2 Intermittent user</w:t>
            </w:r>
          </w:p>
        </w:tc>
        <w:tc>
          <w:tcPr>
            <w:tcW w:w="730" w:type="pct"/>
            <w:shd w:val="clear" w:color="auto" w:fill="auto"/>
            <w:vAlign w:val="center"/>
          </w:tcPr>
          <w:p w14:paraId="212FAADB" w14:textId="77777777" w:rsidR="00F879A1" w:rsidRDefault="00F879A1" w:rsidP="001F5F55">
            <w:pPr>
              <w:pStyle w:val="Tabletext"/>
            </w:pPr>
            <w:r>
              <w:t>0 Zero proficiency</w:t>
            </w:r>
          </w:p>
          <w:p w14:paraId="3CBA60BC" w14:textId="77777777" w:rsidR="00F879A1" w:rsidRDefault="00F879A1" w:rsidP="001F5F55">
            <w:pPr>
              <w:pStyle w:val="Tabletext"/>
            </w:pPr>
            <w:r>
              <w:t>0+ Formulaic proficiency</w:t>
            </w:r>
          </w:p>
          <w:p w14:paraId="551DE995" w14:textId="77777777" w:rsidR="00F879A1" w:rsidRDefault="00F879A1" w:rsidP="001F5F55">
            <w:pPr>
              <w:pStyle w:val="Tabletext"/>
            </w:pPr>
            <w:r>
              <w:t>1- Minimum ‘creative’ proficiency</w:t>
            </w:r>
          </w:p>
        </w:tc>
        <w:tc>
          <w:tcPr>
            <w:tcW w:w="537" w:type="pct"/>
            <w:vAlign w:val="center"/>
          </w:tcPr>
          <w:p w14:paraId="7796D86F" w14:textId="77777777" w:rsidR="00F879A1" w:rsidRDefault="00F879A1" w:rsidP="001F5F55">
            <w:pPr>
              <w:pStyle w:val="Tabletext"/>
            </w:pPr>
            <w:r>
              <w:t>0-8</w:t>
            </w:r>
          </w:p>
          <w:p w14:paraId="70FA1C52" w14:textId="77777777" w:rsidR="00F879A1" w:rsidRDefault="00F879A1" w:rsidP="001F5F55">
            <w:pPr>
              <w:pStyle w:val="Tabletext"/>
            </w:pPr>
            <w:r>
              <w:t>9-18</w:t>
            </w:r>
          </w:p>
          <w:p w14:paraId="461D7BB0" w14:textId="77777777" w:rsidR="00F879A1" w:rsidRDefault="00F879A1" w:rsidP="001F5F55">
            <w:pPr>
              <w:pStyle w:val="Tabletext"/>
            </w:pPr>
            <w:r>
              <w:t>19-29</w:t>
            </w:r>
          </w:p>
        </w:tc>
        <w:tc>
          <w:tcPr>
            <w:tcW w:w="816" w:type="pct"/>
            <w:vAlign w:val="center"/>
          </w:tcPr>
          <w:p w14:paraId="741ED930" w14:textId="77777777" w:rsidR="00F879A1" w:rsidRDefault="00F879A1" w:rsidP="001F5F55">
            <w:pPr>
              <w:pStyle w:val="Tabletext"/>
            </w:pPr>
            <w:r>
              <w:t>CLB 1 Initial basic</w:t>
            </w:r>
          </w:p>
          <w:p w14:paraId="5E7F06DD" w14:textId="77777777" w:rsidR="00F879A1" w:rsidRDefault="00F879A1" w:rsidP="001F5F55">
            <w:pPr>
              <w:pStyle w:val="Tabletext"/>
            </w:pPr>
            <w:r>
              <w:t xml:space="preserve">CLB 2 Developing basic </w:t>
            </w:r>
          </w:p>
        </w:tc>
        <w:tc>
          <w:tcPr>
            <w:tcW w:w="729" w:type="pct"/>
            <w:tcBorders>
              <w:top w:val="nil"/>
              <w:left w:val="double" w:sz="4" w:space="0" w:color="A5A5A5" w:themeColor="accent3"/>
              <w:right w:val="nil"/>
            </w:tcBorders>
            <w:vAlign w:val="center"/>
          </w:tcPr>
          <w:p w14:paraId="4A373303" w14:textId="77777777" w:rsidR="00F879A1" w:rsidRDefault="00F879A1" w:rsidP="001F5F55">
            <w:pPr>
              <w:pStyle w:val="Tabletext"/>
            </w:pPr>
            <w:r>
              <w:t>Course in Initial General Education for Adults (broad)</w:t>
            </w:r>
          </w:p>
        </w:tc>
      </w:tr>
      <w:tr w:rsidR="00F879A1" w14:paraId="11408253" w14:textId="77777777" w:rsidTr="001F5F55">
        <w:trPr>
          <w:cantSplit/>
        </w:trPr>
        <w:tc>
          <w:tcPr>
            <w:tcW w:w="729" w:type="pct"/>
            <w:shd w:val="clear" w:color="auto" w:fill="auto"/>
            <w:vAlign w:val="center"/>
          </w:tcPr>
          <w:p w14:paraId="7B764131" w14:textId="77777777" w:rsidR="00F879A1" w:rsidRDefault="00F879A1" w:rsidP="001F5F55">
            <w:pPr>
              <w:pStyle w:val="Tabletext"/>
            </w:pPr>
            <w:r>
              <w:t>Level 2</w:t>
            </w:r>
          </w:p>
        </w:tc>
        <w:tc>
          <w:tcPr>
            <w:tcW w:w="729" w:type="pct"/>
            <w:tcBorders>
              <w:right w:val="nil"/>
            </w:tcBorders>
            <w:shd w:val="clear" w:color="auto" w:fill="auto"/>
            <w:vAlign w:val="center"/>
          </w:tcPr>
          <w:p w14:paraId="02AFDD1B" w14:textId="77777777" w:rsidR="00F879A1" w:rsidRDefault="00F879A1" w:rsidP="001F5F55">
            <w:pPr>
              <w:pStyle w:val="Tabletext"/>
            </w:pPr>
            <w:r>
              <w:t>Certificate II (broad)</w:t>
            </w:r>
          </w:p>
        </w:tc>
        <w:tc>
          <w:tcPr>
            <w:tcW w:w="730" w:type="pct"/>
            <w:tcBorders>
              <w:top w:val="single" w:sz="4" w:space="0" w:color="A5A5A5" w:themeColor="accent3"/>
              <w:left w:val="nil"/>
              <w:bottom w:val="single" w:sz="4" w:space="0" w:color="A5A5A5" w:themeColor="accent3"/>
            </w:tcBorders>
            <w:shd w:val="clear" w:color="auto" w:fill="auto"/>
            <w:vAlign w:val="center"/>
          </w:tcPr>
          <w:p w14:paraId="2FC2024B" w14:textId="77777777" w:rsidR="00F879A1" w:rsidRDefault="00F879A1" w:rsidP="001F5F55">
            <w:pPr>
              <w:pStyle w:val="Tabletext"/>
            </w:pPr>
            <w:r>
              <w:t>3 Extremely limited user</w:t>
            </w:r>
          </w:p>
        </w:tc>
        <w:tc>
          <w:tcPr>
            <w:tcW w:w="730" w:type="pct"/>
            <w:shd w:val="clear" w:color="auto" w:fill="auto"/>
            <w:vAlign w:val="center"/>
          </w:tcPr>
          <w:p w14:paraId="40DEB48A" w14:textId="77777777" w:rsidR="00F879A1" w:rsidRDefault="00F879A1" w:rsidP="001F5F55">
            <w:pPr>
              <w:pStyle w:val="Tabletext"/>
            </w:pPr>
            <w:r>
              <w:t>1 Basic transactional proficiency</w:t>
            </w:r>
          </w:p>
        </w:tc>
        <w:tc>
          <w:tcPr>
            <w:tcW w:w="537" w:type="pct"/>
            <w:vAlign w:val="center"/>
          </w:tcPr>
          <w:p w14:paraId="3AC0F2F1" w14:textId="77777777" w:rsidR="00F879A1" w:rsidRDefault="00F879A1" w:rsidP="001F5F55">
            <w:pPr>
              <w:pStyle w:val="Tabletext"/>
            </w:pPr>
            <w:r>
              <w:t>30-40</w:t>
            </w:r>
          </w:p>
        </w:tc>
        <w:tc>
          <w:tcPr>
            <w:tcW w:w="816" w:type="pct"/>
            <w:vAlign w:val="center"/>
          </w:tcPr>
          <w:p w14:paraId="1734D51B" w14:textId="77777777" w:rsidR="00F879A1" w:rsidRDefault="00F879A1" w:rsidP="001F5F55">
            <w:pPr>
              <w:pStyle w:val="Tabletext"/>
            </w:pPr>
            <w:r>
              <w:t xml:space="preserve">CLB 3 Adequate basic </w:t>
            </w:r>
          </w:p>
        </w:tc>
        <w:tc>
          <w:tcPr>
            <w:tcW w:w="729" w:type="pct"/>
            <w:tcBorders>
              <w:left w:val="double" w:sz="4" w:space="0" w:color="A5A5A5" w:themeColor="accent3"/>
              <w:right w:val="nil"/>
            </w:tcBorders>
            <w:vAlign w:val="center"/>
          </w:tcPr>
          <w:p w14:paraId="60E02035" w14:textId="77777777" w:rsidR="00F879A1" w:rsidRDefault="00F879A1" w:rsidP="001F5F55">
            <w:pPr>
              <w:pStyle w:val="Tabletext"/>
            </w:pPr>
            <w:r>
              <w:t>Certificate I Introductory</w:t>
            </w:r>
          </w:p>
        </w:tc>
      </w:tr>
      <w:tr w:rsidR="00F879A1" w14:paraId="0E26E6C1" w14:textId="77777777" w:rsidTr="001F5F55">
        <w:trPr>
          <w:cantSplit/>
        </w:trPr>
        <w:tc>
          <w:tcPr>
            <w:tcW w:w="729" w:type="pct"/>
            <w:shd w:val="clear" w:color="auto" w:fill="auto"/>
            <w:vAlign w:val="center"/>
          </w:tcPr>
          <w:p w14:paraId="72D4614C" w14:textId="77777777" w:rsidR="00F879A1" w:rsidRDefault="00F879A1" w:rsidP="001F5F55">
            <w:pPr>
              <w:pStyle w:val="Tabletext"/>
            </w:pPr>
            <w:r>
              <w:t>Level 3</w:t>
            </w:r>
          </w:p>
        </w:tc>
        <w:tc>
          <w:tcPr>
            <w:tcW w:w="729" w:type="pct"/>
            <w:tcBorders>
              <w:right w:val="nil"/>
            </w:tcBorders>
            <w:shd w:val="clear" w:color="auto" w:fill="auto"/>
            <w:vAlign w:val="center"/>
          </w:tcPr>
          <w:p w14:paraId="58A594D2" w14:textId="77777777" w:rsidR="00F879A1" w:rsidRDefault="00F879A1" w:rsidP="001F5F55">
            <w:pPr>
              <w:pStyle w:val="Tabletext"/>
            </w:pPr>
            <w:r>
              <w:t>Certificate III (broad)</w:t>
            </w:r>
          </w:p>
        </w:tc>
        <w:tc>
          <w:tcPr>
            <w:tcW w:w="730" w:type="pct"/>
            <w:tcBorders>
              <w:top w:val="single" w:sz="4" w:space="0" w:color="A5A5A5" w:themeColor="accent3"/>
              <w:left w:val="nil"/>
              <w:bottom w:val="single" w:sz="4" w:space="0" w:color="A5A5A5" w:themeColor="accent3"/>
            </w:tcBorders>
            <w:shd w:val="clear" w:color="auto" w:fill="auto"/>
            <w:vAlign w:val="center"/>
          </w:tcPr>
          <w:p w14:paraId="634B3200" w14:textId="77777777" w:rsidR="00F879A1" w:rsidRDefault="00F879A1" w:rsidP="001F5F55">
            <w:pPr>
              <w:pStyle w:val="Tabletext"/>
            </w:pPr>
            <w:r>
              <w:t>4 Limited user</w:t>
            </w:r>
          </w:p>
        </w:tc>
        <w:tc>
          <w:tcPr>
            <w:tcW w:w="730" w:type="pct"/>
            <w:shd w:val="clear" w:color="auto" w:fill="auto"/>
            <w:vAlign w:val="center"/>
          </w:tcPr>
          <w:p w14:paraId="56CA118D" w14:textId="77777777" w:rsidR="00F879A1" w:rsidRDefault="00F879A1" w:rsidP="001F5F55">
            <w:pPr>
              <w:pStyle w:val="Tabletext"/>
            </w:pPr>
            <w:r>
              <w:t>1+ Transactional proficiency</w:t>
            </w:r>
          </w:p>
        </w:tc>
        <w:tc>
          <w:tcPr>
            <w:tcW w:w="537" w:type="pct"/>
            <w:vAlign w:val="center"/>
          </w:tcPr>
          <w:p w14:paraId="2110291D" w14:textId="77777777" w:rsidR="00F879A1" w:rsidRDefault="00F879A1" w:rsidP="001F5F55">
            <w:pPr>
              <w:pStyle w:val="Tabletext"/>
            </w:pPr>
            <w:r>
              <w:t>41-52</w:t>
            </w:r>
          </w:p>
        </w:tc>
        <w:tc>
          <w:tcPr>
            <w:tcW w:w="816" w:type="pct"/>
            <w:vAlign w:val="center"/>
          </w:tcPr>
          <w:p w14:paraId="0405FDAE" w14:textId="77777777" w:rsidR="00F879A1" w:rsidRDefault="00F879A1" w:rsidP="001F5F55">
            <w:pPr>
              <w:pStyle w:val="Tabletext"/>
            </w:pPr>
            <w:r>
              <w:t xml:space="preserve">CLB 4 Fluent basic </w:t>
            </w:r>
          </w:p>
        </w:tc>
        <w:tc>
          <w:tcPr>
            <w:tcW w:w="729" w:type="pct"/>
            <w:tcBorders>
              <w:left w:val="double" w:sz="4" w:space="0" w:color="A5A5A5" w:themeColor="accent3"/>
              <w:right w:val="nil"/>
            </w:tcBorders>
            <w:vAlign w:val="center"/>
          </w:tcPr>
          <w:p w14:paraId="74E19BE7" w14:textId="77777777" w:rsidR="00F879A1" w:rsidRDefault="00F879A1" w:rsidP="001F5F55">
            <w:pPr>
              <w:pStyle w:val="Tabletext"/>
            </w:pPr>
            <w:r>
              <w:t>Certificate I</w:t>
            </w:r>
          </w:p>
        </w:tc>
      </w:tr>
      <w:tr w:rsidR="00F879A1" w14:paraId="3A06B3DE" w14:textId="77777777" w:rsidTr="001F5F55">
        <w:trPr>
          <w:cantSplit/>
        </w:trPr>
        <w:tc>
          <w:tcPr>
            <w:tcW w:w="729" w:type="pct"/>
            <w:shd w:val="clear" w:color="auto" w:fill="auto"/>
            <w:vAlign w:val="center"/>
          </w:tcPr>
          <w:p w14:paraId="056F3B14" w14:textId="77777777" w:rsidR="00F879A1" w:rsidRDefault="00F879A1" w:rsidP="001F5F55">
            <w:pPr>
              <w:pStyle w:val="Tabletext"/>
            </w:pPr>
            <w:r>
              <w:t>Level 4</w:t>
            </w:r>
          </w:p>
        </w:tc>
        <w:tc>
          <w:tcPr>
            <w:tcW w:w="729" w:type="pct"/>
            <w:tcBorders>
              <w:right w:val="nil"/>
            </w:tcBorders>
            <w:shd w:val="clear" w:color="auto" w:fill="auto"/>
            <w:vAlign w:val="center"/>
          </w:tcPr>
          <w:p w14:paraId="173A3440" w14:textId="77777777" w:rsidR="00F879A1" w:rsidRDefault="00F879A1" w:rsidP="001F5F55">
            <w:pPr>
              <w:pStyle w:val="Tabletext"/>
            </w:pPr>
            <w:r>
              <w:t>Certificate IV (broad)</w:t>
            </w:r>
          </w:p>
        </w:tc>
        <w:tc>
          <w:tcPr>
            <w:tcW w:w="730" w:type="pct"/>
            <w:tcBorders>
              <w:top w:val="single" w:sz="4" w:space="0" w:color="A5A5A5" w:themeColor="accent3"/>
              <w:left w:val="nil"/>
              <w:bottom w:val="single" w:sz="4" w:space="0" w:color="A5A5A5" w:themeColor="accent3"/>
            </w:tcBorders>
            <w:shd w:val="clear" w:color="auto" w:fill="auto"/>
            <w:vAlign w:val="center"/>
          </w:tcPr>
          <w:p w14:paraId="2EF347C1" w14:textId="77777777" w:rsidR="00F879A1" w:rsidRDefault="00F879A1" w:rsidP="001F5F55">
            <w:pPr>
              <w:pStyle w:val="Tabletext"/>
            </w:pPr>
            <w:r>
              <w:t>5 Modest user</w:t>
            </w:r>
          </w:p>
          <w:p w14:paraId="46147C0C" w14:textId="77777777" w:rsidR="00F879A1" w:rsidRDefault="00F879A1" w:rsidP="001F5F55">
            <w:pPr>
              <w:pStyle w:val="Tabletext"/>
            </w:pPr>
            <w:r>
              <w:t>6 Competent user</w:t>
            </w:r>
          </w:p>
          <w:p w14:paraId="1AE7B666" w14:textId="77777777" w:rsidR="00F879A1" w:rsidRDefault="00F879A1" w:rsidP="001F5F55">
            <w:pPr>
              <w:pStyle w:val="Tabletext"/>
            </w:pPr>
            <w:r>
              <w:t>6.5</w:t>
            </w:r>
          </w:p>
        </w:tc>
        <w:tc>
          <w:tcPr>
            <w:tcW w:w="730" w:type="pct"/>
            <w:shd w:val="clear" w:color="auto" w:fill="auto"/>
            <w:vAlign w:val="center"/>
          </w:tcPr>
          <w:p w14:paraId="464D18F5" w14:textId="77777777" w:rsidR="00F879A1" w:rsidRDefault="00F879A1" w:rsidP="001F5F55">
            <w:pPr>
              <w:pStyle w:val="Tabletext"/>
            </w:pPr>
            <w:r>
              <w:t>2 Basic social proficiency</w:t>
            </w:r>
          </w:p>
          <w:p w14:paraId="16C347CC" w14:textId="77777777" w:rsidR="00F879A1" w:rsidRDefault="00F879A1" w:rsidP="001F5F55">
            <w:pPr>
              <w:pStyle w:val="Tabletext"/>
            </w:pPr>
            <w:r>
              <w:t>2+ Social proficiency</w:t>
            </w:r>
          </w:p>
          <w:p w14:paraId="5CA619F3" w14:textId="77777777" w:rsidR="00F879A1" w:rsidRDefault="00F879A1" w:rsidP="001F5F55">
            <w:pPr>
              <w:pStyle w:val="Tabletext"/>
            </w:pPr>
            <w:r>
              <w:t>3 Basic vocational proficiency</w:t>
            </w:r>
          </w:p>
          <w:p w14:paraId="6B3E6BFF" w14:textId="77777777" w:rsidR="00F879A1" w:rsidRDefault="00F879A1" w:rsidP="001F5F55">
            <w:pPr>
              <w:pStyle w:val="Tabletext"/>
            </w:pPr>
            <w:r>
              <w:t>3+ Basic vocational proficiency plus</w:t>
            </w:r>
          </w:p>
        </w:tc>
        <w:tc>
          <w:tcPr>
            <w:tcW w:w="537" w:type="pct"/>
            <w:vAlign w:val="center"/>
          </w:tcPr>
          <w:p w14:paraId="54C204FB" w14:textId="77777777" w:rsidR="00F879A1" w:rsidRDefault="00F879A1" w:rsidP="001F5F55">
            <w:pPr>
              <w:pStyle w:val="Tabletext"/>
            </w:pPr>
            <w:r>
              <w:t>53-64</w:t>
            </w:r>
          </w:p>
          <w:p w14:paraId="3245E807" w14:textId="77777777" w:rsidR="00F879A1" w:rsidRDefault="00F879A1" w:rsidP="001F5F55">
            <w:pPr>
              <w:pStyle w:val="Tabletext"/>
            </w:pPr>
            <w:r>
              <w:t>65-78</w:t>
            </w:r>
          </w:p>
        </w:tc>
        <w:tc>
          <w:tcPr>
            <w:tcW w:w="816" w:type="pct"/>
            <w:vAlign w:val="center"/>
          </w:tcPr>
          <w:p w14:paraId="3EE31C06" w14:textId="77777777" w:rsidR="00F879A1" w:rsidRDefault="00F879A1" w:rsidP="001F5F55">
            <w:pPr>
              <w:pStyle w:val="Tabletext"/>
            </w:pPr>
            <w:r>
              <w:t xml:space="preserve">CLB 5 Initial intermediate </w:t>
            </w:r>
          </w:p>
          <w:p w14:paraId="29B6F6F6" w14:textId="77777777" w:rsidR="00F879A1" w:rsidRDefault="00F879A1" w:rsidP="001F5F55">
            <w:pPr>
              <w:pStyle w:val="Tabletext"/>
            </w:pPr>
            <w:r>
              <w:t xml:space="preserve">CLB 6 Developing intermediate </w:t>
            </w:r>
          </w:p>
          <w:p w14:paraId="6B2CFA9B" w14:textId="77777777" w:rsidR="00F879A1" w:rsidRDefault="00F879A1" w:rsidP="001F5F55">
            <w:pPr>
              <w:pStyle w:val="Tabletext"/>
            </w:pPr>
            <w:r>
              <w:t>CLB 7 Adequate intermediate</w:t>
            </w:r>
          </w:p>
          <w:p w14:paraId="3796F1D6" w14:textId="77777777" w:rsidR="00F879A1" w:rsidRDefault="00F879A1" w:rsidP="001F5F55">
            <w:pPr>
              <w:pStyle w:val="Tabletext"/>
            </w:pPr>
            <w:r>
              <w:t>CLB 8 Fluent intermediate</w:t>
            </w:r>
          </w:p>
        </w:tc>
        <w:tc>
          <w:tcPr>
            <w:tcW w:w="729" w:type="pct"/>
            <w:tcBorders>
              <w:left w:val="double" w:sz="4" w:space="0" w:color="A5A5A5" w:themeColor="accent3"/>
              <w:right w:val="nil"/>
            </w:tcBorders>
            <w:vAlign w:val="center"/>
          </w:tcPr>
          <w:p w14:paraId="34C87D61" w14:textId="77777777" w:rsidR="00F879A1" w:rsidRDefault="00F879A1" w:rsidP="001F5F55">
            <w:pPr>
              <w:pStyle w:val="Tabletext"/>
            </w:pPr>
            <w:r>
              <w:t>Certificate II (broad)</w:t>
            </w:r>
          </w:p>
          <w:p w14:paraId="0A7EB587" w14:textId="77777777" w:rsidR="00F879A1" w:rsidRDefault="00F879A1" w:rsidP="001F5F55">
            <w:pPr>
              <w:pStyle w:val="Tabletext"/>
            </w:pPr>
            <w:r>
              <w:t>Certificate III (partial)</w:t>
            </w:r>
          </w:p>
        </w:tc>
      </w:tr>
      <w:tr w:rsidR="00F879A1" w14:paraId="5522BE15" w14:textId="77777777" w:rsidTr="001F5F55">
        <w:trPr>
          <w:cantSplit/>
        </w:trPr>
        <w:tc>
          <w:tcPr>
            <w:tcW w:w="729" w:type="pct"/>
            <w:shd w:val="clear" w:color="auto" w:fill="auto"/>
            <w:vAlign w:val="center"/>
          </w:tcPr>
          <w:p w14:paraId="2E2F0B7D" w14:textId="77777777" w:rsidR="00F879A1" w:rsidRDefault="00F879A1" w:rsidP="001F5F55">
            <w:pPr>
              <w:pStyle w:val="Tabletext"/>
            </w:pPr>
            <w:r>
              <w:t>Level 5</w:t>
            </w:r>
          </w:p>
        </w:tc>
        <w:tc>
          <w:tcPr>
            <w:tcW w:w="729" w:type="pct"/>
            <w:tcBorders>
              <w:right w:val="nil"/>
            </w:tcBorders>
            <w:shd w:val="clear" w:color="auto" w:fill="auto"/>
            <w:vAlign w:val="center"/>
          </w:tcPr>
          <w:p w14:paraId="5DD88AF5" w14:textId="77777777" w:rsidR="00F879A1" w:rsidRDefault="00F879A1" w:rsidP="001F5F55">
            <w:pPr>
              <w:pStyle w:val="Tabletext"/>
            </w:pPr>
          </w:p>
        </w:tc>
        <w:tc>
          <w:tcPr>
            <w:tcW w:w="730" w:type="pct"/>
            <w:tcBorders>
              <w:top w:val="single" w:sz="4" w:space="0" w:color="A5A5A5" w:themeColor="accent3"/>
              <w:left w:val="nil"/>
              <w:bottom w:val="single" w:sz="4" w:space="0" w:color="A5A5A5" w:themeColor="accent3"/>
            </w:tcBorders>
            <w:shd w:val="clear" w:color="auto" w:fill="auto"/>
            <w:vAlign w:val="center"/>
          </w:tcPr>
          <w:p w14:paraId="5757BCF5" w14:textId="77777777" w:rsidR="00F879A1" w:rsidRDefault="00F879A1" w:rsidP="001F5F55">
            <w:pPr>
              <w:pStyle w:val="Tabletext"/>
            </w:pPr>
            <w:r>
              <w:t>7 Good user</w:t>
            </w:r>
          </w:p>
        </w:tc>
        <w:tc>
          <w:tcPr>
            <w:tcW w:w="730" w:type="pct"/>
            <w:shd w:val="clear" w:color="auto" w:fill="auto"/>
            <w:vAlign w:val="center"/>
          </w:tcPr>
          <w:p w14:paraId="5BF8E8AE" w14:textId="77777777" w:rsidR="00F879A1" w:rsidRDefault="00F879A1" w:rsidP="001F5F55">
            <w:pPr>
              <w:pStyle w:val="Tabletext"/>
            </w:pPr>
            <w:r>
              <w:t>4 Vocational proficiency</w:t>
            </w:r>
          </w:p>
        </w:tc>
        <w:tc>
          <w:tcPr>
            <w:tcW w:w="537" w:type="pct"/>
            <w:vAlign w:val="center"/>
          </w:tcPr>
          <w:p w14:paraId="770347B4" w14:textId="77777777" w:rsidR="00F879A1" w:rsidRDefault="00F879A1" w:rsidP="001F5F55">
            <w:pPr>
              <w:pStyle w:val="Tabletext"/>
            </w:pPr>
            <w:r>
              <w:t>79-95</w:t>
            </w:r>
          </w:p>
        </w:tc>
        <w:tc>
          <w:tcPr>
            <w:tcW w:w="816" w:type="pct"/>
            <w:vAlign w:val="center"/>
          </w:tcPr>
          <w:p w14:paraId="53E2C531" w14:textId="77777777" w:rsidR="00F879A1" w:rsidRDefault="00F879A1" w:rsidP="001F5F55">
            <w:pPr>
              <w:pStyle w:val="Tabletext"/>
            </w:pPr>
            <w:r>
              <w:t>CLB 9 Initial advanced</w:t>
            </w:r>
          </w:p>
          <w:p w14:paraId="3DB3CBEE" w14:textId="77777777" w:rsidR="00F879A1" w:rsidRDefault="00F879A1" w:rsidP="001F5F55">
            <w:pPr>
              <w:pStyle w:val="Tabletext"/>
            </w:pPr>
            <w:r>
              <w:t>CLB 10 Developing advanced</w:t>
            </w:r>
          </w:p>
        </w:tc>
        <w:tc>
          <w:tcPr>
            <w:tcW w:w="729" w:type="pct"/>
            <w:tcBorders>
              <w:left w:val="double" w:sz="4" w:space="0" w:color="A5A5A5" w:themeColor="accent3"/>
              <w:right w:val="nil"/>
            </w:tcBorders>
            <w:vAlign w:val="center"/>
          </w:tcPr>
          <w:p w14:paraId="35A34F37" w14:textId="77777777" w:rsidR="00F879A1" w:rsidRDefault="00F879A1" w:rsidP="001F5F55">
            <w:pPr>
              <w:pStyle w:val="Tabletext"/>
            </w:pPr>
            <w:r>
              <w:t>Certificate III (broad)</w:t>
            </w:r>
          </w:p>
        </w:tc>
      </w:tr>
      <w:tr w:rsidR="00F879A1" w14:paraId="207D9078" w14:textId="77777777" w:rsidTr="001F5F55">
        <w:trPr>
          <w:cantSplit/>
        </w:trPr>
        <w:tc>
          <w:tcPr>
            <w:tcW w:w="729" w:type="pct"/>
            <w:shd w:val="clear" w:color="auto" w:fill="auto"/>
            <w:vAlign w:val="center"/>
          </w:tcPr>
          <w:p w14:paraId="30E301F3" w14:textId="77777777" w:rsidR="00F879A1" w:rsidRDefault="00F879A1" w:rsidP="001F5F55">
            <w:pPr>
              <w:pStyle w:val="Tabletext"/>
            </w:pPr>
          </w:p>
        </w:tc>
        <w:tc>
          <w:tcPr>
            <w:tcW w:w="729" w:type="pct"/>
            <w:tcBorders>
              <w:right w:val="nil"/>
            </w:tcBorders>
            <w:shd w:val="clear" w:color="auto" w:fill="auto"/>
            <w:vAlign w:val="center"/>
          </w:tcPr>
          <w:p w14:paraId="0FCE8459" w14:textId="77777777" w:rsidR="00F879A1" w:rsidRDefault="00F879A1" w:rsidP="001F5F55">
            <w:pPr>
              <w:pStyle w:val="Tabletext"/>
            </w:pPr>
          </w:p>
        </w:tc>
        <w:tc>
          <w:tcPr>
            <w:tcW w:w="730" w:type="pct"/>
            <w:tcBorders>
              <w:top w:val="single" w:sz="4" w:space="0" w:color="A5A5A5" w:themeColor="accent3"/>
              <w:left w:val="nil"/>
              <w:bottom w:val="single" w:sz="4" w:space="0" w:color="A5A5A5" w:themeColor="accent3"/>
            </w:tcBorders>
            <w:shd w:val="clear" w:color="auto" w:fill="auto"/>
            <w:vAlign w:val="center"/>
          </w:tcPr>
          <w:p w14:paraId="00B7FF3C" w14:textId="77777777" w:rsidR="00F879A1" w:rsidRDefault="00F879A1" w:rsidP="001F5F55">
            <w:pPr>
              <w:pStyle w:val="Tabletext"/>
            </w:pPr>
            <w:r>
              <w:t>8 Very good user</w:t>
            </w:r>
          </w:p>
        </w:tc>
        <w:tc>
          <w:tcPr>
            <w:tcW w:w="730" w:type="pct"/>
            <w:shd w:val="clear" w:color="auto" w:fill="auto"/>
            <w:vAlign w:val="center"/>
          </w:tcPr>
          <w:p w14:paraId="2DC75D6A" w14:textId="77777777" w:rsidR="00F879A1" w:rsidRDefault="00F879A1" w:rsidP="001F5F55">
            <w:pPr>
              <w:pStyle w:val="Tabletext"/>
            </w:pPr>
            <w:r>
              <w:t>4+ Advanced vocational proficiency</w:t>
            </w:r>
          </w:p>
        </w:tc>
        <w:tc>
          <w:tcPr>
            <w:tcW w:w="537" w:type="pct"/>
            <w:vAlign w:val="center"/>
          </w:tcPr>
          <w:p w14:paraId="54578353" w14:textId="77777777" w:rsidR="00F879A1" w:rsidRDefault="00F879A1" w:rsidP="001F5F55">
            <w:pPr>
              <w:pStyle w:val="Tabletext"/>
            </w:pPr>
            <w:r>
              <w:t>96-110</w:t>
            </w:r>
          </w:p>
        </w:tc>
        <w:tc>
          <w:tcPr>
            <w:tcW w:w="816" w:type="pct"/>
            <w:vAlign w:val="center"/>
          </w:tcPr>
          <w:p w14:paraId="3C55E7FF" w14:textId="77777777" w:rsidR="00F879A1" w:rsidRDefault="00F879A1" w:rsidP="001F5F55">
            <w:pPr>
              <w:pStyle w:val="Tabletext"/>
            </w:pPr>
            <w:r>
              <w:t>CLB 10 Developing advanced</w:t>
            </w:r>
          </w:p>
          <w:p w14:paraId="46B205E4" w14:textId="77777777" w:rsidR="00F879A1" w:rsidRDefault="00F879A1" w:rsidP="001F5F55">
            <w:pPr>
              <w:pStyle w:val="Tabletext"/>
            </w:pPr>
            <w:r>
              <w:t>CLB 11 Adequate advanced</w:t>
            </w:r>
          </w:p>
        </w:tc>
        <w:tc>
          <w:tcPr>
            <w:tcW w:w="729" w:type="pct"/>
            <w:tcBorders>
              <w:left w:val="double" w:sz="4" w:space="0" w:color="A5A5A5" w:themeColor="accent3"/>
              <w:right w:val="nil"/>
            </w:tcBorders>
            <w:vAlign w:val="center"/>
          </w:tcPr>
          <w:p w14:paraId="3698D704" w14:textId="77777777" w:rsidR="00F879A1" w:rsidRDefault="00F879A1" w:rsidP="001F5F55">
            <w:pPr>
              <w:pStyle w:val="Tabletext"/>
            </w:pPr>
          </w:p>
        </w:tc>
      </w:tr>
      <w:tr w:rsidR="00F879A1" w14:paraId="304B6108" w14:textId="77777777" w:rsidTr="001F5F55">
        <w:trPr>
          <w:cantSplit/>
        </w:trPr>
        <w:tc>
          <w:tcPr>
            <w:tcW w:w="729" w:type="pct"/>
            <w:shd w:val="clear" w:color="auto" w:fill="auto"/>
            <w:vAlign w:val="center"/>
          </w:tcPr>
          <w:p w14:paraId="0C1C012C" w14:textId="77777777" w:rsidR="00F879A1" w:rsidRDefault="00F879A1" w:rsidP="001F5F55">
            <w:pPr>
              <w:pStyle w:val="Tabletext"/>
            </w:pPr>
          </w:p>
        </w:tc>
        <w:tc>
          <w:tcPr>
            <w:tcW w:w="729" w:type="pct"/>
            <w:tcBorders>
              <w:right w:val="nil"/>
            </w:tcBorders>
            <w:shd w:val="clear" w:color="auto" w:fill="auto"/>
            <w:vAlign w:val="center"/>
          </w:tcPr>
          <w:p w14:paraId="2965A397" w14:textId="77777777" w:rsidR="00F879A1" w:rsidRDefault="00F879A1" w:rsidP="001F5F55">
            <w:pPr>
              <w:pStyle w:val="Tabletext"/>
            </w:pPr>
          </w:p>
        </w:tc>
        <w:tc>
          <w:tcPr>
            <w:tcW w:w="730" w:type="pct"/>
            <w:tcBorders>
              <w:top w:val="single" w:sz="4" w:space="0" w:color="A5A5A5" w:themeColor="accent3"/>
              <w:left w:val="nil"/>
              <w:bottom w:val="single" w:sz="4" w:space="0" w:color="A5A5A5" w:themeColor="accent3"/>
            </w:tcBorders>
            <w:shd w:val="clear" w:color="auto" w:fill="auto"/>
            <w:vAlign w:val="center"/>
          </w:tcPr>
          <w:p w14:paraId="3B41B0F2" w14:textId="77777777" w:rsidR="00F879A1" w:rsidRDefault="00F879A1" w:rsidP="001F5F55">
            <w:pPr>
              <w:pStyle w:val="Tabletext"/>
            </w:pPr>
            <w:r>
              <w:t>9 Expert user</w:t>
            </w:r>
          </w:p>
        </w:tc>
        <w:tc>
          <w:tcPr>
            <w:tcW w:w="730" w:type="pct"/>
            <w:shd w:val="clear" w:color="auto" w:fill="auto"/>
            <w:vAlign w:val="center"/>
          </w:tcPr>
          <w:p w14:paraId="622E0CA1" w14:textId="77777777" w:rsidR="00F879A1" w:rsidRDefault="00F879A1" w:rsidP="001F5F55">
            <w:pPr>
              <w:pStyle w:val="Tabletext"/>
            </w:pPr>
            <w:r>
              <w:t>5 Native level proficiency</w:t>
            </w:r>
          </w:p>
        </w:tc>
        <w:tc>
          <w:tcPr>
            <w:tcW w:w="537" w:type="pct"/>
            <w:vAlign w:val="center"/>
          </w:tcPr>
          <w:p w14:paraId="1BA758BA" w14:textId="77777777" w:rsidR="00F879A1" w:rsidRDefault="00F879A1" w:rsidP="001F5F55">
            <w:pPr>
              <w:pStyle w:val="Tabletext"/>
            </w:pPr>
            <w:r>
              <w:t>111-120</w:t>
            </w:r>
          </w:p>
        </w:tc>
        <w:tc>
          <w:tcPr>
            <w:tcW w:w="816" w:type="pct"/>
            <w:vAlign w:val="center"/>
          </w:tcPr>
          <w:p w14:paraId="7E03A20C" w14:textId="77777777" w:rsidR="00F879A1" w:rsidRDefault="00F879A1" w:rsidP="001F5F55">
            <w:pPr>
              <w:pStyle w:val="Tabletext"/>
            </w:pPr>
            <w:r>
              <w:t>CLB 11 Adequate advanced</w:t>
            </w:r>
          </w:p>
          <w:p w14:paraId="6C6C9553" w14:textId="77777777" w:rsidR="00F879A1" w:rsidRDefault="00F879A1" w:rsidP="001F5F55">
            <w:pPr>
              <w:pStyle w:val="Tabletext"/>
            </w:pPr>
            <w:r>
              <w:t>CLB 12 Fluent advanced</w:t>
            </w:r>
          </w:p>
        </w:tc>
        <w:tc>
          <w:tcPr>
            <w:tcW w:w="729" w:type="pct"/>
            <w:tcBorders>
              <w:left w:val="double" w:sz="4" w:space="0" w:color="A5A5A5" w:themeColor="accent3"/>
              <w:right w:val="nil"/>
            </w:tcBorders>
            <w:vAlign w:val="center"/>
          </w:tcPr>
          <w:p w14:paraId="1CA991CF" w14:textId="77777777" w:rsidR="00F879A1" w:rsidRDefault="00F879A1" w:rsidP="001F5F55">
            <w:pPr>
              <w:pStyle w:val="Tabletext"/>
            </w:pPr>
          </w:p>
        </w:tc>
      </w:tr>
    </w:tbl>
    <w:p w14:paraId="56D63789" w14:textId="77777777" w:rsidR="00F879A1" w:rsidRPr="00C85FD9" w:rsidRDefault="00F879A1" w:rsidP="00F879A1">
      <w:pPr>
        <w:pStyle w:val="Source"/>
      </w:pPr>
      <w:r>
        <w:t xml:space="preserve">Source: ACSF; </w:t>
      </w:r>
      <w:r w:rsidRPr="00335A87">
        <w:t>http://islpr.org/why-use-islpr/summary-of-islpr/</w:t>
      </w:r>
      <w:r>
        <w:t xml:space="preserve">, viewed 10 November 2014; </w:t>
      </w:r>
      <w:r w:rsidRPr="00335A87">
        <w:t>http://www.ielts.org/institutions/test_format_and_results/ielts_band_scores.aspx</w:t>
      </w:r>
      <w:r>
        <w:t xml:space="preserve">, viewed 10 November 2014; Canadian Language Benchmarks 2012 edition; </w:t>
      </w:r>
      <w:r>
        <w:rPr>
          <w:i/>
        </w:rPr>
        <w:t>Implementation guidelines: Certificates in General Education for Adults</w:t>
      </w:r>
      <w:r>
        <w:t>, DEECD 2014.</w:t>
      </w:r>
    </w:p>
    <w:p w14:paraId="731D757B" w14:textId="77777777" w:rsidR="00F879A1" w:rsidRDefault="00F879A1">
      <w:pPr>
        <w:pStyle w:val="BodyText"/>
      </w:pPr>
    </w:p>
    <w:p w14:paraId="4C30F368" w14:textId="77777777" w:rsidR="00F879A1" w:rsidRDefault="00F879A1">
      <w:pPr>
        <w:pStyle w:val="BodyText"/>
        <w:sectPr w:rsidR="00F879A1" w:rsidSect="001F5F55">
          <w:headerReference w:type="even" r:id="rId63"/>
          <w:headerReference w:type="default" r:id="rId64"/>
          <w:footerReference w:type="even" r:id="rId65"/>
          <w:footerReference w:type="default" r:id="rId66"/>
          <w:headerReference w:type="first" r:id="rId67"/>
          <w:footerReference w:type="first" r:id="rId68"/>
          <w:pgSz w:w="16840" w:h="11907" w:orient="landscape" w:code="9"/>
          <w:pgMar w:top="851" w:right="907" w:bottom="851" w:left="851" w:header="709" w:footer="567" w:gutter="567"/>
          <w:cols w:space="720"/>
        </w:sectPr>
      </w:pPr>
    </w:p>
    <w:p w14:paraId="0CF6C336" w14:textId="77777777" w:rsidR="008F26E1" w:rsidRDefault="008F26E1" w:rsidP="00A8047F">
      <w:pPr>
        <w:pStyle w:val="BodyText"/>
      </w:pPr>
    </w:p>
    <w:p w14:paraId="71ABADB4" w14:textId="77777777" w:rsidR="008F26E1" w:rsidRDefault="008F26E1" w:rsidP="00A8047F">
      <w:pPr>
        <w:pStyle w:val="BodyText"/>
      </w:pPr>
    </w:p>
    <w:tbl>
      <w:tblPr>
        <w:tblStyle w:val="TableGrid"/>
        <w:tblW w:w="6563"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5"/>
        <w:gridCol w:w="3368"/>
      </w:tblGrid>
      <w:tr w:rsidR="008F26E1" w14:paraId="5E29955E" w14:textId="77777777" w:rsidTr="00192DAF">
        <w:trPr>
          <w:cantSplit/>
          <w:trHeight w:val="74"/>
        </w:trPr>
        <w:tc>
          <w:tcPr>
            <w:tcW w:w="3195" w:type="dxa"/>
          </w:tcPr>
          <w:p w14:paraId="6233D058" w14:textId="77777777" w:rsidR="008F26E1" w:rsidRDefault="008F26E1" w:rsidP="00192DAF">
            <w:pPr>
              <w:pStyle w:val="ContactPageDeltas"/>
            </w:pPr>
          </w:p>
        </w:tc>
        <w:tc>
          <w:tcPr>
            <w:tcW w:w="3368" w:type="dxa"/>
          </w:tcPr>
          <w:p w14:paraId="78CCA6D8" w14:textId="77777777" w:rsidR="008F26E1" w:rsidRDefault="008F26E1" w:rsidP="00192DAF">
            <w:pPr>
              <w:pStyle w:val="ContactPageDeltas"/>
            </w:pPr>
          </w:p>
        </w:tc>
      </w:tr>
      <w:tr w:rsidR="008F26E1" w14:paraId="53C90C84" w14:textId="77777777" w:rsidTr="00192DAF">
        <w:trPr>
          <w:cantSplit/>
          <w:trHeight w:hRule="exact" w:val="8641"/>
        </w:trPr>
        <w:tc>
          <w:tcPr>
            <w:tcW w:w="3195" w:type="dxa"/>
          </w:tcPr>
          <w:p w14:paraId="7C541C60" w14:textId="77777777" w:rsidR="008F26E1" w:rsidRDefault="008F26E1" w:rsidP="00192DAF">
            <w:pPr>
              <w:spacing w:line="240" w:lineRule="auto"/>
            </w:pPr>
          </w:p>
        </w:tc>
        <w:tc>
          <w:tcPr>
            <w:tcW w:w="3368" w:type="dxa"/>
            <w:vAlign w:val="bottom"/>
          </w:tcPr>
          <w:p w14:paraId="41D177ED" w14:textId="77777777" w:rsidR="008F26E1" w:rsidRPr="00434A86" w:rsidRDefault="008F26E1" w:rsidP="00192DAF">
            <w:pPr>
              <w:pStyle w:val="Contact"/>
              <w:spacing w:line="240" w:lineRule="auto"/>
            </w:pPr>
            <w:r w:rsidRPr="00434A86">
              <w:t>ACIL ALLEN CONSULTING PTY LTD</w:t>
            </w:r>
            <w:r w:rsidRPr="00434A86">
              <w:br/>
              <w:t>ABN 68 102 652 148</w:t>
            </w:r>
          </w:p>
          <w:p w14:paraId="1BF28C0D" w14:textId="77777777" w:rsidR="008F26E1" w:rsidRDefault="008F26E1" w:rsidP="00192DAF">
            <w:pPr>
              <w:pStyle w:val="Contact"/>
              <w:spacing w:after="0" w:line="240" w:lineRule="auto"/>
            </w:pPr>
            <w:r>
              <w:t>161 WAKEFIELD STREET</w:t>
            </w:r>
          </w:p>
          <w:p w14:paraId="42F3971B" w14:textId="77777777" w:rsidR="008F26E1" w:rsidRDefault="008F26E1" w:rsidP="00192DAF">
            <w:pPr>
              <w:pStyle w:val="Contact"/>
              <w:spacing w:after="0" w:line="240" w:lineRule="auto"/>
            </w:pPr>
            <w:r>
              <w:t>ADELAIDE SA 5000</w:t>
            </w:r>
          </w:p>
          <w:p w14:paraId="15F8AC1F" w14:textId="77777777" w:rsidR="008F26E1" w:rsidRDefault="008F26E1" w:rsidP="00192DAF">
            <w:pPr>
              <w:pStyle w:val="Contact"/>
              <w:spacing w:after="0" w:line="240" w:lineRule="auto"/>
            </w:pPr>
            <w:r>
              <w:t>AUSTRALIA</w:t>
            </w:r>
          </w:p>
          <w:p w14:paraId="7FEFD569" w14:textId="77777777" w:rsidR="008F26E1" w:rsidRDefault="008F26E1" w:rsidP="00192DAF">
            <w:pPr>
              <w:pStyle w:val="Contact"/>
              <w:spacing w:after="0" w:line="240" w:lineRule="auto"/>
            </w:pPr>
            <w:r>
              <w:t>T+61 0412 089 043</w:t>
            </w:r>
          </w:p>
          <w:p w14:paraId="2EDB072B" w14:textId="77777777" w:rsidR="008F26E1" w:rsidRDefault="008F26E1" w:rsidP="00192DAF">
            <w:pPr>
              <w:pStyle w:val="Contact"/>
              <w:spacing w:after="0" w:line="240" w:lineRule="auto"/>
            </w:pPr>
          </w:p>
          <w:p w14:paraId="23AED75C" w14:textId="77777777" w:rsidR="008F26E1" w:rsidRDefault="008F26E1" w:rsidP="00192DAF">
            <w:pPr>
              <w:pStyle w:val="Contact"/>
              <w:spacing w:after="0" w:line="240" w:lineRule="auto"/>
            </w:pPr>
            <w:r>
              <w:t>LEVEL FIFTEEN</w:t>
            </w:r>
          </w:p>
          <w:p w14:paraId="0588BCFE" w14:textId="77777777" w:rsidR="008F26E1" w:rsidRDefault="008F26E1" w:rsidP="00192DAF">
            <w:pPr>
              <w:pStyle w:val="Contact"/>
              <w:spacing w:after="0" w:line="240" w:lineRule="auto"/>
            </w:pPr>
            <w:r>
              <w:t>127 CREEK STREET</w:t>
            </w:r>
          </w:p>
          <w:p w14:paraId="69C70435" w14:textId="77777777" w:rsidR="008F26E1" w:rsidRDefault="008F26E1" w:rsidP="00192DAF">
            <w:pPr>
              <w:pStyle w:val="Contact"/>
              <w:spacing w:after="0" w:line="240" w:lineRule="auto"/>
            </w:pPr>
            <w:r>
              <w:t>BRISBANE QLD 4000</w:t>
            </w:r>
          </w:p>
          <w:p w14:paraId="12F95E57" w14:textId="77777777" w:rsidR="008F26E1" w:rsidRDefault="008F26E1" w:rsidP="00192DAF">
            <w:pPr>
              <w:pStyle w:val="Contact"/>
              <w:spacing w:after="0" w:line="240" w:lineRule="auto"/>
            </w:pPr>
            <w:r>
              <w:t>AUSTRALIA</w:t>
            </w:r>
          </w:p>
          <w:p w14:paraId="03A4F777" w14:textId="77777777" w:rsidR="008F26E1" w:rsidRDefault="008F26E1" w:rsidP="00192DAF">
            <w:pPr>
              <w:pStyle w:val="Contact"/>
              <w:spacing w:after="0" w:line="240" w:lineRule="auto"/>
            </w:pPr>
            <w:r>
              <w:t>T+61 7 3009 8700</w:t>
            </w:r>
          </w:p>
          <w:p w14:paraId="6AB64B1F" w14:textId="77777777" w:rsidR="008F26E1" w:rsidRDefault="008F26E1" w:rsidP="00192DAF">
            <w:pPr>
              <w:pStyle w:val="Contact"/>
              <w:spacing w:after="0" w:line="240" w:lineRule="auto"/>
            </w:pPr>
            <w:r>
              <w:t>F+61 7 3009 8799</w:t>
            </w:r>
          </w:p>
          <w:p w14:paraId="6E6CDB9F" w14:textId="77777777" w:rsidR="008F26E1" w:rsidRDefault="008F26E1" w:rsidP="00192DAF">
            <w:pPr>
              <w:pStyle w:val="Contact"/>
              <w:spacing w:after="0" w:line="240" w:lineRule="auto"/>
            </w:pPr>
          </w:p>
          <w:p w14:paraId="61324A29" w14:textId="77777777" w:rsidR="008F26E1" w:rsidRDefault="008F26E1" w:rsidP="00192DAF">
            <w:pPr>
              <w:pStyle w:val="Contact"/>
              <w:spacing w:after="0" w:line="240" w:lineRule="auto"/>
            </w:pPr>
            <w:r>
              <w:t>LEVEL TWO</w:t>
            </w:r>
          </w:p>
          <w:p w14:paraId="6153FA35" w14:textId="77777777" w:rsidR="008F26E1" w:rsidRDefault="008F26E1" w:rsidP="00192DAF">
            <w:pPr>
              <w:pStyle w:val="Contact"/>
              <w:spacing w:after="0" w:line="240" w:lineRule="auto"/>
            </w:pPr>
            <w:r>
              <w:t>33 AINSLIE PLACE</w:t>
            </w:r>
          </w:p>
          <w:p w14:paraId="6DB2B1FF" w14:textId="77777777" w:rsidR="008F26E1" w:rsidRDefault="008F26E1" w:rsidP="00192DAF">
            <w:pPr>
              <w:pStyle w:val="Contact"/>
              <w:spacing w:after="0" w:line="240" w:lineRule="auto"/>
            </w:pPr>
            <w:r>
              <w:t>CANBERRA ACT 2600</w:t>
            </w:r>
          </w:p>
          <w:p w14:paraId="7B636F4E" w14:textId="77777777" w:rsidR="008F26E1" w:rsidRDefault="008F26E1" w:rsidP="00192DAF">
            <w:pPr>
              <w:pStyle w:val="Contact"/>
              <w:spacing w:after="0" w:line="240" w:lineRule="auto"/>
            </w:pPr>
            <w:r>
              <w:t>AUSTRALIA</w:t>
            </w:r>
          </w:p>
          <w:p w14:paraId="30B2044A" w14:textId="77777777" w:rsidR="008F26E1" w:rsidRDefault="008F26E1" w:rsidP="00192DAF">
            <w:pPr>
              <w:pStyle w:val="Contact"/>
              <w:spacing w:after="0" w:line="240" w:lineRule="auto"/>
            </w:pPr>
            <w:r>
              <w:t>T+61 2 6103 8200</w:t>
            </w:r>
          </w:p>
          <w:p w14:paraId="385B5596" w14:textId="77777777" w:rsidR="008F26E1" w:rsidRDefault="008F26E1" w:rsidP="00192DAF">
            <w:pPr>
              <w:pStyle w:val="Contact"/>
              <w:spacing w:after="0" w:line="240" w:lineRule="auto"/>
            </w:pPr>
            <w:r>
              <w:t>F+61 2 6103 8233</w:t>
            </w:r>
          </w:p>
          <w:p w14:paraId="22EF3901" w14:textId="77777777" w:rsidR="008F26E1" w:rsidRDefault="008F26E1" w:rsidP="00192DAF">
            <w:pPr>
              <w:pStyle w:val="Contact"/>
              <w:spacing w:after="0" w:line="240" w:lineRule="auto"/>
            </w:pPr>
          </w:p>
          <w:p w14:paraId="4E6AA937" w14:textId="77777777" w:rsidR="008F26E1" w:rsidRDefault="008F26E1" w:rsidP="00192DAF">
            <w:pPr>
              <w:pStyle w:val="Contact"/>
              <w:spacing w:after="0" w:line="240" w:lineRule="auto"/>
            </w:pPr>
            <w:r>
              <w:t>LEVEL NINE</w:t>
            </w:r>
          </w:p>
          <w:p w14:paraId="6CEA7241" w14:textId="77777777" w:rsidR="008F26E1" w:rsidRDefault="008F26E1" w:rsidP="00192DAF">
            <w:pPr>
              <w:pStyle w:val="Contact"/>
              <w:spacing w:after="0" w:line="240" w:lineRule="auto"/>
            </w:pPr>
            <w:r>
              <w:t>60 COLLINS STREET</w:t>
            </w:r>
          </w:p>
          <w:p w14:paraId="792E0831" w14:textId="77777777" w:rsidR="008F26E1" w:rsidRDefault="008F26E1" w:rsidP="00192DAF">
            <w:pPr>
              <w:pStyle w:val="Contact"/>
              <w:spacing w:after="0" w:line="240" w:lineRule="auto"/>
            </w:pPr>
            <w:r>
              <w:t>MELBOURNE VIC 3000</w:t>
            </w:r>
          </w:p>
          <w:p w14:paraId="75FD453F" w14:textId="77777777" w:rsidR="008F26E1" w:rsidRDefault="008F26E1" w:rsidP="00192DAF">
            <w:pPr>
              <w:pStyle w:val="Contact"/>
              <w:spacing w:after="0" w:line="240" w:lineRule="auto"/>
            </w:pPr>
            <w:r>
              <w:t>AUSTRALIA</w:t>
            </w:r>
          </w:p>
          <w:p w14:paraId="10566F0F" w14:textId="77777777" w:rsidR="008F26E1" w:rsidRDefault="008F26E1" w:rsidP="00192DAF">
            <w:pPr>
              <w:pStyle w:val="Contact"/>
              <w:spacing w:after="0" w:line="240" w:lineRule="auto"/>
            </w:pPr>
            <w:r>
              <w:t>T+61 3 8650 6000</w:t>
            </w:r>
          </w:p>
          <w:p w14:paraId="5EEF5EF3" w14:textId="77777777" w:rsidR="008F26E1" w:rsidRDefault="008F26E1" w:rsidP="00192DAF">
            <w:pPr>
              <w:pStyle w:val="Contact"/>
              <w:spacing w:after="0" w:line="240" w:lineRule="auto"/>
            </w:pPr>
            <w:r>
              <w:t>F+61 3 9654 6363</w:t>
            </w:r>
          </w:p>
          <w:p w14:paraId="201A7B94" w14:textId="77777777" w:rsidR="008F26E1" w:rsidRDefault="008F26E1" w:rsidP="00192DAF">
            <w:pPr>
              <w:pStyle w:val="Contact"/>
              <w:spacing w:after="0" w:line="240" w:lineRule="auto"/>
            </w:pPr>
          </w:p>
          <w:p w14:paraId="33039470" w14:textId="77777777" w:rsidR="008F26E1" w:rsidRDefault="008F26E1" w:rsidP="00192DAF">
            <w:pPr>
              <w:pStyle w:val="Contact"/>
              <w:spacing w:after="0" w:line="240" w:lineRule="auto"/>
            </w:pPr>
            <w:r>
              <w:t>LEVEL TWELVE, BGC CENTRE</w:t>
            </w:r>
          </w:p>
          <w:p w14:paraId="2B6264F4" w14:textId="77777777" w:rsidR="008F26E1" w:rsidRDefault="008F26E1" w:rsidP="00192DAF">
            <w:pPr>
              <w:pStyle w:val="Contact"/>
              <w:spacing w:after="0" w:line="240" w:lineRule="auto"/>
            </w:pPr>
            <w:r>
              <w:t>28 THE ESPLANADE</w:t>
            </w:r>
          </w:p>
          <w:p w14:paraId="78C7BD6D" w14:textId="77777777" w:rsidR="008F26E1" w:rsidRDefault="008F26E1" w:rsidP="00192DAF">
            <w:pPr>
              <w:pStyle w:val="Contact"/>
              <w:spacing w:after="0" w:line="240" w:lineRule="auto"/>
            </w:pPr>
            <w:r>
              <w:t>PERTH WA 6000</w:t>
            </w:r>
          </w:p>
          <w:p w14:paraId="21BB082B" w14:textId="77777777" w:rsidR="008F26E1" w:rsidRDefault="008F26E1" w:rsidP="00192DAF">
            <w:pPr>
              <w:pStyle w:val="Contact"/>
              <w:spacing w:after="0" w:line="240" w:lineRule="auto"/>
            </w:pPr>
            <w:r>
              <w:t>AUSTRALIA</w:t>
            </w:r>
          </w:p>
          <w:p w14:paraId="1F351FFB" w14:textId="77777777" w:rsidR="008F26E1" w:rsidRDefault="008F26E1" w:rsidP="00192DAF">
            <w:pPr>
              <w:pStyle w:val="Contact"/>
              <w:spacing w:after="0" w:line="240" w:lineRule="auto"/>
            </w:pPr>
            <w:r>
              <w:t>T+61 8 9449 9600</w:t>
            </w:r>
          </w:p>
          <w:p w14:paraId="5418A92A" w14:textId="77777777" w:rsidR="008F26E1" w:rsidRDefault="008F26E1" w:rsidP="00192DAF">
            <w:pPr>
              <w:pStyle w:val="Contact"/>
              <w:spacing w:after="0" w:line="240" w:lineRule="auto"/>
            </w:pPr>
            <w:r>
              <w:t>F+61 8 9322 3955</w:t>
            </w:r>
          </w:p>
          <w:p w14:paraId="511E86F3" w14:textId="77777777" w:rsidR="008F26E1" w:rsidRDefault="008F26E1" w:rsidP="00192DAF">
            <w:pPr>
              <w:pStyle w:val="Contact"/>
              <w:spacing w:after="0" w:line="240" w:lineRule="auto"/>
            </w:pPr>
          </w:p>
          <w:p w14:paraId="1B2BF830" w14:textId="77777777" w:rsidR="008F26E1" w:rsidRDefault="008F26E1" w:rsidP="00192DAF">
            <w:pPr>
              <w:pStyle w:val="Contact"/>
              <w:spacing w:after="0" w:line="240" w:lineRule="auto"/>
            </w:pPr>
            <w:r>
              <w:t>LEVEL ONE</w:t>
            </w:r>
          </w:p>
          <w:p w14:paraId="00DD1019" w14:textId="77777777" w:rsidR="008F26E1" w:rsidRDefault="008F26E1" w:rsidP="00192DAF">
            <w:pPr>
              <w:pStyle w:val="Contact"/>
              <w:spacing w:after="0" w:line="240" w:lineRule="auto"/>
            </w:pPr>
            <w:r>
              <w:t>50 PITT STREET</w:t>
            </w:r>
          </w:p>
          <w:p w14:paraId="3BBF4D93" w14:textId="77777777" w:rsidR="008F26E1" w:rsidRDefault="008F26E1" w:rsidP="00192DAF">
            <w:pPr>
              <w:pStyle w:val="Contact"/>
              <w:spacing w:after="0" w:line="240" w:lineRule="auto"/>
            </w:pPr>
            <w:r>
              <w:t>SYDNEY NSW 2000</w:t>
            </w:r>
          </w:p>
          <w:p w14:paraId="350FC69D" w14:textId="77777777" w:rsidR="008F26E1" w:rsidRDefault="008F26E1" w:rsidP="00192DAF">
            <w:pPr>
              <w:pStyle w:val="Contact"/>
              <w:spacing w:after="0" w:line="240" w:lineRule="auto"/>
            </w:pPr>
            <w:r>
              <w:t>AUSTRALIA</w:t>
            </w:r>
          </w:p>
          <w:p w14:paraId="39433B8B" w14:textId="77777777" w:rsidR="008F26E1" w:rsidRDefault="008F26E1" w:rsidP="00192DAF">
            <w:pPr>
              <w:pStyle w:val="Contact"/>
              <w:spacing w:after="0" w:line="240" w:lineRule="auto"/>
            </w:pPr>
            <w:r>
              <w:t>T+61 2 8272 5100</w:t>
            </w:r>
          </w:p>
          <w:p w14:paraId="63501A69" w14:textId="77777777" w:rsidR="008F26E1" w:rsidRDefault="008F26E1" w:rsidP="00192DAF">
            <w:pPr>
              <w:pStyle w:val="Contact"/>
              <w:spacing w:after="0" w:line="240" w:lineRule="auto"/>
            </w:pPr>
            <w:r>
              <w:t>F+61 2 9247 2455</w:t>
            </w:r>
          </w:p>
          <w:p w14:paraId="131222F6" w14:textId="77777777" w:rsidR="008F26E1" w:rsidRDefault="008F26E1" w:rsidP="00192DAF">
            <w:pPr>
              <w:pStyle w:val="Contact"/>
              <w:spacing w:after="0" w:line="240" w:lineRule="auto"/>
            </w:pPr>
          </w:p>
          <w:p w14:paraId="39D3F1A9" w14:textId="77777777" w:rsidR="008F26E1" w:rsidRDefault="008F26E1" w:rsidP="00192DAF">
            <w:pPr>
              <w:pStyle w:val="Contact"/>
              <w:spacing w:after="0" w:line="240" w:lineRule="auto"/>
            </w:pPr>
            <w:r>
              <w:t>ACILALLEN.COM.AU</w:t>
            </w:r>
          </w:p>
          <w:p w14:paraId="12EAC660" w14:textId="77777777" w:rsidR="008F26E1" w:rsidRDefault="008F26E1" w:rsidP="00192DAF">
            <w:pPr>
              <w:pStyle w:val="Contact"/>
              <w:spacing w:line="240" w:lineRule="auto"/>
            </w:pPr>
          </w:p>
        </w:tc>
      </w:tr>
      <w:tr w:rsidR="008F26E1" w14:paraId="3A2CC776" w14:textId="77777777" w:rsidTr="00192DAF">
        <w:trPr>
          <w:trHeight w:hRule="exact" w:val="794"/>
        </w:trPr>
        <w:tc>
          <w:tcPr>
            <w:tcW w:w="3195" w:type="dxa"/>
            <w:tcBorders>
              <w:bottom w:val="single" w:sz="8" w:space="0" w:color="A6A6A6" w:themeColor="background1" w:themeShade="A6"/>
            </w:tcBorders>
            <w:vAlign w:val="bottom"/>
          </w:tcPr>
          <w:p w14:paraId="62F21445" w14:textId="77777777" w:rsidR="008F26E1" w:rsidRDefault="008F26E1" w:rsidP="00192DAF">
            <w:pPr>
              <w:spacing w:before="0" w:line="240" w:lineRule="auto"/>
            </w:pPr>
          </w:p>
        </w:tc>
        <w:tc>
          <w:tcPr>
            <w:tcW w:w="3368" w:type="dxa"/>
            <w:tcBorders>
              <w:bottom w:val="single" w:sz="8" w:space="0" w:color="A6A6A6" w:themeColor="background1" w:themeShade="A6"/>
            </w:tcBorders>
            <w:vAlign w:val="center"/>
          </w:tcPr>
          <w:p w14:paraId="7C007F9E" w14:textId="77777777" w:rsidR="008F26E1" w:rsidRPr="00434A86" w:rsidRDefault="008F26E1" w:rsidP="00192DAF">
            <w:pPr>
              <w:pStyle w:val="SmallDeltasRightAligned"/>
            </w:pPr>
            <w:r>
              <w:rPr>
                <w:noProof/>
                <w:lang w:eastAsia="en-AU"/>
              </w:rPr>
              <w:drawing>
                <wp:inline distT="0" distB="0" distL="0" distR="0" wp14:anchorId="59917CA2" wp14:editId="3D6731C9">
                  <wp:extent cx="882595" cy="441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ALLEN_MASTERLOGO_DELTAS_YELLO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2184" cy="441092"/>
                          </a:xfrm>
                          <a:prstGeom prst="rect">
                            <a:avLst/>
                          </a:prstGeom>
                        </pic:spPr>
                      </pic:pic>
                    </a:graphicData>
                  </a:graphic>
                </wp:inline>
              </w:drawing>
            </w:r>
          </w:p>
        </w:tc>
      </w:tr>
    </w:tbl>
    <w:p w14:paraId="62ECC578" w14:textId="538EA57B" w:rsidR="00F879A1" w:rsidRPr="00A8047F" w:rsidRDefault="00F879A1" w:rsidP="00A8047F">
      <w:pPr>
        <w:pStyle w:val="BodyText"/>
      </w:pPr>
    </w:p>
    <w:sectPr w:rsidR="00F879A1" w:rsidRPr="00A8047F" w:rsidSect="00EF32C9">
      <w:headerReference w:type="even" r:id="rId69"/>
      <w:headerReference w:type="default" r:id="rId70"/>
      <w:footerReference w:type="even" r:id="rId71"/>
      <w:footerReference w:type="default" r:id="rId72"/>
      <w:headerReference w:type="first" r:id="rId73"/>
      <w:footerReference w:type="first" r:id="rId74"/>
      <w:pgSz w:w="11907" w:h="16839" w:code="9"/>
      <w:pgMar w:top="1134" w:right="851" w:bottom="907" w:left="3119" w:header="0" w:footer="0" w:gutter="567"/>
      <w:pgNumType w:start="0"/>
      <w:cols w:space="720"/>
      <w:vAlign w:val="bottom"/>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460AF" w14:textId="77777777" w:rsidR="0092139F" w:rsidRDefault="0092139F">
      <w:r>
        <w:separator/>
      </w:r>
    </w:p>
  </w:endnote>
  <w:endnote w:type="continuationSeparator" w:id="0">
    <w:p w14:paraId="42987FD6" w14:textId="77777777" w:rsidR="0092139F" w:rsidRDefault="0092139F">
      <w:r>
        <w:continuationSeparator/>
      </w:r>
    </w:p>
  </w:endnote>
  <w:endnote w:type="continuationNotice" w:id="1">
    <w:p w14:paraId="4500855F" w14:textId="77777777" w:rsidR="0092139F" w:rsidRDefault="0092139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Novecento UltraLight">
    <w:altName w:val="Arial"/>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ovecento Book">
    <w:altName w:val="Arial"/>
    <w:panose1 w:val="00000000000000000000"/>
    <w:charset w:val="00"/>
    <w:family w:val="modern"/>
    <w:notTrueType/>
    <w:pitch w:val="variable"/>
    <w:sig w:usb0="00000007" w:usb1="00000000" w:usb2="00000000" w:usb3="00000000" w:csb0="00000093" w:csb1="00000000"/>
  </w:font>
  <w:font w:name="HelveticaNeueLT Std Lt Cn">
    <w:panose1 w:val="00000000000000000000"/>
    <w:charset w:val="00"/>
    <w:family w:val="swiss"/>
    <w:notTrueType/>
    <w:pitch w:val="variable"/>
    <w:sig w:usb0="800000AF" w:usb1="4000204A"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Bold">
    <w:panose1 w:val="020B07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24AB2" w14:textId="77777777" w:rsidR="0092139F" w:rsidRDefault="0092139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F261E" w14:textId="77777777" w:rsidR="0092139F" w:rsidRDefault="0092139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267" w:type="pct"/>
      <w:tblInd w:w="-1922" w:type="dxa"/>
      <w:tblBorders>
        <w:insideH w:val="single" w:sz="8" w:space="0" w:color="auto"/>
        <w:insideV w:val="single" w:sz="8" w:space="0" w:color="auto"/>
      </w:tblBorders>
      <w:tblLook w:val="04A0" w:firstRow="1" w:lastRow="0" w:firstColumn="1" w:lastColumn="0" w:noHBand="0" w:noVBand="1"/>
    </w:tblPr>
    <w:tblGrid>
      <w:gridCol w:w="8766"/>
      <w:gridCol w:w="474"/>
    </w:tblGrid>
    <w:tr w:rsidR="00E97502" w:rsidRPr="00126062" w14:paraId="2A1A4274" w14:textId="77777777" w:rsidTr="003C37AA">
      <w:trPr>
        <w:trHeight w:val="288"/>
      </w:trPr>
      <w:tc>
        <w:tcPr>
          <w:tcW w:w="9029" w:type="dxa"/>
          <w:vAlign w:val="bottom"/>
        </w:tcPr>
        <w:p w14:paraId="5950B424" w14:textId="77777777" w:rsidR="0092139F" w:rsidRPr="00126062" w:rsidRDefault="0092139F" w:rsidP="003C37AA">
          <w:pPr>
            <w:pStyle w:val="PortraitFooter"/>
            <w:rPr>
              <w:b/>
              <w:bCs/>
              <w:color w:val="4F81BD"/>
              <w14:numForm w14:val="oldStyle"/>
            </w:rPr>
          </w:pPr>
          <w:r w:rsidRPr="00126062">
            <w:fldChar w:fldCharType="begin"/>
          </w:r>
          <w:r w:rsidRPr="00126062">
            <w:instrText xml:space="preserve"> IF</w:instrText>
          </w:r>
          <w:r w:rsidRPr="00126062">
            <w:fldChar w:fldCharType="begin"/>
          </w:r>
          <w:r w:rsidRPr="00126062">
            <w:instrText xml:space="preserve"> STYLEREF </w:instrText>
          </w:r>
          <w:r>
            <w:instrText>"</w:instrText>
          </w:r>
          <w:r w:rsidRPr="00126062">
            <w:instrText>Title</w:instrText>
          </w:r>
          <w:r>
            <w:instrText xml:space="preserve"> SHORT"</w:instrText>
          </w:r>
          <w:r w:rsidRPr="00126062">
            <w:instrText xml:space="preserve"> \* Charformat </w:instrText>
          </w:r>
          <w:r w:rsidRPr="00126062">
            <w:fldChar w:fldCharType="separate"/>
          </w:r>
          <w:r w:rsidR="00902F05">
            <w:rPr>
              <w:noProof/>
            </w:rPr>
            <w:instrText>AMEP &amp; SEE Programme alignment report</w:instrText>
          </w:r>
          <w:r w:rsidRPr="00126062">
            <w:fldChar w:fldCharType="end"/>
          </w:r>
          <w:r w:rsidRPr="00126062">
            <w:instrText xml:space="preserve"> &lt;&gt; "Error*" </w:instrText>
          </w:r>
          <w:r w:rsidR="00902F05">
            <w:fldChar w:fldCharType="begin"/>
          </w:r>
          <w:r w:rsidR="00902F05">
            <w:instrText xml:space="preserve"> STYLEREF "Title SHORT" \* Charformat </w:instrText>
          </w:r>
          <w:r w:rsidR="00902F05">
            <w:fldChar w:fldCharType="separate"/>
          </w:r>
          <w:r w:rsidR="00902F05">
            <w:rPr>
              <w:noProof/>
            </w:rPr>
            <w:instrText>AMEP &amp; SEE Programme alignment report</w:instrText>
          </w:r>
          <w:r w:rsidR="00902F05">
            <w:rPr>
              <w:noProof/>
            </w:rPr>
            <w:fldChar w:fldCharType="end"/>
          </w:r>
          <w:r w:rsidRPr="00126062">
            <w:instrText xml:space="preserve"> </w:instrText>
          </w:r>
          <w:r w:rsidRPr="00126062">
            <w:fldChar w:fldCharType="separate"/>
          </w:r>
          <w:r w:rsidR="00902F05">
            <w:rPr>
              <w:noProof/>
            </w:rPr>
            <w:t>AMEP &amp; SEE Programme alignment report</w:t>
          </w:r>
          <w:r w:rsidRPr="00126062">
            <w:fldChar w:fldCharType="end"/>
          </w:r>
          <w:r>
            <w:t xml:space="preserve"> </w:t>
          </w:r>
          <w:r w:rsidRPr="00126062">
            <w:fldChar w:fldCharType="begin"/>
          </w:r>
          <w:r w:rsidRPr="00126062">
            <w:instrText xml:space="preserve"> IF</w:instrText>
          </w:r>
          <w:r>
            <w:fldChar w:fldCharType="begin"/>
          </w:r>
          <w:r>
            <w:instrText xml:space="preserve"> STYLEREF Title \* Charformat </w:instrText>
          </w:r>
          <w:r>
            <w:rPr>
              <w:noProof/>
            </w:rPr>
            <w:fldChar w:fldCharType="end"/>
          </w:r>
          <w:r w:rsidRPr="00126062">
            <w:instrText xml:space="preserve"> &lt;&gt; "Error*" </w:instrText>
          </w:r>
          <w:r>
            <w:fldChar w:fldCharType="begin"/>
          </w:r>
          <w:r>
            <w:instrText xml:space="preserve"> STYLEREF Title \* Charformat </w:instrText>
          </w:r>
          <w:r>
            <w:rPr>
              <w:noProof/>
            </w:rPr>
            <w:fldChar w:fldCharType="end"/>
          </w:r>
          <w:r w:rsidRPr="00126062">
            <w:instrText xml:space="preserve"> </w:instrText>
          </w:r>
          <w:r w:rsidRPr="00126062">
            <w:fldChar w:fldCharType="end"/>
          </w:r>
        </w:p>
      </w:tc>
      <w:tc>
        <w:tcPr>
          <w:tcW w:w="478" w:type="dxa"/>
        </w:tcPr>
        <w:p w14:paraId="081BB5CE" w14:textId="77777777" w:rsidR="0092139F" w:rsidRPr="00B957D3" w:rsidRDefault="0092139F" w:rsidP="003C37AA">
          <w:pPr>
            <w:jc w:val="right"/>
            <w:rPr>
              <w:rStyle w:val="PageNumber"/>
            </w:rPr>
          </w:pPr>
          <w:r w:rsidRPr="00B957D3">
            <w:rPr>
              <w:rStyle w:val="PageNumber"/>
            </w:rPr>
            <w:fldChar w:fldCharType="begin"/>
          </w:r>
          <w:r w:rsidRPr="00B957D3">
            <w:rPr>
              <w:rStyle w:val="PageNumber"/>
            </w:rPr>
            <w:instrText xml:space="preserve"> PAGE   \* MERGEFORMAT </w:instrText>
          </w:r>
          <w:r w:rsidRPr="00B957D3">
            <w:rPr>
              <w:rStyle w:val="PageNumber"/>
            </w:rPr>
            <w:fldChar w:fldCharType="separate"/>
          </w:r>
          <w:r w:rsidR="00902F05">
            <w:rPr>
              <w:rStyle w:val="PageNumber"/>
              <w:noProof/>
            </w:rPr>
            <w:t>vi</w:t>
          </w:r>
          <w:r w:rsidRPr="00B957D3">
            <w:rPr>
              <w:rStyle w:val="PageNumber"/>
            </w:rPr>
            <w:fldChar w:fldCharType="end"/>
          </w:r>
        </w:p>
      </w:tc>
    </w:tr>
  </w:tbl>
  <w:p w14:paraId="4C7432D5" w14:textId="77777777" w:rsidR="0092139F" w:rsidRPr="00126062" w:rsidRDefault="0092139F" w:rsidP="003C37AA">
    <w:pPr>
      <w:pStyle w:val="Footer"/>
      <w:tabs>
        <w:tab w:val="right" w:pos="6521"/>
      </w:tabs>
      <w:jc w:val="right"/>
      <w:rPr>
        <w:rFonts w:ascii="Novecento Book" w:eastAsiaTheme="minorHAnsi" w:hAnsi="Novecento Book"/>
        <w:szCs w:val="1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9081D" w14:textId="77777777" w:rsidR="0092139F" w:rsidRDefault="0092139F">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2E94E" w14:textId="77777777" w:rsidR="0092139F" w:rsidRDefault="0092139F">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267" w:type="pct"/>
      <w:tblInd w:w="-1922" w:type="dxa"/>
      <w:tblBorders>
        <w:insideH w:val="single" w:sz="8" w:space="0" w:color="auto"/>
        <w:insideV w:val="single" w:sz="8" w:space="0" w:color="auto"/>
      </w:tblBorders>
      <w:tblLook w:val="04A0" w:firstRow="1" w:lastRow="0" w:firstColumn="1" w:lastColumn="0" w:noHBand="0" w:noVBand="1"/>
    </w:tblPr>
    <w:tblGrid>
      <w:gridCol w:w="8578"/>
      <w:gridCol w:w="662"/>
    </w:tblGrid>
    <w:tr w:rsidR="0092139F" w:rsidRPr="00126062" w14:paraId="51B35549" w14:textId="77777777" w:rsidTr="000E21BF">
      <w:trPr>
        <w:trHeight w:val="288"/>
      </w:trPr>
      <w:tc>
        <w:tcPr>
          <w:tcW w:w="8834" w:type="dxa"/>
          <w:vAlign w:val="bottom"/>
        </w:tcPr>
        <w:p w14:paraId="3E7DB7E2" w14:textId="77777777" w:rsidR="0092139F" w:rsidRPr="00126062" w:rsidRDefault="0092139F" w:rsidP="00F81E97">
          <w:pPr>
            <w:pStyle w:val="PortraitFooter"/>
            <w:rPr>
              <w:b/>
              <w:bCs/>
              <w:color w:val="4F81BD"/>
              <w14:numForm w14:val="oldStyle"/>
            </w:rPr>
          </w:pPr>
          <w:r w:rsidRPr="00126062">
            <w:fldChar w:fldCharType="begin"/>
          </w:r>
          <w:r w:rsidRPr="00126062">
            <w:instrText xml:space="preserve"> IF</w:instrText>
          </w:r>
          <w:r w:rsidRPr="00126062">
            <w:fldChar w:fldCharType="begin"/>
          </w:r>
          <w:r w:rsidRPr="00126062">
            <w:instrText xml:space="preserve"> STYLEREF </w:instrText>
          </w:r>
          <w:r>
            <w:instrText>"</w:instrText>
          </w:r>
          <w:r w:rsidRPr="00126062">
            <w:instrText>Title</w:instrText>
          </w:r>
          <w:r>
            <w:instrText xml:space="preserve"> SHORT"</w:instrText>
          </w:r>
          <w:r w:rsidRPr="00126062">
            <w:instrText xml:space="preserve"> \* Charformat </w:instrText>
          </w:r>
          <w:r w:rsidRPr="00126062">
            <w:fldChar w:fldCharType="separate"/>
          </w:r>
          <w:r w:rsidR="00902F05">
            <w:rPr>
              <w:noProof/>
            </w:rPr>
            <w:instrText>AMEP &amp; SEE Programme alignment report</w:instrText>
          </w:r>
          <w:r w:rsidRPr="00126062">
            <w:fldChar w:fldCharType="end"/>
          </w:r>
          <w:r w:rsidRPr="00126062">
            <w:instrText xml:space="preserve"> &lt;&gt; "Error*" </w:instrText>
          </w:r>
          <w:r w:rsidR="00902F05">
            <w:fldChar w:fldCharType="begin"/>
          </w:r>
          <w:r w:rsidR="00902F05">
            <w:instrText xml:space="preserve"> STYLEREF "Title SHORT" \* Charformat </w:instrText>
          </w:r>
          <w:r w:rsidR="00902F05">
            <w:fldChar w:fldCharType="separate"/>
          </w:r>
          <w:r w:rsidR="00902F05">
            <w:rPr>
              <w:noProof/>
            </w:rPr>
            <w:instrText>AMEP &amp; SEE Programme alignment report</w:instrText>
          </w:r>
          <w:r w:rsidR="00902F05">
            <w:rPr>
              <w:noProof/>
            </w:rPr>
            <w:fldChar w:fldCharType="end"/>
          </w:r>
          <w:r w:rsidRPr="00126062">
            <w:instrText xml:space="preserve"> </w:instrText>
          </w:r>
          <w:r w:rsidRPr="00126062">
            <w:fldChar w:fldCharType="separate"/>
          </w:r>
          <w:r w:rsidR="00902F05">
            <w:rPr>
              <w:noProof/>
            </w:rPr>
            <w:t>AMEP &amp; SEE Programme alignment report</w:t>
          </w:r>
          <w:r w:rsidRPr="00126062">
            <w:fldChar w:fldCharType="end"/>
          </w:r>
          <w:r w:rsidRPr="00126062">
            <w:fldChar w:fldCharType="begin"/>
          </w:r>
          <w:r w:rsidRPr="00126062">
            <w:instrText xml:space="preserve"> IF</w:instrText>
          </w:r>
          <w:r>
            <w:fldChar w:fldCharType="begin"/>
          </w:r>
          <w:r>
            <w:instrText xml:space="preserve"> STYLEREF Title \* Charformat </w:instrText>
          </w:r>
          <w:r>
            <w:rPr>
              <w:noProof/>
            </w:rPr>
            <w:fldChar w:fldCharType="end"/>
          </w:r>
          <w:r w:rsidRPr="00126062">
            <w:instrText xml:space="preserve"> &lt;&gt; "Error*" </w:instrText>
          </w:r>
          <w:r>
            <w:fldChar w:fldCharType="begin"/>
          </w:r>
          <w:r>
            <w:instrText xml:space="preserve"> STYLEREF Title \* Charformat </w:instrText>
          </w:r>
          <w:r>
            <w:rPr>
              <w:noProof/>
            </w:rPr>
            <w:fldChar w:fldCharType="end"/>
          </w:r>
          <w:r w:rsidRPr="00126062">
            <w:instrText xml:space="preserve"> </w:instrText>
          </w:r>
          <w:r w:rsidRPr="00126062">
            <w:fldChar w:fldCharType="end"/>
          </w:r>
        </w:p>
      </w:tc>
      <w:tc>
        <w:tcPr>
          <w:tcW w:w="674" w:type="dxa"/>
        </w:tcPr>
        <w:p w14:paraId="780422AE" w14:textId="77777777" w:rsidR="0092139F" w:rsidRPr="00452AD3" w:rsidRDefault="0092139F" w:rsidP="000E21BF">
          <w:pPr>
            <w:jc w:val="right"/>
            <w:rPr>
              <w:rStyle w:val="PageNumber"/>
            </w:rPr>
          </w:pPr>
          <w:r w:rsidRPr="00452AD3">
            <w:rPr>
              <w:rStyle w:val="PageNumber"/>
            </w:rPr>
            <w:fldChar w:fldCharType="begin"/>
          </w:r>
          <w:r w:rsidRPr="00452AD3">
            <w:rPr>
              <w:rStyle w:val="PageNumber"/>
            </w:rPr>
            <w:instrText xml:space="preserve"> PAGE   \* MERGEFORMAT </w:instrText>
          </w:r>
          <w:r w:rsidRPr="00452AD3">
            <w:rPr>
              <w:rStyle w:val="PageNumber"/>
            </w:rPr>
            <w:fldChar w:fldCharType="separate"/>
          </w:r>
          <w:r w:rsidR="00902F05">
            <w:rPr>
              <w:rStyle w:val="PageNumber"/>
              <w:noProof/>
            </w:rPr>
            <w:t>6</w:t>
          </w:r>
          <w:r w:rsidRPr="00452AD3">
            <w:rPr>
              <w:rStyle w:val="PageNumber"/>
            </w:rPr>
            <w:fldChar w:fldCharType="end"/>
          </w:r>
        </w:p>
      </w:tc>
    </w:tr>
  </w:tbl>
  <w:p w14:paraId="67DBB6E5" w14:textId="77777777" w:rsidR="0092139F" w:rsidRPr="00452AD3" w:rsidRDefault="0092139F" w:rsidP="00452AD3">
    <w:pPr>
      <w:pStyle w:val="Footer"/>
      <w:tabs>
        <w:tab w:val="right" w:pos="6521"/>
      </w:tabs>
      <w:jc w:val="right"/>
      <w:rPr>
        <w:rFonts w:ascii="Novecento Book" w:eastAsiaTheme="minorHAnsi" w:hAnsi="Novecento Book"/>
        <w:szCs w:val="14"/>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1A782" w14:textId="77777777" w:rsidR="0092139F" w:rsidRDefault="0092139F">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4DB0" w14:textId="77777777" w:rsidR="0092139F" w:rsidRDefault="0092139F">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267" w:type="pct"/>
      <w:tblInd w:w="-1922" w:type="dxa"/>
      <w:tblBorders>
        <w:insideH w:val="single" w:sz="8" w:space="0" w:color="auto"/>
        <w:insideV w:val="single" w:sz="8" w:space="0" w:color="auto"/>
      </w:tblBorders>
      <w:tblLook w:val="04A0" w:firstRow="1" w:lastRow="0" w:firstColumn="1" w:lastColumn="0" w:noHBand="0" w:noVBand="1"/>
    </w:tblPr>
    <w:tblGrid>
      <w:gridCol w:w="8575"/>
      <w:gridCol w:w="665"/>
    </w:tblGrid>
    <w:tr w:rsidR="0092139F" w:rsidRPr="00126062" w14:paraId="09C21C7A" w14:textId="77777777" w:rsidTr="000E21BF">
      <w:trPr>
        <w:trHeight w:val="288"/>
      </w:trPr>
      <w:tc>
        <w:tcPr>
          <w:tcW w:w="8834" w:type="dxa"/>
          <w:vAlign w:val="bottom"/>
        </w:tcPr>
        <w:p w14:paraId="36B3328C" w14:textId="77777777" w:rsidR="0092139F" w:rsidRPr="00126062" w:rsidRDefault="0092139F" w:rsidP="000E21BF">
          <w:pPr>
            <w:pStyle w:val="PortraitFooter"/>
            <w:rPr>
              <w:b/>
              <w:bCs/>
              <w:color w:val="4F81BD"/>
              <w14:numForm w14:val="oldStyle"/>
            </w:rPr>
          </w:pPr>
          <w:r w:rsidRPr="00126062">
            <w:fldChar w:fldCharType="begin"/>
          </w:r>
          <w:r w:rsidRPr="00126062">
            <w:instrText xml:space="preserve"> IF</w:instrText>
          </w:r>
          <w:r w:rsidRPr="00126062">
            <w:fldChar w:fldCharType="begin"/>
          </w:r>
          <w:r w:rsidRPr="00126062">
            <w:instrText xml:space="preserve"> STYLEREF </w:instrText>
          </w:r>
          <w:r>
            <w:instrText>"</w:instrText>
          </w:r>
          <w:r w:rsidRPr="00126062">
            <w:instrText>Title</w:instrText>
          </w:r>
          <w:r>
            <w:instrText xml:space="preserve"> SHORT"</w:instrText>
          </w:r>
          <w:r w:rsidRPr="00126062">
            <w:instrText xml:space="preserve"> \* Charformat </w:instrText>
          </w:r>
          <w:r w:rsidRPr="00126062">
            <w:fldChar w:fldCharType="separate"/>
          </w:r>
          <w:r w:rsidR="00902F05">
            <w:rPr>
              <w:noProof/>
            </w:rPr>
            <w:instrText>AMEP &amp; SEE Programme alignment report</w:instrText>
          </w:r>
          <w:r w:rsidRPr="00126062">
            <w:fldChar w:fldCharType="end"/>
          </w:r>
          <w:r w:rsidRPr="00126062">
            <w:instrText xml:space="preserve"> &lt;&gt; "Error*" </w:instrText>
          </w:r>
          <w:r w:rsidR="00902F05">
            <w:fldChar w:fldCharType="begin"/>
          </w:r>
          <w:r w:rsidR="00902F05">
            <w:instrText xml:space="preserve"> STYLEREF "Title SHORT" \* Charformat </w:instrText>
          </w:r>
          <w:r w:rsidR="00902F05">
            <w:fldChar w:fldCharType="separate"/>
          </w:r>
          <w:r w:rsidR="00902F05">
            <w:rPr>
              <w:noProof/>
            </w:rPr>
            <w:instrText>AMEP &amp; SEE Programme alignment report</w:instrText>
          </w:r>
          <w:r w:rsidR="00902F05">
            <w:rPr>
              <w:noProof/>
            </w:rPr>
            <w:fldChar w:fldCharType="end"/>
          </w:r>
          <w:r w:rsidRPr="00126062">
            <w:instrText xml:space="preserve"> </w:instrText>
          </w:r>
          <w:r w:rsidRPr="00126062">
            <w:fldChar w:fldCharType="separate"/>
          </w:r>
          <w:r w:rsidR="00902F05">
            <w:rPr>
              <w:noProof/>
            </w:rPr>
            <w:t>AMEP &amp; SEE Programme alignment report</w:t>
          </w:r>
          <w:r w:rsidRPr="00126062">
            <w:fldChar w:fldCharType="end"/>
          </w:r>
          <w:r>
            <w:t xml:space="preserve"> </w:t>
          </w:r>
          <w:r w:rsidRPr="00126062">
            <w:fldChar w:fldCharType="begin"/>
          </w:r>
          <w:r w:rsidRPr="00126062">
            <w:instrText xml:space="preserve"> IF</w:instrText>
          </w:r>
          <w:r>
            <w:fldChar w:fldCharType="begin"/>
          </w:r>
          <w:r>
            <w:instrText xml:space="preserve"> STYLEREF Title \* Charformat </w:instrText>
          </w:r>
          <w:r>
            <w:rPr>
              <w:noProof/>
            </w:rPr>
            <w:fldChar w:fldCharType="end"/>
          </w:r>
          <w:r w:rsidRPr="00126062">
            <w:instrText xml:space="preserve"> &lt;&gt; "Error*" </w:instrText>
          </w:r>
          <w:r>
            <w:fldChar w:fldCharType="begin"/>
          </w:r>
          <w:r>
            <w:instrText xml:space="preserve"> STYLEREF Title \* Charformat </w:instrText>
          </w:r>
          <w:r>
            <w:rPr>
              <w:noProof/>
            </w:rPr>
            <w:fldChar w:fldCharType="end"/>
          </w:r>
          <w:r w:rsidRPr="00126062">
            <w:instrText xml:space="preserve"> </w:instrText>
          </w:r>
          <w:r w:rsidRPr="00126062">
            <w:fldChar w:fldCharType="end"/>
          </w:r>
        </w:p>
      </w:tc>
      <w:tc>
        <w:tcPr>
          <w:tcW w:w="674" w:type="dxa"/>
        </w:tcPr>
        <w:p w14:paraId="13A706F2" w14:textId="77777777" w:rsidR="0092139F" w:rsidRPr="00452AD3" w:rsidRDefault="0092139F" w:rsidP="000E21BF">
          <w:pPr>
            <w:jc w:val="right"/>
            <w:rPr>
              <w:rStyle w:val="PageNumber"/>
            </w:rPr>
          </w:pPr>
          <w:r w:rsidRPr="00452AD3">
            <w:rPr>
              <w:rStyle w:val="PageNumber"/>
            </w:rPr>
            <w:fldChar w:fldCharType="begin"/>
          </w:r>
          <w:r w:rsidRPr="00452AD3">
            <w:rPr>
              <w:rStyle w:val="PageNumber"/>
            </w:rPr>
            <w:instrText xml:space="preserve"> PAGE   \* MERGEFORMAT </w:instrText>
          </w:r>
          <w:r w:rsidRPr="00452AD3">
            <w:rPr>
              <w:rStyle w:val="PageNumber"/>
            </w:rPr>
            <w:fldChar w:fldCharType="separate"/>
          </w:r>
          <w:r w:rsidR="00902F05">
            <w:rPr>
              <w:rStyle w:val="PageNumber"/>
              <w:noProof/>
            </w:rPr>
            <w:t>A-1</w:t>
          </w:r>
          <w:r w:rsidRPr="00452AD3">
            <w:rPr>
              <w:rStyle w:val="PageNumber"/>
            </w:rPr>
            <w:fldChar w:fldCharType="end"/>
          </w:r>
        </w:p>
      </w:tc>
    </w:tr>
  </w:tbl>
  <w:p w14:paraId="76CB2E63" w14:textId="77777777" w:rsidR="0092139F" w:rsidRPr="00452AD3" w:rsidRDefault="0092139F" w:rsidP="00452AD3">
    <w:pPr>
      <w:pStyle w:val="Footer"/>
      <w:tabs>
        <w:tab w:val="right" w:pos="6521"/>
      </w:tabs>
      <w:jc w:val="right"/>
      <w:rPr>
        <w:rFonts w:ascii="Novecento Book" w:eastAsiaTheme="minorHAnsi" w:hAnsi="Novecento Book"/>
        <w:szCs w:val="14"/>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C9C5D" w14:textId="77777777" w:rsidR="0092139F" w:rsidRDefault="0092139F">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E29EF" w14:textId="77777777" w:rsidR="0092139F" w:rsidRDefault="009213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267" w:type="pct"/>
      <w:tblInd w:w="-1922" w:type="dxa"/>
      <w:tblBorders>
        <w:insideH w:val="single" w:sz="8" w:space="0" w:color="auto"/>
        <w:insideV w:val="single" w:sz="8" w:space="0" w:color="auto"/>
      </w:tblBorders>
      <w:tblLook w:val="04A0" w:firstRow="1" w:lastRow="0" w:firstColumn="1" w:lastColumn="0" w:noHBand="0" w:noVBand="1"/>
    </w:tblPr>
    <w:tblGrid>
      <w:gridCol w:w="8767"/>
      <w:gridCol w:w="473"/>
    </w:tblGrid>
    <w:tr w:rsidR="0092139F" w:rsidRPr="00126062" w14:paraId="0CE781D2" w14:textId="77777777" w:rsidTr="003C37AA">
      <w:trPr>
        <w:trHeight w:val="288"/>
      </w:trPr>
      <w:tc>
        <w:tcPr>
          <w:tcW w:w="9029" w:type="dxa"/>
          <w:vAlign w:val="bottom"/>
        </w:tcPr>
        <w:p w14:paraId="23043F8A" w14:textId="77777777" w:rsidR="0092139F" w:rsidRPr="00126062" w:rsidRDefault="0092139F" w:rsidP="003C37AA">
          <w:pPr>
            <w:pStyle w:val="PortraitFooter"/>
            <w:rPr>
              <w:b/>
              <w:bCs/>
              <w:color w:val="4F81BD"/>
              <w14:numForm w14:val="oldStyle"/>
            </w:rPr>
          </w:pPr>
        </w:p>
      </w:tc>
      <w:tc>
        <w:tcPr>
          <w:tcW w:w="478" w:type="dxa"/>
        </w:tcPr>
        <w:p w14:paraId="7506473A" w14:textId="77777777" w:rsidR="0092139F" w:rsidRPr="00126062" w:rsidRDefault="0092139F" w:rsidP="003C37AA">
          <w:pPr>
            <w:jc w:val="right"/>
            <w:rPr>
              <w:rFonts w:ascii="HelveticaNeueLT Std Lt Cn" w:eastAsia="Calibri" w:hAnsi="HelveticaNeueLT Std Lt Cn"/>
            </w:rPr>
          </w:pPr>
          <w:r w:rsidRPr="00126062">
            <w:rPr>
              <w:rFonts w:ascii="HelveticaNeueLT Std Lt Cn" w:eastAsia="Calibri" w:hAnsi="HelveticaNeueLT Std Lt Cn"/>
            </w:rPr>
            <w:fldChar w:fldCharType="begin"/>
          </w:r>
          <w:r w:rsidRPr="00126062">
            <w:rPr>
              <w:rFonts w:ascii="HelveticaNeueLT Std Lt Cn" w:eastAsia="Calibri" w:hAnsi="HelveticaNeueLT Std Lt Cn"/>
            </w:rPr>
            <w:instrText xml:space="preserve"> PAGE   \* MERGEFORMAT </w:instrText>
          </w:r>
          <w:r w:rsidRPr="00126062">
            <w:rPr>
              <w:rFonts w:ascii="HelveticaNeueLT Std Lt Cn" w:eastAsia="Calibri" w:hAnsi="HelveticaNeueLT Std Lt Cn"/>
            </w:rPr>
            <w:fldChar w:fldCharType="separate"/>
          </w:r>
          <w:r w:rsidR="00902F05">
            <w:rPr>
              <w:rFonts w:ascii="HelveticaNeueLT Std Lt Cn" w:eastAsia="Calibri" w:hAnsi="HelveticaNeueLT Std Lt Cn"/>
              <w:noProof/>
            </w:rPr>
            <w:t>iii</w:t>
          </w:r>
          <w:r w:rsidRPr="00126062">
            <w:rPr>
              <w:rFonts w:ascii="HelveticaNeueLT Std Lt Cn" w:eastAsia="Calibri" w:hAnsi="HelveticaNeueLT Std Lt Cn"/>
            </w:rPr>
            <w:fldChar w:fldCharType="end"/>
          </w:r>
        </w:p>
      </w:tc>
    </w:tr>
  </w:tbl>
  <w:p w14:paraId="286C119C" w14:textId="77777777" w:rsidR="0092139F" w:rsidRPr="00126062" w:rsidRDefault="0092139F" w:rsidP="003C37AA">
    <w:pPr>
      <w:pStyle w:val="Footer"/>
      <w:tabs>
        <w:tab w:val="right" w:pos="6521"/>
      </w:tabs>
      <w:jc w:val="right"/>
      <w:rPr>
        <w:rFonts w:ascii="Novecento Book" w:eastAsiaTheme="minorHAnsi" w:hAnsi="Novecento Book"/>
        <w:szCs w:val="14"/>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8" w:space="0" w:color="auto"/>
        <w:insideV w:val="single" w:sz="8" w:space="0" w:color="auto"/>
      </w:tblBorders>
      <w:tblLook w:val="04A0" w:firstRow="1" w:lastRow="0" w:firstColumn="1" w:lastColumn="0" w:noHBand="0" w:noVBand="1"/>
    </w:tblPr>
    <w:tblGrid>
      <w:gridCol w:w="14312"/>
      <w:gridCol w:w="770"/>
    </w:tblGrid>
    <w:tr w:rsidR="0092139F" w:rsidRPr="00126062" w14:paraId="44DA3A6B" w14:textId="77777777" w:rsidTr="001F5F55">
      <w:trPr>
        <w:trHeight w:val="288"/>
      </w:trPr>
      <w:tc>
        <w:tcPr>
          <w:tcW w:w="9029" w:type="dxa"/>
          <w:vAlign w:val="bottom"/>
        </w:tcPr>
        <w:p w14:paraId="64C86B16" w14:textId="77777777" w:rsidR="0092139F" w:rsidRPr="00126062" w:rsidRDefault="0092139F" w:rsidP="001F5F55">
          <w:pPr>
            <w:pStyle w:val="LandscapeFooter"/>
            <w:rPr>
              <w:b w:val="0"/>
              <w:bCs/>
              <w:color w:val="4F81BD"/>
              <w14:numForm w14:val="oldStyle"/>
            </w:rPr>
          </w:pPr>
          <w:r w:rsidRPr="00126062">
            <w:fldChar w:fldCharType="begin"/>
          </w:r>
          <w:r w:rsidRPr="00126062">
            <w:instrText xml:space="preserve"> IF</w:instrText>
          </w:r>
          <w:r w:rsidRPr="00126062">
            <w:fldChar w:fldCharType="begin"/>
          </w:r>
          <w:r w:rsidRPr="00126062">
            <w:instrText xml:space="preserve"> STYLEREF </w:instrText>
          </w:r>
          <w:r>
            <w:instrText>"</w:instrText>
          </w:r>
          <w:r w:rsidRPr="00126062">
            <w:instrText>Title</w:instrText>
          </w:r>
          <w:r>
            <w:instrText xml:space="preserve"> SHORT"</w:instrText>
          </w:r>
          <w:r w:rsidRPr="00126062">
            <w:instrText xml:space="preserve"> \* Charformat </w:instrText>
          </w:r>
          <w:r w:rsidRPr="00126062">
            <w:fldChar w:fldCharType="separate"/>
          </w:r>
          <w:r w:rsidR="00902F05">
            <w:rPr>
              <w:noProof/>
            </w:rPr>
            <w:instrText>AMEP &amp; SEE Programme alignment report</w:instrText>
          </w:r>
          <w:r w:rsidRPr="00126062">
            <w:fldChar w:fldCharType="end"/>
          </w:r>
          <w:r w:rsidRPr="00126062">
            <w:instrText xml:space="preserve"> &lt;&gt; "Error*" </w:instrText>
          </w:r>
          <w:r w:rsidR="00902F05">
            <w:fldChar w:fldCharType="begin"/>
          </w:r>
          <w:r w:rsidR="00902F05">
            <w:instrText xml:space="preserve"> STYLEREF "Title SHORT" \* Charformat </w:instrText>
          </w:r>
          <w:r w:rsidR="00902F05">
            <w:fldChar w:fldCharType="separate"/>
          </w:r>
          <w:r w:rsidR="00902F05">
            <w:rPr>
              <w:noProof/>
            </w:rPr>
            <w:instrText>AMEP &amp; SEE Programme alignment report</w:instrText>
          </w:r>
          <w:r w:rsidR="00902F05">
            <w:rPr>
              <w:noProof/>
            </w:rPr>
            <w:fldChar w:fldCharType="end"/>
          </w:r>
          <w:r w:rsidRPr="00126062">
            <w:instrText xml:space="preserve"> </w:instrText>
          </w:r>
          <w:r w:rsidRPr="00126062">
            <w:fldChar w:fldCharType="separate"/>
          </w:r>
          <w:r w:rsidR="00902F05">
            <w:rPr>
              <w:noProof/>
            </w:rPr>
            <w:t>AMEP &amp; SEE Programme alignment report</w:t>
          </w:r>
          <w:r w:rsidRPr="00126062">
            <w:fldChar w:fldCharType="end"/>
          </w:r>
          <w:r>
            <w:t xml:space="preserve"> </w:t>
          </w:r>
          <w:r w:rsidRPr="00126062">
            <w:fldChar w:fldCharType="begin"/>
          </w:r>
          <w:r w:rsidRPr="00126062">
            <w:instrText xml:space="preserve"> IF</w:instrText>
          </w:r>
          <w:r>
            <w:fldChar w:fldCharType="begin"/>
          </w:r>
          <w:r>
            <w:instrText xml:space="preserve"> STYLEREF Title \* Charformat </w:instrText>
          </w:r>
          <w:r>
            <w:rPr>
              <w:noProof/>
            </w:rPr>
            <w:fldChar w:fldCharType="end"/>
          </w:r>
          <w:r w:rsidRPr="00126062">
            <w:instrText xml:space="preserve"> &lt;&gt; "Error*" </w:instrText>
          </w:r>
          <w:r>
            <w:fldChar w:fldCharType="begin"/>
          </w:r>
          <w:r>
            <w:instrText xml:space="preserve"> STYLEREF Title \* Charformat </w:instrText>
          </w:r>
          <w:r>
            <w:rPr>
              <w:noProof/>
            </w:rPr>
            <w:fldChar w:fldCharType="end"/>
          </w:r>
          <w:r w:rsidRPr="00126062">
            <w:instrText xml:space="preserve"> </w:instrText>
          </w:r>
          <w:r w:rsidRPr="00126062">
            <w:fldChar w:fldCharType="end"/>
          </w:r>
        </w:p>
      </w:tc>
      <w:tc>
        <w:tcPr>
          <w:tcW w:w="478" w:type="dxa"/>
        </w:tcPr>
        <w:p w14:paraId="77C111F1" w14:textId="77777777" w:rsidR="0092139F" w:rsidRPr="00126062" w:rsidRDefault="0092139F" w:rsidP="001F5F55">
          <w:pPr>
            <w:jc w:val="right"/>
            <w:rPr>
              <w:rFonts w:ascii="HelveticaNeueLT Std Lt Cn" w:eastAsia="Calibri" w:hAnsi="HelveticaNeueLT Std Lt Cn"/>
            </w:rPr>
          </w:pPr>
          <w:r>
            <w:rPr>
              <w:rFonts w:ascii="HelveticaNeueLT Std Lt Cn" w:eastAsia="Calibri" w:hAnsi="HelveticaNeueLT Std Lt Cn"/>
            </w:rPr>
            <w:t>A</w:t>
          </w:r>
          <w:r w:rsidRPr="00126062">
            <w:rPr>
              <w:rFonts w:ascii="HelveticaNeueLT Std Lt Cn" w:eastAsia="Calibri" w:hAnsi="HelveticaNeueLT Std Lt Cn"/>
            </w:rPr>
            <w:fldChar w:fldCharType="begin"/>
          </w:r>
          <w:r w:rsidRPr="00126062">
            <w:rPr>
              <w:rFonts w:ascii="HelveticaNeueLT Std Lt Cn" w:eastAsia="Calibri" w:hAnsi="HelveticaNeueLT Std Lt Cn"/>
            </w:rPr>
            <w:instrText xml:space="preserve"> PAGE   \* MERGEFORMAT </w:instrText>
          </w:r>
          <w:r w:rsidRPr="00126062">
            <w:rPr>
              <w:rFonts w:ascii="HelveticaNeueLT Std Lt Cn" w:eastAsia="Calibri" w:hAnsi="HelveticaNeueLT Std Lt Cn"/>
            </w:rPr>
            <w:fldChar w:fldCharType="separate"/>
          </w:r>
          <w:r w:rsidR="00902F05">
            <w:rPr>
              <w:rFonts w:ascii="HelveticaNeueLT Std Lt Cn" w:eastAsia="Calibri" w:hAnsi="HelveticaNeueLT Std Lt Cn"/>
              <w:noProof/>
            </w:rPr>
            <w:t>2</w:t>
          </w:r>
          <w:r w:rsidRPr="00126062">
            <w:rPr>
              <w:rFonts w:ascii="HelveticaNeueLT Std Lt Cn" w:eastAsia="Calibri" w:hAnsi="HelveticaNeueLT Std Lt Cn"/>
            </w:rPr>
            <w:fldChar w:fldCharType="end"/>
          </w:r>
        </w:p>
      </w:tc>
    </w:tr>
  </w:tbl>
  <w:p w14:paraId="02FFFC0F" w14:textId="77777777" w:rsidR="0092139F" w:rsidRPr="00126062" w:rsidRDefault="0092139F" w:rsidP="001F5F55">
    <w:pPr>
      <w:pStyle w:val="Footer"/>
      <w:tabs>
        <w:tab w:val="right" w:pos="6521"/>
      </w:tabs>
      <w:jc w:val="right"/>
      <w:rPr>
        <w:rFonts w:ascii="Novecento Book" w:eastAsiaTheme="minorHAnsi" w:hAnsi="Novecento Book"/>
        <w:szCs w:val="14"/>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3BBF" w14:textId="77777777" w:rsidR="0092139F" w:rsidRDefault="0092139F">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9DA2A" w14:textId="77777777" w:rsidR="0092139F" w:rsidRDefault="0092139F">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9BB9" w14:textId="77777777" w:rsidR="0092139F" w:rsidRPr="00452AD3" w:rsidRDefault="0092139F" w:rsidP="00452AD3">
    <w:pPr>
      <w:pStyle w:val="Footer"/>
      <w:tabs>
        <w:tab w:val="right" w:pos="6521"/>
      </w:tabs>
      <w:jc w:val="right"/>
      <w:rPr>
        <w:rFonts w:ascii="Novecento Book" w:eastAsiaTheme="minorHAnsi" w:hAnsi="Novecento Book"/>
        <w:szCs w:val="14"/>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FBF3" w14:textId="77777777" w:rsidR="0092139F" w:rsidRDefault="009213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19842" w14:textId="77777777" w:rsidR="0092139F" w:rsidRDefault="009213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6BB" w14:textId="77777777" w:rsidR="0092139F" w:rsidRDefault="0092139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267" w:type="pct"/>
      <w:tblInd w:w="-1922" w:type="dxa"/>
      <w:tblBorders>
        <w:insideH w:val="single" w:sz="8" w:space="0" w:color="auto"/>
        <w:insideV w:val="single" w:sz="8" w:space="0" w:color="auto"/>
      </w:tblBorders>
      <w:tblLook w:val="04A0" w:firstRow="1" w:lastRow="0" w:firstColumn="1" w:lastColumn="0" w:noHBand="0" w:noVBand="1"/>
    </w:tblPr>
    <w:tblGrid>
      <w:gridCol w:w="8765"/>
      <w:gridCol w:w="475"/>
    </w:tblGrid>
    <w:tr w:rsidR="0092139F" w:rsidRPr="00126062" w14:paraId="36636B4E" w14:textId="77777777" w:rsidTr="003C37AA">
      <w:trPr>
        <w:trHeight w:val="288"/>
      </w:trPr>
      <w:tc>
        <w:tcPr>
          <w:tcW w:w="9029" w:type="dxa"/>
          <w:vAlign w:val="bottom"/>
        </w:tcPr>
        <w:p w14:paraId="5B5C3CEB" w14:textId="77777777" w:rsidR="0092139F" w:rsidRPr="00126062" w:rsidRDefault="0092139F" w:rsidP="003C37AA">
          <w:pPr>
            <w:pStyle w:val="PortraitFooter"/>
            <w:rPr>
              <w:b/>
              <w:bCs/>
              <w:color w:val="4F81BD"/>
              <w14:numForm w14:val="oldStyle"/>
            </w:rPr>
          </w:pPr>
        </w:p>
      </w:tc>
      <w:tc>
        <w:tcPr>
          <w:tcW w:w="478" w:type="dxa"/>
        </w:tcPr>
        <w:p w14:paraId="7C99E141" w14:textId="77777777" w:rsidR="0092139F" w:rsidRPr="00126062" w:rsidRDefault="0092139F" w:rsidP="003C37AA">
          <w:pPr>
            <w:jc w:val="right"/>
            <w:rPr>
              <w:rFonts w:ascii="HelveticaNeueLT Std Lt Cn" w:eastAsia="Calibri" w:hAnsi="HelveticaNeueLT Std Lt Cn"/>
            </w:rPr>
          </w:pPr>
          <w:r w:rsidRPr="00126062">
            <w:rPr>
              <w:rFonts w:ascii="HelveticaNeueLT Std Lt Cn" w:eastAsia="Calibri" w:hAnsi="HelveticaNeueLT Std Lt Cn"/>
            </w:rPr>
            <w:fldChar w:fldCharType="begin"/>
          </w:r>
          <w:r w:rsidRPr="00126062">
            <w:rPr>
              <w:rFonts w:ascii="HelveticaNeueLT Std Lt Cn" w:eastAsia="Calibri" w:hAnsi="HelveticaNeueLT Std Lt Cn"/>
            </w:rPr>
            <w:instrText xml:space="preserve"> PAGE   \* MERGEFORMAT </w:instrText>
          </w:r>
          <w:r w:rsidRPr="00126062">
            <w:rPr>
              <w:rFonts w:ascii="HelveticaNeueLT Std Lt Cn" w:eastAsia="Calibri" w:hAnsi="HelveticaNeueLT Std Lt Cn"/>
            </w:rPr>
            <w:fldChar w:fldCharType="separate"/>
          </w:r>
          <w:r w:rsidR="00902F05">
            <w:rPr>
              <w:rFonts w:ascii="HelveticaNeueLT Std Lt Cn" w:eastAsia="Calibri" w:hAnsi="HelveticaNeueLT Std Lt Cn"/>
              <w:noProof/>
            </w:rPr>
            <w:t>iv</w:t>
          </w:r>
          <w:r w:rsidRPr="00126062">
            <w:rPr>
              <w:rFonts w:ascii="HelveticaNeueLT Std Lt Cn" w:eastAsia="Calibri" w:hAnsi="HelveticaNeueLT Std Lt Cn"/>
            </w:rPr>
            <w:fldChar w:fldCharType="end"/>
          </w:r>
        </w:p>
      </w:tc>
    </w:tr>
  </w:tbl>
  <w:p w14:paraId="1F18705F" w14:textId="77777777" w:rsidR="0092139F" w:rsidRPr="00126062" w:rsidRDefault="0092139F" w:rsidP="003C37AA">
    <w:pPr>
      <w:pStyle w:val="Footer"/>
      <w:tabs>
        <w:tab w:val="right" w:pos="6521"/>
      </w:tabs>
      <w:jc w:val="right"/>
      <w:rPr>
        <w:rFonts w:ascii="Novecento Book" w:eastAsiaTheme="minorHAnsi" w:hAnsi="Novecento Book"/>
        <w:szCs w:val="1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40ADC" w14:textId="77777777" w:rsidR="0092139F" w:rsidRDefault="0092139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E0C50" w14:textId="77777777" w:rsidR="0092139F" w:rsidRDefault="0092139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267" w:type="pct"/>
      <w:tblInd w:w="-1922" w:type="dxa"/>
      <w:tblBorders>
        <w:insideH w:val="single" w:sz="8" w:space="0" w:color="auto"/>
        <w:insideV w:val="single" w:sz="8" w:space="0" w:color="auto"/>
      </w:tblBorders>
      <w:tblLook w:val="04A0" w:firstRow="1" w:lastRow="0" w:firstColumn="1" w:lastColumn="0" w:noHBand="0" w:noVBand="1"/>
    </w:tblPr>
    <w:tblGrid>
      <w:gridCol w:w="8767"/>
      <w:gridCol w:w="473"/>
    </w:tblGrid>
    <w:tr w:rsidR="0092139F" w:rsidRPr="00126062" w14:paraId="08D86E23" w14:textId="77777777" w:rsidTr="003C37AA">
      <w:trPr>
        <w:trHeight w:val="288"/>
      </w:trPr>
      <w:tc>
        <w:tcPr>
          <w:tcW w:w="9029" w:type="dxa"/>
          <w:vAlign w:val="bottom"/>
        </w:tcPr>
        <w:p w14:paraId="72B31C2C" w14:textId="77777777" w:rsidR="0092139F" w:rsidRPr="00126062" w:rsidRDefault="0092139F" w:rsidP="003C37AA">
          <w:pPr>
            <w:pStyle w:val="PortraitFooter"/>
            <w:rPr>
              <w:b/>
              <w:bCs/>
              <w:color w:val="4F81BD"/>
              <w14:numForm w14:val="oldStyle"/>
            </w:rPr>
          </w:pPr>
        </w:p>
      </w:tc>
      <w:tc>
        <w:tcPr>
          <w:tcW w:w="478" w:type="dxa"/>
        </w:tcPr>
        <w:p w14:paraId="5C4CC96E" w14:textId="77777777" w:rsidR="0092139F" w:rsidRPr="00126062" w:rsidRDefault="0092139F" w:rsidP="003C37AA">
          <w:pPr>
            <w:jc w:val="right"/>
            <w:rPr>
              <w:rFonts w:ascii="HelveticaNeueLT Std Lt Cn" w:eastAsia="Calibri" w:hAnsi="HelveticaNeueLT Std Lt Cn"/>
            </w:rPr>
          </w:pPr>
          <w:r w:rsidRPr="00126062">
            <w:rPr>
              <w:rFonts w:ascii="HelveticaNeueLT Std Lt Cn" w:eastAsia="Calibri" w:hAnsi="HelveticaNeueLT Std Lt Cn"/>
            </w:rPr>
            <w:fldChar w:fldCharType="begin"/>
          </w:r>
          <w:r w:rsidRPr="00126062">
            <w:rPr>
              <w:rFonts w:ascii="HelveticaNeueLT Std Lt Cn" w:eastAsia="Calibri" w:hAnsi="HelveticaNeueLT Std Lt Cn"/>
            </w:rPr>
            <w:instrText xml:space="preserve"> PAGE   \* MERGEFORMAT </w:instrText>
          </w:r>
          <w:r w:rsidRPr="00126062">
            <w:rPr>
              <w:rFonts w:ascii="HelveticaNeueLT Std Lt Cn" w:eastAsia="Calibri" w:hAnsi="HelveticaNeueLT Std Lt Cn"/>
            </w:rPr>
            <w:fldChar w:fldCharType="separate"/>
          </w:r>
          <w:r w:rsidR="00902F05">
            <w:rPr>
              <w:rFonts w:ascii="HelveticaNeueLT Std Lt Cn" w:eastAsia="Calibri" w:hAnsi="HelveticaNeueLT Std Lt Cn"/>
              <w:noProof/>
            </w:rPr>
            <w:t>v</w:t>
          </w:r>
          <w:r w:rsidRPr="00126062">
            <w:rPr>
              <w:rFonts w:ascii="HelveticaNeueLT Std Lt Cn" w:eastAsia="Calibri" w:hAnsi="HelveticaNeueLT Std Lt Cn"/>
            </w:rPr>
            <w:fldChar w:fldCharType="end"/>
          </w:r>
        </w:p>
      </w:tc>
    </w:tr>
  </w:tbl>
  <w:p w14:paraId="7205DAC7" w14:textId="77777777" w:rsidR="0092139F" w:rsidRPr="00126062" w:rsidRDefault="0092139F" w:rsidP="003C37AA">
    <w:pPr>
      <w:pStyle w:val="Footer"/>
      <w:tabs>
        <w:tab w:val="right" w:pos="6521"/>
      </w:tabs>
      <w:jc w:val="right"/>
      <w:rPr>
        <w:rFonts w:ascii="Novecento Book" w:eastAsiaTheme="minorHAnsi" w:hAnsi="Novecento Book"/>
        <w:szCs w:val="1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2688B" w14:textId="77777777" w:rsidR="0092139F" w:rsidRDefault="00921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4ABC8" w14:textId="77777777" w:rsidR="0092139F" w:rsidRDefault="0092139F">
      <w:pPr>
        <w:pStyle w:val="Footer"/>
      </w:pPr>
    </w:p>
    <w:p w14:paraId="503EF6AA" w14:textId="77777777" w:rsidR="0092139F" w:rsidRDefault="0092139F"/>
    <w:tbl>
      <w:tblPr>
        <w:tblW w:w="6267" w:type="pct"/>
        <w:tblInd w:w="-1922" w:type="dxa"/>
        <w:tblBorders>
          <w:insideH w:val="single" w:sz="8" w:space="0" w:color="auto"/>
          <w:insideV w:val="single" w:sz="8" w:space="0" w:color="auto"/>
        </w:tblBorders>
        <w:tblLook w:val="04A0" w:firstRow="1" w:lastRow="0" w:firstColumn="1" w:lastColumn="0" w:noHBand="0" w:noVBand="1"/>
      </w:tblPr>
      <w:tblGrid>
        <w:gridCol w:w="10893"/>
        <w:gridCol w:w="831"/>
      </w:tblGrid>
      <w:tr w:rsidR="0092139F" w:rsidRPr="00126062" w14:paraId="7751C912" w14:textId="77777777" w:rsidTr="000E21BF">
        <w:trPr>
          <w:trHeight w:val="288"/>
        </w:trPr>
        <w:tc>
          <w:tcPr>
            <w:tcW w:w="8834" w:type="dxa"/>
            <w:vAlign w:val="bottom"/>
          </w:tcPr>
          <w:p w14:paraId="1A89BDE3" w14:textId="77777777" w:rsidR="0092139F" w:rsidRPr="00126062" w:rsidRDefault="0092139F" w:rsidP="000E21BF">
            <w:pPr>
              <w:pStyle w:val="PortraitFooter"/>
              <w:rPr>
                <w:b/>
                <w:bCs/>
                <w:color w:val="4F81BD"/>
                <w14:numForm w14:val="oldStyle"/>
              </w:rPr>
            </w:pPr>
            <w:r w:rsidRPr="00126062">
              <w:fldChar w:fldCharType="begin"/>
            </w:r>
            <w:r w:rsidRPr="00126062">
              <w:instrText xml:space="preserve"> IF</w:instrText>
            </w:r>
            <w:r w:rsidRPr="00126062">
              <w:fldChar w:fldCharType="begin"/>
            </w:r>
            <w:r w:rsidRPr="00126062">
              <w:instrText xml:space="preserve"> STYLEREF </w:instrText>
            </w:r>
            <w:r>
              <w:instrText>"</w:instrText>
            </w:r>
            <w:r w:rsidRPr="00126062">
              <w:instrText>Title</w:instrText>
            </w:r>
            <w:r>
              <w:instrText xml:space="preserve"> SHORT"</w:instrText>
            </w:r>
            <w:r w:rsidRPr="00126062">
              <w:instrText xml:space="preserve"> \* Charformat </w:instrText>
            </w:r>
            <w:r w:rsidRPr="00126062">
              <w:fldChar w:fldCharType="separate"/>
            </w:r>
            <w:r w:rsidR="00902F05">
              <w:rPr>
                <w:noProof/>
              </w:rPr>
              <w:instrText>AMEP &amp; SEE Programme alignment report</w:instrText>
            </w:r>
            <w:r w:rsidRPr="00126062">
              <w:fldChar w:fldCharType="end"/>
            </w:r>
            <w:r w:rsidRPr="00126062">
              <w:instrText xml:space="preserve"> &lt;&gt; "Error*" </w:instrText>
            </w:r>
            <w:r w:rsidR="00902F05">
              <w:fldChar w:fldCharType="begin"/>
            </w:r>
            <w:r w:rsidR="00902F05">
              <w:instrText xml:space="preserve"> STYLEREF "Title SHORT" \* Charformat </w:instrText>
            </w:r>
            <w:r w:rsidR="00902F05">
              <w:fldChar w:fldCharType="separate"/>
            </w:r>
            <w:r w:rsidR="00902F05">
              <w:rPr>
                <w:noProof/>
              </w:rPr>
              <w:instrText>AMEP &amp; SEE Programme alignment report</w:instrText>
            </w:r>
            <w:r w:rsidR="00902F05">
              <w:rPr>
                <w:noProof/>
              </w:rPr>
              <w:fldChar w:fldCharType="end"/>
            </w:r>
            <w:r w:rsidRPr="00126062">
              <w:instrText xml:space="preserve"> </w:instrText>
            </w:r>
            <w:r w:rsidRPr="00126062">
              <w:fldChar w:fldCharType="separate"/>
            </w:r>
            <w:r w:rsidR="00902F05">
              <w:rPr>
                <w:noProof/>
              </w:rPr>
              <w:t>AMEP &amp; SEE Programme alignment report</w:t>
            </w:r>
            <w:r w:rsidRPr="00126062">
              <w:fldChar w:fldCharType="end"/>
            </w:r>
            <w:r>
              <w:t xml:space="preserve"> </w:t>
            </w:r>
            <w:r w:rsidRPr="00126062">
              <w:fldChar w:fldCharType="begin"/>
            </w:r>
            <w:r w:rsidRPr="00126062">
              <w:instrText xml:space="preserve"> IF</w:instrText>
            </w:r>
            <w:r>
              <w:fldChar w:fldCharType="begin"/>
            </w:r>
            <w:r>
              <w:instrText xml:space="preserve"> STYLEREF Title \* Charformat </w:instrText>
            </w:r>
            <w:r>
              <w:rPr>
                <w:noProof/>
              </w:rPr>
              <w:fldChar w:fldCharType="end"/>
            </w:r>
            <w:r w:rsidRPr="00126062">
              <w:instrText xml:space="preserve"> &lt;&gt; "Error*" </w:instrText>
            </w:r>
            <w:r>
              <w:fldChar w:fldCharType="begin"/>
            </w:r>
            <w:r>
              <w:instrText xml:space="preserve"> STYLEREF Title \* Charformat </w:instrText>
            </w:r>
            <w:r>
              <w:rPr>
                <w:noProof/>
              </w:rPr>
              <w:fldChar w:fldCharType="end"/>
            </w:r>
            <w:r w:rsidRPr="00126062">
              <w:instrText xml:space="preserve"> </w:instrText>
            </w:r>
            <w:r w:rsidRPr="00126062">
              <w:fldChar w:fldCharType="end"/>
            </w:r>
          </w:p>
        </w:tc>
        <w:tc>
          <w:tcPr>
            <w:tcW w:w="674" w:type="dxa"/>
          </w:tcPr>
          <w:p w14:paraId="3146770C" w14:textId="77777777" w:rsidR="0092139F" w:rsidRPr="00452AD3" w:rsidRDefault="0092139F" w:rsidP="000E21BF">
            <w:pPr>
              <w:jc w:val="right"/>
              <w:rPr>
                <w:rStyle w:val="PageNumber"/>
              </w:rPr>
            </w:pPr>
            <w:r w:rsidRPr="00452AD3">
              <w:rPr>
                <w:rStyle w:val="PageNumber"/>
              </w:rPr>
              <w:fldChar w:fldCharType="begin"/>
            </w:r>
            <w:r w:rsidRPr="00452AD3">
              <w:rPr>
                <w:rStyle w:val="PageNumber"/>
              </w:rPr>
              <w:instrText xml:space="preserve"> PAGE   \* MERGEFORMAT </w:instrText>
            </w:r>
            <w:r w:rsidRPr="00452AD3">
              <w:rPr>
                <w:rStyle w:val="PageNumber"/>
              </w:rPr>
              <w:fldChar w:fldCharType="separate"/>
            </w:r>
            <w:r w:rsidR="00902F05">
              <w:rPr>
                <w:rStyle w:val="PageNumber"/>
                <w:noProof/>
              </w:rPr>
              <w:t>7</w:t>
            </w:r>
            <w:r w:rsidRPr="00452AD3">
              <w:rPr>
                <w:rStyle w:val="PageNumber"/>
              </w:rPr>
              <w:fldChar w:fldCharType="end"/>
            </w:r>
          </w:p>
        </w:tc>
      </w:tr>
    </w:tbl>
    <w:p w14:paraId="179B9CD8" w14:textId="77777777" w:rsidR="0092139F" w:rsidRPr="00452AD3" w:rsidRDefault="0092139F" w:rsidP="00452AD3">
      <w:pPr>
        <w:pStyle w:val="Footer"/>
        <w:tabs>
          <w:tab w:val="right" w:pos="6521"/>
        </w:tabs>
        <w:jc w:val="right"/>
        <w:rPr>
          <w:rFonts w:ascii="Novecento Book" w:eastAsiaTheme="minorHAnsi" w:hAnsi="Novecento Book"/>
          <w:szCs w:val="14"/>
        </w:rPr>
      </w:pPr>
    </w:p>
    <w:p w14:paraId="47DCD420" w14:textId="77777777" w:rsidR="0092139F" w:rsidRDefault="0092139F">
      <w:pPr>
        <w:pStyle w:val="Footer"/>
      </w:pPr>
    </w:p>
    <w:p w14:paraId="7DC2984D" w14:textId="77777777" w:rsidR="0092139F" w:rsidRDefault="0092139F"/>
    <w:p w14:paraId="2D59C985" w14:textId="77777777" w:rsidR="0092139F" w:rsidRDefault="0092139F">
      <w:r>
        <w:separator/>
      </w:r>
    </w:p>
  </w:footnote>
  <w:footnote w:type="continuationSeparator" w:id="0">
    <w:p w14:paraId="2D33A45D" w14:textId="77777777" w:rsidR="0092139F" w:rsidRDefault="0092139F">
      <w:r>
        <w:continuationSeparator/>
      </w:r>
    </w:p>
  </w:footnote>
  <w:footnote w:type="continuationNotice" w:id="1">
    <w:p w14:paraId="64BAB2CC" w14:textId="77777777" w:rsidR="0092139F" w:rsidRDefault="0092139F">
      <w:pPr>
        <w:spacing w:before="0" w:after="0" w:line="240" w:lineRule="auto"/>
      </w:pPr>
    </w:p>
  </w:footnote>
  <w:footnote w:id="2">
    <w:p w14:paraId="0FFE5243" w14:textId="77777777" w:rsidR="0092139F" w:rsidRDefault="0092139F" w:rsidP="00EB56DA">
      <w:pPr>
        <w:pStyle w:val="FootnoteText"/>
      </w:pPr>
      <w:r>
        <w:rPr>
          <w:rStyle w:val="FootnoteReference"/>
        </w:rPr>
        <w:footnoteRef/>
      </w:r>
      <w:r>
        <w:tab/>
      </w:r>
      <w:r w:rsidRPr="00894F77">
        <w:t xml:space="preserve">Access to e-modules is </w:t>
      </w:r>
      <w:r>
        <w:t xml:space="preserve">available to all members of the public and </w:t>
      </w:r>
      <w:r w:rsidRPr="00894F77">
        <w:t>not restricted to AMEP clients.</w:t>
      </w:r>
    </w:p>
  </w:footnote>
  <w:footnote w:id="3">
    <w:p w14:paraId="2AA68292" w14:textId="77777777" w:rsidR="0092139F" w:rsidRDefault="0092139F">
      <w:pPr>
        <w:pStyle w:val="FootnoteText"/>
      </w:pPr>
      <w:r>
        <w:rPr>
          <w:rStyle w:val="FootnoteReference"/>
        </w:rPr>
        <w:footnoteRef/>
      </w:r>
      <w:r>
        <w:tab/>
        <w:t>This is further complicated by the fact that, as SEE funding/places are capped, SEE eligibility is variable and subject to a change in line with the number of job seekers qualifying for income support (which is in turn dependent on the unemployment rate and broader economic and labour market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2BD81" w14:textId="77777777" w:rsidR="0092139F" w:rsidRPr="00126062" w:rsidRDefault="0092139F" w:rsidP="000E21BF">
    <w:pPr>
      <w:pBdr>
        <w:top w:val="single" w:sz="6" w:space="2" w:color="A6A6A6" w:themeColor="background1" w:themeShade="A6"/>
      </w:pBdr>
      <w:tabs>
        <w:tab w:val="left" w:pos="567"/>
      </w:tabs>
      <w:jc w:val="right"/>
      <w:rPr>
        <w:rFonts w:ascii="Novecento Book" w:hAnsi="Novecento Book"/>
        <w:b/>
        <w:spacing w:val="22"/>
        <w:sz w:val="14"/>
        <w:szCs w:val="1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6FDFE" w14:textId="77777777" w:rsidR="0092139F" w:rsidRDefault="0092139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200C1" w14:textId="77777777" w:rsidR="0092139F" w:rsidRDefault="0092139F">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43596" w14:textId="77777777" w:rsidR="0092139F" w:rsidRPr="00692CD0" w:rsidRDefault="0092139F" w:rsidP="00371EA8">
    <w:pPr>
      <w:pStyle w:val="Header"/>
      <w:ind w:firstLine="902"/>
      <w:rPr>
        <w:rFonts w:asciiTheme="majorHAnsi" w:hAnsiTheme="majorHAnsi" w:cstheme="majorHAnsi"/>
        <w:sz w:val="20"/>
        <w:szCs w:val="20"/>
      </w:rPr>
    </w:pPr>
    <w:r>
      <w:rPr>
        <w:rFonts w:asciiTheme="majorHAnsi" w:hAnsiTheme="majorHAnsi" w:cstheme="majorHAnsi"/>
        <w:sz w:val="20"/>
        <w:szCs w:val="20"/>
      </w:rPr>
      <w:t xml:space="preserve">   </w:t>
    </w:r>
  </w:p>
  <w:p w14:paraId="1D18806E" w14:textId="77777777" w:rsidR="0092139F" w:rsidRPr="003800C1" w:rsidRDefault="0092139F" w:rsidP="003C37AA">
    <w:pPr>
      <w:pStyle w:val="AACHeader"/>
      <w:tabs>
        <w:tab w:val="left" w:pos="2410"/>
      </w:tabs>
    </w:pPr>
    <w:r>
      <w:t xml:space="preserve">ACIL ALLEN </w:t>
    </w:r>
    <w:r>
      <w:rPr>
        <w:color w:val="BFBFBF" w:themeColor="background1" w:themeShade="BF"/>
      </w:rPr>
      <w:t>CONSULTING</w:t>
    </w:r>
    <w:r>
      <w:rPr>
        <w:color w:val="BFBFBF" w:themeColor="background1" w:themeShade="BF"/>
      </w:rPr>
      <w:br/>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4DE8A" w14:textId="77777777" w:rsidR="0092139F" w:rsidRDefault="0092139F">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7B745" w14:textId="77777777" w:rsidR="0092139F" w:rsidRDefault="0092139F">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1CBEC" w14:textId="77777777" w:rsidR="0092139F" w:rsidRPr="00C57B63" w:rsidRDefault="0092139F" w:rsidP="00EA4292">
    <w:pPr>
      <w:pStyle w:val="AACHeader"/>
    </w:pPr>
    <w:r w:rsidRPr="00C57B63">
      <w:t xml:space="preserve">ACIL ALLEN </w:t>
    </w:r>
    <w:r w:rsidRPr="00C57B63">
      <w:rPr>
        <w:color w:val="BFBFBF" w:themeColor="background1" w:themeShade="BF"/>
      </w:rPr>
      <w:t>CONSULTING</w:t>
    </w:r>
    <w:r>
      <w:rPr>
        <w:color w:val="BFBFBF" w:themeColor="background1" w:themeShade="BF"/>
      </w:rPr>
      <w:br/>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B746" w14:textId="77777777" w:rsidR="0092139F" w:rsidRDefault="0092139F">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56C39" w14:textId="77777777" w:rsidR="0092139F" w:rsidRDefault="0092139F">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E215A" w14:textId="77777777" w:rsidR="0092139F" w:rsidRPr="00C57B63" w:rsidRDefault="0092139F" w:rsidP="00EA4292">
    <w:pPr>
      <w:pStyle w:val="AACHeader"/>
    </w:pPr>
    <w:r w:rsidRPr="00C57B63">
      <w:t xml:space="preserve">ACIL ALLEN </w:t>
    </w:r>
    <w:r w:rsidRPr="00C57B63">
      <w:rPr>
        <w:color w:val="BFBFBF" w:themeColor="background1" w:themeShade="BF"/>
      </w:rPr>
      <w:t>CONSULTING</w:t>
    </w:r>
    <w:r>
      <w:rPr>
        <w:color w:val="BFBFBF" w:themeColor="background1" w:themeShade="BF"/>
      </w:rPr>
      <w:br/>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0CE93" w14:textId="77777777" w:rsidR="0092139F" w:rsidRDefault="009213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E89DE" w14:textId="77777777" w:rsidR="0092139F" w:rsidRDefault="0092139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B7C6" w14:textId="77777777" w:rsidR="0092139F" w:rsidRDefault="0092139F">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4170A" w14:textId="77777777" w:rsidR="0092139F" w:rsidRPr="00126062" w:rsidRDefault="0092139F" w:rsidP="001F5F55">
    <w:pPr>
      <w:pStyle w:val="LandscapeHeader"/>
    </w:pPr>
    <w:r>
      <w:t xml:space="preserve">ACIL ALLEN </w:t>
    </w:r>
    <w:r>
      <w:rPr>
        <w:color w:val="BFBFBF" w:themeColor="background1" w:themeShade="BF"/>
      </w:rPr>
      <w:t>CONSULTING</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49710" w14:textId="77777777" w:rsidR="0092139F" w:rsidRDefault="0092139F">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579F" w14:textId="77777777" w:rsidR="0092139F" w:rsidRDefault="0092139F">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15E61" w14:textId="77777777" w:rsidR="0092139F" w:rsidRPr="00C57B63" w:rsidRDefault="0092139F" w:rsidP="00EA4292">
    <w:pPr>
      <w:pStyle w:val="AAC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10FFA" w14:textId="77777777" w:rsidR="0092139F" w:rsidRDefault="009213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5E65" w14:textId="77777777" w:rsidR="0092139F" w:rsidRPr="008B04E9" w:rsidRDefault="0092139F" w:rsidP="008B04E9">
    <w:pPr>
      <w:spacing w:before="0" w:after="0" w:line="240" w:lineRule="auto"/>
      <w:ind w:firstLine="902"/>
      <w:rPr>
        <w:rFonts w:asciiTheme="majorHAnsi" w:hAnsiTheme="majorHAnsi" w:cstheme="majorHAnsi"/>
        <w:noProof/>
        <w:sz w:val="20"/>
        <w:szCs w:val="20"/>
        <w:lang w:eastAsia="en-AU"/>
      </w:rPr>
    </w:pPr>
    <w:r w:rsidRPr="008B04E9">
      <w:rPr>
        <w:rFonts w:asciiTheme="majorHAnsi" w:hAnsiTheme="majorHAnsi" w:cstheme="majorHAnsi"/>
        <w:noProof/>
        <w:sz w:val="20"/>
        <w:szCs w:val="20"/>
        <w:lang w:eastAsia="en-AU"/>
      </w:rPr>
      <w:t xml:space="preserve">   </w:t>
    </w:r>
  </w:p>
  <w:p w14:paraId="17E41AF7" w14:textId="77777777" w:rsidR="0092139F" w:rsidRPr="00126062" w:rsidRDefault="0092139F" w:rsidP="003C37AA">
    <w:pPr>
      <w:pStyle w:val="AACHeader"/>
    </w:pPr>
    <w:r>
      <w:t xml:space="preserve">ACIL ALLEN </w:t>
    </w:r>
    <w:r>
      <w:rPr>
        <w:color w:val="BFBFBF" w:themeColor="background1" w:themeShade="BF"/>
      </w:rPr>
      <w:t>CONSULTING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0F1DE" w14:textId="77777777" w:rsidR="0092139F" w:rsidRDefault="009213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6957B" w14:textId="77777777" w:rsidR="0092139F" w:rsidRDefault="009213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BB041" w14:textId="77777777" w:rsidR="0092139F" w:rsidRPr="008B04E9" w:rsidRDefault="0092139F" w:rsidP="008B04E9">
    <w:pPr>
      <w:spacing w:before="0" w:after="0" w:line="240" w:lineRule="auto"/>
      <w:ind w:firstLine="902"/>
      <w:rPr>
        <w:rFonts w:asciiTheme="majorHAnsi" w:hAnsiTheme="majorHAnsi" w:cstheme="majorHAnsi"/>
        <w:noProof/>
        <w:sz w:val="20"/>
        <w:szCs w:val="20"/>
        <w:lang w:eastAsia="en-AU"/>
      </w:rPr>
    </w:pPr>
    <w:r w:rsidRPr="008B04E9">
      <w:rPr>
        <w:rFonts w:asciiTheme="majorHAnsi" w:hAnsiTheme="majorHAnsi" w:cstheme="majorHAnsi"/>
        <w:noProof/>
        <w:sz w:val="20"/>
        <w:szCs w:val="20"/>
        <w:lang w:eastAsia="en-AU"/>
      </w:rPr>
      <w:t xml:space="preserve">   </w:t>
    </w:r>
  </w:p>
  <w:p w14:paraId="1D855D1F" w14:textId="77777777" w:rsidR="0092139F" w:rsidRPr="00126062" w:rsidRDefault="0092139F" w:rsidP="003C37AA">
    <w:pPr>
      <w:pStyle w:val="AACHeader"/>
    </w:pPr>
    <w:r>
      <w:t xml:space="preserve">ACIL ALLEN </w:t>
    </w:r>
    <w:r>
      <w:rPr>
        <w:color w:val="BFBFBF" w:themeColor="background1" w:themeShade="BF"/>
      </w:rPr>
      <w:t>CONSULTING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00FB5" w14:textId="77777777" w:rsidR="0092139F" w:rsidRDefault="009213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2EC78" w14:textId="77777777" w:rsidR="0092139F" w:rsidRDefault="009213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E0E51" w14:textId="77777777" w:rsidR="0092139F" w:rsidRPr="008B04E9" w:rsidRDefault="0092139F" w:rsidP="008B04E9">
    <w:pPr>
      <w:spacing w:before="0" w:after="0" w:line="240" w:lineRule="auto"/>
      <w:ind w:firstLine="902"/>
      <w:rPr>
        <w:rFonts w:asciiTheme="majorHAnsi" w:hAnsiTheme="majorHAnsi" w:cstheme="majorHAnsi"/>
        <w:noProof/>
        <w:sz w:val="20"/>
        <w:szCs w:val="20"/>
        <w:lang w:eastAsia="en-AU"/>
      </w:rPr>
    </w:pPr>
    <w:r w:rsidRPr="008B04E9">
      <w:rPr>
        <w:rFonts w:asciiTheme="majorHAnsi" w:hAnsiTheme="majorHAnsi" w:cstheme="majorHAnsi"/>
        <w:noProof/>
        <w:sz w:val="20"/>
        <w:szCs w:val="20"/>
        <w:lang w:eastAsia="en-AU"/>
      </w:rPr>
      <w:t xml:space="preserve">   </w:t>
    </w:r>
  </w:p>
  <w:p w14:paraId="3998154A" w14:textId="77777777" w:rsidR="0092139F" w:rsidRPr="00126062" w:rsidRDefault="0092139F" w:rsidP="003C37AA">
    <w:pPr>
      <w:pStyle w:val="AACHeader"/>
    </w:pPr>
    <w:r>
      <w:t xml:space="preserve">ACIL ALLEN </w:t>
    </w:r>
    <w:r>
      <w:rPr>
        <w:color w:val="BFBFBF" w:themeColor="background1" w:themeShade="BF"/>
      </w:rPr>
      <w:t>CONSULTING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61.8pt;height:61.8pt" o:bullet="t">
        <v:imagedata r:id="rId1" o:title="artCF26"/>
      </v:shape>
    </w:pict>
  </w:numPicBullet>
  <w:numPicBullet w:numPicBulletId="1">
    <w:pict>
      <v:shape id="_x0000_i1099" type="#_x0000_t75" style="width:19.7pt;height:19pt" o:bullet="t">
        <v:imagedata r:id="rId2" o:title="artCF27"/>
      </v:shape>
    </w:pict>
  </w:numPicBullet>
  <w:abstractNum w:abstractNumId="0" w15:restartNumberingAfterBreak="0">
    <w:nsid w:val="FFFFFF7C"/>
    <w:multiLevelType w:val="singleLevel"/>
    <w:tmpl w:val="4914FE6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11495B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1A349728"/>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88EA846"/>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33072CA"/>
    <w:multiLevelType w:val="multilevel"/>
    <w:tmpl w:val="78C8103E"/>
    <w:styleLink w:val="ACILAllenNumberedList"/>
    <w:lvl w:ilvl="0">
      <w:start w:val="1"/>
      <w:numFmt w:val="decimal"/>
      <w:pStyle w:val="ListNumber"/>
      <w:lvlText w:val="%1."/>
      <w:lvlJc w:val="left"/>
      <w:pPr>
        <w:ind w:left="340" w:hanging="340"/>
      </w:pPr>
      <w:rPr>
        <w:rFonts w:asciiTheme="minorHAnsi" w:hAnsiTheme="minorHAnsi" w:hint="default"/>
      </w:rPr>
    </w:lvl>
    <w:lvl w:ilvl="1">
      <w:start w:val="1"/>
      <w:numFmt w:val="lowerLetter"/>
      <w:pStyle w:val="ListNumber2"/>
      <w:lvlText w:val="%2)"/>
      <w:lvlJc w:val="left"/>
      <w:pPr>
        <w:ind w:left="709" w:hanging="369"/>
      </w:pPr>
      <w:rPr>
        <w:rFonts w:hint="default"/>
      </w:rPr>
    </w:lvl>
    <w:lvl w:ilvl="2">
      <w:start w:val="1"/>
      <w:numFmt w:val="lowerRoman"/>
      <w:pStyle w:val="ListNumber3"/>
      <w:lvlText w:val="%3)"/>
      <w:lvlJc w:val="left"/>
      <w:pPr>
        <w:ind w:left="1213" w:hanging="504"/>
      </w:pPr>
      <w:rPr>
        <w:rFonts w:hint="default"/>
      </w:rPr>
    </w:lvl>
    <w:lvl w:ilvl="3">
      <w:start w:val="1"/>
      <w:numFmt w:val="decimal"/>
      <w:lvlText w:val="(%4)"/>
      <w:lvlJc w:val="left"/>
      <w:pPr>
        <w:ind w:left="1701" w:hanging="499"/>
      </w:pPr>
      <w:rPr>
        <w:rFonts w:hint="default"/>
      </w:rPr>
    </w:lvl>
    <w:lvl w:ilvl="4">
      <w:start w:val="1"/>
      <w:numFmt w:val="lowerLetter"/>
      <w:lvlText w:val="(%5)"/>
      <w:lvlJc w:val="left"/>
      <w:pPr>
        <w:ind w:left="2126" w:hanging="357"/>
      </w:pPr>
      <w:rPr>
        <w:rFonts w:hint="default"/>
      </w:rPr>
    </w:lvl>
    <w:lvl w:ilvl="5">
      <w:start w:val="1"/>
      <w:numFmt w:val="lowerRoman"/>
      <w:lvlText w:val="(%6)"/>
      <w:lvlJc w:val="left"/>
      <w:pPr>
        <w:ind w:left="2880" w:hanging="360"/>
      </w:pPr>
      <w:rPr>
        <w:rFonts w:hint="default"/>
      </w:rPr>
    </w:lvl>
    <w:lvl w:ilvl="6">
      <w:start w:val="1"/>
      <w:numFmt w:val="none"/>
      <w:lvlText w:val="%7"/>
      <w:lvlJc w:val="left"/>
      <w:pPr>
        <w:ind w:left="3240" w:hanging="360"/>
      </w:pPr>
      <w:rPr>
        <w:rFonts w:ascii="Garamond" w:hAnsi="Garamond" w:hint="default"/>
      </w:rPr>
    </w:lvl>
    <w:lvl w:ilvl="7">
      <w:start w:val="1"/>
      <w:numFmt w:val="none"/>
      <w:lvlText w:val="%8"/>
      <w:lvlJc w:val="left"/>
      <w:pPr>
        <w:ind w:left="3600" w:hanging="360"/>
      </w:pPr>
      <w:rPr>
        <w:rFonts w:ascii="Garamond" w:hAnsi="Garamond" w:hint="default"/>
      </w:rPr>
    </w:lvl>
    <w:lvl w:ilvl="8">
      <w:start w:val="1"/>
      <w:numFmt w:val="none"/>
      <w:lvlText w:val="%9"/>
      <w:lvlJc w:val="left"/>
      <w:pPr>
        <w:ind w:left="3960" w:hanging="360"/>
      </w:pPr>
      <w:rPr>
        <w:rFonts w:ascii="Garamond" w:hAnsi="Garamond" w:hint="default"/>
      </w:rPr>
    </w:lvl>
  </w:abstractNum>
  <w:abstractNum w:abstractNumId="5" w15:restartNumberingAfterBreak="0">
    <w:nsid w:val="05F3692F"/>
    <w:multiLevelType w:val="multilevel"/>
    <w:tmpl w:val="8990D484"/>
    <w:numStyleLink w:val="ACILAllenBoxListNumbering"/>
  </w:abstractNum>
  <w:abstractNum w:abstractNumId="6" w15:restartNumberingAfterBreak="0">
    <w:nsid w:val="088509EA"/>
    <w:multiLevelType w:val="multilevel"/>
    <w:tmpl w:val="9DB25304"/>
    <w:styleLink w:val="ACILAllenTableListNumbering"/>
    <w:lvl w:ilvl="0">
      <w:start w:val="1"/>
      <w:numFmt w:val="decimal"/>
      <w:pStyle w:val="Tablelistnumber"/>
      <w:lvlText w:val="%1."/>
      <w:lvlJc w:val="left"/>
      <w:pPr>
        <w:ind w:left="284" w:hanging="284"/>
      </w:pPr>
      <w:rPr>
        <w:rFonts w:asciiTheme="minorHAnsi" w:hAnsiTheme="minorHAnsi" w:hint="default"/>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lelistnumber2"/>
      <w:lvlText w:val="%2)"/>
      <w:lvlJc w:val="left"/>
      <w:pPr>
        <w:ind w:left="567" w:hanging="283"/>
      </w:pPr>
      <w:rPr>
        <w:rFonts w:hint="default"/>
      </w:rPr>
    </w:lvl>
    <w:lvl w:ilvl="2">
      <w:start w:val="1"/>
      <w:numFmt w:val="lowerRoman"/>
      <w:pStyle w:val="Tablelistnumber3"/>
      <w:lvlText w:val="%3)"/>
      <w:lvlJc w:val="left"/>
      <w:pPr>
        <w:ind w:left="851" w:hanging="284"/>
      </w:pPr>
      <w:rPr>
        <w:rFonts w:hint="default"/>
      </w:rPr>
    </w:lvl>
    <w:lvl w:ilvl="3">
      <w:start w:val="1"/>
      <w:numFmt w:val="none"/>
      <w:suff w:val="nothing"/>
      <w:lvlText w:val=""/>
      <w:lvlJc w:val="left"/>
      <w:pPr>
        <w:ind w:left="1134" w:firstLine="0"/>
      </w:pPr>
      <w:rPr>
        <w:rFonts w:hint="default"/>
      </w:rPr>
    </w:lvl>
    <w:lvl w:ilvl="4">
      <w:start w:val="1"/>
      <w:numFmt w:val="none"/>
      <w:suff w:val="nothing"/>
      <w:lvlText w:val=""/>
      <w:lvlJc w:val="left"/>
      <w:pPr>
        <w:ind w:left="-32767" w:firstLine="0"/>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7" w15:restartNumberingAfterBreak="0">
    <w:nsid w:val="0C6824A6"/>
    <w:multiLevelType w:val="multilevel"/>
    <w:tmpl w:val="32403E0C"/>
    <w:styleLink w:val="ATBoxBulletedList"/>
    <w:lvl w:ilvl="0">
      <w:numFmt w:val="bullet"/>
      <w:lvlText w:val=""/>
      <w:lvlJc w:val="left"/>
      <w:pPr>
        <w:tabs>
          <w:tab w:val="num" w:pos="454"/>
        </w:tabs>
        <w:ind w:left="454" w:hanging="227"/>
      </w:pPr>
      <w:rPr>
        <w:rFonts w:ascii="Symbol" w:hAnsi="Symbol" w:hint="default"/>
        <w:color w:val="auto"/>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Garamond" w:hAnsi="Garamond"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left"/>
      <w:pPr>
        <w:ind w:left="4320" w:hanging="36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left"/>
      <w:pPr>
        <w:ind w:left="6480" w:hanging="360"/>
      </w:pPr>
      <w:rPr>
        <w:rFonts w:hint="default"/>
      </w:rPr>
    </w:lvl>
  </w:abstractNum>
  <w:abstractNum w:abstractNumId="8" w15:restartNumberingAfterBreak="0">
    <w:nsid w:val="0FBC535B"/>
    <w:multiLevelType w:val="multilevel"/>
    <w:tmpl w:val="CC5C7C98"/>
    <w:styleLink w:val="ACILAllenDashedList"/>
    <w:lvl w:ilvl="0">
      <w:start w:val="1"/>
      <w:numFmt w:val="bullet"/>
      <w:pStyle w:val="ListDash"/>
      <w:lvlText w:val=""/>
      <w:lvlJc w:val="left"/>
      <w:pPr>
        <w:ind w:left="284" w:hanging="284"/>
      </w:pPr>
      <w:rPr>
        <w:rFonts w:ascii="Symbol" w:hAnsi="Symbol" w:hint="default"/>
      </w:rPr>
    </w:lvl>
    <w:lvl w:ilvl="1">
      <w:start w:val="1"/>
      <w:numFmt w:val="bullet"/>
      <w:pStyle w:val="ListDash2"/>
      <w:lvlText w:val=""/>
      <w:lvlJc w:val="left"/>
      <w:pPr>
        <w:ind w:left="851" w:hanging="284"/>
      </w:pPr>
      <w:rPr>
        <w:rFonts w:ascii="Symbol" w:hAnsi="Symbol" w:hint="default"/>
      </w:rPr>
    </w:lvl>
    <w:lvl w:ilvl="2">
      <w:start w:val="1"/>
      <w:numFmt w:val="bullet"/>
      <w:pStyle w:val="ListDash3"/>
      <w:lvlText w:val=""/>
      <w:lvlJc w:val="left"/>
      <w:pPr>
        <w:ind w:left="1418" w:hanging="284"/>
      </w:pPr>
      <w:rPr>
        <w:rFonts w:ascii="Symbol" w:hAnsi="Symbol" w:hint="default"/>
      </w:rPr>
    </w:lvl>
    <w:lvl w:ilvl="3">
      <w:start w:val="1"/>
      <w:numFmt w:val="none"/>
      <w:suff w:val="nothing"/>
      <w:lvlText w:val=""/>
      <w:lvlJc w:val="left"/>
      <w:pPr>
        <w:ind w:left="4320" w:hanging="360"/>
      </w:pPr>
      <w:rPr>
        <w:rFonts w:hint="default"/>
      </w:rPr>
    </w:lvl>
    <w:lvl w:ilvl="4">
      <w:start w:val="1"/>
      <w:numFmt w:val="none"/>
      <w:suff w:val="nothing"/>
      <w:lvlText w:val=""/>
      <w:lvlJc w:val="left"/>
      <w:pPr>
        <w:ind w:left="5040" w:hanging="360"/>
      </w:pPr>
      <w:rPr>
        <w:rFonts w:hint="default"/>
      </w:rPr>
    </w:lvl>
    <w:lvl w:ilvl="5">
      <w:start w:val="1"/>
      <w:numFmt w:val="none"/>
      <w:suff w:val="nothing"/>
      <w:lvlText w:val=""/>
      <w:lvlJc w:val="left"/>
      <w:pPr>
        <w:ind w:left="5760" w:hanging="360"/>
      </w:pPr>
      <w:rPr>
        <w:rFonts w:hint="default"/>
      </w:rPr>
    </w:lvl>
    <w:lvl w:ilvl="6">
      <w:start w:val="1"/>
      <w:numFmt w:val="none"/>
      <w:suff w:val="nothing"/>
      <w:lvlText w:val=""/>
      <w:lvlJc w:val="left"/>
      <w:pPr>
        <w:ind w:left="6480" w:hanging="360"/>
      </w:pPr>
      <w:rPr>
        <w:rFonts w:hint="default"/>
      </w:rPr>
    </w:lvl>
    <w:lvl w:ilvl="7">
      <w:start w:val="1"/>
      <w:numFmt w:val="none"/>
      <w:suff w:val="nothing"/>
      <w:lvlText w:val=""/>
      <w:lvlJc w:val="left"/>
      <w:pPr>
        <w:ind w:left="7200" w:hanging="360"/>
      </w:pPr>
      <w:rPr>
        <w:rFonts w:hint="default"/>
      </w:rPr>
    </w:lvl>
    <w:lvl w:ilvl="8">
      <w:start w:val="1"/>
      <w:numFmt w:val="none"/>
      <w:suff w:val="nothing"/>
      <w:lvlText w:val=""/>
      <w:lvlJc w:val="left"/>
      <w:pPr>
        <w:ind w:left="7920" w:hanging="360"/>
      </w:pPr>
      <w:rPr>
        <w:rFonts w:hint="default"/>
      </w:rPr>
    </w:lvl>
  </w:abstractNum>
  <w:abstractNum w:abstractNumId="9" w15:restartNumberingAfterBreak="0">
    <w:nsid w:val="0FD50E2C"/>
    <w:multiLevelType w:val="multilevel"/>
    <w:tmpl w:val="71F6571A"/>
    <w:styleLink w:val="ATbulletedlist"/>
    <w:lvl w:ilvl="0">
      <w:start w:val="1"/>
      <w:numFmt w:val="bullet"/>
      <w:lvlText w:val="•"/>
      <w:lvlJc w:val="left"/>
      <w:pPr>
        <w:ind w:left="340" w:hanging="340"/>
      </w:pPr>
      <w:rPr>
        <w:rFonts w:ascii="Garamond" w:hAnsi="Garamond" w:hint="default"/>
      </w:rPr>
    </w:lvl>
    <w:lvl w:ilvl="1">
      <w:start w:val="1"/>
      <w:numFmt w:val="bullet"/>
      <w:lvlText w:val="−"/>
      <w:lvlJc w:val="left"/>
      <w:pPr>
        <w:ind w:left="680" w:hanging="340"/>
      </w:pPr>
      <w:rPr>
        <w:rFonts w:ascii="Garamond" w:hAnsi="Garamond"/>
        <w:sz w:val="24"/>
      </w:rPr>
    </w:lvl>
    <w:lvl w:ilvl="2">
      <w:start w:val="1"/>
      <w:numFmt w:val="bullet"/>
      <w:lvlText w:val="…"/>
      <w:lvlJc w:val="left"/>
      <w:pPr>
        <w:ind w:left="1020" w:hanging="340"/>
      </w:pPr>
      <w:rPr>
        <w:rFonts w:ascii="Garamond" w:hAnsi="Garamond" w:hint="default"/>
      </w:rPr>
    </w:lvl>
    <w:lvl w:ilvl="3">
      <w:start w:val="1"/>
      <w:numFmt w:val="bullet"/>
      <w:lvlText w:val="•"/>
      <w:lvlJc w:val="left"/>
      <w:pPr>
        <w:ind w:left="1360" w:hanging="340"/>
      </w:pPr>
      <w:rPr>
        <w:rFonts w:ascii="Garamond" w:hAnsi="Garamond" w:hint="default"/>
      </w:rPr>
    </w:lvl>
    <w:lvl w:ilvl="4">
      <w:start w:val="1"/>
      <w:numFmt w:val="bullet"/>
      <w:lvlText w:val="−"/>
      <w:lvlJc w:val="left"/>
      <w:pPr>
        <w:ind w:left="1700" w:hanging="340"/>
      </w:pPr>
      <w:rPr>
        <w:rFonts w:ascii="Garamond" w:hAnsi="Garamond" w:hint="default"/>
      </w:rPr>
    </w:lvl>
    <w:lvl w:ilvl="5">
      <w:start w:val="1"/>
      <w:numFmt w:val="bullet"/>
      <w:lvlText w:val="…"/>
      <w:lvlJc w:val="left"/>
      <w:pPr>
        <w:ind w:left="2040" w:hanging="340"/>
      </w:pPr>
      <w:rPr>
        <w:rFonts w:ascii="Garamond" w:hAnsi="Garamond" w:hint="default"/>
      </w:rPr>
    </w:lvl>
    <w:lvl w:ilvl="6">
      <w:start w:val="1"/>
      <w:numFmt w:val="none"/>
      <w:lvlText w:val="%7"/>
      <w:lvlJc w:val="left"/>
      <w:pPr>
        <w:ind w:left="2380" w:hanging="340"/>
      </w:pPr>
      <w:rPr>
        <w:rFonts w:ascii="Garamond" w:hAnsi="Garamond" w:hint="default"/>
      </w:rPr>
    </w:lvl>
    <w:lvl w:ilvl="7">
      <w:start w:val="1"/>
      <w:numFmt w:val="none"/>
      <w:lvlText w:val="%8"/>
      <w:lvlJc w:val="left"/>
      <w:pPr>
        <w:ind w:left="2720" w:hanging="340"/>
      </w:pPr>
      <w:rPr>
        <w:rFonts w:ascii="Garamond" w:hAnsi="Garamond" w:hint="default"/>
      </w:rPr>
    </w:lvl>
    <w:lvl w:ilvl="8">
      <w:start w:val="1"/>
      <w:numFmt w:val="none"/>
      <w:lvlText w:val="%9"/>
      <w:lvlJc w:val="left"/>
      <w:pPr>
        <w:ind w:left="3060" w:hanging="340"/>
      </w:pPr>
      <w:rPr>
        <w:rFonts w:ascii="Garamond" w:hAnsi="Garamond" w:hint="default"/>
      </w:rPr>
    </w:lvl>
  </w:abstractNum>
  <w:abstractNum w:abstractNumId="10" w15:restartNumberingAfterBreak="0">
    <w:nsid w:val="17B8215F"/>
    <w:multiLevelType w:val="hybridMultilevel"/>
    <w:tmpl w:val="1A48B7F6"/>
    <w:lvl w:ilvl="0" w:tplc="91EEC954">
      <w:start w:val="1"/>
      <w:numFmt w:val="bullet"/>
      <w:pStyle w:val="TableQuoteBullet"/>
      <w:lvlText w:val=""/>
      <w:lvlJc w:val="left"/>
      <w:pPr>
        <w:ind w:left="473" w:hanging="360"/>
      </w:pPr>
      <w:rPr>
        <w:rFonts w:ascii="Wingdings" w:hAnsi="Wingdings"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abstractNum w:abstractNumId="11" w15:restartNumberingAfterBreak="0">
    <w:nsid w:val="184A0171"/>
    <w:multiLevelType w:val="multilevel"/>
    <w:tmpl w:val="CC5C7C98"/>
    <w:numStyleLink w:val="ACILAllenDashedList"/>
  </w:abstractNum>
  <w:abstractNum w:abstractNumId="12" w15:restartNumberingAfterBreak="0">
    <w:nsid w:val="245C0796"/>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AA5670"/>
    <w:multiLevelType w:val="multilevel"/>
    <w:tmpl w:val="5F4A1496"/>
    <w:styleLink w:val="ACILAllenPartNumbers"/>
    <w:lvl w:ilvl="0">
      <w:start w:val="1"/>
      <w:numFmt w:val="cardinalText"/>
      <w:suff w:val="nothing"/>
      <w:lvlText w:val="Part %1"/>
      <w:lvlJc w:val="left"/>
      <w:pPr>
        <w:ind w:left="360" w:hanging="360"/>
      </w:pPr>
      <w:rPr>
        <w:rFonts w:hint="default"/>
        <w:spacing w:val="40"/>
        <w:sz w:val="160"/>
      </w:rPr>
    </w:lvl>
    <w:lvl w:ilvl="1">
      <w:start w:val="1"/>
      <w:numFmt w:val="upperRoman"/>
      <w:suff w:val="nothing"/>
      <w:lvlText w:val="%2"/>
      <w:lvlJc w:val="center"/>
      <w:pPr>
        <w:ind w:left="0" w:firstLine="0"/>
      </w:pPr>
      <w:rPr>
        <w:rFonts w:ascii="Georgia" w:hAnsi="Georgia" w:hint="default"/>
        <w:b/>
        <w:i w:val="0"/>
        <w:color w:val="FFFFFF" w:themeColor="background1"/>
        <w:sz w:val="96"/>
      </w:rPr>
    </w:lvl>
    <w:lvl w:ilvl="2">
      <w:start w:val="1"/>
      <w:numFmt w:val="none"/>
      <w:suff w:val="nothing"/>
      <w:lvlText w:val=""/>
      <w:lvlJc w:val="left"/>
      <w:pPr>
        <w:ind w:left="1080" w:hanging="360"/>
      </w:pPr>
      <w:rPr>
        <w:rFonts w:hint="default"/>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8"/>
      <w:lvlJc w:val="left"/>
      <w:pPr>
        <w:ind w:left="2880" w:hanging="360"/>
      </w:pPr>
      <w:rPr>
        <w:rFonts w:hint="default"/>
      </w:rPr>
    </w:lvl>
    <w:lvl w:ilvl="8">
      <w:start w:val="1"/>
      <w:numFmt w:val="none"/>
      <w:suff w:val="nothing"/>
      <w:lvlText w:val="%9"/>
      <w:lvlJc w:val="left"/>
      <w:pPr>
        <w:ind w:left="3240" w:hanging="360"/>
      </w:pPr>
      <w:rPr>
        <w:rFonts w:hint="default"/>
      </w:rPr>
    </w:lvl>
  </w:abstractNum>
  <w:abstractNum w:abstractNumId="14" w15:restartNumberingAfterBreak="0">
    <w:nsid w:val="35D26D71"/>
    <w:multiLevelType w:val="multilevel"/>
    <w:tmpl w:val="A2BED88C"/>
    <w:styleLink w:val="ACILAllenBoxBulletedList"/>
    <w:lvl w:ilvl="0">
      <w:numFmt w:val="bullet"/>
      <w:pStyle w:val="BoxListBullet"/>
      <w:lvlText w:val=""/>
      <w:lvlJc w:val="left"/>
      <w:pPr>
        <w:ind w:left="284" w:hanging="284"/>
      </w:pPr>
      <w:rPr>
        <w:rFonts w:ascii="Wingdings" w:hAnsi="Wingdings" w:hint="default"/>
        <w:color w:val="auto"/>
        <w:position w:val="-2"/>
        <w14:cntxtAlts w14:val="0"/>
      </w:rPr>
    </w:lvl>
    <w:lvl w:ilvl="1">
      <w:start w:val="1"/>
      <w:numFmt w:val="bullet"/>
      <w:pStyle w:val="BoxListBullet2"/>
      <w:lvlText w:val=""/>
      <w:lvlJc w:val="left"/>
      <w:pPr>
        <w:ind w:left="567" w:hanging="283"/>
      </w:pPr>
      <w:rPr>
        <w:rFonts w:ascii="Wingdings" w:hAnsi="Wingdings" w:hint="default"/>
      </w:rPr>
    </w:lvl>
    <w:lvl w:ilvl="2">
      <w:start w:val="1"/>
      <w:numFmt w:val="bullet"/>
      <w:pStyle w:val="BoxListBullet3"/>
      <w:lvlText w:val="…"/>
      <w:lvlJc w:val="left"/>
      <w:pPr>
        <w:ind w:left="851" w:hanging="284"/>
      </w:pPr>
      <w:rPr>
        <w:rFonts w:ascii="Times New Roman" w:hAnsi="Times New Roman" w:cs="Times New Roman" w:hint="default"/>
        <w:position w:val="4"/>
        <w14:cntxtAlts w14:val="0"/>
      </w:rPr>
    </w:lvl>
    <w:lvl w:ilvl="3">
      <w:start w:val="1"/>
      <w:numFmt w:val="none"/>
      <w:suff w:val="nothing"/>
      <w:lvlText w:val=""/>
      <w:lvlJc w:val="left"/>
      <w:pPr>
        <w:ind w:left="1134"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BCD6949"/>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0AB1D3E"/>
    <w:multiLevelType w:val="hybridMultilevel"/>
    <w:tmpl w:val="DE3C5D8C"/>
    <w:lvl w:ilvl="0" w:tplc="CC268DC2">
      <w:start w:val="7"/>
      <w:numFmt w:val="bullet"/>
      <w:lvlText w:val="-"/>
      <w:lvlJc w:val="left"/>
      <w:pPr>
        <w:ind w:left="720" w:hanging="360"/>
      </w:pPr>
      <w:rPr>
        <w:rFonts w:ascii="Arial Narrow" w:eastAsia="Times New Roman" w:hAnsi="Arial Narrow"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222DA2"/>
    <w:multiLevelType w:val="hybridMultilevel"/>
    <w:tmpl w:val="E48C4CF4"/>
    <w:lvl w:ilvl="0" w:tplc="ECBEBE16">
      <w:start w:val="1"/>
      <w:numFmt w:val="bullet"/>
      <w:pStyle w:val="BoxQuoteListBullet"/>
      <w:lvlText w:val=""/>
      <w:lvlJc w:val="left"/>
      <w:pPr>
        <w:ind w:left="587" w:hanging="360"/>
      </w:pPr>
      <w:rPr>
        <w:rFonts w:ascii="Symbol" w:hAnsi="Symbol" w:hint="default"/>
      </w:rPr>
    </w:lvl>
    <w:lvl w:ilvl="1" w:tplc="45683542" w:tentative="1">
      <w:start w:val="1"/>
      <w:numFmt w:val="bullet"/>
      <w:lvlText w:val="o"/>
      <w:lvlJc w:val="left"/>
      <w:pPr>
        <w:ind w:left="1307" w:hanging="360"/>
      </w:pPr>
      <w:rPr>
        <w:rFonts w:ascii="Courier New" w:hAnsi="Courier New" w:cs="Courier New" w:hint="default"/>
      </w:rPr>
    </w:lvl>
    <w:lvl w:ilvl="2" w:tplc="87A8D99A" w:tentative="1">
      <w:start w:val="1"/>
      <w:numFmt w:val="bullet"/>
      <w:lvlText w:val=""/>
      <w:lvlJc w:val="left"/>
      <w:pPr>
        <w:ind w:left="2027" w:hanging="360"/>
      </w:pPr>
      <w:rPr>
        <w:rFonts w:ascii="Wingdings" w:hAnsi="Wingdings" w:hint="default"/>
      </w:rPr>
    </w:lvl>
    <w:lvl w:ilvl="3" w:tplc="95429438" w:tentative="1">
      <w:start w:val="1"/>
      <w:numFmt w:val="bullet"/>
      <w:lvlText w:val=""/>
      <w:lvlJc w:val="left"/>
      <w:pPr>
        <w:ind w:left="2747" w:hanging="360"/>
      </w:pPr>
      <w:rPr>
        <w:rFonts w:ascii="Symbol" w:hAnsi="Symbol" w:hint="default"/>
      </w:rPr>
    </w:lvl>
    <w:lvl w:ilvl="4" w:tplc="BA586674" w:tentative="1">
      <w:start w:val="1"/>
      <w:numFmt w:val="bullet"/>
      <w:lvlText w:val="o"/>
      <w:lvlJc w:val="left"/>
      <w:pPr>
        <w:ind w:left="3467" w:hanging="360"/>
      </w:pPr>
      <w:rPr>
        <w:rFonts w:ascii="Courier New" w:hAnsi="Courier New" w:cs="Courier New" w:hint="default"/>
      </w:rPr>
    </w:lvl>
    <w:lvl w:ilvl="5" w:tplc="0F7A370E" w:tentative="1">
      <w:start w:val="1"/>
      <w:numFmt w:val="bullet"/>
      <w:lvlText w:val=""/>
      <w:lvlJc w:val="left"/>
      <w:pPr>
        <w:ind w:left="4187" w:hanging="360"/>
      </w:pPr>
      <w:rPr>
        <w:rFonts w:ascii="Wingdings" w:hAnsi="Wingdings" w:hint="default"/>
      </w:rPr>
    </w:lvl>
    <w:lvl w:ilvl="6" w:tplc="84D461FC" w:tentative="1">
      <w:start w:val="1"/>
      <w:numFmt w:val="bullet"/>
      <w:lvlText w:val=""/>
      <w:lvlJc w:val="left"/>
      <w:pPr>
        <w:ind w:left="4907" w:hanging="360"/>
      </w:pPr>
      <w:rPr>
        <w:rFonts w:ascii="Symbol" w:hAnsi="Symbol" w:hint="default"/>
      </w:rPr>
    </w:lvl>
    <w:lvl w:ilvl="7" w:tplc="9CE8E02C" w:tentative="1">
      <w:start w:val="1"/>
      <w:numFmt w:val="bullet"/>
      <w:lvlText w:val="o"/>
      <w:lvlJc w:val="left"/>
      <w:pPr>
        <w:ind w:left="5627" w:hanging="360"/>
      </w:pPr>
      <w:rPr>
        <w:rFonts w:ascii="Courier New" w:hAnsi="Courier New" w:cs="Courier New" w:hint="default"/>
      </w:rPr>
    </w:lvl>
    <w:lvl w:ilvl="8" w:tplc="852A1C84" w:tentative="1">
      <w:start w:val="1"/>
      <w:numFmt w:val="bullet"/>
      <w:lvlText w:val=""/>
      <w:lvlJc w:val="left"/>
      <w:pPr>
        <w:ind w:left="6347" w:hanging="360"/>
      </w:pPr>
      <w:rPr>
        <w:rFonts w:ascii="Wingdings" w:hAnsi="Wingdings" w:hint="default"/>
      </w:rPr>
    </w:lvl>
  </w:abstractNum>
  <w:abstractNum w:abstractNumId="18" w15:restartNumberingAfterBreak="0">
    <w:nsid w:val="43D200A3"/>
    <w:multiLevelType w:val="singleLevel"/>
    <w:tmpl w:val="5B28AA70"/>
    <w:lvl w:ilvl="0">
      <w:start w:val="1"/>
      <w:numFmt w:val="bullet"/>
      <w:pStyle w:val="SideDash"/>
      <w:lvlText w:val="–"/>
      <w:lvlJc w:val="left"/>
      <w:pPr>
        <w:tabs>
          <w:tab w:val="num" w:pos="170"/>
        </w:tabs>
        <w:ind w:left="170" w:hanging="170"/>
      </w:pPr>
      <w:rPr>
        <w:rFonts w:ascii="Times New Roman" w:hAnsi="Times New Roman" w:cs="Times New Roman" w:hint="default"/>
        <w:b w:val="0"/>
        <w:i/>
        <w:sz w:val="20"/>
      </w:rPr>
    </w:lvl>
  </w:abstractNum>
  <w:abstractNum w:abstractNumId="19" w15:restartNumberingAfterBreak="0">
    <w:nsid w:val="448C61FD"/>
    <w:multiLevelType w:val="multilevel"/>
    <w:tmpl w:val="1FA672DC"/>
    <w:styleLink w:val="ACILAllenTableBulletedList"/>
    <w:lvl w:ilvl="0">
      <w:start w:val="1"/>
      <w:numFmt w:val="bullet"/>
      <w:pStyle w:val="Tablelistbullet"/>
      <w:lvlText w:val=""/>
      <w:lvlJc w:val="left"/>
      <w:pPr>
        <w:ind w:left="227" w:hanging="227"/>
      </w:pPr>
      <w:rPr>
        <w:rFonts w:ascii="Wingdings" w:hAnsi="Wingdings" w:hint="default"/>
        <w:color w:val="auto"/>
      </w:rPr>
    </w:lvl>
    <w:lvl w:ilvl="1">
      <w:start w:val="1"/>
      <w:numFmt w:val="bullet"/>
      <w:pStyle w:val="Tablelistbullet2"/>
      <w:lvlText w:val=""/>
      <w:lvlJc w:val="left"/>
      <w:pPr>
        <w:ind w:left="454" w:hanging="227"/>
      </w:pPr>
      <w:rPr>
        <w:rFonts w:ascii="Wingdings" w:hAnsi="Wingdings" w:hint="default"/>
      </w:rPr>
    </w:lvl>
    <w:lvl w:ilvl="2">
      <w:start w:val="1"/>
      <w:numFmt w:val="bullet"/>
      <w:pStyle w:val="Tablelistbullet3"/>
      <w:lvlText w:val="…"/>
      <w:lvlJc w:val="left"/>
      <w:pPr>
        <w:ind w:left="680" w:hanging="226"/>
      </w:pPr>
      <w:rPr>
        <w:rFonts w:ascii="Arial" w:hAnsi="Arial" w:hint="default"/>
        <w:position w:val="2"/>
        <w14:cntxtAlts w14:val="0"/>
      </w:rPr>
    </w:lvl>
    <w:lvl w:ilvl="3">
      <w:start w:val="1"/>
      <w:numFmt w:val="none"/>
      <w:suff w:val="nothing"/>
      <w:lvlText w:val=""/>
      <w:lvlJc w:val="left"/>
      <w:pPr>
        <w:ind w:left="907" w:firstLine="0"/>
      </w:pPr>
      <w:rPr>
        <w:rFonts w:hint="default"/>
      </w:rPr>
    </w:lvl>
    <w:lvl w:ilvl="4">
      <w:start w:val="1"/>
      <w:numFmt w:val="none"/>
      <w:suff w:val="nothing"/>
      <w:lvlText w:val=""/>
      <w:lvlJc w:val="left"/>
      <w:pPr>
        <w:ind w:left="-32767" w:firstLine="0"/>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20" w15:restartNumberingAfterBreak="0">
    <w:nsid w:val="644E6124"/>
    <w:multiLevelType w:val="multilevel"/>
    <w:tmpl w:val="636A4BF8"/>
    <w:lvl w:ilvl="0">
      <w:start w:val="1"/>
      <w:numFmt w:val="decimal"/>
      <w:pStyle w:val="MEBasic1"/>
      <w:lvlText w:val="%1."/>
      <w:lvlJc w:val="left"/>
      <w:pPr>
        <w:tabs>
          <w:tab w:val="num" w:pos="680"/>
        </w:tabs>
        <w:ind w:left="680" w:hanging="680"/>
      </w:pPr>
      <w:rPr>
        <w:rFonts w:hint="default"/>
        <w:i w:val="0"/>
      </w:rPr>
    </w:lvl>
    <w:lvl w:ilvl="1">
      <w:start w:val="1"/>
      <w:numFmt w:val="decimal"/>
      <w:pStyle w:val="MEBasic2"/>
      <w:lvlText w:val="%1.%2"/>
      <w:lvlJc w:val="left"/>
      <w:pPr>
        <w:tabs>
          <w:tab w:val="num" w:pos="680"/>
        </w:tabs>
        <w:ind w:left="680" w:hanging="680"/>
      </w:pPr>
      <w:rPr>
        <w:rFonts w:hint="default"/>
      </w:rPr>
    </w:lvl>
    <w:lvl w:ilvl="2">
      <w:start w:val="1"/>
      <w:numFmt w:val="lowerLetter"/>
      <w:pStyle w:val="MEBasic3"/>
      <w:lvlText w:val="(%3)"/>
      <w:lvlJc w:val="left"/>
      <w:pPr>
        <w:tabs>
          <w:tab w:val="num" w:pos="1361"/>
        </w:tabs>
        <w:ind w:left="1361" w:hanging="681"/>
      </w:pPr>
      <w:rPr>
        <w:rFonts w:hint="default"/>
        <w:i w:val="0"/>
      </w:rPr>
    </w:lvl>
    <w:lvl w:ilvl="3">
      <w:start w:val="1"/>
      <w:numFmt w:val="lowerRoman"/>
      <w:pStyle w:val="MEBasic4"/>
      <w:lvlText w:val="(%4)"/>
      <w:lvlJc w:val="left"/>
      <w:pPr>
        <w:tabs>
          <w:tab w:val="num" w:pos="2041"/>
        </w:tabs>
        <w:ind w:left="2041" w:hanging="680"/>
      </w:pPr>
      <w:rPr>
        <w:rFonts w:hint="default"/>
      </w:rPr>
    </w:lvl>
    <w:lvl w:ilvl="4">
      <w:start w:val="1"/>
      <w:numFmt w:val="upperLetter"/>
      <w:pStyle w:val="MEBasic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1" w15:restartNumberingAfterBreak="0">
    <w:nsid w:val="64F264CF"/>
    <w:multiLevelType w:val="multilevel"/>
    <w:tmpl w:val="7A929D38"/>
    <w:lvl w:ilvl="0">
      <w:start w:val="1"/>
      <w:numFmt w:val="decimal"/>
      <w:pStyle w:val="Heading1"/>
      <w:lvlText w:val="%1"/>
      <w:lvlJc w:val="left"/>
      <w:pPr>
        <w:tabs>
          <w:tab w:val="num" w:pos="902"/>
        </w:tabs>
        <w:ind w:left="902" w:hanging="902"/>
      </w:pPr>
      <w:rPr>
        <w:rFonts w:hint="default"/>
      </w:rPr>
    </w:lvl>
    <w:lvl w:ilvl="1">
      <w:start w:val="1"/>
      <w:numFmt w:val="decimal"/>
      <w:pStyle w:val="Heading2"/>
      <w:lvlText w:val="%1.%2"/>
      <w:lvlJc w:val="left"/>
      <w:pPr>
        <w:tabs>
          <w:tab w:val="num" w:pos="902"/>
        </w:tabs>
        <w:ind w:left="902" w:hanging="902"/>
      </w:pPr>
      <w:rPr>
        <w:rFonts w:hint="default"/>
      </w:rPr>
    </w:lvl>
    <w:lvl w:ilvl="2">
      <w:start w:val="1"/>
      <w:numFmt w:val="decimal"/>
      <w:pStyle w:val="Heading3"/>
      <w:lvlText w:val="%1.%2.%3"/>
      <w:lvlJc w:val="left"/>
      <w:pPr>
        <w:tabs>
          <w:tab w:val="num" w:pos="902"/>
        </w:tabs>
        <w:ind w:left="902" w:hanging="902"/>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lvlText w:val=""/>
      <w:lvlJc w:val="left"/>
      <w:pPr>
        <w:tabs>
          <w:tab w:val="num" w:pos="1152"/>
        </w:tabs>
        <w:ind w:left="1152" w:hanging="1152"/>
      </w:pPr>
      <w:rPr>
        <w:rFonts w:hint="default"/>
      </w:rPr>
    </w:lvl>
    <w:lvl w:ilvl="6">
      <w:start w:val="1"/>
      <w:numFmt w:val="upperLetter"/>
      <w:pStyle w:val="Heading7"/>
      <w:lvlText w:val="Appendix %7"/>
      <w:lvlJc w:val="left"/>
      <w:pPr>
        <w:tabs>
          <w:tab w:val="num" w:pos="0"/>
        </w:tabs>
        <w:ind w:left="0" w:hanging="2552"/>
      </w:pPr>
      <w:rPr>
        <w:rFonts w:hint="default"/>
      </w:rPr>
    </w:lvl>
    <w:lvl w:ilvl="7">
      <w:start w:val="1"/>
      <w:numFmt w:val="decimal"/>
      <w:pStyle w:val="Heading8"/>
      <w:lvlText w:val="%7.%8"/>
      <w:lvlJc w:val="left"/>
      <w:pPr>
        <w:tabs>
          <w:tab w:val="num" w:pos="902"/>
        </w:tabs>
        <w:ind w:left="902" w:hanging="902"/>
      </w:pPr>
      <w:rPr>
        <w:rFonts w:hint="default"/>
      </w:rPr>
    </w:lvl>
    <w:lvl w:ilvl="8">
      <w:start w:val="1"/>
      <w:numFmt w:val="decimal"/>
      <w:pStyle w:val="Heading9"/>
      <w:lvlText w:val="%7.%8.%9"/>
      <w:lvlJc w:val="left"/>
      <w:pPr>
        <w:tabs>
          <w:tab w:val="num" w:pos="902"/>
        </w:tabs>
        <w:ind w:left="902" w:hanging="902"/>
      </w:pPr>
      <w:rPr>
        <w:rFonts w:hint="default"/>
      </w:rPr>
    </w:lvl>
  </w:abstractNum>
  <w:abstractNum w:abstractNumId="22" w15:restartNumberingAfterBreak="0">
    <w:nsid w:val="6B404337"/>
    <w:multiLevelType w:val="multilevel"/>
    <w:tmpl w:val="0C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6D617B2B"/>
    <w:multiLevelType w:val="multilevel"/>
    <w:tmpl w:val="BE988648"/>
    <w:styleLink w:val="ACILAllenBulletedlist"/>
    <w:lvl w:ilvl="0">
      <w:start w:val="1"/>
      <w:numFmt w:val="bullet"/>
      <w:pStyle w:val="ListBullet"/>
      <w:lvlText w:val=""/>
      <w:lvlJc w:val="left"/>
      <w:pPr>
        <w:ind w:left="340" w:hanging="340"/>
      </w:pPr>
      <w:rPr>
        <w:rFonts w:ascii="Wingdings" w:hAnsi="Wingdings"/>
        <w:position w:val="-4"/>
        <w:sz w:val="28"/>
      </w:rPr>
    </w:lvl>
    <w:lvl w:ilvl="1">
      <w:start w:val="1"/>
      <w:numFmt w:val="bullet"/>
      <w:pStyle w:val="ListBullet2"/>
      <w:lvlText w:val=""/>
      <w:lvlJc w:val="left"/>
      <w:pPr>
        <w:ind w:left="680" w:hanging="340"/>
      </w:pPr>
      <w:rPr>
        <w:rFonts w:ascii="Wingdings" w:hAnsi="Wingdings" w:hint="default"/>
        <w:position w:val="-2"/>
        <w:sz w:val="24"/>
      </w:rPr>
    </w:lvl>
    <w:lvl w:ilvl="2">
      <w:start w:val="1"/>
      <w:numFmt w:val="bullet"/>
      <w:pStyle w:val="ListBullet3"/>
      <w:lvlText w:val="…"/>
      <w:lvlJc w:val="left"/>
      <w:pPr>
        <w:ind w:left="1020" w:hanging="340"/>
      </w:pPr>
      <w:rPr>
        <w:rFonts w:asciiTheme="minorHAnsi" w:hAnsiTheme="minorHAnsi" w:hint="default"/>
        <w:position w:val="6"/>
      </w:rPr>
    </w:lvl>
    <w:lvl w:ilvl="3">
      <w:start w:val="1"/>
      <w:numFmt w:val="none"/>
      <w:lvlText w:val="%4"/>
      <w:lvlJc w:val="left"/>
      <w:pPr>
        <w:ind w:left="1021" w:hanging="1"/>
      </w:pPr>
      <w:rPr>
        <w:rFonts w:ascii="Garamond" w:hAnsi="Garamond" w:hint="default"/>
      </w:rPr>
    </w:lvl>
    <w:lvl w:ilvl="4">
      <w:start w:val="1"/>
      <w:numFmt w:val="none"/>
      <w:lvlText w:val="%5"/>
      <w:lvlJc w:val="left"/>
      <w:pPr>
        <w:ind w:left="1700" w:hanging="340"/>
      </w:pPr>
      <w:rPr>
        <w:rFonts w:ascii="Garamond" w:hAnsi="Garamond" w:hint="default"/>
      </w:rPr>
    </w:lvl>
    <w:lvl w:ilvl="5">
      <w:start w:val="1"/>
      <w:numFmt w:val="none"/>
      <w:suff w:val="nothing"/>
      <w:lvlText w:val=""/>
      <w:lvlJc w:val="left"/>
      <w:pPr>
        <w:ind w:left="2040" w:hanging="340"/>
      </w:pPr>
      <w:rPr>
        <w:rFonts w:hint="default"/>
      </w:rPr>
    </w:lvl>
    <w:lvl w:ilvl="6">
      <w:start w:val="1"/>
      <w:numFmt w:val="none"/>
      <w:lvlText w:val="%7"/>
      <w:lvlJc w:val="left"/>
      <w:pPr>
        <w:ind w:left="2380" w:hanging="340"/>
      </w:pPr>
      <w:rPr>
        <w:rFonts w:ascii="Garamond" w:hAnsi="Garamond" w:hint="default"/>
      </w:rPr>
    </w:lvl>
    <w:lvl w:ilvl="7">
      <w:start w:val="1"/>
      <w:numFmt w:val="none"/>
      <w:lvlText w:val="%8"/>
      <w:lvlJc w:val="left"/>
      <w:pPr>
        <w:ind w:left="2720" w:hanging="340"/>
      </w:pPr>
      <w:rPr>
        <w:rFonts w:ascii="Garamond" w:hAnsi="Garamond" w:hint="default"/>
      </w:rPr>
    </w:lvl>
    <w:lvl w:ilvl="8">
      <w:start w:val="1"/>
      <w:numFmt w:val="none"/>
      <w:lvlText w:val="%9"/>
      <w:lvlJc w:val="left"/>
      <w:pPr>
        <w:ind w:left="3060" w:hanging="340"/>
      </w:pPr>
      <w:rPr>
        <w:rFonts w:ascii="Garamond" w:hAnsi="Garamond" w:hint="default"/>
      </w:rPr>
    </w:lvl>
  </w:abstractNum>
  <w:abstractNum w:abstractNumId="24" w15:restartNumberingAfterBreak="0">
    <w:nsid w:val="74907FE1"/>
    <w:multiLevelType w:val="hybridMultilevel"/>
    <w:tmpl w:val="EF02A540"/>
    <w:lvl w:ilvl="0" w:tplc="0D7476D4">
      <w:start w:val="1"/>
      <w:numFmt w:val="bullet"/>
      <w:pStyle w:val="QuoteListBullet"/>
      <w:lvlText w:val="•"/>
      <w:lvlJc w:val="left"/>
      <w:pPr>
        <w:ind w:left="1060" w:hanging="360"/>
      </w:pPr>
      <w:rPr>
        <w:rFonts w:ascii="Century" w:hAnsi="Century" w:cs="Times New Roman" w:hint="default"/>
      </w:rPr>
    </w:lvl>
    <w:lvl w:ilvl="1" w:tplc="2674AA5A" w:tentative="1">
      <w:start w:val="1"/>
      <w:numFmt w:val="bullet"/>
      <w:lvlText w:val="o"/>
      <w:lvlJc w:val="left"/>
      <w:pPr>
        <w:ind w:left="1780" w:hanging="360"/>
      </w:pPr>
      <w:rPr>
        <w:rFonts w:ascii="Courier New" w:hAnsi="Courier New" w:cs="Courier New" w:hint="default"/>
      </w:rPr>
    </w:lvl>
    <w:lvl w:ilvl="2" w:tplc="EC6A1D18" w:tentative="1">
      <w:start w:val="1"/>
      <w:numFmt w:val="bullet"/>
      <w:lvlText w:val=""/>
      <w:lvlJc w:val="left"/>
      <w:pPr>
        <w:ind w:left="2500" w:hanging="360"/>
      </w:pPr>
      <w:rPr>
        <w:rFonts w:ascii="Wingdings" w:hAnsi="Wingdings" w:hint="default"/>
      </w:rPr>
    </w:lvl>
    <w:lvl w:ilvl="3" w:tplc="62CA421E" w:tentative="1">
      <w:start w:val="1"/>
      <w:numFmt w:val="bullet"/>
      <w:lvlText w:val=""/>
      <w:lvlJc w:val="left"/>
      <w:pPr>
        <w:ind w:left="3220" w:hanging="360"/>
      </w:pPr>
      <w:rPr>
        <w:rFonts w:ascii="Symbol" w:hAnsi="Symbol" w:hint="default"/>
      </w:rPr>
    </w:lvl>
    <w:lvl w:ilvl="4" w:tplc="ED3CD158" w:tentative="1">
      <w:start w:val="1"/>
      <w:numFmt w:val="bullet"/>
      <w:lvlText w:val="o"/>
      <w:lvlJc w:val="left"/>
      <w:pPr>
        <w:ind w:left="3940" w:hanging="360"/>
      </w:pPr>
      <w:rPr>
        <w:rFonts w:ascii="Courier New" w:hAnsi="Courier New" w:cs="Courier New" w:hint="default"/>
      </w:rPr>
    </w:lvl>
    <w:lvl w:ilvl="5" w:tplc="CE2CEAA8" w:tentative="1">
      <w:start w:val="1"/>
      <w:numFmt w:val="bullet"/>
      <w:lvlText w:val=""/>
      <w:lvlJc w:val="left"/>
      <w:pPr>
        <w:ind w:left="4660" w:hanging="360"/>
      </w:pPr>
      <w:rPr>
        <w:rFonts w:ascii="Wingdings" w:hAnsi="Wingdings" w:hint="default"/>
      </w:rPr>
    </w:lvl>
    <w:lvl w:ilvl="6" w:tplc="D9820910" w:tentative="1">
      <w:start w:val="1"/>
      <w:numFmt w:val="bullet"/>
      <w:lvlText w:val=""/>
      <w:lvlJc w:val="left"/>
      <w:pPr>
        <w:ind w:left="5380" w:hanging="360"/>
      </w:pPr>
      <w:rPr>
        <w:rFonts w:ascii="Symbol" w:hAnsi="Symbol" w:hint="default"/>
      </w:rPr>
    </w:lvl>
    <w:lvl w:ilvl="7" w:tplc="2D52F2DE" w:tentative="1">
      <w:start w:val="1"/>
      <w:numFmt w:val="bullet"/>
      <w:lvlText w:val="o"/>
      <w:lvlJc w:val="left"/>
      <w:pPr>
        <w:ind w:left="6100" w:hanging="360"/>
      </w:pPr>
      <w:rPr>
        <w:rFonts w:ascii="Courier New" w:hAnsi="Courier New" w:cs="Courier New" w:hint="default"/>
      </w:rPr>
    </w:lvl>
    <w:lvl w:ilvl="8" w:tplc="DB36473E" w:tentative="1">
      <w:start w:val="1"/>
      <w:numFmt w:val="bullet"/>
      <w:lvlText w:val=""/>
      <w:lvlJc w:val="left"/>
      <w:pPr>
        <w:ind w:left="6820" w:hanging="360"/>
      </w:pPr>
      <w:rPr>
        <w:rFonts w:ascii="Wingdings" w:hAnsi="Wingdings" w:hint="default"/>
      </w:rPr>
    </w:lvl>
  </w:abstractNum>
  <w:abstractNum w:abstractNumId="25" w15:restartNumberingAfterBreak="0">
    <w:nsid w:val="7A197097"/>
    <w:multiLevelType w:val="multilevel"/>
    <w:tmpl w:val="8990D484"/>
    <w:styleLink w:val="ACILAllenBoxListNumbering"/>
    <w:lvl w:ilvl="0">
      <w:start w:val="1"/>
      <w:numFmt w:val="decimal"/>
      <w:pStyle w:val="BoxListNumber"/>
      <w:lvlText w:val="%1."/>
      <w:lvlJc w:val="left"/>
      <w:pPr>
        <w:ind w:left="284" w:hanging="284"/>
      </w:pPr>
      <w:rPr>
        <w:rFonts w:asciiTheme="minorHAnsi" w:hAnsiTheme="minorHAnsi" w:hint="default"/>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BoxListNumber2"/>
      <w:lvlText w:val="%2)"/>
      <w:lvlJc w:val="left"/>
      <w:pPr>
        <w:ind w:left="567" w:hanging="283"/>
      </w:pPr>
      <w:rPr>
        <w:rFonts w:hint="default"/>
      </w:rPr>
    </w:lvl>
    <w:lvl w:ilvl="2">
      <w:start w:val="1"/>
      <w:numFmt w:val="lowerRoman"/>
      <w:pStyle w:val="BoxListNumber3"/>
      <w:lvlText w:val="%3)"/>
      <w:lvlJc w:val="left"/>
      <w:pPr>
        <w:ind w:left="851" w:hanging="284"/>
      </w:pPr>
      <w:rPr>
        <w:rFonts w:hint="default"/>
      </w:rPr>
    </w:lvl>
    <w:lvl w:ilvl="3">
      <w:start w:val="1"/>
      <w:numFmt w:val="none"/>
      <w:suff w:val="nothing"/>
      <w:lvlText w:val=""/>
      <w:lvlJc w:val="left"/>
      <w:pPr>
        <w:ind w:left="1134" w:firstLine="0"/>
      </w:pPr>
      <w:rPr>
        <w:rFonts w:hint="default"/>
      </w:rPr>
    </w:lvl>
    <w:lvl w:ilvl="4">
      <w:start w:val="1"/>
      <w:numFmt w:val="none"/>
      <w:suff w:val="nothing"/>
      <w:lvlText w:val=""/>
      <w:lvlJc w:val="left"/>
      <w:pPr>
        <w:ind w:left="-32767" w:firstLine="0"/>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26" w15:restartNumberingAfterBreak="0">
    <w:nsid w:val="7A4632C8"/>
    <w:multiLevelType w:val="multilevel"/>
    <w:tmpl w:val="2C2CF3B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Garamond" w:hAnsi="Garamond"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3"/>
  </w:num>
  <w:num w:numId="2">
    <w:abstractNumId w:val="2"/>
  </w:num>
  <w:num w:numId="3">
    <w:abstractNumId w:val="1"/>
  </w:num>
  <w:num w:numId="4">
    <w:abstractNumId w:val="0"/>
  </w:num>
  <w:num w:numId="5">
    <w:abstractNumId w:val="15"/>
  </w:num>
  <w:num w:numId="6">
    <w:abstractNumId w:val="12"/>
  </w:num>
  <w:num w:numId="7">
    <w:abstractNumId w:val="22"/>
  </w:num>
  <w:num w:numId="8">
    <w:abstractNumId w:val="18"/>
  </w:num>
  <w:num w:numId="9">
    <w:abstractNumId w:val="24"/>
  </w:num>
  <w:num w:numId="10">
    <w:abstractNumId w:val="14"/>
  </w:num>
  <w:num w:numId="11">
    <w:abstractNumId w:val="25"/>
  </w:num>
  <w:num w:numId="12">
    <w:abstractNumId w:val="4"/>
  </w:num>
  <w:num w:numId="13">
    <w:abstractNumId w:val="19"/>
  </w:num>
  <w:num w:numId="14">
    <w:abstractNumId w:val="23"/>
  </w:num>
  <w:num w:numId="15">
    <w:abstractNumId w:val="8"/>
  </w:num>
  <w:num w:numId="16">
    <w:abstractNumId w:val="9"/>
  </w:num>
  <w:num w:numId="17">
    <w:abstractNumId w:val="7"/>
  </w:num>
  <w:num w:numId="18">
    <w:abstractNumId w:val="13"/>
  </w:num>
  <w:num w:numId="19">
    <w:abstractNumId w:val="11"/>
  </w:num>
  <w:num w:numId="20">
    <w:abstractNumId w:val="21"/>
  </w:num>
  <w:num w:numId="21">
    <w:abstractNumId w:val="6"/>
  </w:num>
  <w:num w:numId="22">
    <w:abstractNumId w:val="10"/>
  </w:num>
  <w:num w:numId="23">
    <w:abstractNumId w:val="17"/>
  </w:num>
  <w:num w:numId="24">
    <w:abstractNumId w:val="25"/>
  </w:num>
  <w:num w:numId="25">
    <w:abstractNumId w:val="4"/>
  </w:num>
  <w:num w:numId="26">
    <w:abstractNumId w:val="23"/>
  </w:num>
  <w:num w:numId="27">
    <w:abstractNumId w:val="14"/>
  </w:num>
  <w:num w:numId="28">
    <w:abstractNumId w:val="19"/>
  </w:num>
  <w:num w:numId="29">
    <w:abstractNumId w:val="21"/>
  </w:num>
  <w:num w:numId="30">
    <w:abstractNumId w:val="26"/>
  </w:num>
  <w:num w:numId="31">
    <w:abstractNumId w:val="5"/>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20"/>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AU"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AU" w:vendorID="8" w:dllVersion="513" w:checkStyle="1"/>
  <w:activeWritingStyle w:appName="MSWord" w:lang="en-US" w:vendorID="8" w:dllVersion="513" w:checkStyle="1"/>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902"/>
  <w:clickAndTypeStyle w:val="BodyText"/>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7F"/>
    <w:rsid w:val="0000046D"/>
    <w:rsid w:val="00000559"/>
    <w:rsid w:val="00000948"/>
    <w:rsid w:val="0000265F"/>
    <w:rsid w:val="00002E51"/>
    <w:rsid w:val="00003E03"/>
    <w:rsid w:val="00004042"/>
    <w:rsid w:val="000055CB"/>
    <w:rsid w:val="00006363"/>
    <w:rsid w:val="00006400"/>
    <w:rsid w:val="0000663D"/>
    <w:rsid w:val="00006C06"/>
    <w:rsid w:val="00006C8F"/>
    <w:rsid w:val="00007236"/>
    <w:rsid w:val="000072CB"/>
    <w:rsid w:val="0000736D"/>
    <w:rsid w:val="00010218"/>
    <w:rsid w:val="00010465"/>
    <w:rsid w:val="000105BD"/>
    <w:rsid w:val="000106A0"/>
    <w:rsid w:val="00011609"/>
    <w:rsid w:val="00011802"/>
    <w:rsid w:val="000120E4"/>
    <w:rsid w:val="000123D9"/>
    <w:rsid w:val="0001264D"/>
    <w:rsid w:val="00012BCD"/>
    <w:rsid w:val="00012DA7"/>
    <w:rsid w:val="0001331B"/>
    <w:rsid w:val="00013650"/>
    <w:rsid w:val="000136F0"/>
    <w:rsid w:val="00013FBB"/>
    <w:rsid w:val="00014E1C"/>
    <w:rsid w:val="00014F27"/>
    <w:rsid w:val="00015277"/>
    <w:rsid w:val="00015505"/>
    <w:rsid w:val="00015A92"/>
    <w:rsid w:val="00015B16"/>
    <w:rsid w:val="00015BB6"/>
    <w:rsid w:val="000167A8"/>
    <w:rsid w:val="000169D3"/>
    <w:rsid w:val="00016B2F"/>
    <w:rsid w:val="00016D32"/>
    <w:rsid w:val="000177D8"/>
    <w:rsid w:val="00017A12"/>
    <w:rsid w:val="00020188"/>
    <w:rsid w:val="00020428"/>
    <w:rsid w:val="0002132D"/>
    <w:rsid w:val="00022213"/>
    <w:rsid w:val="00022A6A"/>
    <w:rsid w:val="00022AF6"/>
    <w:rsid w:val="000236F1"/>
    <w:rsid w:val="000237AA"/>
    <w:rsid w:val="00023F8E"/>
    <w:rsid w:val="000264D1"/>
    <w:rsid w:val="00027353"/>
    <w:rsid w:val="00027498"/>
    <w:rsid w:val="0002788B"/>
    <w:rsid w:val="00027E91"/>
    <w:rsid w:val="000312A2"/>
    <w:rsid w:val="0003171E"/>
    <w:rsid w:val="0003234D"/>
    <w:rsid w:val="0003243D"/>
    <w:rsid w:val="000328EF"/>
    <w:rsid w:val="00032A3B"/>
    <w:rsid w:val="00032E53"/>
    <w:rsid w:val="000334E6"/>
    <w:rsid w:val="00033F6D"/>
    <w:rsid w:val="00034AA2"/>
    <w:rsid w:val="00035B52"/>
    <w:rsid w:val="00035BF2"/>
    <w:rsid w:val="00036035"/>
    <w:rsid w:val="00036E22"/>
    <w:rsid w:val="000370A1"/>
    <w:rsid w:val="00037A1A"/>
    <w:rsid w:val="00040091"/>
    <w:rsid w:val="00040A15"/>
    <w:rsid w:val="00041020"/>
    <w:rsid w:val="00041A27"/>
    <w:rsid w:val="000421C6"/>
    <w:rsid w:val="000426DF"/>
    <w:rsid w:val="0004299F"/>
    <w:rsid w:val="00044119"/>
    <w:rsid w:val="0004427B"/>
    <w:rsid w:val="00044612"/>
    <w:rsid w:val="00044A4D"/>
    <w:rsid w:val="00044CBA"/>
    <w:rsid w:val="00045A0C"/>
    <w:rsid w:val="00046DA1"/>
    <w:rsid w:val="00050C97"/>
    <w:rsid w:val="00051252"/>
    <w:rsid w:val="000518F6"/>
    <w:rsid w:val="0005236E"/>
    <w:rsid w:val="00052939"/>
    <w:rsid w:val="00052E59"/>
    <w:rsid w:val="00053229"/>
    <w:rsid w:val="000538B3"/>
    <w:rsid w:val="00053D21"/>
    <w:rsid w:val="000542F8"/>
    <w:rsid w:val="00055558"/>
    <w:rsid w:val="00055891"/>
    <w:rsid w:val="00055FFC"/>
    <w:rsid w:val="00056996"/>
    <w:rsid w:val="00056AE7"/>
    <w:rsid w:val="00056BC6"/>
    <w:rsid w:val="00057842"/>
    <w:rsid w:val="00057983"/>
    <w:rsid w:val="00057C81"/>
    <w:rsid w:val="00057E45"/>
    <w:rsid w:val="000603D9"/>
    <w:rsid w:val="0006074A"/>
    <w:rsid w:val="00061DDB"/>
    <w:rsid w:val="000625A6"/>
    <w:rsid w:val="00062653"/>
    <w:rsid w:val="00063605"/>
    <w:rsid w:val="000636F5"/>
    <w:rsid w:val="000637AC"/>
    <w:rsid w:val="00063FEC"/>
    <w:rsid w:val="0006461D"/>
    <w:rsid w:val="00064D60"/>
    <w:rsid w:val="00065416"/>
    <w:rsid w:val="00065DC0"/>
    <w:rsid w:val="000665C0"/>
    <w:rsid w:val="00066725"/>
    <w:rsid w:val="0006690D"/>
    <w:rsid w:val="00066DA3"/>
    <w:rsid w:val="00071EFD"/>
    <w:rsid w:val="000729F9"/>
    <w:rsid w:val="00072F4B"/>
    <w:rsid w:val="0007329F"/>
    <w:rsid w:val="0007549F"/>
    <w:rsid w:val="00075909"/>
    <w:rsid w:val="000760EB"/>
    <w:rsid w:val="000765A4"/>
    <w:rsid w:val="0007727E"/>
    <w:rsid w:val="00077484"/>
    <w:rsid w:val="00077761"/>
    <w:rsid w:val="00077E2B"/>
    <w:rsid w:val="00077FD4"/>
    <w:rsid w:val="000809A2"/>
    <w:rsid w:val="00080A48"/>
    <w:rsid w:val="0008204D"/>
    <w:rsid w:val="00082611"/>
    <w:rsid w:val="00082721"/>
    <w:rsid w:val="000828C6"/>
    <w:rsid w:val="00083A42"/>
    <w:rsid w:val="00083B15"/>
    <w:rsid w:val="00083E33"/>
    <w:rsid w:val="000856F9"/>
    <w:rsid w:val="00085AE8"/>
    <w:rsid w:val="00085E9A"/>
    <w:rsid w:val="00085FC8"/>
    <w:rsid w:val="00086357"/>
    <w:rsid w:val="000878BE"/>
    <w:rsid w:val="000878E2"/>
    <w:rsid w:val="000918B6"/>
    <w:rsid w:val="00092F7A"/>
    <w:rsid w:val="00093175"/>
    <w:rsid w:val="000935B7"/>
    <w:rsid w:val="00093AA2"/>
    <w:rsid w:val="000943CF"/>
    <w:rsid w:val="000948AA"/>
    <w:rsid w:val="00094D19"/>
    <w:rsid w:val="00096062"/>
    <w:rsid w:val="000963AF"/>
    <w:rsid w:val="000970BB"/>
    <w:rsid w:val="00097336"/>
    <w:rsid w:val="00097DCF"/>
    <w:rsid w:val="000A1ABC"/>
    <w:rsid w:val="000A1E51"/>
    <w:rsid w:val="000A2791"/>
    <w:rsid w:val="000A28C6"/>
    <w:rsid w:val="000A2A65"/>
    <w:rsid w:val="000A43F3"/>
    <w:rsid w:val="000A5B22"/>
    <w:rsid w:val="000A60B2"/>
    <w:rsid w:val="000A68E3"/>
    <w:rsid w:val="000A6DD2"/>
    <w:rsid w:val="000A6EC1"/>
    <w:rsid w:val="000A7691"/>
    <w:rsid w:val="000B0871"/>
    <w:rsid w:val="000B0906"/>
    <w:rsid w:val="000B1C1D"/>
    <w:rsid w:val="000B1C6E"/>
    <w:rsid w:val="000B1EB2"/>
    <w:rsid w:val="000B20BB"/>
    <w:rsid w:val="000B2F0A"/>
    <w:rsid w:val="000B313E"/>
    <w:rsid w:val="000B3612"/>
    <w:rsid w:val="000B3858"/>
    <w:rsid w:val="000B47A8"/>
    <w:rsid w:val="000B5C19"/>
    <w:rsid w:val="000B62B9"/>
    <w:rsid w:val="000B6F86"/>
    <w:rsid w:val="000B7DD4"/>
    <w:rsid w:val="000B7DD9"/>
    <w:rsid w:val="000C02D5"/>
    <w:rsid w:val="000C037F"/>
    <w:rsid w:val="000C0A7E"/>
    <w:rsid w:val="000C0F8A"/>
    <w:rsid w:val="000C1C10"/>
    <w:rsid w:val="000C1CEC"/>
    <w:rsid w:val="000C2BE2"/>
    <w:rsid w:val="000C3281"/>
    <w:rsid w:val="000C3386"/>
    <w:rsid w:val="000C3FD1"/>
    <w:rsid w:val="000C55C6"/>
    <w:rsid w:val="000C6126"/>
    <w:rsid w:val="000C79BE"/>
    <w:rsid w:val="000D041D"/>
    <w:rsid w:val="000D089C"/>
    <w:rsid w:val="000D0928"/>
    <w:rsid w:val="000D0A2E"/>
    <w:rsid w:val="000D0B31"/>
    <w:rsid w:val="000D0ED6"/>
    <w:rsid w:val="000D1108"/>
    <w:rsid w:val="000D2199"/>
    <w:rsid w:val="000D232D"/>
    <w:rsid w:val="000D4961"/>
    <w:rsid w:val="000D4E9F"/>
    <w:rsid w:val="000D51F9"/>
    <w:rsid w:val="000D569D"/>
    <w:rsid w:val="000D5822"/>
    <w:rsid w:val="000D5EC6"/>
    <w:rsid w:val="000D64F2"/>
    <w:rsid w:val="000D7296"/>
    <w:rsid w:val="000D74B4"/>
    <w:rsid w:val="000D76C5"/>
    <w:rsid w:val="000E06D4"/>
    <w:rsid w:val="000E09EE"/>
    <w:rsid w:val="000E0ABB"/>
    <w:rsid w:val="000E1172"/>
    <w:rsid w:val="000E21BF"/>
    <w:rsid w:val="000E3D7A"/>
    <w:rsid w:val="000E4209"/>
    <w:rsid w:val="000E443B"/>
    <w:rsid w:val="000E5087"/>
    <w:rsid w:val="000E5371"/>
    <w:rsid w:val="000E5F92"/>
    <w:rsid w:val="000E62CF"/>
    <w:rsid w:val="000E6C41"/>
    <w:rsid w:val="000E6D8A"/>
    <w:rsid w:val="000E73C7"/>
    <w:rsid w:val="000E7849"/>
    <w:rsid w:val="000F0BEF"/>
    <w:rsid w:val="000F1FE5"/>
    <w:rsid w:val="000F2207"/>
    <w:rsid w:val="000F2C20"/>
    <w:rsid w:val="000F3270"/>
    <w:rsid w:val="000F3384"/>
    <w:rsid w:val="000F3464"/>
    <w:rsid w:val="000F3563"/>
    <w:rsid w:val="000F358D"/>
    <w:rsid w:val="000F3E99"/>
    <w:rsid w:val="000F416E"/>
    <w:rsid w:val="000F4AFE"/>
    <w:rsid w:val="000F4C77"/>
    <w:rsid w:val="000F5130"/>
    <w:rsid w:val="000F63DF"/>
    <w:rsid w:val="000F648A"/>
    <w:rsid w:val="000F660C"/>
    <w:rsid w:val="000F7778"/>
    <w:rsid w:val="000F787D"/>
    <w:rsid w:val="00100957"/>
    <w:rsid w:val="00100A8B"/>
    <w:rsid w:val="001029C7"/>
    <w:rsid w:val="001039CD"/>
    <w:rsid w:val="00103E70"/>
    <w:rsid w:val="00103F3B"/>
    <w:rsid w:val="00105F7E"/>
    <w:rsid w:val="001061B1"/>
    <w:rsid w:val="00106A36"/>
    <w:rsid w:val="00107275"/>
    <w:rsid w:val="00110508"/>
    <w:rsid w:val="001110FC"/>
    <w:rsid w:val="00111F29"/>
    <w:rsid w:val="00112820"/>
    <w:rsid w:val="00113E7C"/>
    <w:rsid w:val="00114070"/>
    <w:rsid w:val="00114513"/>
    <w:rsid w:val="00114536"/>
    <w:rsid w:val="001154B8"/>
    <w:rsid w:val="001174F6"/>
    <w:rsid w:val="0011769E"/>
    <w:rsid w:val="00120EA9"/>
    <w:rsid w:val="00121594"/>
    <w:rsid w:val="001215A0"/>
    <w:rsid w:val="00121E7F"/>
    <w:rsid w:val="0012204F"/>
    <w:rsid w:val="001222CF"/>
    <w:rsid w:val="00124245"/>
    <w:rsid w:val="001243C8"/>
    <w:rsid w:val="001247EE"/>
    <w:rsid w:val="00124F1A"/>
    <w:rsid w:val="00124FCE"/>
    <w:rsid w:val="00125287"/>
    <w:rsid w:val="00125B64"/>
    <w:rsid w:val="00126062"/>
    <w:rsid w:val="0012693A"/>
    <w:rsid w:val="00126D3F"/>
    <w:rsid w:val="0012754C"/>
    <w:rsid w:val="00127C13"/>
    <w:rsid w:val="00127F42"/>
    <w:rsid w:val="0013094A"/>
    <w:rsid w:val="00130ED9"/>
    <w:rsid w:val="001316DD"/>
    <w:rsid w:val="00131A69"/>
    <w:rsid w:val="00131CAC"/>
    <w:rsid w:val="00132571"/>
    <w:rsid w:val="001326D8"/>
    <w:rsid w:val="0013304B"/>
    <w:rsid w:val="00133715"/>
    <w:rsid w:val="0013380C"/>
    <w:rsid w:val="00134A56"/>
    <w:rsid w:val="00134DE4"/>
    <w:rsid w:val="001352C6"/>
    <w:rsid w:val="001356EE"/>
    <w:rsid w:val="00136464"/>
    <w:rsid w:val="00137ACD"/>
    <w:rsid w:val="0014015A"/>
    <w:rsid w:val="0014028B"/>
    <w:rsid w:val="00140850"/>
    <w:rsid w:val="00140F6F"/>
    <w:rsid w:val="001411E3"/>
    <w:rsid w:val="00142339"/>
    <w:rsid w:val="00142B98"/>
    <w:rsid w:val="00142C38"/>
    <w:rsid w:val="00144EC5"/>
    <w:rsid w:val="00145BB3"/>
    <w:rsid w:val="0014604C"/>
    <w:rsid w:val="0014609A"/>
    <w:rsid w:val="001463FC"/>
    <w:rsid w:val="00146E90"/>
    <w:rsid w:val="00147385"/>
    <w:rsid w:val="00150E7D"/>
    <w:rsid w:val="00151754"/>
    <w:rsid w:val="00152392"/>
    <w:rsid w:val="00153F26"/>
    <w:rsid w:val="0015413D"/>
    <w:rsid w:val="00154834"/>
    <w:rsid w:val="00154999"/>
    <w:rsid w:val="00155BCE"/>
    <w:rsid w:val="00155CE4"/>
    <w:rsid w:val="001564C1"/>
    <w:rsid w:val="00156643"/>
    <w:rsid w:val="00157EF2"/>
    <w:rsid w:val="00160E03"/>
    <w:rsid w:val="00161ED8"/>
    <w:rsid w:val="0016244C"/>
    <w:rsid w:val="00162593"/>
    <w:rsid w:val="00163331"/>
    <w:rsid w:val="00163DAB"/>
    <w:rsid w:val="00163F44"/>
    <w:rsid w:val="00163FC2"/>
    <w:rsid w:val="00164D0A"/>
    <w:rsid w:val="00167BFA"/>
    <w:rsid w:val="00167D09"/>
    <w:rsid w:val="00167E48"/>
    <w:rsid w:val="00170270"/>
    <w:rsid w:val="001705AE"/>
    <w:rsid w:val="001707C6"/>
    <w:rsid w:val="0017121E"/>
    <w:rsid w:val="00172197"/>
    <w:rsid w:val="001723F3"/>
    <w:rsid w:val="0017329E"/>
    <w:rsid w:val="00173543"/>
    <w:rsid w:val="00173564"/>
    <w:rsid w:val="0017490C"/>
    <w:rsid w:val="00174D39"/>
    <w:rsid w:val="00174D86"/>
    <w:rsid w:val="00174F2A"/>
    <w:rsid w:val="001751DA"/>
    <w:rsid w:val="0017621A"/>
    <w:rsid w:val="00176371"/>
    <w:rsid w:val="0017642D"/>
    <w:rsid w:val="00180993"/>
    <w:rsid w:val="00180AC7"/>
    <w:rsid w:val="00182A0A"/>
    <w:rsid w:val="00183157"/>
    <w:rsid w:val="00183312"/>
    <w:rsid w:val="00183EA8"/>
    <w:rsid w:val="0018516F"/>
    <w:rsid w:val="0018527D"/>
    <w:rsid w:val="00185A9D"/>
    <w:rsid w:val="00185B21"/>
    <w:rsid w:val="00185F69"/>
    <w:rsid w:val="0018702E"/>
    <w:rsid w:val="00187857"/>
    <w:rsid w:val="0019094D"/>
    <w:rsid w:val="00190F90"/>
    <w:rsid w:val="001928EF"/>
    <w:rsid w:val="001929AB"/>
    <w:rsid w:val="00192D0E"/>
    <w:rsid w:val="00192DAF"/>
    <w:rsid w:val="00192E84"/>
    <w:rsid w:val="001934E3"/>
    <w:rsid w:val="00194049"/>
    <w:rsid w:val="00194742"/>
    <w:rsid w:val="00194DDF"/>
    <w:rsid w:val="00195065"/>
    <w:rsid w:val="0019587D"/>
    <w:rsid w:val="00196D42"/>
    <w:rsid w:val="00196DA0"/>
    <w:rsid w:val="00196E30"/>
    <w:rsid w:val="00197106"/>
    <w:rsid w:val="001972DA"/>
    <w:rsid w:val="0019780E"/>
    <w:rsid w:val="0019791B"/>
    <w:rsid w:val="00197A58"/>
    <w:rsid w:val="00197C26"/>
    <w:rsid w:val="001A07AE"/>
    <w:rsid w:val="001A0833"/>
    <w:rsid w:val="001A1278"/>
    <w:rsid w:val="001A3A45"/>
    <w:rsid w:val="001A3B74"/>
    <w:rsid w:val="001A4598"/>
    <w:rsid w:val="001A4845"/>
    <w:rsid w:val="001A4B03"/>
    <w:rsid w:val="001A4DD9"/>
    <w:rsid w:val="001A506C"/>
    <w:rsid w:val="001A583F"/>
    <w:rsid w:val="001A5A4B"/>
    <w:rsid w:val="001A69A6"/>
    <w:rsid w:val="001A759A"/>
    <w:rsid w:val="001B016C"/>
    <w:rsid w:val="001B0542"/>
    <w:rsid w:val="001B14CA"/>
    <w:rsid w:val="001B1599"/>
    <w:rsid w:val="001B1675"/>
    <w:rsid w:val="001B1C96"/>
    <w:rsid w:val="001B1F2D"/>
    <w:rsid w:val="001B30E6"/>
    <w:rsid w:val="001B30F2"/>
    <w:rsid w:val="001B40F8"/>
    <w:rsid w:val="001B4630"/>
    <w:rsid w:val="001B5368"/>
    <w:rsid w:val="001B5633"/>
    <w:rsid w:val="001B6B68"/>
    <w:rsid w:val="001B6CEA"/>
    <w:rsid w:val="001C0595"/>
    <w:rsid w:val="001C0B4C"/>
    <w:rsid w:val="001C0D6B"/>
    <w:rsid w:val="001C1638"/>
    <w:rsid w:val="001C18B1"/>
    <w:rsid w:val="001C4048"/>
    <w:rsid w:val="001C4BBE"/>
    <w:rsid w:val="001C58D2"/>
    <w:rsid w:val="001C6182"/>
    <w:rsid w:val="001C638B"/>
    <w:rsid w:val="001C6450"/>
    <w:rsid w:val="001D03DD"/>
    <w:rsid w:val="001D0D96"/>
    <w:rsid w:val="001D0E75"/>
    <w:rsid w:val="001D12A0"/>
    <w:rsid w:val="001D14DA"/>
    <w:rsid w:val="001D1EF8"/>
    <w:rsid w:val="001D2022"/>
    <w:rsid w:val="001D25B5"/>
    <w:rsid w:val="001D32C5"/>
    <w:rsid w:val="001D3F6A"/>
    <w:rsid w:val="001D443B"/>
    <w:rsid w:val="001D497D"/>
    <w:rsid w:val="001D4BCE"/>
    <w:rsid w:val="001D5471"/>
    <w:rsid w:val="001D65AF"/>
    <w:rsid w:val="001D6983"/>
    <w:rsid w:val="001D6EAD"/>
    <w:rsid w:val="001D7253"/>
    <w:rsid w:val="001D7652"/>
    <w:rsid w:val="001D78C2"/>
    <w:rsid w:val="001D7B08"/>
    <w:rsid w:val="001D7F06"/>
    <w:rsid w:val="001E102F"/>
    <w:rsid w:val="001E1D95"/>
    <w:rsid w:val="001E1E1C"/>
    <w:rsid w:val="001E2332"/>
    <w:rsid w:val="001E29BE"/>
    <w:rsid w:val="001E31EB"/>
    <w:rsid w:val="001E5064"/>
    <w:rsid w:val="001E5901"/>
    <w:rsid w:val="001E62C7"/>
    <w:rsid w:val="001E6345"/>
    <w:rsid w:val="001E73A3"/>
    <w:rsid w:val="001F0A2F"/>
    <w:rsid w:val="001F1909"/>
    <w:rsid w:val="001F1B54"/>
    <w:rsid w:val="001F244E"/>
    <w:rsid w:val="001F283A"/>
    <w:rsid w:val="001F2C7C"/>
    <w:rsid w:val="001F34E0"/>
    <w:rsid w:val="001F3A05"/>
    <w:rsid w:val="001F3CAD"/>
    <w:rsid w:val="001F3DA7"/>
    <w:rsid w:val="001F3FF2"/>
    <w:rsid w:val="001F5054"/>
    <w:rsid w:val="001F50FF"/>
    <w:rsid w:val="001F5990"/>
    <w:rsid w:val="001F5F55"/>
    <w:rsid w:val="001F5F95"/>
    <w:rsid w:val="001F6EAD"/>
    <w:rsid w:val="002007D6"/>
    <w:rsid w:val="002009D5"/>
    <w:rsid w:val="002010CA"/>
    <w:rsid w:val="00202D37"/>
    <w:rsid w:val="00202D57"/>
    <w:rsid w:val="0020324A"/>
    <w:rsid w:val="00204B45"/>
    <w:rsid w:val="00204EC2"/>
    <w:rsid w:val="00204EF6"/>
    <w:rsid w:val="00205171"/>
    <w:rsid w:val="00205613"/>
    <w:rsid w:val="002059CA"/>
    <w:rsid w:val="00207EBF"/>
    <w:rsid w:val="00210936"/>
    <w:rsid w:val="002110CE"/>
    <w:rsid w:val="00211324"/>
    <w:rsid w:val="00211929"/>
    <w:rsid w:val="00212830"/>
    <w:rsid w:val="00215872"/>
    <w:rsid w:val="002158DB"/>
    <w:rsid w:val="0021600E"/>
    <w:rsid w:val="0021604C"/>
    <w:rsid w:val="002177CA"/>
    <w:rsid w:val="002179D6"/>
    <w:rsid w:val="00217BEB"/>
    <w:rsid w:val="00217E52"/>
    <w:rsid w:val="002209DD"/>
    <w:rsid w:val="002217E2"/>
    <w:rsid w:val="00222167"/>
    <w:rsid w:val="00222383"/>
    <w:rsid w:val="00222F74"/>
    <w:rsid w:val="00223197"/>
    <w:rsid w:val="00223208"/>
    <w:rsid w:val="0022342B"/>
    <w:rsid w:val="00224FFC"/>
    <w:rsid w:val="00224FFD"/>
    <w:rsid w:val="002253F4"/>
    <w:rsid w:val="002254BC"/>
    <w:rsid w:val="00225A42"/>
    <w:rsid w:val="00226419"/>
    <w:rsid w:val="00226C6C"/>
    <w:rsid w:val="00227787"/>
    <w:rsid w:val="00230CE1"/>
    <w:rsid w:val="00231081"/>
    <w:rsid w:val="00231325"/>
    <w:rsid w:val="002317C1"/>
    <w:rsid w:val="00231F24"/>
    <w:rsid w:val="0023240F"/>
    <w:rsid w:val="002331A0"/>
    <w:rsid w:val="00233230"/>
    <w:rsid w:val="0023392C"/>
    <w:rsid w:val="0023401F"/>
    <w:rsid w:val="00235A7E"/>
    <w:rsid w:val="00235B0F"/>
    <w:rsid w:val="0023635B"/>
    <w:rsid w:val="00236F5B"/>
    <w:rsid w:val="00237905"/>
    <w:rsid w:val="00237FD8"/>
    <w:rsid w:val="0024019A"/>
    <w:rsid w:val="00240227"/>
    <w:rsid w:val="00241770"/>
    <w:rsid w:val="002420FE"/>
    <w:rsid w:val="0024250A"/>
    <w:rsid w:val="00242751"/>
    <w:rsid w:val="0024349C"/>
    <w:rsid w:val="002434DE"/>
    <w:rsid w:val="00243B4F"/>
    <w:rsid w:val="00243D2A"/>
    <w:rsid w:val="00246127"/>
    <w:rsid w:val="0024614C"/>
    <w:rsid w:val="00246717"/>
    <w:rsid w:val="00247AC8"/>
    <w:rsid w:val="00247CA8"/>
    <w:rsid w:val="002517FA"/>
    <w:rsid w:val="00252673"/>
    <w:rsid w:val="002542FC"/>
    <w:rsid w:val="002544CB"/>
    <w:rsid w:val="002549C9"/>
    <w:rsid w:val="002549DB"/>
    <w:rsid w:val="00255018"/>
    <w:rsid w:val="0025509C"/>
    <w:rsid w:val="0025642B"/>
    <w:rsid w:val="002564E2"/>
    <w:rsid w:val="00256693"/>
    <w:rsid w:val="00257095"/>
    <w:rsid w:val="00257265"/>
    <w:rsid w:val="0025753D"/>
    <w:rsid w:val="002622BA"/>
    <w:rsid w:val="00262727"/>
    <w:rsid w:val="002627B2"/>
    <w:rsid w:val="00262C34"/>
    <w:rsid w:val="00262E61"/>
    <w:rsid w:val="00262E8E"/>
    <w:rsid w:val="0026300E"/>
    <w:rsid w:val="00263398"/>
    <w:rsid w:val="0026339C"/>
    <w:rsid w:val="00263662"/>
    <w:rsid w:val="00263D3E"/>
    <w:rsid w:val="002646EE"/>
    <w:rsid w:val="00265703"/>
    <w:rsid w:val="002657DB"/>
    <w:rsid w:val="0026591D"/>
    <w:rsid w:val="00265F13"/>
    <w:rsid w:val="00267EB3"/>
    <w:rsid w:val="002705E9"/>
    <w:rsid w:val="00270B9B"/>
    <w:rsid w:val="0027109A"/>
    <w:rsid w:val="002719EC"/>
    <w:rsid w:val="002727BE"/>
    <w:rsid w:val="00273663"/>
    <w:rsid w:val="00273883"/>
    <w:rsid w:val="00273B45"/>
    <w:rsid w:val="002746B5"/>
    <w:rsid w:val="00274EA1"/>
    <w:rsid w:val="00276093"/>
    <w:rsid w:val="00276484"/>
    <w:rsid w:val="0027650C"/>
    <w:rsid w:val="00276CA0"/>
    <w:rsid w:val="0027704A"/>
    <w:rsid w:val="0028096F"/>
    <w:rsid w:val="00280A2F"/>
    <w:rsid w:val="00281464"/>
    <w:rsid w:val="00281612"/>
    <w:rsid w:val="0028198A"/>
    <w:rsid w:val="00281D95"/>
    <w:rsid w:val="00283205"/>
    <w:rsid w:val="00283BB3"/>
    <w:rsid w:val="002845BA"/>
    <w:rsid w:val="00284C30"/>
    <w:rsid w:val="0028568F"/>
    <w:rsid w:val="0028665F"/>
    <w:rsid w:val="0028689C"/>
    <w:rsid w:val="002870D8"/>
    <w:rsid w:val="002878AC"/>
    <w:rsid w:val="00287A48"/>
    <w:rsid w:val="00287ECF"/>
    <w:rsid w:val="00287F9F"/>
    <w:rsid w:val="002916ED"/>
    <w:rsid w:val="00291B6A"/>
    <w:rsid w:val="00291C45"/>
    <w:rsid w:val="002923C2"/>
    <w:rsid w:val="00293631"/>
    <w:rsid w:val="00293CA3"/>
    <w:rsid w:val="00294A97"/>
    <w:rsid w:val="0029538B"/>
    <w:rsid w:val="0029559B"/>
    <w:rsid w:val="00295BBD"/>
    <w:rsid w:val="00295D08"/>
    <w:rsid w:val="002963A0"/>
    <w:rsid w:val="00296C77"/>
    <w:rsid w:val="00297692"/>
    <w:rsid w:val="00297858"/>
    <w:rsid w:val="00297CA4"/>
    <w:rsid w:val="002A12F9"/>
    <w:rsid w:val="002A1C6F"/>
    <w:rsid w:val="002A1F82"/>
    <w:rsid w:val="002A20CD"/>
    <w:rsid w:val="002A4649"/>
    <w:rsid w:val="002A4A45"/>
    <w:rsid w:val="002A60D2"/>
    <w:rsid w:val="002A7338"/>
    <w:rsid w:val="002B07D0"/>
    <w:rsid w:val="002B093B"/>
    <w:rsid w:val="002B0EF7"/>
    <w:rsid w:val="002B1283"/>
    <w:rsid w:val="002B1753"/>
    <w:rsid w:val="002B193A"/>
    <w:rsid w:val="002B1B60"/>
    <w:rsid w:val="002B223E"/>
    <w:rsid w:val="002B2F7B"/>
    <w:rsid w:val="002B3366"/>
    <w:rsid w:val="002B3680"/>
    <w:rsid w:val="002B451B"/>
    <w:rsid w:val="002B4799"/>
    <w:rsid w:val="002B47CD"/>
    <w:rsid w:val="002B574C"/>
    <w:rsid w:val="002B5F47"/>
    <w:rsid w:val="002B6DA3"/>
    <w:rsid w:val="002B6E4D"/>
    <w:rsid w:val="002B7C68"/>
    <w:rsid w:val="002C01D4"/>
    <w:rsid w:val="002C0E12"/>
    <w:rsid w:val="002C0E33"/>
    <w:rsid w:val="002C13D0"/>
    <w:rsid w:val="002C1987"/>
    <w:rsid w:val="002C1EC7"/>
    <w:rsid w:val="002C26B5"/>
    <w:rsid w:val="002C26E0"/>
    <w:rsid w:val="002C27E5"/>
    <w:rsid w:val="002C2E0A"/>
    <w:rsid w:val="002C2E2A"/>
    <w:rsid w:val="002C3075"/>
    <w:rsid w:val="002C32DF"/>
    <w:rsid w:val="002C4A62"/>
    <w:rsid w:val="002C4C21"/>
    <w:rsid w:val="002C53DC"/>
    <w:rsid w:val="002D0366"/>
    <w:rsid w:val="002D0842"/>
    <w:rsid w:val="002D0F6E"/>
    <w:rsid w:val="002D1AFF"/>
    <w:rsid w:val="002D1D18"/>
    <w:rsid w:val="002D2388"/>
    <w:rsid w:val="002D2D70"/>
    <w:rsid w:val="002D2D7E"/>
    <w:rsid w:val="002D3788"/>
    <w:rsid w:val="002D430E"/>
    <w:rsid w:val="002D4744"/>
    <w:rsid w:val="002D4FF0"/>
    <w:rsid w:val="002D54D4"/>
    <w:rsid w:val="002D6037"/>
    <w:rsid w:val="002D629D"/>
    <w:rsid w:val="002D6E43"/>
    <w:rsid w:val="002D73F3"/>
    <w:rsid w:val="002E075D"/>
    <w:rsid w:val="002E149D"/>
    <w:rsid w:val="002E17B7"/>
    <w:rsid w:val="002E473D"/>
    <w:rsid w:val="002E4B20"/>
    <w:rsid w:val="002E4C47"/>
    <w:rsid w:val="002E60A1"/>
    <w:rsid w:val="002E7247"/>
    <w:rsid w:val="002E77F2"/>
    <w:rsid w:val="002F04FD"/>
    <w:rsid w:val="002F077A"/>
    <w:rsid w:val="002F13CD"/>
    <w:rsid w:val="002F146F"/>
    <w:rsid w:val="002F1623"/>
    <w:rsid w:val="002F218C"/>
    <w:rsid w:val="002F25DD"/>
    <w:rsid w:val="002F2D03"/>
    <w:rsid w:val="002F3B76"/>
    <w:rsid w:val="002F49CF"/>
    <w:rsid w:val="002F525D"/>
    <w:rsid w:val="002F6290"/>
    <w:rsid w:val="002F68A0"/>
    <w:rsid w:val="002F6C4B"/>
    <w:rsid w:val="002F7279"/>
    <w:rsid w:val="002F733E"/>
    <w:rsid w:val="002F7DB4"/>
    <w:rsid w:val="003006AA"/>
    <w:rsid w:val="003014B0"/>
    <w:rsid w:val="0030200D"/>
    <w:rsid w:val="00302A4E"/>
    <w:rsid w:val="00303B23"/>
    <w:rsid w:val="00304060"/>
    <w:rsid w:val="0030412E"/>
    <w:rsid w:val="00304BD9"/>
    <w:rsid w:val="00305735"/>
    <w:rsid w:val="0030598C"/>
    <w:rsid w:val="0030636D"/>
    <w:rsid w:val="00307348"/>
    <w:rsid w:val="00307BC7"/>
    <w:rsid w:val="003100D3"/>
    <w:rsid w:val="003104E4"/>
    <w:rsid w:val="00311606"/>
    <w:rsid w:val="00311E4A"/>
    <w:rsid w:val="003135B4"/>
    <w:rsid w:val="00314FF8"/>
    <w:rsid w:val="00316552"/>
    <w:rsid w:val="00316C29"/>
    <w:rsid w:val="00316CA8"/>
    <w:rsid w:val="00316D5B"/>
    <w:rsid w:val="00316DEF"/>
    <w:rsid w:val="0032081A"/>
    <w:rsid w:val="0032089A"/>
    <w:rsid w:val="00320A8D"/>
    <w:rsid w:val="00321224"/>
    <w:rsid w:val="003212B3"/>
    <w:rsid w:val="00323C0C"/>
    <w:rsid w:val="00325597"/>
    <w:rsid w:val="00325AD7"/>
    <w:rsid w:val="00326A1E"/>
    <w:rsid w:val="003270A4"/>
    <w:rsid w:val="003270AC"/>
    <w:rsid w:val="003274FB"/>
    <w:rsid w:val="0032756C"/>
    <w:rsid w:val="00327875"/>
    <w:rsid w:val="00327EC4"/>
    <w:rsid w:val="00330247"/>
    <w:rsid w:val="003302AA"/>
    <w:rsid w:val="00330D68"/>
    <w:rsid w:val="00331609"/>
    <w:rsid w:val="0033190B"/>
    <w:rsid w:val="003320E7"/>
    <w:rsid w:val="00332CFD"/>
    <w:rsid w:val="003333F3"/>
    <w:rsid w:val="0033440D"/>
    <w:rsid w:val="00335789"/>
    <w:rsid w:val="00335A87"/>
    <w:rsid w:val="00336145"/>
    <w:rsid w:val="003361C2"/>
    <w:rsid w:val="00336430"/>
    <w:rsid w:val="00337486"/>
    <w:rsid w:val="00337F38"/>
    <w:rsid w:val="00340995"/>
    <w:rsid w:val="0034117A"/>
    <w:rsid w:val="003414A0"/>
    <w:rsid w:val="003421D0"/>
    <w:rsid w:val="003427F4"/>
    <w:rsid w:val="00342B6D"/>
    <w:rsid w:val="00342D87"/>
    <w:rsid w:val="00343AFC"/>
    <w:rsid w:val="0034509B"/>
    <w:rsid w:val="0034521A"/>
    <w:rsid w:val="00346859"/>
    <w:rsid w:val="00346960"/>
    <w:rsid w:val="00347554"/>
    <w:rsid w:val="003475D1"/>
    <w:rsid w:val="00350A9B"/>
    <w:rsid w:val="00351057"/>
    <w:rsid w:val="003518B1"/>
    <w:rsid w:val="00351C53"/>
    <w:rsid w:val="00351E9C"/>
    <w:rsid w:val="00351ED2"/>
    <w:rsid w:val="0035282D"/>
    <w:rsid w:val="00352AE5"/>
    <w:rsid w:val="00353CED"/>
    <w:rsid w:val="0035408A"/>
    <w:rsid w:val="00354DEA"/>
    <w:rsid w:val="00355136"/>
    <w:rsid w:val="003567E8"/>
    <w:rsid w:val="00356847"/>
    <w:rsid w:val="003568EA"/>
    <w:rsid w:val="00356CE8"/>
    <w:rsid w:val="00356E22"/>
    <w:rsid w:val="00357D08"/>
    <w:rsid w:val="00357E18"/>
    <w:rsid w:val="00360767"/>
    <w:rsid w:val="00361771"/>
    <w:rsid w:val="003629D7"/>
    <w:rsid w:val="00362F9E"/>
    <w:rsid w:val="00363DA0"/>
    <w:rsid w:val="00364094"/>
    <w:rsid w:val="00364380"/>
    <w:rsid w:val="00364ABD"/>
    <w:rsid w:val="0036747C"/>
    <w:rsid w:val="0037111B"/>
    <w:rsid w:val="003711D7"/>
    <w:rsid w:val="003717B4"/>
    <w:rsid w:val="00371EA8"/>
    <w:rsid w:val="003735E4"/>
    <w:rsid w:val="00374DE3"/>
    <w:rsid w:val="0037515C"/>
    <w:rsid w:val="00375384"/>
    <w:rsid w:val="00376472"/>
    <w:rsid w:val="00376A10"/>
    <w:rsid w:val="00377D4E"/>
    <w:rsid w:val="003800C1"/>
    <w:rsid w:val="00380A27"/>
    <w:rsid w:val="00381035"/>
    <w:rsid w:val="003815B6"/>
    <w:rsid w:val="00381918"/>
    <w:rsid w:val="0038220C"/>
    <w:rsid w:val="0038322D"/>
    <w:rsid w:val="0038353D"/>
    <w:rsid w:val="00383C05"/>
    <w:rsid w:val="00383C13"/>
    <w:rsid w:val="00384415"/>
    <w:rsid w:val="00384524"/>
    <w:rsid w:val="00386F0E"/>
    <w:rsid w:val="003876CA"/>
    <w:rsid w:val="00387A8E"/>
    <w:rsid w:val="00387D13"/>
    <w:rsid w:val="0039003B"/>
    <w:rsid w:val="003904BE"/>
    <w:rsid w:val="00392CAA"/>
    <w:rsid w:val="00393199"/>
    <w:rsid w:val="0039348A"/>
    <w:rsid w:val="003934C4"/>
    <w:rsid w:val="00393698"/>
    <w:rsid w:val="003947B1"/>
    <w:rsid w:val="00394B52"/>
    <w:rsid w:val="00395B9D"/>
    <w:rsid w:val="003960C2"/>
    <w:rsid w:val="0039656D"/>
    <w:rsid w:val="003966FC"/>
    <w:rsid w:val="0039699F"/>
    <w:rsid w:val="003974AC"/>
    <w:rsid w:val="003A074E"/>
    <w:rsid w:val="003A0A41"/>
    <w:rsid w:val="003A2716"/>
    <w:rsid w:val="003A3AC3"/>
    <w:rsid w:val="003A44F8"/>
    <w:rsid w:val="003A4910"/>
    <w:rsid w:val="003A4C96"/>
    <w:rsid w:val="003A5EB2"/>
    <w:rsid w:val="003A691A"/>
    <w:rsid w:val="003A6EE6"/>
    <w:rsid w:val="003A762C"/>
    <w:rsid w:val="003B023E"/>
    <w:rsid w:val="003B0CFE"/>
    <w:rsid w:val="003B0D26"/>
    <w:rsid w:val="003B164C"/>
    <w:rsid w:val="003B1D52"/>
    <w:rsid w:val="003B2B3F"/>
    <w:rsid w:val="003B2EF4"/>
    <w:rsid w:val="003B36F9"/>
    <w:rsid w:val="003B41B0"/>
    <w:rsid w:val="003B4B2E"/>
    <w:rsid w:val="003B4D80"/>
    <w:rsid w:val="003B52CD"/>
    <w:rsid w:val="003B5C01"/>
    <w:rsid w:val="003B5C29"/>
    <w:rsid w:val="003B5D52"/>
    <w:rsid w:val="003B69E6"/>
    <w:rsid w:val="003B6E82"/>
    <w:rsid w:val="003B7E66"/>
    <w:rsid w:val="003B7EA6"/>
    <w:rsid w:val="003C0052"/>
    <w:rsid w:val="003C0AFB"/>
    <w:rsid w:val="003C2499"/>
    <w:rsid w:val="003C359D"/>
    <w:rsid w:val="003C37AA"/>
    <w:rsid w:val="003C433A"/>
    <w:rsid w:val="003C4B08"/>
    <w:rsid w:val="003C4F45"/>
    <w:rsid w:val="003C6BC5"/>
    <w:rsid w:val="003C6CCD"/>
    <w:rsid w:val="003C73A1"/>
    <w:rsid w:val="003C7D8F"/>
    <w:rsid w:val="003C7F4C"/>
    <w:rsid w:val="003D0C0C"/>
    <w:rsid w:val="003D0D04"/>
    <w:rsid w:val="003D0D77"/>
    <w:rsid w:val="003D14FC"/>
    <w:rsid w:val="003D15FD"/>
    <w:rsid w:val="003D16C1"/>
    <w:rsid w:val="003D1B44"/>
    <w:rsid w:val="003D26CC"/>
    <w:rsid w:val="003D3C68"/>
    <w:rsid w:val="003D41D6"/>
    <w:rsid w:val="003E03BD"/>
    <w:rsid w:val="003E10CC"/>
    <w:rsid w:val="003E1271"/>
    <w:rsid w:val="003E23D8"/>
    <w:rsid w:val="003E254D"/>
    <w:rsid w:val="003E2E46"/>
    <w:rsid w:val="003E2F3E"/>
    <w:rsid w:val="003E5130"/>
    <w:rsid w:val="003E605D"/>
    <w:rsid w:val="003E7AF4"/>
    <w:rsid w:val="003F089D"/>
    <w:rsid w:val="003F0CCC"/>
    <w:rsid w:val="003F12F9"/>
    <w:rsid w:val="003F15FD"/>
    <w:rsid w:val="003F16DD"/>
    <w:rsid w:val="003F19A1"/>
    <w:rsid w:val="003F1CE7"/>
    <w:rsid w:val="003F1EFD"/>
    <w:rsid w:val="003F26DC"/>
    <w:rsid w:val="003F2924"/>
    <w:rsid w:val="003F2F59"/>
    <w:rsid w:val="003F3919"/>
    <w:rsid w:val="003F45E1"/>
    <w:rsid w:val="003F59C5"/>
    <w:rsid w:val="003F5F40"/>
    <w:rsid w:val="003F61B0"/>
    <w:rsid w:val="00400371"/>
    <w:rsid w:val="00400A43"/>
    <w:rsid w:val="00401BBF"/>
    <w:rsid w:val="00402B29"/>
    <w:rsid w:val="00403938"/>
    <w:rsid w:val="00405201"/>
    <w:rsid w:val="00406801"/>
    <w:rsid w:val="0040683D"/>
    <w:rsid w:val="00406A6E"/>
    <w:rsid w:val="00407926"/>
    <w:rsid w:val="00407D57"/>
    <w:rsid w:val="0041114B"/>
    <w:rsid w:val="00411258"/>
    <w:rsid w:val="00411348"/>
    <w:rsid w:val="00411868"/>
    <w:rsid w:val="00411D8E"/>
    <w:rsid w:val="00413F94"/>
    <w:rsid w:val="00414158"/>
    <w:rsid w:val="00414A74"/>
    <w:rsid w:val="00415C6A"/>
    <w:rsid w:val="00415EBD"/>
    <w:rsid w:val="004169FF"/>
    <w:rsid w:val="00416E00"/>
    <w:rsid w:val="00417825"/>
    <w:rsid w:val="00420121"/>
    <w:rsid w:val="004204B8"/>
    <w:rsid w:val="00420FAB"/>
    <w:rsid w:val="004218F2"/>
    <w:rsid w:val="00421A4C"/>
    <w:rsid w:val="00422898"/>
    <w:rsid w:val="00422948"/>
    <w:rsid w:val="0042362A"/>
    <w:rsid w:val="004263F2"/>
    <w:rsid w:val="004271F3"/>
    <w:rsid w:val="00430641"/>
    <w:rsid w:val="004313AF"/>
    <w:rsid w:val="00432CE6"/>
    <w:rsid w:val="00432EEA"/>
    <w:rsid w:val="004332AA"/>
    <w:rsid w:val="00433B4F"/>
    <w:rsid w:val="00433C28"/>
    <w:rsid w:val="0043476F"/>
    <w:rsid w:val="00435C08"/>
    <w:rsid w:val="0043670E"/>
    <w:rsid w:val="00437079"/>
    <w:rsid w:val="00437FB2"/>
    <w:rsid w:val="0044016A"/>
    <w:rsid w:val="004401A7"/>
    <w:rsid w:val="00440268"/>
    <w:rsid w:val="0044037E"/>
    <w:rsid w:val="00440447"/>
    <w:rsid w:val="00440A6A"/>
    <w:rsid w:val="00440D67"/>
    <w:rsid w:val="004417D0"/>
    <w:rsid w:val="00441DEC"/>
    <w:rsid w:val="00443B82"/>
    <w:rsid w:val="0044456F"/>
    <w:rsid w:val="00444615"/>
    <w:rsid w:val="00445823"/>
    <w:rsid w:val="0044600F"/>
    <w:rsid w:val="00447BF5"/>
    <w:rsid w:val="00447F55"/>
    <w:rsid w:val="004511D3"/>
    <w:rsid w:val="00451438"/>
    <w:rsid w:val="0045195D"/>
    <w:rsid w:val="00452AD3"/>
    <w:rsid w:val="0045329F"/>
    <w:rsid w:val="004539E7"/>
    <w:rsid w:val="00453F86"/>
    <w:rsid w:val="004544A2"/>
    <w:rsid w:val="00454D5C"/>
    <w:rsid w:val="004553FE"/>
    <w:rsid w:val="0045603B"/>
    <w:rsid w:val="004560AC"/>
    <w:rsid w:val="00456793"/>
    <w:rsid w:val="00456DA3"/>
    <w:rsid w:val="00457022"/>
    <w:rsid w:val="00460523"/>
    <w:rsid w:val="004606ED"/>
    <w:rsid w:val="00460C23"/>
    <w:rsid w:val="004611B3"/>
    <w:rsid w:val="0046188C"/>
    <w:rsid w:val="004639F2"/>
    <w:rsid w:val="004640D4"/>
    <w:rsid w:val="004641A9"/>
    <w:rsid w:val="00464825"/>
    <w:rsid w:val="00464F94"/>
    <w:rsid w:val="00465017"/>
    <w:rsid w:val="004666AF"/>
    <w:rsid w:val="004667C8"/>
    <w:rsid w:val="00467813"/>
    <w:rsid w:val="0047043A"/>
    <w:rsid w:val="00472D42"/>
    <w:rsid w:val="00472DB2"/>
    <w:rsid w:val="00472EAA"/>
    <w:rsid w:val="0047301F"/>
    <w:rsid w:val="004730F3"/>
    <w:rsid w:val="0047311A"/>
    <w:rsid w:val="00473536"/>
    <w:rsid w:val="00473688"/>
    <w:rsid w:val="00473DD7"/>
    <w:rsid w:val="00473EBA"/>
    <w:rsid w:val="00474DF3"/>
    <w:rsid w:val="004750D2"/>
    <w:rsid w:val="00475506"/>
    <w:rsid w:val="00476143"/>
    <w:rsid w:val="004761A8"/>
    <w:rsid w:val="00476946"/>
    <w:rsid w:val="0047765D"/>
    <w:rsid w:val="0048195F"/>
    <w:rsid w:val="00481BB1"/>
    <w:rsid w:val="00482182"/>
    <w:rsid w:val="0048302D"/>
    <w:rsid w:val="0048354F"/>
    <w:rsid w:val="00483A48"/>
    <w:rsid w:val="004841E9"/>
    <w:rsid w:val="0048555D"/>
    <w:rsid w:val="00485D35"/>
    <w:rsid w:val="00485E4A"/>
    <w:rsid w:val="0048722B"/>
    <w:rsid w:val="0048741A"/>
    <w:rsid w:val="00487846"/>
    <w:rsid w:val="0048793C"/>
    <w:rsid w:val="0049137F"/>
    <w:rsid w:val="004921E7"/>
    <w:rsid w:val="00492999"/>
    <w:rsid w:val="00493D1C"/>
    <w:rsid w:val="004944CA"/>
    <w:rsid w:val="00495041"/>
    <w:rsid w:val="004951AF"/>
    <w:rsid w:val="00495536"/>
    <w:rsid w:val="0049576A"/>
    <w:rsid w:val="00495B9F"/>
    <w:rsid w:val="004A0120"/>
    <w:rsid w:val="004A0369"/>
    <w:rsid w:val="004A07D8"/>
    <w:rsid w:val="004A0DC8"/>
    <w:rsid w:val="004A1D02"/>
    <w:rsid w:val="004A24F1"/>
    <w:rsid w:val="004A27CD"/>
    <w:rsid w:val="004A2B99"/>
    <w:rsid w:val="004A308D"/>
    <w:rsid w:val="004A3510"/>
    <w:rsid w:val="004A41E1"/>
    <w:rsid w:val="004A48D8"/>
    <w:rsid w:val="004A5E4C"/>
    <w:rsid w:val="004A6D12"/>
    <w:rsid w:val="004A7A19"/>
    <w:rsid w:val="004B05F4"/>
    <w:rsid w:val="004B06A9"/>
    <w:rsid w:val="004B12CC"/>
    <w:rsid w:val="004B14E3"/>
    <w:rsid w:val="004B18DB"/>
    <w:rsid w:val="004B1CAD"/>
    <w:rsid w:val="004B24FF"/>
    <w:rsid w:val="004B2707"/>
    <w:rsid w:val="004B2D2E"/>
    <w:rsid w:val="004B4F07"/>
    <w:rsid w:val="004B50E1"/>
    <w:rsid w:val="004B5D38"/>
    <w:rsid w:val="004B5DC7"/>
    <w:rsid w:val="004B7230"/>
    <w:rsid w:val="004B7253"/>
    <w:rsid w:val="004B73DD"/>
    <w:rsid w:val="004B74B5"/>
    <w:rsid w:val="004C00C6"/>
    <w:rsid w:val="004C1CE4"/>
    <w:rsid w:val="004C2328"/>
    <w:rsid w:val="004C2569"/>
    <w:rsid w:val="004C5257"/>
    <w:rsid w:val="004C52B8"/>
    <w:rsid w:val="004C6CFB"/>
    <w:rsid w:val="004C73AC"/>
    <w:rsid w:val="004C7851"/>
    <w:rsid w:val="004C7E7D"/>
    <w:rsid w:val="004D0940"/>
    <w:rsid w:val="004D0F25"/>
    <w:rsid w:val="004D0FC1"/>
    <w:rsid w:val="004D154F"/>
    <w:rsid w:val="004D2A2B"/>
    <w:rsid w:val="004D305D"/>
    <w:rsid w:val="004D35B0"/>
    <w:rsid w:val="004D3E1D"/>
    <w:rsid w:val="004D52C1"/>
    <w:rsid w:val="004D5934"/>
    <w:rsid w:val="004D646F"/>
    <w:rsid w:val="004D6671"/>
    <w:rsid w:val="004D6963"/>
    <w:rsid w:val="004D6A30"/>
    <w:rsid w:val="004D7132"/>
    <w:rsid w:val="004E0716"/>
    <w:rsid w:val="004E0CE5"/>
    <w:rsid w:val="004E1032"/>
    <w:rsid w:val="004E1C9B"/>
    <w:rsid w:val="004E258E"/>
    <w:rsid w:val="004E2657"/>
    <w:rsid w:val="004E2F7B"/>
    <w:rsid w:val="004E3CBF"/>
    <w:rsid w:val="004E3ECE"/>
    <w:rsid w:val="004E4965"/>
    <w:rsid w:val="004E4CBE"/>
    <w:rsid w:val="004E4E8B"/>
    <w:rsid w:val="004E662D"/>
    <w:rsid w:val="004F027E"/>
    <w:rsid w:val="004F0D1B"/>
    <w:rsid w:val="004F1553"/>
    <w:rsid w:val="004F16E2"/>
    <w:rsid w:val="004F1E09"/>
    <w:rsid w:val="004F2E5B"/>
    <w:rsid w:val="004F3754"/>
    <w:rsid w:val="004F3991"/>
    <w:rsid w:val="004F3B04"/>
    <w:rsid w:val="004F41B6"/>
    <w:rsid w:val="004F4F54"/>
    <w:rsid w:val="004F500D"/>
    <w:rsid w:val="004F5186"/>
    <w:rsid w:val="004F51D3"/>
    <w:rsid w:val="004F625F"/>
    <w:rsid w:val="004F63E7"/>
    <w:rsid w:val="004F67F1"/>
    <w:rsid w:val="004F6A8D"/>
    <w:rsid w:val="004F6CB2"/>
    <w:rsid w:val="004F6F9E"/>
    <w:rsid w:val="004F71D4"/>
    <w:rsid w:val="004F7E0F"/>
    <w:rsid w:val="004F7FE8"/>
    <w:rsid w:val="0050049D"/>
    <w:rsid w:val="00500DD7"/>
    <w:rsid w:val="005030A9"/>
    <w:rsid w:val="00503205"/>
    <w:rsid w:val="005033B5"/>
    <w:rsid w:val="00504654"/>
    <w:rsid w:val="00504DBE"/>
    <w:rsid w:val="00506FC0"/>
    <w:rsid w:val="00511CFB"/>
    <w:rsid w:val="00512159"/>
    <w:rsid w:val="0051321B"/>
    <w:rsid w:val="0051468D"/>
    <w:rsid w:val="00516712"/>
    <w:rsid w:val="00516850"/>
    <w:rsid w:val="00516A62"/>
    <w:rsid w:val="00517C6F"/>
    <w:rsid w:val="00520847"/>
    <w:rsid w:val="00520D74"/>
    <w:rsid w:val="00520ED6"/>
    <w:rsid w:val="00521116"/>
    <w:rsid w:val="00522037"/>
    <w:rsid w:val="00522140"/>
    <w:rsid w:val="00522365"/>
    <w:rsid w:val="00522F62"/>
    <w:rsid w:val="00524431"/>
    <w:rsid w:val="005250BC"/>
    <w:rsid w:val="005259BC"/>
    <w:rsid w:val="005261F8"/>
    <w:rsid w:val="00527D85"/>
    <w:rsid w:val="00527FE2"/>
    <w:rsid w:val="005304C3"/>
    <w:rsid w:val="005307E4"/>
    <w:rsid w:val="00531D7C"/>
    <w:rsid w:val="00532613"/>
    <w:rsid w:val="00533520"/>
    <w:rsid w:val="005338B8"/>
    <w:rsid w:val="00534930"/>
    <w:rsid w:val="00534AA9"/>
    <w:rsid w:val="0053504B"/>
    <w:rsid w:val="00540E20"/>
    <w:rsid w:val="00541A67"/>
    <w:rsid w:val="00541E86"/>
    <w:rsid w:val="00542C88"/>
    <w:rsid w:val="005449DB"/>
    <w:rsid w:val="00545AB3"/>
    <w:rsid w:val="00546009"/>
    <w:rsid w:val="00547195"/>
    <w:rsid w:val="005473F3"/>
    <w:rsid w:val="00547CA8"/>
    <w:rsid w:val="00550144"/>
    <w:rsid w:val="005501D9"/>
    <w:rsid w:val="00550729"/>
    <w:rsid w:val="0055089D"/>
    <w:rsid w:val="00550EF7"/>
    <w:rsid w:val="00551697"/>
    <w:rsid w:val="00552AC8"/>
    <w:rsid w:val="00552D5B"/>
    <w:rsid w:val="005532BD"/>
    <w:rsid w:val="00553520"/>
    <w:rsid w:val="005535A2"/>
    <w:rsid w:val="00553C60"/>
    <w:rsid w:val="00554CD2"/>
    <w:rsid w:val="00554DDB"/>
    <w:rsid w:val="00555537"/>
    <w:rsid w:val="00556389"/>
    <w:rsid w:val="00556981"/>
    <w:rsid w:val="00556D7C"/>
    <w:rsid w:val="005614D3"/>
    <w:rsid w:val="0056187D"/>
    <w:rsid w:val="0056232D"/>
    <w:rsid w:val="00562A21"/>
    <w:rsid w:val="0056304B"/>
    <w:rsid w:val="005663B1"/>
    <w:rsid w:val="00570B1D"/>
    <w:rsid w:val="00570B36"/>
    <w:rsid w:val="00571D7C"/>
    <w:rsid w:val="00571DB3"/>
    <w:rsid w:val="005723A3"/>
    <w:rsid w:val="00572C10"/>
    <w:rsid w:val="00572C28"/>
    <w:rsid w:val="00572E35"/>
    <w:rsid w:val="005735D0"/>
    <w:rsid w:val="0057364E"/>
    <w:rsid w:val="00573CB0"/>
    <w:rsid w:val="00573CE5"/>
    <w:rsid w:val="00574032"/>
    <w:rsid w:val="00575D02"/>
    <w:rsid w:val="00576429"/>
    <w:rsid w:val="00576E44"/>
    <w:rsid w:val="005774C3"/>
    <w:rsid w:val="0057766B"/>
    <w:rsid w:val="00580314"/>
    <w:rsid w:val="00580345"/>
    <w:rsid w:val="00580819"/>
    <w:rsid w:val="00580822"/>
    <w:rsid w:val="00582068"/>
    <w:rsid w:val="005823B7"/>
    <w:rsid w:val="005830EF"/>
    <w:rsid w:val="005833EE"/>
    <w:rsid w:val="00583426"/>
    <w:rsid w:val="00583A7B"/>
    <w:rsid w:val="00583FE0"/>
    <w:rsid w:val="005852BB"/>
    <w:rsid w:val="00586BCE"/>
    <w:rsid w:val="005872A0"/>
    <w:rsid w:val="0058762E"/>
    <w:rsid w:val="005877CF"/>
    <w:rsid w:val="0058796C"/>
    <w:rsid w:val="00587D6D"/>
    <w:rsid w:val="00587FF0"/>
    <w:rsid w:val="0059090A"/>
    <w:rsid w:val="00590AEA"/>
    <w:rsid w:val="00590E92"/>
    <w:rsid w:val="00590EA4"/>
    <w:rsid w:val="00591A6A"/>
    <w:rsid w:val="00591CEA"/>
    <w:rsid w:val="00593B13"/>
    <w:rsid w:val="005941BF"/>
    <w:rsid w:val="0059543E"/>
    <w:rsid w:val="00595EB5"/>
    <w:rsid w:val="00596E8E"/>
    <w:rsid w:val="005970DE"/>
    <w:rsid w:val="005973B6"/>
    <w:rsid w:val="005A08B3"/>
    <w:rsid w:val="005A142D"/>
    <w:rsid w:val="005A278C"/>
    <w:rsid w:val="005A420F"/>
    <w:rsid w:val="005A42A8"/>
    <w:rsid w:val="005A4D60"/>
    <w:rsid w:val="005A5531"/>
    <w:rsid w:val="005A5AA7"/>
    <w:rsid w:val="005A63A0"/>
    <w:rsid w:val="005A6A3A"/>
    <w:rsid w:val="005B11B5"/>
    <w:rsid w:val="005B14C2"/>
    <w:rsid w:val="005B26C0"/>
    <w:rsid w:val="005B32CD"/>
    <w:rsid w:val="005B3842"/>
    <w:rsid w:val="005B390C"/>
    <w:rsid w:val="005B649C"/>
    <w:rsid w:val="005B7200"/>
    <w:rsid w:val="005B7398"/>
    <w:rsid w:val="005B7631"/>
    <w:rsid w:val="005B7A05"/>
    <w:rsid w:val="005C037C"/>
    <w:rsid w:val="005C044D"/>
    <w:rsid w:val="005C04E9"/>
    <w:rsid w:val="005C1C78"/>
    <w:rsid w:val="005C2549"/>
    <w:rsid w:val="005C3464"/>
    <w:rsid w:val="005C37E9"/>
    <w:rsid w:val="005C3AB5"/>
    <w:rsid w:val="005C3D81"/>
    <w:rsid w:val="005C3E8F"/>
    <w:rsid w:val="005C461E"/>
    <w:rsid w:val="005C46CF"/>
    <w:rsid w:val="005C4FB3"/>
    <w:rsid w:val="005C60CC"/>
    <w:rsid w:val="005C6CE9"/>
    <w:rsid w:val="005C75DF"/>
    <w:rsid w:val="005D0781"/>
    <w:rsid w:val="005D0BE7"/>
    <w:rsid w:val="005D1334"/>
    <w:rsid w:val="005D13DF"/>
    <w:rsid w:val="005D1CA5"/>
    <w:rsid w:val="005D2BF2"/>
    <w:rsid w:val="005D53E4"/>
    <w:rsid w:val="005D545A"/>
    <w:rsid w:val="005D5606"/>
    <w:rsid w:val="005D57D5"/>
    <w:rsid w:val="005D5D38"/>
    <w:rsid w:val="005D621E"/>
    <w:rsid w:val="005D62FC"/>
    <w:rsid w:val="005D7584"/>
    <w:rsid w:val="005D7B55"/>
    <w:rsid w:val="005E03B2"/>
    <w:rsid w:val="005E083E"/>
    <w:rsid w:val="005E0E00"/>
    <w:rsid w:val="005E246F"/>
    <w:rsid w:val="005E2AC2"/>
    <w:rsid w:val="005E2B96"/>
    <w:rsid w:val="005E2D48"/>
    <w:rsid w:val="005E3A19"/>
    <w:rsid w:val="005E443A"/>
    <w:rsid w:val="005E4ABD"/>
    <w:rsid w:val="005E59D0"/>
    <w:rsid w:val="005E5CE4"/>
    <w:rsid w:val="005E5D7E"/>
    <w:rsid w:val="005E6DC9"/>
    <w:rsid w:val="005E7403"/>
    <w:rsid w:val="005E75D0"/>
    <w:rsid w:val="005F02C2"/>
    <w:rsid w:val="005F02ED"/>
    <w:rsid w:val="005F28E5"/>
    <w:rsid w:val="005F3EBE"/>
    <w:rsid w:val="005F43BC"/>
    <w:rsid w:val="005F47EA"/>
    <w:rsid w:val="005F527F"/>
    <w:rsid w:val="005F584C"/>
    <w:rsid w:val="005F6C13"/>
    <w:rsid w:val="005F712F"/>
    <w:rsid w:val="005F7222"/>
    <w:rsid w:val="005F72C2"/>
    <w:rsid w:val="005F794C"/>
    <w:rsid w:val="005F7E01"/>
    <w:rsid w:val="005F7EBE"/>
    <w:rsid w:val="006002D9"/>
    <w:rsid w:val="00600765"/>
    <w:rsid w:val="006007A2"/>
    <w:rsid w:val="00602F5E"/>
    <w:rsid w:val="0060355C"/>
    <w:rsid w:val="00604350"/>
    <w:rsid w:val="00604A22"/>
    <w:rsid w:val="00605BAE"/>
    <w:rsid w:val="00605EC2"/>
    <w:rsid w:val="006061E6"/>
    <w:rsid w:val="0060622B"/>
    <w:rsid w:val="00606256"/>
    <w:rsid w:val="00606262"/>
    <w:rsid w:val="00606A36"/>
    <w:rsid w:val="00607DE2"/>
    <w:rsid w:val="00607E34"/>
    <w:rsid w:val="00610859"/>
    <w:rsid w:val="0061149E"/>
    <w:rsid w:val="006119B7"/>
    <w:rsid w:val="00612B16"/>
    <w:rsid w:val="00612DEE"/>
    <w:rsid w:val="00613472"/>
    <w:rsid w:val="006139A0"/>
    <w:rsid w:val="00614087"/>
    <w:rsid w:val="00614C1C"/>
    <w:rsid w:val="00616159"/>
    <w:rsid w:val="00616FCB"/>
    <w:rsid w:val="006177FD"/>
    <w:rsid w:val="00617953"/>
    <w:rsid w:val="0062095F"/>
    <w:rsid w:val="00620A3C"/>
    <w:rsid w:val="00621052"/>
    <w:rsid w:val="00622627"/>
    <w:rsid w:val="00622F2D"/>
    <w:rsid w:val="00623308"/>
    <w:rsid w:val="006235D5"/>
    <w:rsid w:val="006245A9"/>
    <w:rsid w:val="00624C29"/>
    <w:rsid w:val="00624D7E"/>
    <w:rsid w:val="00624FC8"/>
    <w:rsid w:val="0062534C"/>
    <w:rsid w:val="00625D33"/>
    <w:rsid w:val="00626966"/>
    <w:rsid w:val="00626D5A"/>
    <w:rsid w:val="00627BEB"/>
    <w:rsid w:val="00630123"/>
    <w:rsid w:val="006306ED"/>
    <w:rsid w:val="0063240E"/>
    <w:rsid w:val="00632674"/>
    <w:rsid w:val="006334A7"/>
    <w:rsid w:val="006334D8"/>
    <w:rsid w:val="006335E5"/>
    <w:rsid w:val="00634056"/>
    <w:rsid w:val="0063688C"/>
    <w:rsid w:val="00636969"/>
    <w:rsid w:val="00636CE6"/>
    <w:rsid w:val="00637CFE"/>
    <w:rsid w:val="00640411"/>
    <w:rsid w:val="00640528"/>
    <w:rsid w:val="00640C25"/>
    <w:rsid w:val="00640E2A"/>
    <w:rsid w:val="00640F1F"/>
    <w:rsid w:val="00642393"/>
    <w:rsid w:val="00642515"/>
    <w:rsid w:val="006426B1"/>
    <w:rsid w:val="00642790"/>
    <w:rsid w:val="00643005"/>
    <w:rsid w:val="00643CB2"/>
    <w:rsid w:val="006455DE"/>
    <w:rsid w:val="0064564D"/>
    <w:rsid w:val="0064627B"/>
    <w:rsid w:val="006470CB"/>
    <w:rsid w:val="00647135"/>
    <w:rsid w:val="0064731A"/>
    <w:rsid w:val="006475DF"/>
    <w:rsid w:val="006500B5"/>
    <w:rsid w:val="00650313"/>
    <w:rsid w:val="00651EA7"/>
    <w:rsid w:val="00651F22"/>
    <w:rsid w:val="00652734"/>
    <w:rsid w:val="0065281C"/>
    <w:rsid w:val="00652E67"/>
    <w:rsid w:val="006532A7"/>
    <w:rsid w:val="0065408E"/>
    <w:rsid w:val="00654640"/>
    <w:rsid w:val="00654C34"/>
    <w:rsid w:val="00654F04"/>
    <w:rsid w:val="006563ED"/>
    <w:rsid w:val="00656C76"/>
    <w:rsid w:val="00657249"/>
    <w:rsid w:val="00657F71"/>
    <w:rsid w:val="0066162E"/>
    <w:rsid w:val="00661FFA"/>
    <w:rsid w:val="00662278"/>
    <w:rsid w:val="0066253D"/>
    <w:rsid w:val="00662CD7"/>
    <w:rsid w:val="00663104"/>
    <w:rsid w:val="006632DC"/>
    <w:rsid w:val="006633E7"/>
    <w:rsid w:val="00663B07"/>
    <w:rsid w:val="006646CA"/>
    <w:rsid w:val="00664C26"/>
    <w:rsid w:val="00665D1A"/>
    <w:rsid w:val="0066661A"/>
    <w:rsid w:val="00666915"/>
    <w:rsid w:val="00666FB1"/>
    <w:rsid w:val="00667AD2"/>
    <w:rsid w:val="006703CA"/>
    <w:rsid w:val="006704E2"/>
    <w:rsid w:val="00670E87"/>
    <w:rsid w:val="00670FE5"/>
    <w:rsid w:val="00672B0C"/>
    <w:rsid w:val="00672B7B"/>
    <w:rsid w:val="006731E4"/>
    <w:rsid w:val="00674E2D"/>
    <w:rsid w:val="00675818"/>
    <w:rsid w:val="00676049"/>
    <w:rsid w:val="0067680A"/>
    <w:rsid w:val="00676C5C"/>
    <w:rsid w:val="00677549"/>
    <w:rsid w:val="00677E1F"/>
    <w:rsid w:val="00677ECB"/>
    <w:rsid w:val="00680A74"/>
    <w:rsid w:val="00680E1F"/>
    <w:rsid w:val="006810C0"/>
    <w:rsid w:val="00681DA4"/>
    <w:rsid w:val="00681E50"/>
    <w:rsid w:val="00682884"/>
    <w:rsid w:val="006828AD"/>
    <w:rsid w:val="00682B22"/>
    <w:rsid w:val="0068365F"/>
    <w:rsid w:val="00683DE8"/>
    <w:rsid w:val="00683ED4"/>
    <w:rsid w:val="0068410B"/>
    <w:rsid w:val="00684966"/>
    <w:rsid w:val="00684F1E"/>
    <w:rsid w:val="006858FD"/>
    <w:rsid w:val="00686DA9"/>
    <w:rsid w:val="00687BC5"/>
    <w:rsid w:val="00687C73"/>
    <w:rsid w:val="00687EDC"/>
    <w:rsid w:val="0069055A"/>
    <w:rsid w:val="00691394"/>
    <w:rsid w:val="0069281E"/>
    <w:rsid w:val="00694B1D"/>
    <w:rsid w:val="00695138"/>
    <w:rsid w:val="00695B3E"/>
    <w:rsid w:val="00695C3F"/>
    <w:rsid w:val="006977E0"/>
    <w:rsid w:val="006A1038"/>
    <w:rsid w:val="006A1F34"/>
    <w:rsid w:val="006A20E4"/>
    <w:rsid w:val="006A216C"/>
    <w:rsid w:val="006A4000"/>
    <w:rsid w:val="006A5882"/>
    <w:rsid w:val="006A5B7D"/>
    <w:rsid w:val="006A5E4D"/>
    <w:rsid w:val="006B06DF"/>
    <w:rsid w:val="006B425F"/>
    <w:rsid w:val="006B5A87"/>
    <w:rsid w:val="006B63E3"/>
    <w:rsid w:val="006B6460"/>
    <w:rsid w:val="006B79A0"/>
    <w:rsid w:val="006B7D6A"/>
    <w:rsid w:val="006C020F"/>
    <w:rsid w:val="006C03CB"/>
    <w:rsid w:val="006C0D7C"/>
    <w:rsid w:val="006C132A"/>
    <w:rsid w:val="006C1AFB"/>
    <w:rsid w:val="006C2157"/>
    <w:rsid w:val="006C2243"/>
    <w:rsid w:val="006C25E7"/>
    <w:rsid w:val="006C2E82"/>
    <w:rsid w:val="006C4C21"/>
    <w:rsid w:val="006C724D"/>
    <w:rsid w:val="006C767C"/>
    <w:rsid w:val="006C7B38"/>
    <w:rsid w:val="006C7D15"/>
    <w:rsid w:val="006D0521"/>
    <w:rsid w:val="006D114A"/>
    <w:rsid w:val="006D13AE"/>
    <w:rsid w:val="006D1A9A"/>
    <w:rsid w:val="006D28A8"/>
    <w:rsid w:val="006D36E4"/>
    <w:rsid w:val="006D39EF"/>
    <w:rsid w:val="006D3FE8"/>
    <w:rsid w:val="006D4280"/>
    <w:rsid w:val="006D553F"/>
    <w:rsid w:val="006D5F40"/>
    <w:rsid w:val="006D6BD7"/>
    <w:rsid w:val="006D7F9A"/>
    <w:rsid w:val="006E0FF9"/>
    <w:rsid w:val="006E180D"/>
    <w:rsid w:val="006E223A"/>
    <w:rsid w:val="006E3B7B"/>
    <w:rsid w:val="006E5275"/>
    <w:rsid w:val="006E5E89"/>
    <w:rsid w:val="006E5E8F"/>
    <w:rsid w:val="006E5FB7"/>
    <w:rsid w:val="006E644B"/>
    <w:rsid w:val="006E7453"/>
    <w:rsid w:val="006F0018"/>
    <w:rsid w:val="006F12FC"/>
    <w:rsid w:val="006F1A78"/>
    <w:rsid w:val="006F1D40"/>
    <w:rsid w:val="006F2A88"/>
    <w:rsid w:val="006F325F"/>
    <w:rsid w:val="006F3337"/>
    <w:rsid w:val="006F3CD2"/>
    <w:rsid w:val="006F422F"/>
    <w:rsid w:val="006F59C4"/>
    <w:rsid w:val="006F5BDE"/>
    <w:rsid w:val="006F5CB0"/>
    <w:rsid w:val="006F6816"/>
    <w:rsid w:val="0070048A"/>
    <w:rsid w:val="00700CAC"/>
    <w:rsid w:val="00701491"/>
    <w:rsid w:val="00701804"/>
    <w:rsid w:val="00702865"/>
    <w:rsid w:val="00702D0E"/>
    <w:rsid w:val="00703AC1"/>
    <w:rsid w:val="007045B5"/>
    <w:rsid w:val="00704A3D"/>
    <w:rsid w:val="00705250"/>
    <w:rsid w:val="00705D15"/>
    <w:rsid w:val="007063C4"/>
    <w:rsid w:val="00706575"/>
    <w:rsid w:val="0070673F"/>
    <w:rsid w:val="00706ECF"/>
    <w:rsid w:val="0070776B"/>
    <w:rsid w:val="00707A92"/>
    <w:rsid w:val="0071026A"/>
    <w:rsid w:val="0071042D"/>
    <w:rsid w:val="00710DC3"/>
    <w:rsid w:val="007117F7"/>
    <w:rsid w:val="00711FDE"/>
    <w:rsid w:val="0071248D"/>
    <w:rsid w:val="00713408"/>
    <w:rsid w:val="007140C3"/>
    <w:rsid w:val="00715018"/>
    <w:rsid w:val="0071501F"/>
    <w:rsid w:val="007153FA"/>
    <w:rsid w:val="007159FE"/>
    <w:rsid w:val="00716342"/>
    <w:rsid w:val="00717E02"/>
    <w:rsid w:val="00720344"/>
    <w:rsid w:val="00720C1A"/>
    <w:rsid w:val="00721872"/>
    <w:rsid w:val="00721C15"/>
    <w:rsid w:val="007238A9"/>
    <w:rsid w:val="007238F0"/>
    <w:rsid w:val="00723D7B"/>
    <w:rsid w:val="007240DE"/>
    <w:rsid w:val="00724477"/>
    <w:rsid w:val="00724592"/>
    <w:rsid w:val="00724882"/>
    <w:rsid w:val="00724A1B"/>
    <w:rsid w:val="00724CC2"/>
    <w:rsid w:val="00726E9E"/>
    <w:rsid w:val="0072794F"/>
    <w:rsid w:val="007300C7"/>
    <w:rsid w:val="007302D3"/>
    <w:rsid w:val="0073030E"/>
    <w:rsid w:val="00730F4F"/>
    <w:rsid w:val="00731FB6"/>
    <w:rsid w:val="00733122"/>
    <w:rsid w:val="00733E8D"/>
    <w:rsid w:val="00734444"/>
    <w:rsid w:val="00734534"/>
    <w:rsid w:val="00734ADE"/>
    <w:rsid w:val="00736833"/>
    <w:rsid w:val="00737191"/>
    <w:rsid w:val="007376FC"/>
    <w:rsid w:val="007377C2"/>
    <w:rsid w:val="00740793"/>
    <w:rsid w:val="00740B07"/>
    <w:rsid w:val="007412E0"/>
    <w:rsid w:val="00741751"/>
    <w:rsid w:val="00742DB8"/>
    <w:rsid w:val="007436F7"/>
    <w:rsid w:val="007442A2"/>
    <w:rsid w:val="007454CF"/>
    <w:rsid w:val="0074713C"/>
    <w:rsid w:val="00747689"/>
    <w:rsid w:val="00747BE2"/>
    <w:rsid w:val="0075129D"/>
    <w:rsid w:val="007513E3"/>
    <w:rsid w:val="00751B92"/>
    <w:rsid w:val="00752501"/>
    <w:rsid w:val="00752A34"/>
    <w:rsid w:val="00754027"/>
    <w:rsid w:val="0075445C"/>
    <w:rsid w:val="00754CF5"/>
    <w:rsid w:val="007550B1"/>
    <w:rsid w:val="00755460"/>
    <w:rsid w:val="007563A7"/>
    <w:rsid w:val="00756707"/>
    <w:rsid w:val="00756928"/>
    <w:rsid w:val="00757030"/>
    <w:rsid w:val="0075799B"/>
    <w:rsid w:val="00757DE5"/>
    <w:rsid w:val="00760E92"/>
    <w:rsid w:val="00760EDB"/>
    <w:rsid w:val="00761B50"/>
    <w:rsid w:val="0076229A"/>
    <w:rsid w:val="00762874"/>
    <w:rsid w:val="007639FC"/>
    <w:rsid w:val="007642D2"/>
    <w:rsid w:val="00764A04"/>
    <w:rsid w:val="007658CC"/>
    <w:rsid w:val="00766400"/>
    <w:rsid w:val="0076680C"/>
    <w:rsid w:val="00766886"/>
    <w:rsid w:val="0076769B"/>
    <w:rsid w:val="0076788E"/>
    <w:rsid w:val="007678D1"/>
    <w:rsid w:val="00767B2D"/>
    <w:rsid w:val="00770DF6"/>
    <w:rsid w:val="007718DA"/>
    <w:rsid w:val="00772080"/>
    <w:rsid w:val="007722AE"/>
    <w:rsid w:val="00772965"/>
    <w:rsid w:val="007735F1"/>
    <w:rsid w:val="00773673"/>
    <w:rsid w:val="00773D4E"/>
    <w:rsid w:val="00773EF3"/>
    <w:rsid w:val="00774AA0"/>
    <w:rsid w:val="00775C5B"/>
    <w:rsid w:val="0077789F"/>
    <w:rsid w:val="00777941"/>
    <w:rsid w:val="00777AFA"/>
    <w:rsid w:val="0078084F"/>
    <w:rsid w:val="00780E1C"/>
    <w:rsid w:val="0078171D"/>
    <w:rsid w:val="00781C19"/>
    <w:rsid w:val="00781F23"/>
    <w:rsid w:val="00783EFE"/>
    <w:rsid w:val="0078464D"/>
    <w:rsid w:val="00784AAC"/>
    <w:rsid w:val="00784DEE"/>
    <w:rsid w:val="00785A7A"/>
    <w:rsid w:val="00786588"/>
    <w:rsid w:val="00786A4B"/>
    <w:rsid w:val="00786EE8"/>
    <w:rsid w:val="007877AE"/>
    <w:rsid w:val="007879FA"/>
    <w:rsid w:val="007903C4"/>
    <w:rsid w:val="0079052E"/>
    <w:rsid w:val="0079066D"/>
    <w:rsid w:val="007906AA"/>
    <w:rsid w:val="00790800"/>
    <w:rsid w:val="00791383"/>
    <w:rsid w:val="007918B1"/>
    <w:rsid w:val="0079193C"/>
    <w:rsid w:val="00792BF4"/>
    <w:rsid w:val="007931D2"/>
    <w:rsid w:val="0079488D"/>
    <w:rsid w:val="00794B52"/>
    <w:rsid w:val="0079577F"/>
    <w:rsid w:val="007957C9"/>
    <w:rsid w:val="00795E63"/>
    <w:rsid w:val="00796E50"/>
    <w:rsid w:val="007A16B1"/>
    <w:rsid w:val="007A1BF1"/>
    <w:rsid w:val="007A3366"/>
    <w:rsid w:val="007A3A86"/>
    <w:rsid w:val="007A412F"/>
    <w:rsid w:val="007A5A99"/>
    <w:rsid w:val="007A5ED0"/>
    <w:rsid w:val="007A700D"/>
    <w:rsid w:val="007B0A76"/>
    <w:rsid w:val="007B1F2B"/>
    <w:rsid w:val="007B292F"/>
    <w:rsid w:val="007B2A24"/>
    <w:rsid w:val="007B2BCF"/>
    <w:rsid w:val="007B2F99"/>
    <w:rsid w:val="007B3211"/>
    <w:rsid w:val="007B3DE4"/>
    <w:rsid w:val="007B3EDC"/>
    <w:rsid w:val="007B46C0"/>
    <w:rsid w:val="007B4E35"/>
    <w:rsid w:val="007B573D"/>
    <w:rsid w:val="007B607C"/>
    <w:rsid w:val="007B622B"/>
    <w:rsid w:val="007B6BDF"/>
    <w:rsid w:val="007B6CDD"/>
    <w:rsid w:val="007B6F99"/>
    <w:rsid w:val="007C0C2B"/>
    <w:rsid w:val="007C0F5C"/>
    <w:rsid w:val="007C1229"/>
    <w:rsid w:val="007C1991"/>
    <w:rsid w:val="007C2932"/>
    <w:rsid w:val="007C2E51"/>
    <w:rsid w:val="007C3145"/>
    <w:rsid w:val="007C3326"/>
    <w:rsid w:val="007C3F1D"/>
    <w:rsid w:val="007C444A"/>
    <w:rsid w:val="007C6CCF"/>
    <w:rsid w:val="007C6DE9"/>
    <w:rsid w:val="007C7460"/>
    <w:rsid w:val="007C7528"/>
    <w:rsid w:val="007D0356"/>
    <w:rsid w:val="007D0DDC"/>
    <w:rsid w:val="007D12AC"/>
    <w:rsid w:val="007D1491"/>
    <w:rsid w:val="007D3EB9"/>
    <w:rsid w:val="007D43E3"/>
    <w:rsid w:val="007D4A11"/>
    <w:rsid w:val="007D613F"/>
    <w:rsid w:val="007D6730"/>
    <w:rsid w:val="007E05D1"/>
    <w:rsid w:val="007E0E46"/>
    <w:rsid w:val="007E0EB2"/>
    <w:rsid w:val="007E17D2"/>
    <w:rsid w:val="007E1B7A"/>
    <w:rsid w:val="007E2080"/>
    <w:rsid w:val="007E22E2"/>
    <w:rsid w:val="007E332C"/>
    <w:rsid w:val="007E34E5"/>
    <w:rsid w:val="007E4A3E"/>
    <w:rsid w:val="007E4FD4"/>
    <w:rsid w:val="007E571F"/>
    <w:rsid w:val="007E67A0"/>
    <w:rsid w:val="007E69BD"/>
    <w:rsid w:val="007E735C"/>
    <w:rsid w:val="007E7378"/>
    <w:rsid w:val="007F000B"/>
    <w:rsid w:val="007F1726"/>
    <w:rsid w:val="007F1A30"/>
    <w:rsid w:val="007F1EA4"/>
    <w:rsid w:val="007F1F1E"/>
    <w:rsid w:val="007F1F56"/>
    <w:rsid w:val="007F2614"/>
    <w:rsid w:val="007F38B2"/>
    <w:rsid w:val="007F4BAE"/>
    <w:rsid w:val="007F6A18"/>
    <w:rsid w:val="00800263"/>
    <w:rsid w:val="008004F5"/>
    <w:rsid w:val="008013D2"/>
    <w:rsid w:val="008014FD"/>
    <w:rsid w:val="0080163A"/>
    <w:rsid w:val="008016EB"/>
    <w:rsid w:val="00801844"/>
    <w:rsid w:val="00801A63"/>
    <w:rsid w:val="00801B0A"/>
    <w:rsid w:val="00802A43"/>
    <w:rsid w:val="008036E1"/>
    <w:rsid w:val="00804080"/>
    <w:rsid w:val="008042BA"/>
    <w:rsid w:val="008055E2"/>
    <w:rsid w:val="00805637"/>
    <w:rsid w:val="00805D8F"/>
    <w:rsid w:val="00805E65"/>
    <w:rsid w:val="00805F00"/>
    <w:rsid w:val="00806F09"/>
    <w:rsid w:val="00807FBB"/>
    <w:rsid w:val="00810213"/>
    <w:rsid w:val="00810B1C"/>
    <w:rsid w:val="00810B6C"/>
    <w:rsid w:val="00810E9D"/>
    <w:rsid w:val="00811319"/>
    <w:rsid w:val="00812B7E"/>
    <w:rsid w:val="00812C25"/>
    <w:rsid w:val="00812CFF"/>
    <w:rsid w:val="00813027"/>
    <w:rsid w:val="008137F5"/>
    <w:rsid w:val="00815026"/>
    <w:rsid w:val="00815F1F"/>
    <w:rsid w:val="00820582"/>
    <w:rsid w:val="00820EB4"/>
    <w:rsid w:val="008211C7"/>
    <w:rsid w:val="00821AC9"/>
    <w:rsid w:val="00821C94"/>
    <w:rsid w:val="008221BE"/>
    <w:rsid w:val="0082348C"/>
    <w:rsid w:val="00823FA8"/>
    <w:rsid w:val="00824489"/>
    <w:rsid w:val="0082625D"/>
    <w:rsid w:val="008262C4"/>
    <w:rsid w:val="00826758"/>
    <w:rsid w:val="0082690F"/>
    <w:rsid w:val="00826BEB"/>
    <w:rsid w:val="008276C5"/>
    <w:rsid w:val="0082770C"/>
    <w:rsid w:val="00830AAF"/>
    <w:rsid w:val="00830F20"/>
    <w:rsid w:val="00831761"/>
    <w:rsid w:val="00831DD8"/>
    <w:rsid w:val="00832242"/>
    <w:rsid w:val="0083224E"/>
    <w:rsid w:val="00832BB1"/>
    <w:rsid w:val="00832C3D"/>
    <w:rsid w:val="00832CD7"/>
    <w:rsid w:val="00832DF5"/>
    <w:rsid w:val="00832E17"/>
    <w:rsid w:val="00833D03"/>
    <w:rsid w:val="008345CB"/>
    <w:rsid w:val="00834855"/>
    <w:rsid w:val="008357FB"/>
    <w:rsid w:val="00835E02"/>
    <w:rsid w:val="0083602D"/>
    <w:rsid w:val="00836648"/>
    <w:rsid w:val="0083678B"/>
    <w:rsid w:val="008378DC"/>
    <w:rsid w:val="00840171"/>
    <w:rsid w:val="00841EC1"/>
    <w:rsid w:val="0084212A"/>
    <w:rsid w:val="00842A5B"/>
    <w:rsid w:val="00842B9A"/>
    <w:rsid w:val="00842FE2"/>
    <w:rsid w:val="00843CBD"/>
    <w:rsid w:val="00843DCD"/>
    <w:rsid w:val="008442E8"/>
    <w:rsid w:val="00845342"/>
    <w:rsid w:val="00845B21"/>
    <w:rsid w:val="00846444"/>
    <w:rsid w:val="0084647E"/>
    <w:rsid w:val="00846540"/>
    <w:rsid w:val="00846CFA"/>
    <w:rsid w:val="00847352"/>
    <w:rsid w:val="00847CDC"/>
    <w:rsid w:val="008506B1"/>
    <w:rsid w:val="00850F3C"/>
    <w:rsid w:val="008511DE"/>
    <w:rsid w:val="008520B0"/>
    <w:rsid w:val="00852F1C"/>
    <w:rsid w:val="008533DD"/>
    <w:rsid w:val="0085481F"/>
    <w:rsid w:val="00855657"/>
    <w:rsid w:val="00855931"/>
    <w:rsid w:val="008560A9"/>
    <w:rsid w:val="0085710D"/>
    <w:rsid w:val="00857D65"/>
    <w:rsid w:val="00857E4E"/>
    <w:rsid w:val="00860168"/>
    <w:rsid w:val="00860458"/>
    <w:rsid w:val="00861C3B"/>
    <w:rsid w:val="00861E74"/>
    <w:rsid w:val="0086396E"/>
    <w:rsid w:val="008645E9"/>
    <w:rsid w:val="0086535C"/>
    <w:rsid w:val="0086617B"/>
    <w:rsid w:val="008662C4"/>
    <w:rsid w:val="00866338"/>
    <w:rsid w:val="008676C5"/>
    <w:rsid w:val="008679A6"/>
    <w:rsid w:val="008701FE"/>
    <w:rsid w:val="00871AF3"/>
    <w:rsid w:val="00871CEA"/>
    <w:rsid w:val="00872077"/>
    <w:rsid w:val="0087298C"/>
    <w:rsid w:val="008738FD"/>
    <w:rsid w:val="0087464D"/>
    <w:rsid w:val="00874B39"/>
    <w:rsid w:val="00875B9F"/>
    <w:rsid w:val="00875FC3"/>
    <w:rsid w:val="0087652A"/>
    <w:rsid w:val="00876856"/>
    <w:rsid w:val="00876C40"/>
    <w:rsid w:val="00876D3A"/>
    <w:rsid w:val="0087704C"/>
    <w:rsid w:val="00877A45"/>
    <w:rsid w:val="00877BC1"/>
    <w:rsid w:val="00877F19"/>
    <w:rsid w:val="008805D8"/>
    <w:rsid w:val="00880BD7"/>
    <w:rsid w:val="008817A2"/>
    <w:rsid w:val="00881F6E"/>
    <w:rsid w:val="00883683"/>
    <w:rsid w:val="008836C5"/>
    <w:rsid w:val="008849BC"/>
    <w:rsid w:val="00884E8E"/>
    <w:rsid w:val="00884F91"/>
    <w:rsid w:val="00886168"/>
    <w:rsid w:val="00886231"/>
    <w:rsid w:val="008863DD"/>
    <w:rsid w:val="00886BCD"/>
    <w:rsid w:val="00887BFE"/>
    <w:rsid w:val="00890530"/>
    <w:rsid w:val="00890818"/>
    <w:rsid w:val="00890985"/>
    <w:rsid w:val="00890C1D"/>
    <w:rsid w:val="008923C9"/>
    <w:rsid w:val="0089256B"/>
    <w:rsid w:val="00892DEA"/>
    <w:rsid w:val="008943B0"/>
    <w:rsid w:val="00894D08"/>
    <w:rsid w:val="00894F91"/>
    <w:rsid w:val="0089505C"/>
    <w:rsid w:val="008973CD"/>
    <w:rsid w:val="00897864"/>
    <w:rsid w:val="00897883"/>
    <w:rsid w:val="00897BB6"/>
    <w:rsid w:val="00897E4D"/>
    <w:rsid w:val="008A01F7"/>
    <w:rsid w:val="008A08D1"/>
    <w:rsid w:val="008A11E6"/>
    <w:rsid w:val="008A1D17"/>
    <w:rsid w:val="008A1FD8"/>
    <w:rsid w:val="008A21B4"/>
    <w:rsid w:val="008A367F"/>
    <w:rsid w:val="008A38F2"/>
    <w:rsid w:val="008A408F"/>
    <w:rsid w:val="008A50E0"/>
    <w:rsid w:val="008A53A4"/>
    <w:rsid w:val="008A55C3"/>
    <w:rsid w:val="008A62D6"/>
    <w:rsid w:val="008B04E9"/>
    <w:rsid w:val="008B0D69"/>
    <w:rsid w:val="008B1AF9"/>
    <w:rsid w:val="008B26B4"/>
    <w:rsid w:val="008B4319"/>
    <w:rsid w:val="008B4B6E"/>
    <w:rsid w:val="008B5257"/>
    <w:rsid w:val="008B54BE"/>
    <w:rsid w:val="008B55A1"/>
    <w:rsid w:val="008B5E8C"/>
    <w:rsid w:val="008B67F7"/>
    <w:rsid w:val="008B6952"/>
    <w:rsid w:val="008B6BC7"/>
    <w:rsid w:val="008B7104"/>
    <w:rsid w:val="008B7F25"/>
    <w:rsid w:val="008C1C12"/>
    <w:rsid w:val="008C1DC2"/>
    <w:rsid w:val="008C1E0C"/>
    <w:rsid w:val="008C2263"/>
    <w:rsid w:val="008C351E"/>
    <w:rsid w:val="008C54C6"/>
    <w:rsid w:val="008C58BD"/>
    <w:rsid w:val="008C5D85"/>
    <w:rsid w:val="008C5FFB"/>
    <w:rsid w:val="008C62FE"/>
    <w:rsid w:val="008C634C"/>
    <w:rsid w:val="008C6E67"/>
    <w:rsid w:val="008D088B"/>
    <w:rsid w:val="008D0BAC"/>
    <w:rsid w:val="008D1A52"/>
    <w:rsid w:val="008D22B3"/>
    <w:rsid w:val="008D2488"/>
    <w:rsid w:val="008D2AC8"/>
    <w:rsid w:val="008D2EF3"/>
    <w:rsid w:val="008D370D"/>
    <w:rsid w:val="008D3D6F"/>
    <w:rsid w:val="008D4F10"/>
    <w:rsid w:val="008D621F"/>
    <w:rsid w:val="008D67BA"/>
    <w:rsid w:val="008D7462"/>
    <w:rsid w:val="008E0425"/>
    <w:rsid w:val="008E090B"/>
    <w:rsid w:val="008E0FC1"/>
    <w:rsid w:val="008E1071"/>
    <w:rsid w:val="008E1A8D"/>
    <w:rsid w:val="008E1A9F"/>
    <w:rsid w:val="008E1CFB"/>
    <w:rsid w:val="008E2DD8"/>
    <w:rsid w:val="008E2ED7"/>
    <w:rsid w:val="008E307D"/>
    <w:rsid w:val="008E326E"/>
    <w:rsid w:val="008E3B6F"/>
    <w:rsid w:val="008E425B"/>
    <w:rsid w:val="008E4B66"/>
    <w:rsid w:val="008E4B82"/>
    <w:rsid w:val="008E513C"/>
    <w:rsid w:val="008E5774"/>
    <w:rsid w:val="008E7349"/>
    <w:rsid w:val="008E7B8D"/>
    <w:rsid w:val="008F0D94"/>
    <w:rsid w:val="008F1241"/>
    <w:rsid w:val="008F26E1"/>
    <w:rsid w:val="008F36D1"/>
    <w:rsid w:val="008F3A69"/>
    <w:rsid w:val="008F3D25"/>
    <w:rsid w:val="008F3D4C"/>
    <w:rsid w:val="008F43AA"/>
    <w:rsid w:val="008F51E6"/>
    <w:rsid w:val="008F6CF7"/>
    <w:rsid w:val="008F6CF8"/>
    <w:rsid w:val="0090040E"/>
    <w:rsid w:val="00900849"/>
    <w:rsid w:val="00900B71"/>
    <w:rsid w:val="00900D89"/>
    <w:rsid w:val="00901182"/>
    <w:rsid w:val="009013CB"/>
    <w:rsid w:val="00901839"/>
    <w:rsid w:val="00901C3B"/>
    <w:rsid w:val="009025A4"/>
    <w:rsid w:val="00902957"/>
    <w:rsid w:val="00902F05"/>
    <w:rsid w:val="00903646"/>
    <w:rsid w:val="009036D4"/>
    <w:rsid w:val="00904282"/>
    <w:rsid w:val="0090448C"/>
    <w:rsid w:val="00904657"/>
    <w:rsid w:val="00904C0A"/>
    <w:rsid w:val="009052A9"/>
    <w:rsid w:val="00905945"/>
    <w:rsid w:val="00905F6A"/>
    <w:rsid w:val="00906288"/>
    <w:rsid w:val="00907436"/>
    <w:rsid w:val="009077AD"/>
    <w:rsid w:val="0090792B"/>
    <w:rsid w:val="0091086F"/>
    <w:rsid w:val="00911D09"/>
    <w:rsid w:val="00912D71"/>
    <w:rsid w:val="009130F4"/>
    <w:rsid w:val="00914D02"/>
    <w:rsid w:val="009150BF"/>
    <w:rsid w:val="009156C4"/>
    <w:rsid w:val="009168A1"/>
    <w:rsid w:val="00916B74"/>
    <w:rsid w:val="009172E2"/>
    <w:rsid w:val="009207F2"/>
    <w:rsid w:val="00920DF4"/>
    <w:rsid w:val="0092136B"/>
    <w:rsid w:val="0092139F"/>
    <w:rsid w:val="00921C04"/>
    <w:rsid w:val="00922A1D"/>
    <w:rsid w:val="00922CDE"/>
    <w:rsid w:val="0092432C"/>
    <w:rsid w:val="00924E35"/>
    <w:rsid w:val="00925375"/>
    <w:rsid w:val="00925A1E"/>
    <w:rsid w:val="0092674A"/>
    <w:rsid w:val="0092680D"/>
    <w:rsid w:val="00927CC7"/>
    <w:rsid w:val="00930AB2"/>
    <w:rsid w:val="00931248"/>
    <w:rsid w:val="00931790"/>
    <w:rsid w:val="009318A4"/>
    <w:rsid w:val="009319E0"/>
    <w:rsid w:val="00932707"/>
    <w:rsid w:val="00932FD1"/>
    <w:rsid w:val="00933239"/>
    <w:rsid w:val="00933A89"/>
    <w:rsid w:val="00934047"/>
    <w:rsid w:val="00934637"/>
    <w:rsid w:val="00935149"/>
    <w:rsid w:val="00935F1F"/>
    <w:rsid w:val="00936D0E"/>
    <w:rsid w:val="009376F9"/>
    <w:rsid w:val="00940BDA"/>
    <w:rsid w:val="00940CE3"/>
    <w:rsid w:val="00941006"/>
    <w:rsid w:val="009411A1"/>
    <w:rsid w:val="0094132A"/>
    <w:rsid w:val="00941C8F"/>
    <w:rsid w:val="0094219C"/>
    <w:rsid w:val="00942469"/>
    <w:rsid w:val="00942C21"/>
    <w:rsid w:val="00943059"/>
    <w:rsid w:val="00943F8F"/>
    <w:rsid w:val="009442CA"/>
    <w:rsid w:val="0094437D"/>
    <w:rsid w:val="00944DCE"/>
    <w:rsid w:val="0094514F"/>
    <w:rsid w:val="00945679"/>
    <w:rsid w:val="009460C1"/>
    <w:rsid w:val="0094634A"/>
    <w:rsid w:val="0094641E"/>
    <w:rsid w:val="00946956"/>
    <w:rsid w:val="009473BC"/>
    <w:rsid w:val="00947F86"/>
    <w:rsid w:val="00950C2A"/>
    <w:rsid w:val="009514D1"/>
    <w:rsid w:val="00951C8B"/>
    <w:rsid w:val="00952880"/>
    <w:rsid w:val="0095398E"/>
    <w:rsid w:val="00954C3B"/>
    <w:rsid w:val="00954EED"/>
    <w:rsid w:val="00954FCC"/>
    <w:rsid w:val="009560AA"/>
    <w:rsid w:val="00956C22"/>
    <w:rsid w:val="0095711C"/>
    <w:rsid w:val="0095755D"/>
    <w:rsid w:val="009577A8"/>
    <w:rsid w:val="009579B5"/>
    <w:rsid w:val="009608B4"/>
    <w:rsid w:val="00961FBA"/>
    <w:rsid w:val="00962035"/>
    <w:rsid w:val="0096268B"/>
    <w:rsid w:val="00963C7C"/>
    <w:rsid w:val="00964DC5"/>
    <w:rsid w:val="00964F76"/>
    <w:rsid w:val="009658C1"/>
    <w:rsid w:val="0096632D"/>
    <w:rsid w:val="00966B40"/>
    <w:rsid w:val="00967042"/>
    <w:rsid w:val="009671EA"/>
    <w:rsid w:val="009674B6"/>
    <w:rsid w:val="0096785B"/>
    <w:rsid w:val="00970259"/>
    <w:rsid w:val="00972E45"/>
    <w:rsid w:val="00974787"/>
    <w:rsid w:val="00974DAB"/>
    <w:rsid w:val="009750F8"/>
    <w:rsid w:val="0097548E"/>
    <w:rsid w:val="00975E19"/>
    <w:rsid w:val="00976988"/>
    <w:rsid w:val="00976CB1"/>
    <w:rsid w:val="00977C64"/>
    <w:rsid w:val="0098024B"/>
    <w:rsid w:val="00980F95"/>
    <w:rsid w:val="009817D3"/>
    <w:rsid w:val="00981C3E"/>
    <w:rsid w:val="00982399"/>
    <w:rsid w:val="009831EC"/>
    <w:rsid w:val="00983A8A"/>
    <w:rsid w:val="00983E15"/>
    <w:rsid w:val="00984AF6"/>
    <w:rsid w:val="00984B16"/>
    <w:rsid w:val="00984EF7"/>
    <w:rsid w:val="0098518C"/>
    <w:rsid w:val="00985607"/>
    <w:rsid w:val="00987776"/>
    <w:rsid w:val="009879A6"/>
    <w:rsid w:val="00990494"/>
    <w:rsid w:val="00991BF2"/>
    <w:rsid w:val="009920C6"/>
    <w:rsid w:val="009922AD"/>
    <w:rsid w:val="0099268D"/>
    <w:rsid w:val="009928FB"/>
    <w:rsid w:val="00992B0F"/>
    <w:rsid w:val="00993260"/>
    <w:rsid w:val="009932CF"/>
    <w:rsid w:val="0099393D"/>
    <w:rsid w:val="00993A23"/>
    <w:rsid w:val="009945E5"/>
    <w:rsid w:val="009949E9"/>
    <w:rsid w:val="00994D5A"/>
    <w:rsid w:val="009950DA"/>
    <w:rsid w:val="00995D24"/>
    <w:rsid w:val="009960BD"/>
    <w:rsid w:val="00997EC1"/>
    <w:rsid w:val="009A07DC"/>
    <w:rsid w:val="009A0DC2"/>
    <w:rsid w:val="009A0E62"/>
    <w:rsid w:val="009A1B3B"/>
    <w:rsid w:val="009A3314"/>
    <w:rsid w:val="009A4231"/>
    <w:rsid w:val="009A47CF"/>
    <w:rsid w:val="009A488B"/>
    <w:rsid w:val="009A60B9"/>
    <w:rsid w:val="009A676D"/>
    <w:rsid w:val="009A67B0"/>
    <w:rsid w:val="009A69A2"/>
    <w:rsid w:val="009A6D8D"/>
    <w:rsid w:val="009A72BC"/>
    <w:rsid w:val="009A7E6B"/>
    <w:rsid w:val="009B08E7"/>
    <w:rsid w:val="009B0C87"/>
    <w:rsid w:val="009B132F"/>
    <w:rsid w:val="009B189C"/>
    <w:rsid w:val="009B197B"/>
    <w:rsid w:val="009B19B9"/>
    <w:rsid w:val="009B1D59"/>
    <w:rsid w:val="009B20C8"/>
    <w:rsid w:val="009B28B6"/>
    <w:rsid w:val="009B2D87"/>
    <w:rsid w:val="009B4AF9"/>
    <w:rsid w:val="009B56B2"/>
    <w:rsid w:val="009B5970"/>
    <w:rsid w:val="009B5BDC"/>
    <w:rsid w:val="009B64AC"/>
    <w:rsid w:val="009B7737"/>
    <w:rsid w:val="009C051D"/>
    <w:rsid w:val="009C0A18"/>
    <w:rsid w:val="009C1B43"/>
    <w:rsid w:val="009C1BFA"/>
    <w:rsid w:val="009C1FC9"/>
    <w:rsid w:val="009C219E"/>
    <w:rsid w:val="009C221A"/>
    <w:rsid w:val="009C24BE"/>
    <w:rsid w:val="009C268E"/>
    <w:rsid w:val="009C29C4"/>
    <w:rsid w:val="009C2DB8"/>
    <w:rsid w:val="009C317C"/>
    <w:rsid w:val="009C32D0"/>
    <w:rsid w:val="009C3969"/>
    <w:rsid w:val="009C44A9"/>
    <w:rsid w:val="009C4B7F"/>
    <w:rsid w:val="009C542E"/>
    <w:rsid w:val="009C5780"/>
    <w:rsid w:val="009C679D"/>
    <w:rsid w:val="009C7303"/>
    <w:rsid w:val="009C7313"/>
    <w:rsid w:val="009D0588"/>
    <w:rsid w:val="009D06B7"/>
    <w:rsid w:val="009D0ACD"/>
    <w:rsid w:val="009D0D17"/>
    <w:rsid w:val="009D1C8E"/>
    <w:rsid w:val="009D2CCE"/>
    <w:rsid w:val="009D2F83"/>
    <w:rsid w:val="009D319F"/>
    <w:rsid w:val="009D33BC"/>
    <w:rsid w:val="009D3403"/>
    <w:rsid w:val="009D35BC"/>
    <w:rsid w:val="009D3E41"/>
    <w:rsid w:val="009D4601"/>
    <w:rsid w:val="009D4DC1"/>
    <w:rsid w:val="009D6467"/>
    <w:rsid w:val="009D64A2"/>
    <w:rsid w:val="009D7EAF"/>
    <w:rsid w:val="009E0028"/>
    <w:rsid w:val="009E0F48"/>
    <w:rsid w:val="009E44CF"/>
    <w:rsid w:val="009E4FFA"/>
    <w:rsid w:val="009E5100"/>
    <w:rsid w:val="009E56A8"/>
    <w:rsid w:val="009E5CAE"/>
    <w:rsid w:val="009E648B"/>
    <w:rsid w:val="009E655C"/>
    <w:rsid w:val="009E6E82"/>
    <w:rsid w:val="009E717F"/>
    <w:rsid w:val="009E7888"/>
    <w:rsid w:val="009F009D"/>
    <w:rsid w:val="009F03B4"/>
    <w:rsid w:val="009F0637"/>
    <w:rsid w:val="009F17B3"/>
    <w:rsid w:val="009F2173"/>
    <w:rsid w:val="009F3864"/>
    <w:rsid w:val="009F3C8A"/>
    <w:rsid w:val="009F43BF"/>
    <w:rsid w:val="009F4690"/>
    <w:rsid w:val="009F4CF2"/>
    <w:rsid w:val="009F59CE"/>
    <w:rsid w:val="009F5B13"/>
    <w:rsid w:val="009F66DE"/>
    <w:rsid w:val="009F6800"/>
    <w:rsid w:val="009F6D42"/>
    <w:rsid w:val="009F751B"/>
    <w:rsid w:val="009F7DCC"/>
    <w:rsid w:val="00A009C2"/>
    <w:rsid w:val="00A00EB5"/>
    <w:rsid w:val="00A0163C"/>
    <w:rsid w:val="00A0175A"/>
    <w:rsid w:val="00A01912"/>
    <w:rsid w:val="00A019CF"/>
    <w:rsid w:val="00A0209B"/>
    <w:rsid w:val="00A02731"/>
    <w:rsid w:val="00A030CF"/>
    <w:rsid w:val="00A03652"/>
    <w:rsid w:val="00A03CBB"/>
    <w:rsid w:val="00A045D5"/>
    <w:rsid w:val="00A051E2"/>
    <w:rsid w:val="00A05B88"/>
    <w:rsid w:val="00A101CC"/>
    <w:rsid w:val="00A110CD"/>
    <w:rsid w:val="00A11AFC"/>
    <w:rsid w:val="00A12C86"/>
    <w:rsid w:val="00A134AF"/>
    <w:rsid w:val="00A137A1"/>
    <w:rsid w:val="00A1390E"/>
    <w:rsid w:val="00A15E0D"/>
    <w:rsid w:val="00A15F01"/>
    <w:rsid w:val="00A16842"/>
    <w:rsid w:val="00A16FD1"/>
    <w:rsid w:val="00A1743C"/>
    <w:rsid w:val="00A17719"/>
    <w:rsid w:val="00A17D1D"/>
    <w:rsid w:val="00A2018F"/>
    <w:rsid w:val="00A20395"/>
    <w:rsid w:val="00A20F6A"/>
    <w:rsid w:val="00A210EB"/>
    <w:rsid w:val="00A213AE"/>
    <w:rsid w:val="00A2153E"/>
    <w:rsid w:val="00A2230A"/>
    <w:rsid w:val="00A22390"/>
    <w:rsid w:val="00A230D1"/>
    <w:rsid w:val="00A2343A"/>
    <w:rsid w:val="00A2366D"/>
    <w:rsid w:val="00A23F07"/>
    <w:rsid w:val="00A24E27"/>
    <w:rsid w:val="00A25063"/>
    <w:rsid w:val="00A251D6"/>
    <w:rsid w:val="00A256CA"/>
    <w:rsid w:val="00A25AC8"/>
    <w:rsid w:val="00A25CF9"/>
    <w:rsid w:val="00A2763B"/>
    <w:rsid w:val="00A27A3B"/>
    <w:rsid w:val="00A301AA"/>
    <w:rsid w:val="00A311B9"/>
    <w:rsid w:val="00A31A2D"/>
    <w:rsid w:val="00A31DE9"/>
    <w:rsid w:val="00A33616"/>
    <w:rsid w:val="00A3486D"/>
    <w:rsid w:val="00A353F0"/>
    <w:rsid w:val="00A35C92"/>
    <w:rsid w:val="00A35DCE"/>
    <w:rsid w:val="00A36686"/>
    <w:rsid w:val="00A36B1E"/>
    <w:rsid w:val="00A37364"/>
    <w:rsid w:val="00A37611"/>
    <w:rsid w:val="00A4033B"/>
    <w:rsid w:val="00A40980"/>
    <w:rsid w:val="00A41783"/>
    <w:rsid w:val="00A41DD4"/>
    <w:rsid w:val="00A41ED7"/>
    <w:rsid w:val="00A41EE9"/>
    <w:rsid w:val="00A41F2B"/>
    <w:rsid w:val="00A42C43"/>
    <w:rsid w:val="00A43084"/>
    <w:rsid w:val="00A430A1"/>
    <w:rsid w:val="00A43822"/>
    <w:rsid w:val="00A43EB7"/>
    <w:rsid w:val="00A44A52"/>
    <w:rsid w:val="00A4513B"/>
    <w:rsid w:val="00A45F75"/>
    <w:rsid w:val="00A46450"/>
    <w:rsid w:val="00A468E8"/>
    <w:rsid w:val="00A46CFD"/>
    <w:rsid w:val="00A46E94"/>
    <w:rsid w:val="00A479EA"/>
    <w:rsid w:val="00A47C23"/>
    <w:rsid w:val="00A47C73"/>
    <w:rsid w:val="00A47CAB"/>
    <w:rsid w:val="00A47D83"/>
    <w:rsid w:val="00A501C6"/>
    <w:rsid w:val="00A503FE"/>
    <w:rsid w:val="00A504B2"/>
    <w:rsid w:val="00A53DE5"/>
    <w:rsid w:val="00A53DE6"/>
    <w:rsid w:val="00A53F20"/>
    <w:rsid w:val="00A54641"/>
    <w:rsid w:val="00A5480D"/>
    <w:rsid w:val="00A54921"/>
    <w:rsid w:val="00A56029"/>
    <w:rsid w:val="00A568CA"/>
    <w:rsid w:val="00A5703B"/>
    <w:rsid w:val="00A600B6"/>
    <w:rsid w:val="00A60BE9"/>
    <w:rsid w:val="00A615AC"/>
    <w:rsid w:val="00A617FD"/>
    <w:rsid w:val="00A6228C"/>
    <w:rsid w:val="00A62441"/>
    <w:rsid w:val="00A62765"/>
    <w:rsid w:val="00A627AB"/>
    <w:rsid w:val="00A62D71"/>
    <w:rsid w:val="00A6368C"/>
    <w:rsid w:val="00A63846"/>
    <w:rsid w:val="00A65877"/>
    <w:rsid w:val="00A66CDA"/>
    <w:rsid w:val="00A705E8"/>
    <w:rsid w:val="00A71290"/>
    <w:rsid w:val="00A71997"/>
    <w:rsid w:val="00A71B2C"/>
    <w:rsid w:val="00A72C02"/>
    <w:rsid w:val="00A72C32"/>
    <w:rsid w:val="00A732AC"/>
    <w:rsid w:val="00A73939"/>
    <w:rsid w:val="00A74BCE"/>
    <w:rsid w:val="00A75029"/>
    <w:rsid w:val="00A75387"/>
    <w:rsid w:val="00A758EB"/>
    <w:rsid w:val="00A800B4"/>
    <w:rsid w:val="00A8047F"/>
    <w:rsid w:val="00A80EF9"/>
    <w:rsid w:val="00A8102E"/>
    <w:rsid w:val="00A81612"/>
    <w:rsid w:val="00A817C2"/>
    <w:rsid w:val="00A81FF3"/>
    <w:rsid w:val="00A8313F"/>
    <w:rsid w:val="00A84A54"/>
    <w:rsid w:val="00A8553F"/>
    <w:rsid w:val="00A85C08"/>
    <w:rsid w:val="00A86880"/>
    <w:rsid w:val="00A8769E"/>
    <w:rsid w:val="00A904FA"/>
    <w:rsid w:val="00A908F7"/>
    <w:rsid w:val="00A92D91"/>
    <w:rsid w:val="00A93637"/>
    <w:rsid w:val="00A940DF"/>
    <w:rsid w:val="00A94750"/>
    <w:rsid w:val="00A94A30"/>
    <w:rsid w:val="00A95045"/>
    <w:rsid w:val="00A9537F"/>
    <w:rsid w:val="00A9587E"/>
    <w:rsid w:val="00A96A06"/>
    <w:rsid w:val="00A96ED9"/>
    <w:rsid w:val="00AA0415"/>
    <w:rsid w:val="00AA0882"/>
    <w:rsid w:val="00AA0E41"/>
    <w:rsid w:val="00AA1873"/>
    <w:rsid w:val="00AA18DD"/>
    <w:rsid w:val="00AA1B1E"/>
    <w:rsid w:val="00AA2B09"/>
    <w:rsid w:val="00AA426A"/>
    <w:rsid w:val="00AA4653"/>
    <w:rsid w:val="00AA5434"/>
    <w:rsid w:val="00AA697E"/>
    <w:rsid w:val="00AA6FA0"/>
    <w:rsid w:val="00AA73E4"/>
    <w:rsid w:val="00AB0051"/>
    <w:rsid w:val="00AB0186"/>
    <w:rsid w:val="00AB231F"/>
    <w:rsid w:val="00AB2EB7"/>
    <w:rsid w:val="00AB3211"/>
    <w:rsid w:val="00AB3C36"/>
    <w:rsid w:val="00AB46E4"/>
    <w:rsid w:val="00AB48BA"/>
    <w:rsid w:val="00AB4DB6"/>
    <w:rsid w:val="00AB577B"/>
    <w:rsid w:val="00AB5ECF"/>
    <w:rsid w:val="00AB651B"/>
    <w:rsid w:val="00AB653F"/>
    <w:rsid w:val="00AB72C1"/>
    <w:rsid w:val="00AC0A30"/>
    <w:rsid w:val="00AC1C3D"/>
    <w:rsid w:val="00AC35AA"/>
    <w:rsid w:val="00AC40C7"/>
    <w:rsid w:val="00AC42CC"/>
    <w:rsid w:val="00AC44C8"/>
    <w:rsid w:val="00AC4542"/>
    <w:rsid w:val="00AC4576"/>
    <w:rsid w:val="00AC4670"/>
    <w:rsid w:val="00AC4693"/>
    <w:rsid w:val="00AC56A1"/>
    <w:rsid w:val="00AC57AB"/>
    <w:rsid w:val="00AC5AD0"/>
    <w:rsid w:val="00AC5E31"/>
    <w:rsid w:val="00AC5FCC"/>
    <w:rsid w:val="00AC7F14"/>
    <w:rsid w:val="00AD000A"/>
    <w:rsid w:val="00AD0444"/>
    <w:rsid w:val="00AD07EB"/>
    <w:rsid w:val="00AD13CB"/>
    <w:rsid w:val="00AD1851"/>
    <w:rsid w:val="00AD1C3A"/>
    <w:rsid w:val="00AD2231"/>
    <w:rsid w:val="00AD24E7"/>
    <w:rsid w:val="00AD2A56"/>
    <w:rsid w:val="00AD2AB6"/>
    <w:rsid w:val="00AD2F66"/>
    <w:rsid w:val="00AD3667"/>
    <w:rsid w:val="00AD4464"/>
    <w:rsid w:val="00AD45E2"/>
    <w:rsid w:val="00AD4C5F"/>
    <w:rsid w:val="00AD4C68"/>
    <w:rsid w:val="00AD4DCE"/>
    <w:rsid w:val="00AD4E39"/>
    <w:rsid w:val="00AD6CF8"/>
    <w:rsid w:val="00AD72AC"/>
    <w:rsid w:val="00AD76D7"/>
    <w:rsid w:val="00AD7C27"/>
    <w:rsid w:val="00AE0264"/>
    <w:rsid w:val="00AE02C0"/>
    <w:rsid w:val="00AE057B"/>
    <w:rsid w:val="00AE0B27"/>
    <w:rsid w:val="00AE13AC"/>
    <w:rsid w:val="00AE18FB"/>
    <w:rsid w:val="00AE233A"/>
    <w:rsid w:val="00AE26B2"/>
    <w:rsid w:val="00AE2864"/>
    <w:rsid w:val="00AE2EB9"/>
    <w:rsid w:val="00AE4595"/>
    <w:rsid w:val="00AE475D"/>
    <w:rsid w:val="00AE66AA"/>
    <w:rsid w:val="00AE7943"/>
    <w:rsid w:val="00AF03C7"/>
    <w:rsid w:val="00AF0519"/>
    <w:rsid w:val="00AF1D51"/>
    <w:rsid w:val="00AF1E48"/>
    <w:rsid w:val="00AF2580"/>
    <w:rsid w:val="00AF307C"/>
    <w:rsid w:val="00AF3A4C"/>
    <w:rsid w:val="00AF402C"/>
    <w:rsid w:val="00AF5074"/>
    <w:rsid w:val="00AF5532"/>
    <w:rsid w:val="00AF5CDD"/>
    <w:rsid w:val="00AF641B"/>
    <w:rsid w:val="00AF71D2"/>
    <w:rsid w:val="00AF729B"/>
    <w:rsid w:val="00AF7628"/>
    <w:rsid w:val="00B0012E"/>
    <w:rsid w:val="00B0135B"/>
    <w:rsid w:val="00B016F7"/>
    <w:rsid w:val="00B017F1"/>
    <w:rsid w:val="00B02079"/>
    <w:rsid w:val="00B034A9"/>
    <w:rsid w:val="00B046FD"/>
    <w:rsid w:val="00B04787"/>
    <w:rsid w:val="00B04A46"/>
    <w:rsid w:val="00B061A7"/>
    <w:rsid w:val="00B06D5D"/>
    <w:rsid w:val="00B07328"/>
    <w:rsid w:val="00B07503"/>
    <w:rsid w:val="00B077A4"/>
    <w:rsid w:val="00B07AE6"/>
    <w:rsid w:val="00B10EF7"/>
    <w:rsid w:val="00B1278B"/>
    <w:rsid w:val="00B12C17"/>
    <w:rsid w:val="00B132AB"/>
    <w:rsid w:val="00B13BBB"/>
    <w:rsid w:val="00B14884"/>
    <w:rsid w:val="00B15669"/>
    <w:rsid w:val="00B15B3B"/>
    <w:rsid w:val="00B15B6D"/>
    <w:rsid w:val="00B20E89"/>
    <w:rsid w:val="00B20EF5"/>
    <w:rsid w:val="00B21D65"/>
    <w:rsid w:val="00B22689"/>
    <w:rsid w:val="00B22EB7"/>
    <w:rsid w:val="00B235BC"/>
    <w:rsid w:val="00B236E9"/>
    <w:rsid w:val="00B24DB9"/>
    <w:rsid w:val="00B254E1"/>
    <w:rsid w:val="00B25C3C"/>
    <w:rsid w:val="00B25EEC"/>
    <w:rsid w:val="00B266E3"/>
    <w:rsid w:val="00B269C0"/>
    <w:rsid w:val="00B27277"/>
    <w:rsid w:val="00B27288"/>
    <w:rsid w:val="00B30A26"/>
    <w:rsid w:val="00B31814"/>
    <w:rsid w:val="00B31952"/>
    <w:rsid w:val="00B3298C"/>
    <w:rsid w:val="00B33525"/>
    <w:rsid w:val="00B34EEB"/>
    <w:rsid w:val="00B35DD3"/>
    <w:rsid w:val="00B365C9"/>
    <w:rsid w:val="00B36FB2"/>
    <w:rsid w:val="00B36FDE"/>
    <w:rsid w:val="00B370AD"/>
    <w:rsid w:val="00B371D2"/>
    <w:rsid w:val="00B378FE"/>
    <w:rsid w:val="00B379A5"/>
    <w:rsid w:val="00B379F4"/>
    <w:rsid w:val="00B37E67"/>
    <w:rsid w:val="00B412B0"/>
    <w:rsid w:val="00B41A46"/>
    <w:rsid w:val="00B42C62"/>
    <w:rsid w:val="00B4341B"/>
    <w:rsid w:val="00B44E4F"/>
    <w:rsid w:val="00B45A09"/>
    <w:rsid w:val="00B4627C"/>
    <w:rsid w:val="00B46BC7"/>
    <w:rsid w:val="00B47EBE"/>
    <w:rsid w:val="00B50A1B"/>
    <w:rsid w:val="00B51B8F"/>
    <w:rsid w:val="00B525C4"/>
    <w:rsid w:val="00B526E6"/>
    <w:rsid w:val="00B52B99"/>
    <w:rsid w:val="00B5329B"/>
    <w:rsid w:val="00B533B6"/>
    <w:rsid w:val="00B53A40"/>
    <w:rsid w:val="00B53B54"/>
    <w:rsid w:val="00B542ED"/>
    <w:rsid w:val="00B54889"/>
    <w:rsid w:val="00B54EBC"/>
    <w:rsid w:val="00B5657A"/>
    <w:rsid w:val="00B56925"/>
    <w:rsid w:val="00B574D9"/>
    <w:rsid w:val="00B57972"/>
    <w:rsid w:val="00B57B6A"/>
    <w:rsid w:val="00B60172"/>
    <w:rsid w:val="00B60336"/>
    <w:rsid w:val="00B60D55"/>
    <w:rsid w:val="00B60E98"/>
    <w:rsid w:val="00B612F9"/>
    <w:rsid w:val="00B61A29"/>
    <w:rsid w:val="00B61DF9"/>
    <w:rsid w:val="00B623D8"/>
    <w:rsid w:val="00B62A27"/>
    <w:rsid w:val="00B6344C"/>
    <w:rsid w:val="00B648A5"/>
    <w:rsid w:val="00B6558A"/>
    <w:rsid w:val="00B6574C"/>
    <w:rsid w:val="00B65E66"/>
    <w:rsid w:val="00B65EFB"/>
    <w:rsid w:val="00B660E3"/>
    <w:rsid w:val="00B6654F"/>
    <w:rsid w:val="00B67035"/>
    <w:rsid w:val="00B70BDE"/>
    <w:rsid w:val="00B71257"/>
    <w:rsid w:val="00B71D38"/>
    <w:rsid w:val="00B720EC"/>
    <w:rsid w:val="00B72A3C"/>
    <w:rsid w:val="00B72CEE"/>
    <w:rsid w:val="00B738AF"/>
    <w:rsid w:val="00B745A6"/>
    <w:rsid w:val="00B75D3B"/>
    <w:rsid w:val="00B77631"/>
    <w:rsid w:val="00B80068"/>
    <w:rsid w:val="00B80B11"/>
    <w:rsid w:val="00B81AFF"/>
    <w:rsid w:val="00B81C0C"/>
    <w:rsid w:val="00B82467"/>
    <w:rsid w:val="00B82689"/>
    <w:rsid w:val="00B82C72"/>
    <w:rsid w:val="00B82EF4"/>
    <w:rsid w:val="00B82FE3"/>
    <w:rsid w:val="00B8321C"/>
    <w:rsid w:val="00B83CE8"/>
    <w:rsid w:val="00B83FDD"/>
    <w:rsid w:val="00B84A2B"/>
    <w:rsid w:val="00B84D8D"/>
    <w:rsid w:val="00B85477"/>
    <w:rsid w:val="00B8671B"/>
    <w:rsid w:val="00B86CCF"/>
    <w:rsid w:val="00B87344"/>
    <w:rsid w:val="00B87834"/>
    <w:rsid w:val="00B87E16"/>
    <w:rsid w:val="00B91103"/>
    <w:rsid w:val="00B911BE"/>
    <w:rsid w:val="00B91686"/>
    <w:rsid w:val="00B91B20"/>
    <w:rsid w:val="00B91E3E"/>
    <w:rsid w:val="00B92AE9"/>
    <w:rsid w:val="00B93612"/>
    <w:rsid w:val="00B93EA5"/>
    <w:rsid w:val="00B94E92"/>
    <w:rsid w:val="00B95003"/>
    <w:rsid w:val="00B9519B"/>
    <w:rsid w:val="00B95BD0"/>
    <w:rsid w:val="00B9606D"/>
    <w:rsid w:val="00B960B6"/>
    <w:rsid w:val="00B976AB"/>
    <w:rsid w:val="00B97991"/>
    <w:rsid w:val="00BA0149"/>
    <w:rsid w:val="00BA0360"/>
    <w:rsid w:val="00BA0DE5"/>
    <w:rsid w:val="00BA189D"/>
    <w:rsid w:val="00BA2B87"/>
    <w:rsid w:val="00BA32C2"/>
    <w:rsid w:val="00BA351B"/>
    <w:rsid w:val="00BA361F"/>
    <w:rsid w:val="00BA4F97"/>
    <w:rsid w:val="00BA5947"/>
    <w:rsid w:val="00BA7004"/>
    <w:rsid w:val="00BB0212"/>
    <w:rsid w:val="00BB0A40"/>
    <w:rsid w:val="00BB1639"/>
    <w:rsid w:val="00BB1C13"/>
    <w:rsid w:val="00BB2E2C"/>
    <w:rsid w:val="00BB2FDC"/>
    <w:rsid w:val="00BB366B"/>
    <w:rsid w:val="00BB3ADA"/>
    <w:rsid w:val="00BB4017"/>
    <w:rsid w:val="00BB4B59"/>
    <w:rsid w:val="00BB54B3"/>
    <w:rsid w:val="00BB5C04"/>
    <w:rsid w:val="00BB5CA7"/>
    <w:rsid w:val="00BB665B"/>
    <w:rsid w:val="00BB68A7"/>
    <w:rsid w:val="00BB7DE6"/>
    <w:rsid w:val="00BC12D8"/>
    <w:rsid w:val="00BC1BAF"/>
    <w:rsid w:val="00BC25B7"/>
    <w:rsid w:val="00BC2BE8"/>
    <w:rsid w:val="00BC3FB9"/>
    <w:rsid w:val="00BC5DB8"/>
    <w:rsid w:val="00BC5E87"/>
    <w:rsid w:val="00BC6025"/>
    <w:rsid w:val="00BC641B"/>
    <w:rsid w:val="00BC670F"/>
    <w:rsid w:val="00BD0035"/>
    <w:rsid w:val="00BD014E"/>
    <w:rsid w:val="00BD0E91"/>
    <w:rsid w:val="00BD1686"/>
    <w:rsid w:val="00BD1D11"/>
    <w:rsid w:val="00BD3E6F"/>
    <w:rsid w:val="00BD462B"/>
    <w:rsid w:val="00BD48E0"/>
    <w:rsid w:val="00BD65D3"/>
    <w:rsid w:val="00BD67F4"/>
    <w:rsid w:val="00BD6F89"/>
    <w:rsid w:val="00BD7D6F"/>
    <w:rsid w:val="00BE04D3"/>
    <w:rsid w:val="00BE090A"/>
    <w:rsid w:val="00BE0E6F"/>
    <w:rsid w:val="00BE1066"/>
    <w:rsid w:val="00BE15C2"/>
    <w:rsid w:val="00BE22A7"/>
    <w:rsid w:val="00BE22C6"/>
    <w:rsid w:val="00BE2A52"/>
    <w:rsid w:val="00BE310E"/>
    <w:rsid w:val="00BE3E2C"/>
    <w:rsid w:val="00BE3E37"/>
    <w:rsid w:val="00BE4575"/>
    <w:rsid w:val="00BE4BB8"/>
    <w:rsid w:val="00BE4C4C"/>
    <w:rsid w:val="00BE4F98"/>
    <w:rsid w:val="00BE590D"/>
    <w:rsid w:val="00BE6E5C"/>
    <w:rsid w:val="00BE7181"/>
    <w:rsid w:val="00BE75D3"/>
    <w:rsid w:val="00BF07DA"/>
    <w:rsid w:val="00BF0D49"/>
    <w:rsid w:val="00BF0F41"/>
    <w:rsid w:val="00BF1161"/>
    <w:rsid w:val="00BF1502"/>
    <w:rsid w:val="00BF1555"/>
    <w:rsid w:val="00BF2031"/>
    <w:rsid w:val="00BF23A8"/>
    <w:rsid w:val="00BF2999"/>
    <w:rsid w:val="00BF37A7"/>
    <w:rsid w:val="00BF3F4F"/>
    <w:rsid w:val="00BF587C"/>
    <w:rsid w:val="00BF6952"/>
    <w:rsid w:val="00BF6FBB"/>
    <w:rsid w:val="00C00458"/>
    <w:rsid w:val="00C0068D"/>
    <w:rsid w:val="00C00D45"/>
    <w:rsid w:val="00C015D0"/>
    <w:rsid w:val="00C0188B"/>
    <w:rsid w:val="00C01D85"/>
    <w:rsid w:val="00C02933"/>
    <w:rsid w:val="00C03AB6"/>
    <w:rsid w:val="00C0462C"/>
    <w:rsid w:val="00C04B91"/>
    <w:rsid w:val="00C051BE"/>
    <w:rsid w:val="00C052BD"/>
    <w:rsid w:val="00C060C9"/>
    <w:rsid w:val="00C060EB"/>
    <w:rsid w:val="00C062D6"/>
    <w:rsid w:val="00C06C03"/>
    <w:rsid w:val="00C06D28"/>
    <w:rsid w:val="00C06E2C"/>
    <w:rsid w:val="00C072B1"/>
    <w:rsid w:val="00C0766B"/>
    <w:rsid w:val="00C078FF"/>
    <w:rsid w:val="00C07B31"/>
    <w:rsid w:val="00C1017F"/>
    <w:rsid w:val="00C1035A"/>
    <w:rsid w:val="00C10C73"/>
    <w:rsid w:val="00C11230"/>
    <w:rsid w:val="00C11495"/>
    <w:rsid w:val="00C1195A"/>
    <w:rsid w:val="00C11A8E"/>
    <w:rsid w:val="00C13114"/>
    <w:rsid w:val="00C14278"/>
    <w:rsid w:val="00C15228"/>
    <w:rsid w:val="00C15B1D"/>
    <w:rsid w:val="00C16C7F"/>
    <w:rsid w:val="00C1704B"/>
    <w:rsid w:val="00C205D2"/>
    <w:rsid w:val="00C21615"/>
    <w:rsid w:val="00C2178E"/>
    <w:rsid w:val="00C21FFC"/>
    <w:rsid w:val="00C2325F"/>
    <w:rsid w:val="00C24793"/>
    <w:rsid w:val="00C249C7"/>
    <w:rsid w:val="00C24C5D"/>
    <w:rsid w:val="00C24EED"/>
    <w:rsid w:val="00C251FC"/>
    <w:rsid w:val="00C26577"/>
    <w:rsid w:val="00C2741C"/>
    <w:rsid w:val="00C27721"/>
    <w:rsid w:val="00C279B0"/>
    <w:rsid w:val="00C27D7D"/>
    <w:rsid w:val="00C3058A"/>
    <w:rsid w:val="00C31B0F"/>
    <w:rsid w:val="00C326F7"/>
    <w:rsid w:val="00C32879"/>
    <w:rsid w:val="00C32DA7"/>
    <w:rsid w:val="00C34179"/>
    <w:rsid w:val="00C34916"/>
    <w:rsid w:val="00C34A01"/>
    <w:rsid w:val="00C351B1"/>
    <w:rsid w:val="00C3533B"/>
    <w:rsid w:val="00C3647D"/>
    <w:rsid w:val="00C36B0C"/>
    <w:rsid w:val="00C37F42"/>
    <w:rsid w:val="00C42C52"/>
    <w:rsid w:val="00C433F7"/>
    <w:rsid w:val="00C44292"/>
    <w:rsid w:val="00C44381"/>
    <w:rsid w:val="00C44B8D"/>
    <w:rsid w:val="00C44DF9"/>
    <w:rsid w:val="00C457AC"/>
    <w:rsid w:val="00C45DCD"/>
    <w:rsid w:val="00C46472"/>
    <w:rsid w:val="00C516D1"/>
    <w:rsid w:val="00C5272A"/>
    <w:rsid w:val="00C53B47"/>
    <w:rsid w:val="00C543E0"/>
    <w:rsid w:val="00C55CB8"/>
    <w:rsid w:val="00C5625F"/>
    <w:rsid w:val="00C57B63"/>
    <w:rsid w:val="00C57C30"/>
    <w:rsid w:val="00C6013B"/>
    <w:rsid w:val="00C60306"/>
    <w:rsid w:val="00C607D2"/>
    <w:rsid w:val="00C60D85"/>
    <w:rsid w:val="00C61911"/>
    <w:rsid w:val="00C62D0B"/>
    <w:rsid w:val="00C631E6"/>
    <w:rsid w:val="00C6445D"/>
    <w:rsid w:val="00C65602"/>
    <w:rsid w:val="00C679E4"/>
    <w:rsid w:val="00C702B9"/>
    <w:rsid w:val="00C711FB"/>
    <w:rsid w:val="00C7224D"/>
    <w:rsid w:val="00C72D31"/>
    <w:rsid w:val="00C7337F"/>
    <w:rsid w:val="00C74176"/>
    <w:rsid w:val="00C76062"/>
    <w:rsid w:val="00C76964"/>
    <w:rsid w:val="00C769D6"/>
    <w:rsid w:val="00C805FA"/>
    <w:rsid w:val="00C8067F"/>
    <w:rsid w:val="00C81864"/>
    <w:rsid w:val="00C821FB"/>
    <w:rsid w:val="00C82CC4"/>
    <w:rsid w:val="00C83785"/>
    <w:rsid w:val="00C83E95"/>
    <w:rsid w:val="00C84458"/>
    <w:rsid w:val="00C860F7"/>
    <w:rsid w:val="00C863AD"/>
    <w:rsid w:val="00C86DC3"/>
    <w:rsid w:val="00C879D3"/>
    <w:rsid w:val="00C879EE"/>
    <w:rsid w:val="00C90725"/>
    <w:rsid w:val="00C920A1"/>
    <w:rsid w:val="00C9230D"/>
    <w:rsid w:val="00C92A69"/>
    <w:rsid w:val="00C951C8"/>
    <w:rsid w:val="00C95620"/>
    <w:rsid w:val="00C95780"/>
    <w:rsid w:val="00C96A41"/>
    <w:rsid w:val="00C96E5F"/>
    <w:rsid w:val="00C97364"/>
    <w:rsid w:val="00CA103D"/>
    <w:rsid w:val="00CA2194"/>
    <w:rsid w:val="00CA24A5"/>
    <w:rsid w:val="00CA2F99"/>
    <w:rsid w:val="00CA3ADF"/>
    <w:rsid w:val="00CA42AD"/>
    <w:rsid w:val="00CA445A"/>
    <w:rsid w:val="00CA544C"/>
    <w:rsid w:val="00CA607F"/>
    <w:rsid w:val="00CA609F"/>
    <w:rsid w:val="00CA6343"/>
    <w:rsid w:val="00CA7277"/>
    <w:rsid w:val="00CA7BFD"/>
    <w:rsid w:val="00CA7F23"/>
    <w:rsid w:val="00CB0B5B"/>
    <w:rsid w:val="00CB2F0B"/>
    <w:rsid w:val="00CB33EC"/>
    <w:rsid w:val="00CB3A7C"/>
    <w:rsid w:val="00CB4064"/>
    <w:rsid w:val="00CB4E4E"/>
    <w:rsid w:val="00CB58E2"/>
    <w:rsid w:val="00CB62DF"/>
    <w:rsid w:val="00CB649B"/>
    <w:rsid w:val="00CB6A9F"/>
    <w:rsid w:val="00CB6E3D"/>
    <w:rsid w:val="00CB75CF"/>
    <w:rsid w:val="00CB7CB5"/>
    <w:rsid w:val="00CC0383"/>
    <w:rsid w:val="00CC068E"/>
    <w:rsid w:val="00CC178C"/>
    <w:rsid w:val="00CC218E"/>
    <w:rsid w:val="00CC2796"/>
    <w:rsid w:val="00CC3308"/>
    <w:rsid w:val="00CC4286"/>
    <w:rsid w:val="00CC4960"/>
    <w:rsid w:val="00CC4AFB"/>
    <w:rsid w:val="00CC57B1"/>
    <w:rsid w:val="00CC5A71"/>
    <w:rsid w:val="00CC6233"/>
    <w:rsid w:val="00CC67EB"/>
    <w:rsid w:val="00CC6CCC"/>
    <w:rsid w:val="00CC732F"/>
    <w:rsid w:val="00CC7F58"/>
    <w:rsid w:val="00CC7FCC"/>
    <w:rsid w:val="00CD0827"/>
    <w:rsid w:val="00CD0FD2"/>
    <w:rsid w:val="00CD19CF"/>
    <w:rsid w:val="00CD1A11"/>
    <w:rsid w:val="00CD1FBD"/>
    <w:rsid w:val="00CD2972"/>
    <w:rsid w:val="00CD3ACD"/>
    <w:rsid w:val="00CD3C80"/>
    <w:rsid w:val="00CD41D4"/>
    <w:rsid w:val="00CD6307"/>
    <w:rsid w:val="00CD6FF9"/>
    <w:rsid w:val="00CD7367"/>
    <w:rsid w:val="00CD7664"/>
    <w:rsid w:val="00CD7945"/>
    <w:rsid w:val="00CE085F"/>
    <w:rsid w:val="00CE0EEC"/>
    <w:rsid w:val="00CE0F96"/>
    <w:rsid w:val="00CE1503"/>
    <w:rsid w:val="00CE1900"/>
    <w:rsid w:val="00CE19E7"/>
    <w:rsid w:val="00CE3D6A"/>
    <w:rsid w:val="00CE3E42"/>
    <w:rsid w:val="00CE3F7C"/>
    <w:rsid w:val="00CE4121"/>
    <w:rsid w:val="00CE4EE9"/>
    <w:rsid w:val="00CE509D"/>
    <w:rsid w:val="00CE51EE"/>
    <w:rsid w:val="00CE5E8B"/>
    <w:rsid w:val="00CE60AF"/>
    <w:rsid w:val="00CE61C3"/>
    <w:rsid w:val="00CE658F"/>
    <w:rsid w:val="00CE6DDC"/>
    <w:rsid w:val="00CE77FE"/>
    <w:rsid w:val="00CE7DB1"/>
    <w:rsid w:val="00CF0D5E"/>
    <w:rsid w:val="00CF18E6"/>
    <w:rsid w:val="00CF1CF8"/>
    <w:rsid w:val="00CF1D69"/>
    <w:rsid w:val="00CF2E33"/>
    <w:rsid w:val="00CF3007"/>
    <w:rsid w:val="00CF32E7"/>
    <w:rsid w:val="00CF333D"/>
    <w:rsid w:val="00CF3962"/>
    <w:rsid w:val="00CF544E"/>
    <w:rsid w:val="00CF555B"/>
    <w:rsid w:val="00CF6D90"/>
    <w:rsid w:val="00CF74D6"/>
    <w:rsid w:val="00CF7515"/>
    <w:rsid w:val="00D01A26"/>
    <w:rsid w:val="00D02202"/>
    <w:rsid w:val="00D0268C"/>
    <w:rsid w:val="00D03BA7"/>
    <w:rsid w:val="00D03C32"/>
    <w:rsid w:val="00D05595"/>
    <w:rsid w:val="00D05A87"/>
    <w:rsid w:val="00D0667A"/>
    <w:rsid w:val="00D06AB7"/>
    <w:rsid w:val="00D06F84"/>
    <w:rsid w:val="00D07791"/>
    <w:rsid w:val="00D07ADB"/>
    <w:rsid w:val="00D10378"/>
    <w:rsid w:val="00D10D7A"/>
    <w:rsid w:val="00D12219"/>
    <w:rsid w:val="00D1244F"/>
    <w:rsid w:val="00D12488"/>
    <w:rsid w:val="00D12EC0"/>
    <w:rsid w:val="00D14977"/>
    <w:rsid w:val="00D1505E"/>
    <w:rsid w:val="00D16053"/>
    <w:rsid w:val="00D16089"/>
    <w:rsid w:val="00D16518"/>
    <w:rsid w:val="00D16A89"/>
    <w:rsid w:val="00D174DA"/>
    <w:rsid w:val="00D1753B"/>
    <w:rsid w:val="00D17D6A"/>
    <w:rsid w:val="00D20A18"/>
    <w:rsid w:val="00D22EE6"/>
    <w:rsid w:val="00D22F8C"/>
    <w:rsid w:val="00D2378A"/>
    <w:rsid w:val="00D24323"/>
    <w:rsid w:val="00D25C0A"/>
    <w:rsid w:val="00D26202"/>
    <w:rsid w:val="00D27238"/>
    <w:rsid w:val="00D27AE2"/>
    <w:rsid w:val="00D30880"/>
    <w:rsid w:val="00D30F30"/>
    <w:rsid w:val="00D30FD3"/>
    <w:rsid w:val="00D31FF7"/>
    <w:rsid w:val="00D34765"/>
    <w:rsid w:val="00D34A4A"/>
    <w:rsid w:val="00D34D2A"/>
    <w:rsid w:val="00D34FF9"/>
    <w:rsid w:val="00D35A86"/>
    <w:rsid w:val="00D369CF"/>
    <w:rsid w:val="00D36D1A"/>
    <w:rsid w:val="00D36F01"/>
    <w:rsid w:val="00D3718D"/>
    <w:rsid w:val="00D379A1"/>
    <w:rsid w:val="00D37A57"/>
    <w:rsid w:val="00D40319"/>
    <w:rsid w:val="00D40762"/>
    <w:rsid w:val="00D41297"/>
    <w:rsid w:val="00D4168D"/>
    <w:rsid w:val="00D4181E"/>
    <w:rsid w:val="00D42F8D"/>
    <w:rsid w:val="00D438D2"/>
    <w:rsid w:val="00D4480F"/>
    <w:rsid w:val="00D44EC9"/>
    <w:rsid w:val="00D4615E"/>
    <w:rsid w:val="00D47D24"/>
    <w:rsid w:val="00D5068B"/>
    <w:rsid w:val="00D50734"/>
    <w:rsid w:val="00D50A5A"/>
    <w:rsid w:val="00D51614"/>
    <w:rsid w:val="00D51B99"/>
    <w:rsid w:val="00D51D14"/>
    <w:rsid w:val="00D51D3B"/>
    <w:rsid w:val="00D52926"/>
    <w:rsid w:val="00D5297E"/>
    <w:rsid w:val="00D52D40"/>
    <w:rsid w:val="00D532C0"/>
    <w:rsid w:val="00D532D3"/>
    <w:rsid w:val="00D5413D"/>
    <w:rsid w:val="00D548CE"/>
    <w:rsid w:val="00D54ADC"/>
    <w:rsid w:val="00D54BA4"/>
    <w:rsid w:val="00D54C66"/>
    <w:rsid w:val="00D54CB9"/>
    <w:rsid w:val="00D55568"/>
    <w:rsid w:val="00D555A9"/>
    <w:rsid w:val="00D5601E"/>
    <w:rsid w:val="00D56026"/>
    <w:rsid w:val="00D56BA7"/>
    <w:rsid w:val="00D56E4D"/>
    <w:rsid w:val="00D607B4"/>
    <w:rsid w:val="00D60D7C"/>
    <w:rsid w:val="00D615B0"/>
    <w:rsid w:val="00D62A43"/>
    <w:rsid w:val="00D62DCF"/>
    <w:rsid w:val="00D62FDC"/>
    <w:rsid w:val="00D635EF"/>
    <w:rsid w:val="00D639EC"/>
    <w:rsid w:val="00D63F41"/>
    <w:rsid w:val="00D642A6"/>
    <w:rsid w:val="00D6484E"/>
    <w:rsid w:val="00D653A7"/>
    <w:rsid w:val="00D66043"/>
    <w:rsid w:val="00D660FB"/>
    <w:rsid w:val="00D67025"/>
    <w:rsid w:val="00D6757C"/>
    <w:rsid w:val="00D67859"/>
    <w:rsid w:val="00D67994"/>
    <w:rsid w:val="00D70096"/>
    <w:rsid w:val="00D700B9"/>
    <w:rsid w:val="00D707A7"/>
    <w:rsid w:val="00D70CD6"/>
    <w:rsid w:val="00D7119B"/>
    <w:rsid w:val="00D71AA2"/>
    <w:rsid w:val="00D72705"/>
    <w:rsid w:val="00D72DE1"/>
    <w:rsid w:val="00D73464"/>
    <w:rsid w:val="00D7356F"/>
    <w:rsid w:val="00D73FD7"/>
    <w:rsid w:val="00D749EA"/>
    <w:rsid w:val="00D756B1"/>
    <w:rsid w:val="00D7640F"/>
    <w:rsid w:val="00D76BBD"/>
    <w:rsid w:val="00D77AF2"/>
    <w:rsid w:val="00D80058"/>
    <w:rsid w:val="00D80063"/>
    <w:rsid w:val="00D806F8"/>
    <w:rsid w:val="00D8079E"/>
    <w:rsid w:val="00D808B4"/>
    <w:rsid w:val="00D810FE"/>
    <w:rsid w:val="00D8147A"/>
    <w:rsid w:val="00D82863"/>
    <w:rsid w:val="00D82B29"/>
    <w:rsid w:val="00D82D60"/>
    <w:rsid w:val="00D83353"/>
    <w:rsid w:val="00D8364E"/>
    <w:rsid w:val="00D83A52"/>
    <w:rsid w:val="00D8589F"/>
    <w:rsid w:val="00D85A40"/>
    <w:rsid w:val="00D85BC2"/>
    <w:rsid w:val="00D86408"/>
    <w:rsid w:val="00D865A0"/>
    <w:rsid w:val="00D86673"/>
    <w:rsid w:val="00D87257"/>
    <w:rsid w:val="00D87397"/>
    <w:rsid w:val="00D87B17"/>
    <w:rsid w:val="00D907CF"/>
    <w:rsid w:val="00D93000"/>
    <w:rsid w:val="00D938E3"/>
    <w:rsid w:val="00D93FFA"/>
    <w:rsid w:val="00D94526"/>
    <w:rsid w:val="00D9480B"/>
    <w:rsid w:val="00D94BDA"/>
    <w:rsid w:val="00D9505A"/>
    <w:rsid w:val="00D95840"/>
    <w:rsid w:val="00DA0DE1"/>
    <w:rsid w:val="00DA169B"/>
    <w:rsid w:val="00DA16EB"/>
    <w:rsid w:val="00DA259E"/>
    <w:rsid w:val="00DA265B"/>
    <w:rsid w:val="00DA3217"/>
    <w:rsid w:val="00DA3E07"/>
    <w:rsid w:val="00DA405E"/>
    <w:rsid w:val="00DA4991"/>
    <w:rsid w:val="00DA4D57"/>
    <w:rsid w:val="00DA5330"/>
    <w:rsid w:val="00DA53C2"/>
    <w:rsid w:val="00DA697A"/>
    <w:rsid w:val="00DA6A43"/>
    <w:rsid w:val="00DA6CFD"/>
    <w:rsid w:val="00DA6DD7"/>
    <w:rsid w:val="00DA7986"/>
    <w:rsid w:val="00DA79DC"/>
    <w:rsid w:val="00DA7CA4"/>
    <w:rsid w:val="00DA7D4F"/>
    <w:rsid w:val="00DA7EF9"/>
    <w:rsid w:val="00DB0980"/>
    <w:rsid w:val="00DB1871"/>
    <w:rsid w:val="00DB241D"/>
    <w:rsid w:val="00DB2698"/>
    <w:rsid w:val="00DB2B91"/>
    <w:rsid w:val="00DB41C6"/>
    <w:rsid w:val="00DB43AE"/>
    <w:rsid w:val="00DB51CF"/>
    <w:rsid w:val="00DB6558"/>
    <w:rsid w:val="00DB7F4E"/>
    <w:rsid w:val="00DC0A3B"/>
    <w:rsid w:val="00DC0B1E"/>
    <w:rsid w:val="00DC0DFA"/>
    <w:rsid w:val="00DC1028"/>
    <w:rsid w:val="00DC15B8"/>
    <w:rsid w:val="00DC1CF3"/>
    <w:rsid w:val="00DC1D0D"/>
    <w:rsid w:val="00DC1E3C"/>
    <w:rsid w:val="00DC3404"/>
    <w:rsid w:val="00DC3BEE"/>
    <w:rsid w:val="00DC3C5E"/>
    <w:rsid w:val="00DC405B"/>
    <w:rsid w:val="00DC552C"/>
    <w:rsid w:val="00DC5B80"/>
    <w:rsid w:val="00DC76F5"/>
    <w:rsid w:val="00DC78AA"/>
    <w:rsid w:val="00DD00A2"/>
    <w:rsid w:val="00DD0605"/>
    <w:rsid w:val="00DD06B8"/>
    <w:rsid w:val="00DD1D6A"/>
    <w:rsid w:val="00DD1DC1"/>
    <w:rsid w:val="00DD1EAC"/>
    <w:rsid w:val="00DD1FDB"/>
    <w:rsid w:val="00DD242F"/>
    <w:rsid w:val="00DD272E"/>
    <w:rsid w:val="00DD338F"/>
    <w:rsid w:val="00DD414B"/>
    <w:rsid w:val="00DD49D6"/>
    <w:rsid w:val="00DD4F46"/>
    <w:rsid w:val="00DD51D2"/>
    <w:rsid w:val="00DD5986"/>
    <w:rsid w:val="00DD5CAA"/>
    <w:rsid w:val="00DD7464"/>
    <w:rsid w:val="00DD77D5"/>
    <w:rsid w:val="00DD7FCC"/>
    <w:rsid w:val="00DE0337"/>
    <w:rsid w:val="00DE06FB"/>
    <w:rsid w:val="00DE0756"/>
    <w:rsid w:val="00DE16F4"/>
    <w:rsid w:val="00DE3D92"/>
    <w:rsid w:val="00DE5ACA"/>
    <w:rsid w:val="00DE66EE"/>
    <w:rsid w:val="00DE71B3"/>
    <w:rsid w:val="00DE79A9"/>
    <w:rsid w:val="00DE7B3A"/>
    <w:rsid w:val="00DF0272"/>
    <w:rsid w:val="00DF184C"/>
    <w:rsid w:val="00DF185C"/>
    <w:rsid w:val="00DF1C74"/>
    <w:rsid w:val="00DF1CB6"/>
    <w:rsid w:val="00DF1D8B"/>
    <w:rsid w:val="00DF21ED"/>
    <w:rsid w:val="00DF2488"/>
    <w:rsid w:val="00DF2495"/>
    <w:rsid w:val="00DF2A81"/>
    <w:rsid w:val="00DF2CFE"/>
    <w:rsid w:val="00DF2DA9"/>
    <w:rsid w:val="00DF3148"/>
    <w:rsid w:val="00DF4B96"/>
    <w:rsid w:val="00DF4D2C"/>
    <w:rsid w:val="00DF5DD4"/>
    <w:rsid w:val="00DF5EB3"/>
    <w:rsid w:val="00DF5EF2"/>
    <w:rsid w:val="00DF615A"/>
    <w:rsid w:val="00DF6341"/>
    <w:rsid w:val="00DF699E"/>
    <w:rsid w:val="00DF7755"/>
    <w:rsid w:val="00E01280"/>
    <w:rsid w:val="00E01350"/>
    <w:rsid w:val="00E0202E"/>
    <w:rsid w:val="00E02AA1"/>
    <w:rsid w:val="00E04DD0"/>
    <w:rsid w:val="00E05388"/>
    <w:rsid w:val="00E05550"/>
    <w:rsid w:val="00E055BD"/>
    <w:rsid w:val="00E0588A"/>
    <w:rsid w:val="00E05946"/>
    <w:rsid w:val="00E05F48"/>
    <w:rsid w:val="00E06CC3"/>
    <w:rsid w:val="00E070DC"/>
    <w:rsid w:val="00E10618"/>
    <w:rsid w:val="00E10C5B"/>
    <w:rsid w:val="00E12E6E"/>
    <w:rsid w:val="00E154B7"/>
    <w:rsid w:val="00E157A2"/>
    <w:rsid w:val="00E17BDB"/>
    <w:rsid w:val="00E20769"/>
    <w:rsid w:val="00E20902"/>
    <w:rsid w:val="00E218CE"/>
    <w:rsid w:val="00E221EE"/>
    <w:rsid w:val="00E22BA1"/>
    <w:rsid w:val="00E22BA2"/>
    <w:rsid w:val="00E23029"/>
    <w:rsid w:val="00E2377C"/>
    <w:rsid w:val="00E242DD"/>
    <w:rsid w:val="00E24DF3"/>
    <w:rsid w:val="00E25FDE"/>
    <w:rsid w:val="00E26522"/>
    <w:rsid w:val="00E273B9"/>
    <w:rsid w:val="00E27E98"/>
    <w:rsid w:val="00E30DF4"/>
    <w:rsid w:val="00E3125C"/>
    <w:rsid w:val="00E33281"/>
    <w:rsid w:val="00E3441A"/>
    <w:rsid w:val="00E3505F"/>
    <w:rsid w:val="00E35917"/>
    <w:rsid w:val="00E35B24"/>
    <w:rsid w:val="00E36173"/>
    <w:rsid w:val="00E36E6C"/>
    <w:rsid w:val="00E373E9"/>
    <w:rsid w:val="00E37784"/>
    <w:rsid w:val="00E377B9"/>
    <w:rsid w:val="00E40332"/>
    <w:rsid w:val="00E40CD5"/>
    <w:rsid w:val="00E41AE2"/>
    <w:rsid w:val="00E41DD3"/>
    <w:rsid w:val="00E41E73"/>
    <w:rsid w:val="00E4284D"/>
    <w:rsid w:val="00E43075"/>
    <w:rsid w:val="00E4387D"/>
    <w:rsid w:val="00E43C11"/>
    <w:rsid w:val="00E44365"/>
    <w:rsid w:val="00E44AA0"/>
    <w:rsid w:val="00E44CC8"/>
    <w:rsid w:val="00E458C2"/>
    <w:rsid w:val="00E45F1C"/>
    <w:rsid w:val="00E460D1"/>
    <w:rsid w:val="00E467BB"/>
    <w:rsid w:val="00E46D74"/>
    <w:rsid w:val="00E47A79"/>
    <w:rsid w:val="00E47DAB"/>
    <w:rsid w:val="00E50A07"/>
    <w:rsid w:val="00E50B42"/>
    <w:rsid w:val="00E51286"/>
    <w:rsid w:val="00E51DD9"/>
    <w:rsid w:val="00E53CD1"/>
    <w:rsid w:val="00E53EB5"/>
    <w:rsid w:val="00E547EB"/>
    <w:rsid w:val="00E56ECA"/>
    <w:rsid w:val="00E57AAC"/>
    <w:rsid w:val="00E604FB"/>
    <w:rsid w:val="00E61F5D"/>
    <w:rsid w:val="00E61F9B"/>
    <w:rsid w:val="00E6506C"/>
    <w:rsid w:val="00E6534B"/>
    <w:rsid w:val="00E663A8"/>
    <w:rsid w:val="00E66A8D"/>
    <w:rsid w:val="00E70879"/>
    <w:rsid w:val="00E70B9B"/>
    <w:rsid w:val="00E71009"/>
    <w:rsid w:val="00E72283"/>
    <w:rsid w:val="00E72B50"/>
    <w:rsid w:val="00E72FD2"/>
    <w:rsid w:val="00E734BA"/>
    <w:rsid w:val="00E735A7"/>
    <w:rsid w:val="00E7453A"/>
    <w:rsid w:val="00E75327"/>
    <w:rsid w:val="00E77FEE"/>
    <w:rsid w:val="00E81718"/>
    <w:rsid w:val="00E8406D"/>
    <w:rsid w:val="00E844AD"/>
    <w:rsid w:val="00E849E4"/>
    <w:rsid w:val="00E84C9B"/>
    <w:rsid w:val="00E86050"/>
    <w:rsid w:val="00E86432"/>
    <w:rsid w:val="00E86F34"/>
    <w:rsid w:val="00E86F73"/>
    <w:rsid w:val="00E8744B"/>
    <w:rsid w:val="00E90AD6"/>
    <w:rsid w:val="00E91028"/>
    <w:rsid w:val="00E914AD"/>
    <w:rsid w:val="00E9163E"/>
    <w:rsid w:val="00E91812"/>
    <w:rsid w:val="00E91832"/>
    <w:rsid w:val="00E91CE8"/>
    <w:rsid w:val="00E93209"/>
    <w:rsid w:val="00E9501B"/>
    <w:rsid w:val="00E95658"/>
    <w:rsid w:val="00E95B8D"/>
    <w:rsid w:val="00E97502"/>
    <w:rsid w:val="00E97C0A"/>
    <w:rsid w:val="00EA0948"/>
    <w:rsid w:val="00EA2000"/>
    <w:rsid w:val="00EA22B8"/>
    <w:rsid w:val="00EA3775"/>
    <w:rsid w:val="00EA4292"/>
    <w:rsid w:val="00EA4C88"/>
    <w:rsid w:val="00EA4F35"/>
    <w:rsid w:val="00EA5006"/>
    <w:rsid w:val="00EA5CB2"/>
    <w:rsid w:val="00EA6BEB"/>
    <w:rsid w:val="00EA75FB"/>
    <w:rsid w:val="00EA769D"/>
    <w:rsid w:val="00EA7FD7"/>
    <w:rsid w:val="00EB0BC4"/>
    <w:rsid w:val="00EB1461"/>
    <w:rsid w:val="00EB1B34"/>
    <w:rsid w:val="00EB22F6"/>
    <w:rsid w:val="00EB29B4"/>
    <w:rsid w:val="00EB29E6"/>
    <w:rsid w:val="00EB2B75"/>
    <w:rsid w:val="00EB359B"/>
    <w:rsid w:val="00EB3790"/>
    <w:rsid w:val="00EB382F"/>
    <w:rsid w:val="00EB418B"/>
    <w:rsid w:val="00EB55F6"/>
    <w:rsid w:val="00EB56DA"/>
    <w:rsid w:val="00EB63CF"/>
    <w:rsid w:val="00EB7945"/>
    <w:rsid w:val="00EC01EC"/>
    <w:rsid w:val="00EC17A4"/>
    <w:rsid w:val="00EC1B08"/>
    <w:rsid w:val="00EC25D0"/>
    <w:rsid w:val="00EC2ECA"/>
    <w:rsid w:val="00EC2FAD"/>
    <w:rsid w:val="00EC4030"/>
    <w:rsid w:val="00EC4757"/>
    <w:rsid w:val="00EC7366"/>
    <w:rsid w:val="00EC759E"/>
    <w:rsid w:val="00EC7800"/>
    <w:rsid w:val="00EC7CD9"/>
    <w:rsid w:val="00ED129A"/>
    <w:rsid w:val="00ED1ADA"/>
    <w:rsid w:val="00ED1E82"/>
    <w:rsid w:val="00ED1FB9"/>
    <w:rsid w:val="00ED2681"/>
    <w:rsid w:val="00ED29E8"/>
    <w:rsid w:val="00ED3526"/>
    <w:rsid w:val="00ED38CB"/>
    <w:rsid w:val="00ED3DF1"/>
    <w:rsid w:val="00ED3E66"/>
    <w:rsid w:val="00ED49DC"/>
    <w:rsid w:val="00ED5334"/>
    <w:rsid w:val="00ED5690"/>
    <w:rsid w:val="00ED5A34"/>
    <w:rsid w:val="00ED6484"/>
    <w:rsid w:val="00ED6B35"/>
    <w:rsid w:val="00ED7965"/>
    <w:rsid w:val="00EE0643"/>
    <w:rsid w:val="00EE1879"/>
    <w:rsid w:val="00EE1A65"/>
    <w:rsid w:val="00EE1BA1"/>
    <w:rsid w:val="00EE2AB5"/>
    <w:rsid w:val="00EE2B32"/>
    <w:rsid w:val="00EE3215"/>
    <w:rsid w:val="00EE336B"/>
    <w:rsid w:val="00EE46C0"/>
    <w:rsid w:val="00EE4B69"/>
    <w:rsid w:val="00EE4C50"/>
    <w:rsid w:val="00EE4DEA"/>
    <w:rsid w:val="00EE59E7"/>
    <w:rsid w:val="00EE62FC"/>
    <w:rsid w:val="00EE6B3D"/>
    <w:rsid w:val="00EE7BD5"/>
    <w:rsid w:val="00EE7DD2"/>
    <w:rsid w:val="00EF0C50"/>
    <w:rsid w:val="00EF165F"/>
    <w:rsid w:val="00EF1B5E"/>
    <w:rsid w:val="00EF32C9"/>
    <w:rsid w:val="00EF3B6A"/>
    <w:rsid w:val="00EF3E33"/>
    <w:rsid w:val="00EF4C9E"/>
    <w:rsid w:val="00EF4EB5"/>
    <w:rsid w:val="00EF6248"/>
    <w:rsid w:val="00EF6564"/>
    <w:rsid w:val="00EF79EF"/>
    <w:rsid w:val="00F005C8"/>
    <w:rsid w:val="00F0180B"/>
    <w:rsid w:val="00F01996"/>
    <w:rsid w:val="00F01CF2"/>
    <w:rsid w:val="00F02B71"/>
    <w:rsid w:val="00F02D7B"/>
    <w:rsid w:val="00F041AB"/>
    <w:rsid w:val="00F04FF7"/>
    <w:rsid w:val="00F0534C"/>
    <w:rsid w:val="00F05C72"/>
    <w:rsid w:val="00F0639D"/>
    <w:rsid w:val="00F065A6"/>
    <w:rsid w:val="00F07537"/>
    <w:rsid w:val="00F07C23"/>
    <w:rsid w:val="00F07C3E"/>
    <w:rsid w:val="00F1174C"/>
    <w:rsid w:val="00F11AF1"/>
    <w:rsid w:val="00F1204F"/>
    <w:rsid w:val="00F127BB"/>
    <w:rsid w:val="00F12D6A"/>
    <w:rsid w:val="00F12E5C"/>
    <w:rsid w:val="00F133E4"/>
    <w:rsid w:val="00F13D4A"/>
    <w:rsid w:val="00F13D65"/>
    <w:rsid w:val="00F13E2B"/>
    <w:rsid w:val="00F15266"/>
    <w:rsid w:val="00F15339"/>
    <w:rsid w:val="00F159EE"/>
    <w:rsid w:val="00F15FBD"/>
    <w:rsid w:val="00F163F4"/>
    <w:rsid w:val="00F16F5B"/>
    <w:rsid w:val="00F176C6"/>
    <w:rsid w:val="00F17916"/>
    <w:rsid w:val="00F20677"/>
    <w:rsid w:val="00F22114"/>
    <w:rsid w:val="00F233BB"/>
    <w:rsid w:val="00F24652"/>
    <w:rsid w:val="00F25432"/>
    <w:rsid w:val="00F2576D"/>
    <w:rsid w:val="00F26234"/>
    <w:rsid w:val="00F27CC6"/>
    <w:rsid w:val="00F30F40"/>
    <w:rsid w:val="00F31817"/>
    <w:rsid w:val="00F3215B"/>
    <w:rsid w:val="00F322FD"/>
    <w:rsid w:val="00F33669"/>
    <w:rsid w:val="00F35F6B"/>
    <w:rsid w:val="00F36917"/>
    <w:rsid w:val="00F3736F"/>
    <w:rsid w:val="00F37D8F"/>
    <w:rsid w:val="00F401F5"/>
    <w:rsid w:val="00F40597"/>
    <w:rsid w:val="00F405DE"/>
    <w:rsid w:val="00F40C48"/>
    <w:rsid w:val="00F4162B"/>
    <w:rsid w:val="00F416BA"/>
    <w:rsid w:val="00F43AD3"/>
    <w:rsid w:val="00F43B90"/>
    <w:rsid w:val="00F44121"/>
    <w:rsid w:val="00F44382"/>
    <w:rsid w:val="00F4477C"/>
    <w:rsid w:val="00F44AC8"/>
    <w:rsid w:val="00F44CCA"/>
    <w:rsid w:val="00F45371"/>
    <w:rsid w:val="00F45E15"/>
    <w:rsid w:val="00F45FD7"/>
    <w:rsid w:val="00F46CE2"/>
    <w:rsid w:val="00F47359"/>
    <w:rsid w:val="00F47856"/>
    <w:rsid w:val="00F47967"/>
    <w:rsid w:val="00F47D97"/>
    <w:rsid w:val="00F50FDE"/>
    <w:rsid w:val="00F516D0"/>
    <w:rsid w:val="00F5205D"/>
    <w:rsid w:val="00F521C0"/>
    <w:rsid w:val="00F52747"/>
    <w:rsid w:val="00F52EAC"/>
    <w:rsid w:val="00F53FEB"/>
    <w:rsid w:val="00F54036"/>
    <w:rsid w:val="00F54D1E"/>
    <w:rsid w:val="00F55052"/>
    <w:rsid w:val="00F5662A"/>
    <w:rsid w:val="00F56D1B"/>
    <w:rsid w:val="00F573AB"/>
    <w:rsid w:val="00F5748C"/>
    <w:rsid w:val="00F57743"/>
    <w:rsid w:val="00F579C9"/>
    <w:rsid w:val="00F57EDD"/>
    <w:rsid w:val="00F609C5"/>
    <w:rsid w:val="00F61E91"/>
    <w:rsid w:val="00F637E4"/>
    <w:rsid w:val="00F63DF4"/>
    <w:rsid w:val="00F65BE1"/>
    <w:rsid w:val="00F66C83"/>
    <w:rsid w:val="00F670BF"/>
    <w:rsid w:val="00F67D34"/>
    <w:rsid w:val="00F67D47"/>
    <w:rsid w:val="00F7019A"/>
    <w:rsid w:val="00F702E4"/>
    <w:rsid w:val="00F70BC5"/>
    <w:rsid w:val="00F71106"/>
    <w:rsid w:val="00F716D7"/>
    <w:rsid w:val="00F72D77"/>
    <w:rsid w:val="00F735ED"/>
    <w:rsid w:val="00F735F9"/>
    <w:rsid w:val="00F73C5E"/>
    <w:rsid w:val="00F7481F"/>
    <w:rsid w:val="00F748CA"/>
    <w:rsid w:val="00F758E9"/>
    <w:rsid w:val="00F75DEA"/>
    <w:rsid w:val="00F75EDE"/>
    <w:rsid w:val="00F7751B"/>
    <w:rsid w:val="00F77AB7"/>
    <w:rsid w:val="00F8083B"/>
    <w:rsid w:val="00F8095C"/>
    <w:rsid w:val="00F810F3"/>
    <w:rsid w:val="00F81183"/>
    <w:rsid w:val="00F819AB"/>
    <w:rsid w:val="00F81E20"/>
    <w:rsid w:val="00F81E97"/>
    <w:rsid w:val="00F82288"/>
    <w:rsid w:val="00F82A66"/>
    <w:rsid w:val="00F83542"/>
    <w:rsid w:val="00F8451B"/>
    <w:rsid w:val="00F84F20"/>
    <w:rsid w:val="00F84FB7"/>
    <w:rsid w:val="00F85B43"/>
    <w:rsid w:val="00F8664E"/>
    <w:rsid w:val="00F87440"/>
    <w:rsid w:val="00F87934"/>
    <w:rsid w:val="00F879A1"/>
    <w:rsid w:val="00F87C1B"/>
    <w:rsid w:val="00F92CE2"/>
    <w:rsid w:val="00F930B3"/>
    <w:rsid w:val="00F94C80"/>
    <w:rsid w:val="00F94FC3"/>
    <w:rsid w:val="00F95067"/>
    <w:rsid w:val="00F950F8"/>
    <w:rsid w:val="00F952BF"/>
    <w:rsid w:val="00F957CF"/>
    <w:rsid w:val="00F95E87"/>
    <w:rsid w:val="00F96178"/>
    <w:rsid w:val="00F96A03"/>
    <w:rsid w:val="00F96A63"/>
    <w:rsid w:val="00F97155"/>
    <w:rsid w:val="00FA2624"/>
    <w:rsid w:val="00FA336D"/>
    <w:rsid w:val="00FA3C3D"/>
    <w:rsid w:val="00FA3EB6"/>
    <w:rsid w:val="00FA5201"/>
    <w:rsid w:val="00FA5903"/>
    <w:rsid w:val="00FA5A9E"/>
    <w:rsid w:val="00FA5F33"/>
    <w:rsid w:val="00FA60A4"/>
    <w:rsid w:val="00FA642A"/>
    <w:rsid w:val="00FA74A4"/>
    <w:rsid w:val="00FA7A81"/>
    <w:rsid w:val="00FA7DAB"/>
    <w:rsid w:val="00FB0454"/>
    <w:rsid w:val="00FB2367"/>
    <w:rsid w:val="00FB2565"/>
    <w:rsid w:val="00FB2CD3"/>
    <w:rsid w:val="00FB2DA4"/>
    <w:rsid w:val="00FB34CD"/>
    <w:rsid w:val="00FB3664"/>
    <w:rsid w:val="00FB3729"/>
    <w:rsid w:val="00FB3D62"/>
    <w:rsid w:val="00FB4035"/>
    <w:rsid w:val="00FB4177"/>
    <w:rsid w:val="00FB49CA"/>
    <w:rsid w:val="00FB4A1F"/>
    <w:rsid w:val="00FB4D5C"/>
    <w:rsid w:val="00FB59F1"/>
    <w:rsid w:val="00FB6845"/>
    <w:rsid w:val="00FB6953"/>
    <w:rsid w:val="00FB773E"/>
    <w:rsid w:val="00FC0317"/>
    <w:rsid w:val="00FC0AD9"/>
    <w:rsid w:val="00FC0C47"/>
    <w:rsid w:val="00FC0E5B"/>
    <w:rsid w:val="00FC120A"/>
    <w:rsid w:val="00FC189C"/>
    <w:rsid w:val="00FC1CA4"/>
    <w:rsid w:val="00FC2F50"/>
    <w:rsid w:val="00FC3CB9"/>
    <w:rsid w:val="00FC58D6"/>
    <w:rsid w:val="00FC5B8F"/>
    <w:rsid w:val="00FC5D72"/>
    <w:rsid w:val="00FC65B7"/>
    <w:rsid w:val="00FC698B"/>
    <w:rsid w:val="00FC6C53"/>
    <w:rsid w:val="00FC706C"/>
    <w:rsid w:val="00FC791C"/>
    <w:rsid w:val="00FD0726"/>
    <w:rsid w:val="00FD09DB"/>
    <w:rsid w:val="00FD0BA6"/>
    <w:rsid w:val="00FD118B"/>
    <w:rsid w:val="00FD14ED"/>
    <w:rsid w:val="00FD15AE"/>
    <w:rsid w:val="00FD1F41"/>
    <w:rsid w:val="00FD25DB"/>
    <w:rsid w:val="00FD26FE"/>
    <w:rsid w:val="00FD2876"/>
    <w:rsid w:val="00FD4930"/>
    <w:rsid w:val="00FD49D8"/>
    <w:rsid w:val="00FD5A0A"/>
    <w:rsid w:val="00FD6110"/>
    <w:rsid w:val="00FD639C"/>
    <w:rsid w:val="00FD769C"/>
    <w:rsid w:val="00FD7996"/>
    <w:rsid w:val="00FD79AE"/>
    <w:rsid w:val="00FD7A27"/>
    <w:rsid w:val="00FE0D14"/>
    <w:rsid w:val="00FE10FD"/>
    <w:rsid w:val="00FE1A4D"/>
    <w:rsid w:val="00FE1A7E"/>
    <w:rsid w:val="00FE1DF1"/>
    <w:rsid w:val="00FE2052"/>
    <w:rsid w:val="00FE2759"/>
    <w:rsid w:val="00FE56FA"/>
    <w:rsid w:val="00FE6920"/>
    <w:rsid w:val="00FE75F1"/>
    <w:rsid w:val="00FE768D"/>
    <w:rsid w:val="00FE7C57"/>
    <w:rsid w:val="00FE7DD7"/>
    <w:rsid w:val="00FF047A"/>
    <w:rsid w:val="00FF13CB"/>
    <w:rsid w:val="00FF1D11"/>
    <w:rsid w:val="00FF1EA8"/>
    <w:rsid w:val="00FF27FD"/>
    <w:rsid w:val="00FF347B"/>
    <w:rsid w:val="00FF39EC"/>
    <w:rsid w:val="00FF4EC5"/>
    <w:rsid w:val="00FF55D0"/>
    <w:rsid w:val="00FF5C62"/>
    <w:rsid w:val="00FF649D"/>
    <w:rsid w:val="00FF6F55"/>
    <w:rsid w:val="00FF7681"/>
    <w:rsid w:val="00FF7782"/>
  </w:rsids>
  <m:mathPr>
    <m:mathFont m:val="Cambria Math"/>
    <m:brkBin m:val="before"/>
    <m:brkBinSub m:val="--"/>
    <m:smallFrac m:val="0"/>
    <m:dispDef/>
    <m:lMargin m:val="72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D0068"/>
  <w15:docId w15:val="{705B6CF2-617B-4CFA-8C8D-477B1976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AU" w:eastAsia="zh-CN" w:bidi="ar-SA"/>
      </w:rPr>
    </w:rPrDefault>
    <w:pPrDefault>
      <w:pPr>
        <w:spacing w:before="180" w:line="300" w:lineRule="exact"/>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1" w:unhideWhenUsed="1"/>
    <w:lsdException w:name="toc 5" w:semiHidden="1" w:uiPriority="39" w:unhideWhenUsed="1"/>
    <w:lsdException w:name="toc 6" w:semiHidden="1" w:uiPriority="39" w:unhideWhenUsed="1"/>
    <w:lsdException w:name="toc 7" w:semiHidden="1" w:uiPriority="39" w:unhideWhenUsed="1"/>
    <w:lsdException w:name="toc 8" w:semiHidden="1" w:uiPriority="11"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nhideWhenUsed="1"/>
    <w:lsdException w:name="List Bullet 5" w:semiHidden="1" w:unhideWhenUsed="1"/>
    <w:lsdException w:name="List Number 2" w:semiHidden="1" w:uiPriority="2" w:unhideWhenUsed="1"/>
    <w:lsdException w:name="List Number 3" w:semiHidden="1" w:uiPriority="2"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4"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99"/>
    <w:lsdException w:name="Subtle Reference" w:uiPriority="31"/>
    <w:lsdException w:name="Intense Reference" w:uiPriority="99"/>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13E3"/>
    <w:pPr>
      <w:spacing w:before="120" w:after="120" w:line="240" w:lineRule="exact"/>
    </w:pPr>
  </w:style>
  <w:style w:type="paragraph" w:styleId="Heading1">
    <w:name w:val="heading 1"/>
    <w:next w:val="BodyText"/>
    <w:link w:val="Heading1Char"/>
    <w:qFormat/>
    <w:rsid w:val="0071248D"/>
    <w:pPr>
      <w:keepNext/>
      <w:pageBreakBefore/>
      <w:numPr>
        <w:numId w:val="20"/>
      </w:numPr>
      <w:pBdr>
        <w:top w:val="single" w:sz="48" w:space="30" w:color="9757A6"/>
        <w:left w:val="single" w:sz="48" w:space="4" w:color="9757A6"/>
        <w:bottom w:val="single" w:sz="48" w:space="5" w:color="9757A6"/>
        <w:right w:val="single" w:sz="48" w:space="4" w:color="9757A6"/>
      </w:pBdr>
      <w:shd w:val="clear" w:color="auto" w:fill="9757A6"/>
      <w:spacing w:before="300" w:after="60" w:line="420" w:lineRule="exact"/>
      <w:outlineLvl w:val="0"/>
    </w:pPr>
    <w:rPr>
      <w:rFonts w:asciiTheme="majorHAnsi" w:hAnsiTheme="majorHAnsi"/>
      <w:b/>
      <w:color w:val="FFFFFF" w:themeColor="background1"/>
      <w:kern w:val="28"/>
      <w:sz w:val="38"/>
      <w:szCs w:val="38"/>
      <w:lang w:eastAsia="en-AU"/>
    </w:rPr>
  </w:style>
  <w:style w:type="paragraph" w:styleId="Heading2">
    <w:name w:val="heading 2"/>
    <w:next w:val="BodyText"/>
    <w:qFormat/>
    <w:rsid w:val="0071248D"/>
    <w:pPr>
      <w:keepNext/>
      <w:numPr>
        <w:ilvl w:val="1"/>
        <w:numId w:val="29"/>
      </w:numPr>
      <w:pBdr>
        <w:bottom w:val="single" w:sz="8" w:space="1" w:color="BFBFBF" w:themeColor="background1" w:themeShade="BF"/>
      </w:pBdr>
      <w:spacing w:before="300" w:after="60" w:line="340" w:lineRule="exact"/>
      <w:outlineLvl w:val="1"/>
    </w:pPr>
    <w:rPr>
      <w:rFonts w:asciiTheme="majorHAnsi" w:hAnsiTheme="majorHAnsi"/>
      <w:b/>
      <w:color w:val="9757A6" w:themeColor="text2"/>
      <w:kern w:val="36"/>
      <w:sz w:val="28"/>
      <w:lang w:eastAsia="en-AU"/>
    </w:rPr>
  </w:style>
  <w:style w:type="paragraph" w:styleId="Heading3">
    <w:name w:val="heading 3"/>
    <w:next w:val="BodyText"/>
    <w:qFormat/>
    <w:rsid w:val="0071248D"/>
    <w:pPr>
      <w:keepNext/>
      <w:numPr>
        <w:ilvl w:val="2"/>
        <w:numId w:val="29"/>
      </w:numPr>
      <w:spacing w:before="300" w:line="270" w:lineRule="exact"/>
      <w:outlineLvl w:val="2"/>
    </w:pPr>
    <w:rPr>
      <w:rFonts w:asciiTheme="majorHAnsi" w:hAnsiTheme="majorHAnsi"/>
      <w:b/>
      <w:color w:val="9757A6" w:themeColor="text2"/>
      <w:lang w:eastAsia="en-AU"/>
    </w:rPr>
  </w:style>
  <w:style w:type="paragraph" w:styleId="Heading4">
    <w:name w:val="heading 4"/>
    <w:next w:val="BodyText"/>
    <w:qFormat/>
    <w:rsid w:val="0071248D"/>
    <w:pPr>
      <w:keepNext/>
      <w:numPr>
        <w:ilvl w:val="3"/>
        <w:numId w:val="29"/>
      </w:numPr>
      <w:spacing w:before="300" w:after="20" w:line="280" w:lineRule="exact"/>
      <w:outlineLvl w:val="3"/>
    </w:pPr>
    <w:rPr>
      <w:rFonts w:asciiTheme="majorHAnsi" w:hAnsiTheme="majorHAnsi"/>
      <w:b/>
      <w:color w:val="9757A6"/>
      <w:sz w:val="20"/>
      <w:lang w:eastAsia="en-AU"/>
    </w:rPr>
  </w:style>
  <w:style w:type="paragraph" w:styleId="Heading5">
    <w:name w:val="heading 5"/>
    <w:basedOn w:val="Heading4"/>
    <w:next w:val="BodyText"/>
    <w:qFormat/>
    <w:rsid w:val="00B4627C"/>
    <w:pPr>
      <w:numPr>
        <w:ilvl w:val="4"/>
      </w:numPr>
      <w:outlineLvl w:val="4"/>
    </w:pPr>
    <w:rPr>
      <w:i/>
    </w:rPr>
  </w:style>
  <w:style w:type="paragraph" w:styleId="Heading6">
    <w:name w:val="heading 6"/>
    <w:basedOn w:val="Normal"/>
    <w:next w:val="Normal"/>
    <w:semiHidden/>
    <w:rsid w:val="00C249C7"/>
    <w:pPr>
      <w:keepNext/>
      <w:spacing w:before="240" w:after="60"/>
      <w:outlineLvl w:val="5"/>
    </w:pPr>
    <w:rPr>
      <w:rFonts w:asciiTheme="minorHAnsi" w:hAnsiTheme="minorHAnsi"/>
      <w:i/>
      <w:sz w:val="24"/>
      <w:szCs w:val="24"/>
      <w:lang w:eastAsia="en-US"/>
    </w:rPr>
  </w:style>
  <w:style w:type="paragraph" w:styleId="Heading7">
    <w:name w:val="heading 7"/>
    <w:next w:val="BodyText"/>
    <w:qFormat/>
    <w:rsid w:val="0071248D"/>
    <w:pPr>
      <w:keepNext/>
      <w:numPr>
        <w:ilvl w:val="6"/>
        <w:numId w:val="29"/>
      </w:numPr>
      <w:spacing w:before="300" w:after="60" w:line="420" w:lineRule="exact"/>
      <w:outlineLvl w:val="6"/>
    </w:pPr>
    <w:rPr>
      <w:rFonts w:asciiTheme="majorHAnsi" w:hAnsiTheme="majorHAnsi"/>
      <w:b/>
      <w:color w:val="9757A6"/>
      <w:sz w:val="36"/>
      <w:szCs w:val="36"/>
      <w:lang w:eastAsia="en-AU"/>
    </w:rPr>
  </w:style>
  <w:style w:type="paragraph" w:styleId="Heading8">
    <w:name w:val="heading 8"/>
    <w:next w:val="BodyText"/>
    <w:qFormat/>
    <w:rsid w:val="0071248D"/>
    <w:pPr>
      <w:keepNext/>
      <w:numPr>
        <w:ilvl w:val="7"/>
        <w:numId w:val="29"/>
      </w:numPr>
      <w:pBdr>
        <w:bottom w:val="single" w:sz="8" w:space="1" w:color="BFBFBF" w:themeColor="background1" w:themeShade="BF"/>
      </w:pBdr>
      <w:spacing w:before="300" w:after="60" w:line="340" w:lineRule="exact"/>
      <w:outlineLvl w:val="7"/>
    </w:pPr>
    <w:rPr>
      <w:rFonts w:asciiTheme="majorHAnsi" w:hAnsiTheme="majorHAnsi"/>
      <w:b/>
      <w:color w:val="9757A6" w:themeColor="text2"/>
      <w:sz w:val="28"/>
      <w:szCs w:val="28"/>
      <w:lang w:eastAsia="en-AU"/>
    </w:rPr>
  </w:style>
  <w:style w:type="paragraph" w:styleId="Heading9">
    <w:name w:val="heading 9"/>
    <w:basedOn w:val="BodyText"/>
    <w:next w:val="BodyText"/>
    <w:qFormat/>
    <w:rsid w:val="0071248D"/>
    <w:pPr>
      <w:keepNext/>
      <w:numPr>
        <w:ilvl w:val="8"/>
        <w:numId w:val="29"/>
      </w:numPr>
      <w:spacing w:before="300" w:line="270" w:lineRule="exact"/>
      <w:outlineLvl w:val="8"/>
    </w:pPr>
    <w:rPr>
      <w:rFonts w:asciiTheme="majorHAnsi" w:hAnsiTheme="majorHAnsi"/>
      <w:b/>
      <w:color w:val="9757A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Text Char2,Body Text Char2 Char Char1 Char,Body Text Char1 Char Char Char Char,Body Text Char2 Char Char1 Char Char Char Char Char,Body Text Char11 Char,Body Text Char Char1 Char"/>
    <w:link w:val="BodyTextChar"/>
    <w:qFormat/>
    <w:rsid w:val="0041114B"/>
    <w:pPr>
      <w:spacing w:before="120" w:after="120" w:line="280" w:lineRule="exact"/>
    </w:pPr>
    <w:rPr>
      <w:rFonts w:asciiTheme="minorHAnsi" w:hAnsiTheme="minorHAnsi"/>
      <w:lang w:eastAsia="en-AU"/>
    </w:rPr>
  </w:style>
  <w:style w:type="paragraph" w:styleId="Header">
    <w:name w:val="header"/>
    <w:link w:val="HeaderChar"/>
    <w:rsid w:val="00C249C7"/>
    <w:pPr>
      <w:spacing w:before="0" w:line="240" w:lineRule="auto"/>
    </w:pPr>
    <w:rPr>
      <w:rFonts w:asciiTheme="minorHAnsi" w:hAnsiTheme="minorHAnsi"/>
      <w:noProof/>
      <w:sz w:val="16"/>
      <w:lang w:eastAsia="en-AU"/>
    </w:rPr>
  </w:style>
  <w:style w:type="paragraph" w:styleId="Footer">
    <w:name w:val="footer"/>
    <w:link w:val="FooterChar"/>
    <w:uiPriority w:val="99"/>
    <w:rsid w:val="00C249C7"/>
    <w:pPr>
      <w:spacing w:before="0" w:line="240" w:lineRule="auto"/>
      <w:ind w:right="851"/>
    </w:pPr>
    <w:rPr>
      <w:rFonts w:asciiTheme="minorHAnsi" w:hAnsiTheme="minorHAnsi"/>
      <w:sz w:val="14"/>
      <w:lang w:eastAsia="en-US"/>
    </w:rPr>
  </w:style>
  <w:style w:type="paragraph" w:styleId="Title">
    <w:name w:val="Title"/>
    <w:link w:val="TitleChar"/>
    <w:rsid w:val="00180AC7"/>
    <w:pPr>
      <w:spacing w:before="0" w:after="300" w:line="380" w:lineRule="exact"/>
    </w:pPr>
    <w:rPr>
      <w:rFonts w:asciiTheme="majorHAnsi" w:eastAsiaTheme="majorEastAsia" w:hAnsiTheme="majorHAnsi" w:cstheme="majorBidi"/>
      <w:caps/>
      <w:spacing w:val="5"/>
      <w:kern w:val="28"/>
      <w:sz w:val="41"/>
      <w:szCs w:val="52"/>
      <w:lang w:eastAsia="en-US"/>
    </w:rPr>
  </w:style>
  <w:style w:type="paragraph" w:customStyle="1" w:styleId="Preparedfor">
    <w:name w:val="Prepared for"/>
    <w:semiHidden/>
    <w:rsid w:val="00C249C7"/>
    <w:pPr>
      <w:ind w:left="1674"/>
      <w:jc w:val="right"/>
    </w:pPr>
    <w:rPr>
      <w:rFonts w:ascii="Century Gothic" w:hAnsi="Century Gothic"/>
      <w:sz w:val="18"/>
      <w:szCs w:val="20"/>
      <w:lang w:eastAsia="en-AU"/>
    </w:rPr>
  </w:style>
  <w:style w:type="paragraph" w:customStyle="1" w:styleId="CoverLogos">
    <w:name w:val="Cover Logos"/>
    <w:uiPriority w:val="99"/>
    <w:semiHidden/>
    <w:rsid w:val="00C249C7"/>
    <w:pPr>
      <w:framePr w:wrap="notBeside" w:vAnchor="text" w:hAnchor="text" w:y="1"/>
      <w:spacing w:before="60" w:line="240" w:lineRule="auto"/>
      <w:jc w:val="right"/>
    </w:pPr>
    <w:rPr>
      <w:noProof/>
      <w:szCs w:val="20"/>
      <w:lang w:eastAsia="en-AU"/>
    </w:rPr>
  </w:style>
  <w:style w:type="paragraph" w:customStyle="1" w:styleId="SaveDate">
    <w:name w:val="Save Date"/>
    <w:semiHidden/>
    <w:rsid w:val="00C249C7"/>
    <w:pPr>
      <w:ind w:left="2716"/>
      <w:jc w:val="right"/>
    </w:pPr>
    <w:rPr>
      <w:rFonts w:ascii="Century Gothic" w:hAnsi="Century Gothic"/>
      <w:b/>
      <w:lang w:eastAsia="en-US"/>
    </w:rPr>
  </w:style>
  <w:style w:type="paragraph" w:customStyle="1" w:styleId="CoverInfo">
    <w:name w:val="Cover Info"/>
    <w:uiPriority w:val="99"/>
    <w:rsid w:val="00C249C7"/>
    <w:pPr>
      <w:spacing w:before="20" w:after="20" w:line="240" w:lineRule="auto"/>
    </w:pPr>
    <w:rPr>
      <w:rFonts w:asciiTheme="minorHAnsi" w:hAnsiTheme="minorHAnsi"/>
      <w:color w:val="5F5F5F"/>
      <w:sz w:val="18"/>
      <w:szCs w:val="20"/>
      <w:lang w:val="fr-FR" w:eastAsia="en-AU"/>
    </w:rPr>
  </w:style>
  <w:style w:type="paragraph" w:customStyle="1" w:styleId="CoverLogo">
    <w:name w:val="CoverLogo"/>
    <w:uiPriority w:val="99"/>
    <w:semiHidden/>
    <w:rsid w:val="00C249C7"/>
    <w:pPr>
      <w:spacing w:before="120" w:line="240" w:lineRule="auto"/>
    </w:pPr>
    <w:rPr>
      <w:szCs w:val="20"/>
      <w:lang w:eastAsia="en-AU"/>
    </w:rPr>
  </w:style>
  <w:style w:type="paragraph" w:customStyle="1" w:styleId="SubTitle">
    <w:name w:val="Sub Title"/>
    <w:uiPriority w:val="99"/>
    <w:semiHidden/>
    <w:rsid w:val="00C249C7"/>
    <w:pPr>
      <w:spacing w:before="40" w:line="360" w:lineRule="exact"/>
      <w:ind w:left="2778"/>
      <w:jc w:val="right"/>
    </w:pPr>
    <w:rPr>
      <w:rFonts w:ascii="Century Gothic" w:hAnsi="Century Gothic"/>
      <w:szCs w:val="20"/>
      <w:lang w:eastAsia="en-AU"/>
    </w:rPr>
  </w:style>
  <w:style w:type="paragraph" w:customStyle="1" w:styleId="Copyright">
    <w:name w:val="Copyright"/>
    <w:uiPriority w:val="99"/>
    <w:semiHidden/>
    <w:rsid w:val="00C249C7"/>
    <w:pPr>
      <w:spacing w:before="80" w:line="250" w:lineRule="exact"/>
    </w:pPr>
    <w:rPr>
      <w:color w:val="000000"/>
      <w:sz w:val="20"/>
      <w:szCs w:val="20"/>
      <w:lang w:eastAsia="en-AU"/>
    </w:rPr>
  </w:style>
  <w:style w:type="paragraph" w:styleId="BodyText2">
    <w:name w:val="Body Text 2"/>
    <w:basedOn w:val="Normal"/>
    <w:semiHidden/>
    <w:rsid w:val="00C249C7"/>
    <w:rPr>
      <w:color w:val="FF0000"/>
    </w:rPr>
  </w:style>
  <w:style w:type="paragraph" w:customStyle="1" w:styleId="CoverHeadings">
    <w:name w:val="Cover Headings"/>
    <w:uiPriority w:val="99"/>
    <w:semiHidden/>
    <w:rsid w:val="00C249C7"/>
    <w:pPr>
      <w:spacing w:before="240" w:line="270" w:lineRule="exact"/>
    </w:pPr>
    <w:rPr>
      <w:rFonts w:ascii="Century Gothic" w:hAnsi="Century Gothic"/>
      <w:b/>
      <w:color w:val="000080"/>
      <w:lang w:eastAsia="en-US"/>
    </w:rPr>
  </w:style>
  <w:style w:type="paragraph" w:customStyle="1" w:styleId="Office">
    <w:name w:val="Office"/>
    <w:semiHidden/>
    <w:rsid w:val="00C249C7"/>
    <w:pPr>
      <w:spacing w:before="300" w:line="240" w:lineRule="auto"/>
      <w:ind w:right="-291"/>
    </w:pPr>
    <w:rPr>
      <w:rFonts w:ascii="Century Gothic" w:hAnsi="Century Gothic"/>
      <w:b/>
      <w:color w:val="808080"/>
      <w:sz w:val="20"/>
      <w:szCs w:val="20"/>
      <w:lang w:eastAsia="en-AU"/>
    </w:rPr>
  </w:style>
  <w:style w:type="character" w:styleId="Hyperlink">
    <w:name w:val="Hyperlink"/>
    <w:basedOn w:val="DefaultParagraphFont"/>
    <w:uiPriority w:val="99"/>
    <w:rsid w:val="00C249C7"/>
    <w:rPr>
      <w:color w:val="0000FF"/>
      <w:u w:val="single"/>
    </w:rPr>
  </w:style>
  <w:style w:type="character" w:customStyle="1" w:styleId="TitleChar">
    <w:name w:val="Title Char"/>
    <w:basedOn w:val="DefaultParagraphFont"/>
    <w:link w:val="Title"/>
    <w:rsid w:val="00180AC7"/>
    <w:rPr>
      <w:rFonts w:asciiTheme="majorHAnsi" w:eastAsiaTheme="majorEastAsia" w:hAnsiTheme="majorHAnsi" w:cstheme="majorBidi"/>
      <w:caps/>
      <w:spacing w:val="5"/>
      <w:kern w:val="28"/>
      <w:sz w:val="41"/>
      <w:szCs w:val="52"/>
      <w:lang w:eastAsia="en-US"/>
    </w:rPr>
  </w:style>
  <w:style w:type="paragraph" w:customStyle="1" w:styleId="Heading10">
    <w:name w:val="Heading 10"/>
    <w:basedOn w:val="Heading4"/>
    <w:next w:val="BodyText"/>
    <w:qFormat/>
    <w:rsid w:val="00C249C7"/>
    <w:pPr>
      <w:numPr>
        <w:ilvl w:val="0"/>
        <w:numId w:val="0"/>
      </w:numPr>
    </w:pPr>
  </w:style>
  <w:style w:type="paragraph" w:customStyle="1" w:styleId="Heading11">
    <w:name w:val="Heading 11"/>
    <w:basedOn w:val="Heading5"/>
    <w:next w:val="BodyText"/>
    <w:qFormat/>
    <w:rsid w:val="00C249C7"/>
    <w:pPr>
      <w:numPr>
        <w:ilvl w:val="0"/>
        <w:numId w:val="0"/>
      </w:numPr>
    </w:pPr>
  </w:style>
  <w:style w:type="paragraph" w:customStyle="1" w:styleId="BoxText">
    <w:name w:val="Box Text"/>
    <w:basedOn w:val="BodyText"/>
    <w:qFormat/>
    <w:rsid w:val="00556389"/>
    <w:pPr>
      <w:keepNext/>
      <w:keepLines/>
      <w:spacing w:before="80" w:after="40" w:line="220" w:lineRule="exact"/>
    </w:pPr>
    <w:rPr>
      <w:sz w:val="20"/>
    </w:rPr>
  </w:style>
  <w:style w:type="paragraph" w:customStyle="1" w:styleId="BoxContinued">
    <w:name w:val="Box Continued"/>
    <w:basedOn w:val="Normal"/>
    <w:next w:val="BodyText"/>
    <w:uiPriority w:val="99"/>
    <w:semiHidden/>
    <w:rsid w:val="00C249C7"/>
    <w:pPr>
      <w:spacing w:after="40" w:line="240" w:lineRule="auto"/>
      <w:jc w:val="right"/>
    </w:pPr>
    <w:rPr>
      <w:sz w:val="14"/>
      <w:lang w:eastAsia="en-AU"/>
    </w:rPr>
  </w:style>
  <w:style w:type="paragraph" w:customStyle="1" w:styleId="BoxSideHeading1">
    <w:name w:val="Box Side Heading 1"/>
    <w:basedOn w:val="BoxText"/>
    <w:next w:val="BoxText"/>
    <w:uiPriority w:val="4"/>
    <w:rsid w:val="00C249C7"/>
    <w:pPr>
      <w:spacing w:before="240"/>
    </w:pPr>
    <w:rPr>
      <w:b/>
    </w:rPr>
  </w:style>
  <w:style w:type="paragraph" w:customStyle="1" w:styleId="BoxSideHeading2">
    <w:name w:val="Box Side Heading 2"/>
    <w:basedOn w:val="BoxText"/>
    <w:next w:val="BoxText"/>
    <w:uiPriority w:val="4"/>
    <w:rsid w:val="00C249C7"/>
    <w:pPr>
      <w:spacing w:before="200"/>
    </w:pPr>
    <w:rPr>
      <w:i/>
    </w:rPr>
  </w:style>
  <w:style w:type="paragraph" w:customStyle="1" w:styleId="BoxListBullet">
    <w:name w:val="Box List Bullet"/>
    <w:uiPriority w:val="4"/>
    <w:rsid w:val="009A67B0"/>
    <w:pPr>
      <w:numPr>
        <w:numId w:val="27"/>
      </w:numPr>
      <w:spacing w:before="40" w:after="40" w:line="220" w:lineRule="exact"/>
    </w:pPr>
    <w:rPr>
      <w:rFonts w:asciiTheme="minorHAnsi" w:hAnsiTheme="minorHAnsi"/>
      <w:sz w:val="20"/>
      <w:lang w:eastAsia="en-AU"/>
    </w:rPr>
  </w:style>
  <w:style w:type="paragraph" w:customStyle="1" w:styleId="BoxListBullet2">
    <w:name w:val="Box List Bullet 2"/>
    <w:basedOn w:val="BoxListBullet"/>
    <w:rsid w:val="00C249C7"/>
    <w:pPr>
      <w:numPr>
        <w:ilvl w:val="1"/>
      </w:numPr>
    </w:pPr>
  </w:style>
  <w:style w:type="paragraph" w:customStyle="1" w:styleId="BoxListNumber">
    <w:name w:val="Box List Number"/>
    <w:uiPriority w:val="4"/>
    <w:rsid w:val="00826BEB"/>
    <w:pPr>
      <w:numPr>
        <w:numId w:val="24"/>
      </w:numPr>
      <w:spacing w:before="40" w:after="40" w:line="220" w:lineRule="exact"/>
    </w:pPr>
    <w:rPr>
      <w:rFonts w:asciiTheme="minorHAnsi" w:hAnsiTheme="minorHAnsi"/>
      <w:color w:val="000000"/>
      <w:sz w:val="20"/>
      <w:lang w:eastAsia="en-US"/>
    </w:rPr>
  </w:style>
  <w:style w:type="paragraph" w:customStyle="1" w:styleId="BoxQuote">
    <w:name w:val="Box Quote"/>
    <w:basedOn w:val="BoxText"/>
    <w:next w:val="BoxText"/>
    <w:uiPriority w:val="4"/>
    <w:rsid w:val="00826BEB"/>
    <w:pPr>
      <w:spacing w:line="240" w:lineRule="auto"/>
      <w:ind w:left="227"/>
    </w:pPr>
    <w:rPr>
      <w:sz w:val="18"/>
      <w:szCs w:val="14"/>
    </w:rPr>
  </w:style>
  <w:style w:type="paragraph" w:styleId="Caption">
    <w:name w:val="caption"/>
    <w:next w:val="BodyText"/>
    <w:qFormat/>
    <w:rsid w:val="009949E9"/>
    <w:pPr>
      <w:keepNext/>
      <w:spacing w:before="360" w:after="40" w:line="240" w:lineRule="exact"/>
      <w:ind w:left="993" w:hanging="993"/>
      <w:outlineLvl w:val="8"/>
    </w:pPr>
    <w:rPr>
      <w:rFonts w:asciiTheme="majorHAnsi" w:hAnsiTheme="majorHAnsi" w:cs="Arial"/>
      <w:sz w:val="20"/>
      <w:lang w:eastAsia="en-US"/>
    </w:rPr>
  </w:style>
  <w:style w:type="paragraph" w:customStyle="1" w:styleId="ChapterSummary">
    <w:name w:val="Chapter Summary"/>
    <w:basedOn w:val="BodyText"/>
    <w:next w:val="BodyText"/>
    <w:rsid w:val="00C249C7"/>
    <w:pPr>
      <w:spacing w:before="200" w:after="60" w:line="300" w:lineRule="exact"/>
      <w:ind w:left="-2552"/>
    </w:pPr>
    <w:rPr>
      <w:b/>
      <w:i/>
      <w:color w:val="808080" w:themeColor="background1" w:themeShade="80"/>
    </w:rPr>
  </w:style>
  <w:style w:type="paragraph" w:styleId="ListBullet">
    <w:name w:val="List Bullet"/>
    <w:basedOn w:val="BodyText"/>
    <w:uiPriority w:val="2"/>
    <w:qFormat/>
    <w:rsid w:val="00CE3F7C"/>
    <w:pPr>
      <w:numPr>
        <w:numId w:val="26"/>
      </w:numPr>
      <w:spacing w:before="60" w:after="60"/>
    </w:pPr>
  </w:style>
  <w:style w:type="paragraph" w:styleId="ListBullet2">
    <w:name w:val="List Bullet 2"/>
    <w:basedOn w:val="ListBullet"/>
    <w:uiPriority w:val="2"/>
    <w:qFormat/>
    <w:rsid w:val="00C249C7"/>
    <w:pPr>
      <w:numPr>
        <w:ilvl w:val="1"/>
      </w:numPr>
    </w:pPr>
  </w:style>
  <w:style w:type="character" w:styleId="CommentReference">
    <w:name w:val="annotation reference"/>
    <w:basedOn w:val="DefaultParagraphFont"/>
    <w:semiHidden/>
    <w:rsid w:val="00C249C7"/>
    <w:rPr>
      <w:rFonts w:ascii="Garamond" w:hAnsi="Garamond"/>
      <w:b/>
      <w:vanish/>
      <w:color w:val="FF00FF"/>
      <w:sz w:val="20"/>
    </w:rPr>
  </w:style>
  <w:style w:type="paragraph" w:styleId="CommentText">
    <w:name w:val="annotation text"/>
    <w:basedOn w:val="BodyText"/>
    <w:link w:val="CommentTextChar"/>
    <w:uiPriority w:val="99"/>
    <w:semiHidden/>
    <w:rsid w:val="00C249C7"/>
    <w:pPr>
      <w:ind w:left="567" w:hanging="567"/>
    </w:pPr>
    <w:rPr>
      <w:rFonts w:ascii="Century Gothic" w:hAnsi="Century Gothic"/>
      <w:sz w:val="21"/>
    </w:rPr>
  </w:style>
  <w:style w:type="paragraph" w:customStyle="1" w:styleId="Confidential">
    <w:name w:val="Confidential"/>
    <w:next w:val="BodyText"/>
    <w:uiPriority w:val="99"/>
    <w:semiHidden/>
    <w:rsid w:val="00C249C7"/>
    <w:pPr>
      <w:spacing w:before="120" w:line="520" w:lineRule="exact"/>
      <w:ind w:left="2268"/>
      <w:jc w:val="right"/>
    </w:pPr>
    <w:rPr>
      <w:rFonts w:ascii="Century Gothic" w:hAnsi="Century Gothic"/>
      <w:b/>
      <w:color w:val="808080" w:themeColor="background1" w:themeShade="80"/>
      <w:sz w:val="52"/>
      <w:lang w:eastAsia="en-US"/>
    </w:rPr>
  </w:style>
  <w:style w:type="paragraph" w:customStyle="1" w:styleId="Contents">
    <w:name w:val="Contents"/>
    <w:basedOn w:val="BodyText"/>
    <w:next w:val="BodyText"/>
    <w:rsid w:val="00C249C7"/>
    <w:pPr>
      <w:pBdr>
        <w:bottom w:val="single" w:sz="4" w:space="1" w:color="A6A6A6" w:themeColor="background1" w:themeShade="A6"/>
      </w:pBdr>
      <w:tabs>
        <w:tab w:val="left" w:pos="0"/>
      </w:tabs>
      <w:spacing w:before="200" w:after="200" w:line="240" w:lineRule="auto"/>
      <w:jc w:val="center"/>
      <w:outlineLvl w:val="3"/>
    </w:pPr>
    <w:rPr>
      <w:rFonts w:ascii="Novecento UltraLight" w:hAnsi="Novecento UltraLight"/>
      <w:spacing w:val="460"/>
      <w:sz w:val="66"/>
      <w:szCs w:val="52"/>
    </w:rPr>
  </w:style>
  <w:style w:type="paragraph" w:styleId="TOC1">
    <w:name w:val="toc 1"/>
    <w:basedOn w:val="BodyText"/>
    <w:next w:val="TOC2"/>
    <w:autoRedefine/>
    <w:uiPriority w:val="39"/>
    <w:rsid w:val="006C7B38"/>
    <w:pPr>
      <w:pBdr>
        <w:top w:val="single" w:sz="6" w:space="1" w:color="BFBFBF" w:themeColor="background1" w:themeShade="BF"/>
      </w:pBdr>
      <w:tabs>
        <w:tab w:val="left" w:pos="340"/>
        <w:tab w:val="right" w:pos="7371"/>
      </w:tabs>
      <w:spacing w:before="300"/>
      <w:ind w:left="340" w:right="568" w:hanging="340"/>
    </w:pPr>
    <w:rPr>
      <w:rFonts w:asciiTheme="majorHAnsi" w:hAnsiTheme="majorHAnsi"/>
      <w:b/>
      <w:noProof/>
      <w:color w:val="9757A6"/>
    </w:rPr>
  </w:style>
  <w:style w:type="paragraph" w:styleId="TOC2">
    <w:name w:val="toc 2"/>
    <w:autoRedefine/>
    <w:uiPriority w:val="39"/>
    <w:rsid w:val="006C7B38"/>
    <w:pPr>
      <w:tabs>
        <w:tab w:val="left" w:pos="794"/>
        <w:tab w:val="right" w:pos="7371"/>
      </w:tabs>
      <w:spacing w:before="60"/>
      <w:ind w:left="794" w:right="568" w:hanging="454"/>
    </w:pPr>
    <w:rPr>
      <w:rFonts w:asciiTheme="majorHAnsi" w:hAnsiTheme="majorHAnsi"/>
      <w:noProof/>
      <w:lang w:eastAsia="en-AU"/>
    </w:rPr>
  </w:style>
  <w:style w:type="paragraph" w:customStyle="1" w:styleId="Continued">
    <w:name w:val="Continued"/>
    <w:basedOn w:val="BoxContinued"/>
    <w:next w:val="BodyText"/>
    <w:uiPriority w:val="5"/>
    <w:semiHidden/>
    <w:rsid w:val="00C249C7"/>
    <w:pPr>
      <w:spacing w:before="40"/>
      <w:jc w:val="left"/>
    </w:pPr>
    <w:rPr>
      <w:color w:val="000080"/>
      <w:sz w:val="18"/>
    </w:rPr>
  </w:style>
  <w:style w:type="character" w:customStyle="1" w:styleId="DraftingNote">
    <w:name w:val="Drafting Note"/>
    <w:basedOn w:val="DefaultParagraphFont"/>
    <w:uiPriority w:val="5"/>
    <w:rsid w:val="00C249C7"/>
    <w:rPr>
      <w:rFonts w:asciiTheme="minorHAnsi" w:hAnsiTheme="minorHAnsi"/>
      <w:b/>
      <w:color w:val="FF0000"/>
      <w:szCs w:val="20"/>
      <w:u w:val="dotted"/>
    </w:rPr>
  </w:style>
  <w:style w:type="paragraph" w:customStyle="1" w:styleId="Figure">
    <w:name w:val="Figure"/>
    <w:basedOn w:val="BodyText"/>
    <w:rsid w:val="00C249C7"/>
    <w:pPr>
      <w:keepNext/>
      <w:spacing w:before="60" w:line="240" w:lineRule="auto"/>
      <w:jc w:val="center"/>
    </w:pPr>
    <w:rPr>
      <w:sz w:val="18"/>
      <w:szCs w:val="20"/>
      <w:lang w:eastAsia="en-US"/>
    </w:rPr>
  </w:style>
  <w:style w:type="character" w:styleId="FootnoteReference">
    <w:name w:val="footnote reference"/>
    <w:basedOn w:val="DefaultParagraphFont"/>
    <w:rsid w:val="00C249C7"/>
    <w:rPr>
      <w:rFonts w:asciiTheme="minorHAnsi" w:hAnsiTheme="minorHAnsi"/>
      <w:position w:val="0"/>
      <w:vertAlign w:val="superscript"/>
    </w:rPr>
  </w:style>
  <w:style w:type="paragraph" w:styleId="FootnoteText">
    <w:name w:val="footnote text"/>
    <w:basedOn w:val="BodyText"/>
    <w:link w:val="FootnoteTextChar"/>
    <w:rsid w:val="00C249C7"/>
    <w:pPr>
      <w:spacing w:before="80" w:line="240" w:lineRule="auto"/>
      <w:ind w:left="227" w:hanging="227"/>
    </w:pPr>
    <w:rPr>
      <w:sz w:val="16"/>
    </w:rPr>
  </w:style>
  <w:style w:type="paragraph" w:customStyle="1" w:styleId="Heading1nonumber">
    <w:name w:val="Heading 1 (no number)"/>
    <w:basedOn w:val="BodyText"/>
    <w:next w:val="BodyText"/>
    <w:qFormat/>
    <w:rsid w:val="00A0209B"/>
    <w:pPr>
      <w:keepNext/>
      <w:spacing w:before="200" w:after="60" w:line="420" w:lineRule="exact"/>
      <w:outlineLvl w:val="0"/>
    </w:pPr>
    <w:rPr>
      <w:rFonts w:asciiTheme="majorHAnsi" w:hAnsiTheme="majorHAnsi"/>
      <w:b/>
      <w:color w:val="9757A6" w:themeColor="text2"/>
      <w:kern w:val="28"/>
      <w:sz w:val="36"/>
    </w:rPr>
  </w:style>
  <w:style w:type="paragraph" w:customStyle="1" w:styleId="Heading2nonumber">
    <w:name w:val="Heading 2 (no number)"/>
    <w:basedOn w:val="Heading2"/>
    <w:next w:val="BodyText"/>
    <w:qFormat/>
    <w:rsid w:val="00C249C7"/>
    <w:pPr>
      <w:numPr>
        <w:ilvl w:val="0"/>
        <w:numId w:val="0"/>
      </w:numPr>
    </w:pPr>
  </w:style>
  <w:style w:type="paragraph" w:customStyle="1" w:styleId="Heading3nonumber">
    <w:name w:val="Heading 3 (no number)"/>
    <w:basedOn w:val="Heading3"/>
    <w:next w:val="BodyText"/>
    <w:qFormat/>
    <w:rsid w:val="00C249C7"/>
    <w:pPr>
      <w:numPr>
        <w:ilvl w:val="0"/>
        <w:numId w:val="0"/>
      </w:numPr>
    </w:pPr>
  </w:style>
  <w:style w:type="paragraph" w:customStyle="1" w:styleId="Heading8nonumber">
    <w:name w:val="Heading 8 (no number)"/>
    <w:basedOn w:val="Heading8"/>
    <w:next w:val="BodyText"/>
    <w:qFormat/>
    <w:rsid w:val="00C249C7"/>
    <w:pPr>
      <w:numPr>
        <w:ilvl w:val="0"/>
        <w:numId w:val="0"/>
      </w:numPr>
      <w:outlineLvl w:val="1"/>
    </w:pPr>
  </w:style>
  <w:style w:type="paragraph" w:customStyle="1" w:styleId="Heading9nonumber">
    <w:name w:val="Heading 9 (no number)"/>
    <w:basedOn w:val="Heading9"/>
    <w:next w:val="BodyText"/>
    <w:qFormat/>
    <w:rsid w:val="00C249C7"/>
    <w:pPr>
      <w:numPr>
        <w:ilvl w:val="0"/>
        <w:numId w:val="0"/>
      </w:numPr>
      <w:outlineLvl w:val="2"/>
    </w:pPr>
  </w:style>
  <w:style w:type="paragraph" w:customStyle="1" w:styleId="Invisiblepara">
    <w:name w:val="Invisible para"/>
    <w:basedOn w:val="Normal"/>
    <w:semiHidden/>
    <w:rsid w:val="00C249C7"/>
    <w:pPr>
      <w:keepNext/>
      <w:spacing w:before="0" w:line="240" w:lineRule="auto"/>
    </w:pPr>
    <w:rPr>
      <w:sz w:val="16"/>
    </w:rPr>
  </w:style>
  <w:style w:type="paragraph" w:styleId="ListBullet3">
    <w:name w:val="List Bullet 3"/>
    <w:basedOn w:val="ListBullet2"/>
    <w:uiPriority w:val="2"/>
    <w:qFormat/>
    <w:rsid w:val="00C249C7"/>
    <w:pPr>
      <w:numPr>
        <w:ilvl w:val="2"/>
      </w:numPr>
    </w:pPr>
  </w:style>
  <w:style w:type="paragraph" w:styleId="ListNumber">
    <w:name w:val="List Number"/>
    <w:basedOn w:val="ListBullet"/>
    <w:uiPriority w:val="2"/>
    <w:qFormat/>
    <w:rsid w:val="00013650"/>
    <w:pPr>
      <w:numPr>
        <w:numId w:val="25"/>
      </w:numPr>
    </w:pPr>
  </w:style>
  <w:style w:type="paragraph" w:customStyle="1" w:styleId="Note">
    <w:name w:val="Note"/>
    <w:next w:val="BodyText"/>
    <w:rsid w:val="009949E9"/>
    <w:pPr>
      <w:keepNext/>
      <w:keepLines/>
      <w:spacing w:before="40" w:line="180" w:lineRule="exact"/>
    </w:pPr>
    <w:rPr>
      <w:rFonts w:ascii="Arial" w:hAnsi="Arial"/>
      <w:sz w:val="16"/>
      <w:lang w:eastAsia="en-US"/>
    </w:rPr>
  </w:style>
  <w:style w:type="character" w:customStyle="1" w:styleId="Notelabel">
    <w:name w:val="Note label"/>
    <w:basedOn w:val="DefaultParagraphFont"/>
    <w:rsid w:val="009949E9"/>
    <w:rPr>
      <w:rFonts w:ascii="Arial" w:hAnsi="Arial"/>
      <w:b/>
      <w:color w:val="auto"/>
      <w:vertAlign w:val="superscript"/>
    </w:rPr>
  </w:style>
  <w:style w:type="character" w:customStyle="1" w:styleId="NoteLabelTable">
    <w:name w:val="Note Label Table"/>
    <w:basedOn w:val="DefaultParagraphFont"/>
    <w:uiPriority w:val="5"/>
    <w:rsid w:val="00C249C7"/>
    <w:rPr>
      <w:rFonts w:asciiTheme="minorHAnsi" w:hAnsiTheme="minorHAnsi"/>
      <w:b/>
      <w:color w:val="auto"/>
      <w:position w:val="6"/>
      <w:sz w:val="14"/>
    </w:rPr>
  </w:style>
  <w:style w:type="character" w:styleId="PageNumber">
    <w:name w:val="page number"/>
    <w:rsid w:val="00C249C7"/>
    <w:rPr>
      <w:rFonts w:ascii="Arial Narrow" w:eastAsia="Calibri" w:hAnsi="Arial Narrow"/>
      <w:sz w:val="24"/>
      <w:szCs w:val="28"/>
    </w:rPr>
  </w:style>
  <w:style w:type="paragraph" w:styleId="Quote">
    <w:name w:val="Quote"/>
    <w:basedOn w:val="BodyText"/>
    <w:next w:val="QuoteSource"/>
    <w:link w:val="QuoteChar"/>
    <w:uiPriority w:val="4"/>
    <w:qFormat/>
    <w:rsid w:val="00C249C7"/>
    <w:pPr>
      <w:spacing w:before="60" w:after="60" w:line="220" w:lineRule="exact"/>
      <w:ind w:left="567" w:right="567"/>
    </w:pPr>
    <w:rPr>
      <w:sz w:val="18"/>
    </w:rPr>
  </w:style>
  <w:style w:type="paragraph" w:customStyle="1" w:styleId="SideNote">
    <w:name w:val="Side Note"/>
    <w:basedOn w:val="BodyText"/>
    <w:next w:val="BodyText"/>
    <w:uiPriority w:val="2"/>
    <w:rsid w:val="009949E9"/>
    <w:pPr>
      <w:keepNext/>
      <w:framePr w:w="2268" w:hSpace="284" w:vSpace="181" w:wrap="around" w:vAnchor="text" w:hAnchor="margin" w:x="-2551" w:y="1"/>
      <w:spacing w:before="60" w:after="40" w:line="220" w:lineRule="exact"/>
    </w:pPr>
    <w:rPr>
      <w:rFonts w:asciiTheme="majorHAnsi" w:hAnsiTheme="majorHAnsi"/>
      <w:b/>
      <w:color w:val="9757A6"/>
      <w:sz w:val="16"/>
    </w:rPr>
  </w:style>
  <w:style w:type="paragraph" w:customStyle="1" w:styleId="SideDash">
    <w:name w:val="Side Dash"/>
    <w:basedOn w:val="SideNote"/>
    <w:next w:val="BodyText"/>
    <w:uiPriority w:val="2"/>
    <w:qFormat/>
    <w:rsid w:val="00C249C7"/>
    <w:pPr>
      <w:framePr w:wrap="around"/>
      <w:numPr>
        <w:numId w:val="8"/>
      </w:numPr>
    </w:pPr>
  </w:style>
  <w:style w:type="paragraph" w:customStyle="1" w:styleId="Source">
    <w:name w:val="Source"/>
    <w:basedOn w:val="BodyText"/>
    <w:next w:val="BodyText"/>
    <w:link w:val="SourceChar"/>
    <w:rsid w:val="009949E9"/>
    <w:pPr>
      <w:pBdr>
        <w:bottom w:val="single" w:sz="2" w:space="1" w:color="C0C0C0"/>
      </w:pBdr>
      <w:spacing w:before="40" w:after="60" w:line="180" w:lineRule="exact"/>
    </w:pPr>
    <w:rPr>
      <w:rFonts w:ascii="Arial" w:hAnsi="Arial"/>
      <w:sz w:val="16"/>
      <w:szCs w:val="14"/>
    </w:rPr>
  </w:style>
  <w:style w:type="paragraph" w:customStyle="1" w:styleId="PageNumberLandscape">
    <w:name w:val="Page Number Landscape"/>
    <w:basedOn w:val="Normal"/>
    <w:link w:val="PageNumberLandscapeChar"/>
    <w:semiHidden/>
    <w:rsid w:val="00C249C7"/>
    <w:pPr>
      <w:jc w:val="right"/>
    </w:pPr>
  </w:style>
  <w:style w:type="paragraph" w:customStyle="1" w:styleId="Tablebody">
    <w:name w:val="Table body"/>
    <w:basedOn w:val="Tabletext"/>
    <w:uiPriority w:val="3"/>
    <w:rsid w:val="00E10C5B"/>
  </w:style>
  <w:style w:type="paragraph" w:customStyle="1" w:styleId="Tablecolumnheadings">
    <w:name w:val="Table column headings"/>
    <w:uiPriority w:val="3"/>
    <w:qFormat/>
    <w:rsid w:val="00C249C7"/>
    <w:pPr>
      <w:keepNext/>
      <w:spacing w:before="60" w:after="60" w:line="220" w:lineRule="exact"/>
    </w:pPr>
    <w:rPr>
      <w:rFonts w:asciiTheme="majorHAnsi" w:hAnsiTheme="majorHAnsi"/>
      <w:color w:val="FFFFFF" w:themeColor="background1"/>
      <w:sz w:val="16"/>
      <w:szCs w:val="16"/>
      <w:lang w:eastAsia="en-US"/>
    </w:rPr>
  </w:style>
  <w:style w:type="paragraph" w:customStyle="1" w:styleId="Tablecontinued">
    <w:name w:val="Table continued"/>
    <w:basedOn w:val="Note"/>
    <w:next w:val="BodyText"/>
    <w:uiPriority w:val="4"/>
    <w:semiHidden/>
    <w:rsid w:val="00C249C7"/>
    <w:pPr>
      <w:spacing w:after="120" w:line="220" w:lineRule="exact"/>
      <w:jc w:val="right"/>
    </w:pPr>
  </w:style>
  <w:style w:type="paragraph" w:customStyle="1" w:styleId="Tablesideheading1">
    <w:name w:val="Table side heading 1"/>
    <w:basedOn w:val="Tablebody"/>
    <w:next w:val="Tabletext"/>
    <w:uiPriority w:val="3"/>
    <w:rsid w:val="009949E9"/>
    <w:rPr>
      <w:b/>
      <w:color w:val="auto"/>
      <w:szCs w:val="16"/>
    </w:rPr>
  </w:style>
  <w:style w:type="paragraph" w:customStyle="1" w:styleId="Tablesideheading2">
    <w:name w:val="Table side heading 2"/>
    <w:basedOn w:val="Tablesideheading1"/>
    <w:next w:val="Tabletext"/>
    <w:uiPriority w:val="3"/>
    <w:rsid w:val="009949E9"/>
    <w:rPr>
      <w:b w:val="0"/>
      <w:i/>
    </w:rPr>
  </w:style>
  <w:style w:type="paragraph" w:customStyle="1" w:styleId="Tablelistbullet">
    <w:name w:val="Table list bullet"/>
    <w:uiPriority w:val="3"/>
    <w:rsid w:val="009A67B0"/>
    <w:pPr>
      <w:numPr>
        <w:numId w:val="28"/>
      </w:numPr>
      <w:spacing w:before="40" w:after="40" w:line="240" w:lineRule="auto"/>
    </w:pPr>
    <w:rPr>
      <w:rFonts w:ascii="Arial" w:hAnsi="Arial"/>
      <w:color w:val="000000"/>
      <w:sz w:val="16"/>
      <w:lang w:eastAsia="en-US"/>
    </w:rPr>
  </w:style>
  <w:style w:type="paragraph" w:customStyle="1" w:styleId="Tablelistbullet2">
    <w:name w:val="Table list bullet 2"/>
    <w:basedOn w:val="Tablebody"/>
    <w:uiPriority w:val="3"/>
    <w:rsid w:val="009A67B0"/>
    <w:pPr>
      <w:numPr>
        <w:ilvl w:val="1"/>
        <w:numId w:val="28"/>
      </w:numPr>
      <w:tabs>
        <w:tab w:val="num" w:pos="360"/>
      </w:tabs>
      <w:ind w:left="0" w:firstLine="0"/>
    </w:pPr>
  </w:style>
  <w:style w:type="paragraph" w:customStyle="1" w:styleId="Tablelistnumber">
    <w:name w:val="Table list number"/>
    <w:uiPriority w:val="3"/>
    <w:rsid w:val="00520ED6"/>
    <w:pPr>
      <w:numPr>
        <w:numId w:val="21"/>
      </w:numPr>
      <w:spacing w:before="40" w:after="40" w:line="240" w:lineRule="auto"/>
    </w:pPr>
    <w:rPr>
      <w:rFonts w:ascii="Arial" w:hAnsi="Arial"/>
      <w:color w:val="000000"/>
      <w:sz w:val="16"/>
      <w:lang w:eastAsia="en-US"/>
    </w:rPr>
  </w:style>
  <w:style w:type="paragraph" w:styleId="TableofFigures">
    <w:name w:val="table of figures"/>
    <w:basedOn w:val="BodyText"/>
    <w:next w:val="BodyText"/>
    <w:autoRedefine/>
    <w:uiPriority w:val="99"/>
    <w:rsid w:val="006C7B38"/>
    <w:pPr>
      <w:tabs>
        <w:tab w:val="left" w:pos="1021"/>
        <w:tab w:val="right" w:pos="7371"/>
      </w:tabs>
      <w:spacing w:before="40" w:line="240" w:lineRule="auto"/>
      <w:ind w:left="1021" w:right="680" w:hanging="1021"/>
    </w:pPr>
    <w:rPr>
      <w:rFonts w:asciiTheme="majorHAnsi" w:hAnsiTheme="majorHAnsi"/>
      <w:sz w:val="18"/>
    </w:rPr>
  </w:style>
  <w:style w:type="paragraph" w:customStyle="1" w:styleId="Tableunitsrow">
    <w:name w:val="Table units row"/>
    <w:basedOn w:val="Tablecolumnheadings"/>
    <w:uiPriority w:val="3"/>
    <w:rsid w:val="009949E9"/>
    <w:pPr>
      <w:spacing w:before="40"/>
    </w:pPr>
    <w:rPr>
      <w:color w:val="auto"/>
    </w:rPr>
  </w:style>
  <w:style w:type="paragraph" w:styleId="TOC3">
    <w:name w:val="toc 3"/>
    <w:basedOn w:val="TOC2"/>
    <w:next w:val="BodyText"/>
    <w:autoRedefine/>
    <w:uiPriority w:val="39"/>
    <w:rsid w:val="006C7B38"/>
    <w:pPr>
      <w:tabs>
        <w:tab w:val="clear" w:pos="794"/>
        <w:tab w:val="left" w:pos="1361"/>
      </w:tabs>
      <w:ind w:left="1361" w:hanging="567"/>
    </w:pPr>
  </w:style>
  <w:style w:type="paragraph" w:customStyle="1" w:styleId="Footerlandscape">
    <w:name w:val="Footer landscape"/>
    <w:basedOn w:val="PageNumberLandscape"/>
    <w:semiHidden/>
    <w:rsid w:val="00C249C7"/>
    <w:pPr>
      <w:framePr w:wrap="around" w:hAnchor="text"/>
      <w:jc w:val="left"/>
    </w:pPr>
  </w:style>
  <w:style w:type="character" w:customStyle="1" w:styleId="PlaceholderTitle">
    <w:name w:val="Placeholder Title"/>
    <w:rsid w:val="00C249C7"/>
    <w:rPr>
      <w:b/>
      <w:color w:val="000000"/>
    </w:rPr>
  </w:style>
  <w:style w:type="paragraph" w:customStyle="1" w:styleId="Reference">
    <w:name w:val="Reference"/>
    <w:basedOn w:val="BodyText"/>
    <w:uiPriority w:val="99"/>
    <w:rsid w:val="00C249C7"/>
    <w:pPr>
      <w:spacing w:before="100" w:line="240" w:lineRule="auto"/>
      <w:ind w:left="340" w:hanging="340"/>
    </w:pPr>
    <w:rPr>
      <w:sz w:val="21"/>
    </w:rPr>
  </w:style>
  <w:style w:type="paragraph" w:styleId="ListNumber2">
    <w:name w:val="List Number 2"/>
    <w:basedOn w:val="ListNumber"/>
    <w:uiPriority w:val="2"/>
    <w:rsid w:val="00013650"/>
    <w:pPr>
      <w:numPr>
        <w:ilvl w:val="1"/>
      </w:numPr>
      <w:spacing w:before="40" w:after="40" w:line="260" w:lineRule="exact"/>
    </w:pPr>
  </w:style>
  <w:style w:type="paragraph" w:customStyle="1" w:styleId="LastBoxRow">
    <w:name w:val="LastBoxRow"/>
    <w:basedOn w:val="BoxText"/>
    <w:uiPriority w:val="99"/>
    <w:semiHidden/>
    <w:rsid w:val="00C249C7"/>
    <w:rPr>
      <w:sz w:val="8"/>
      <w:szCs w:val="8"/>
    </w:rPr>
  </w:style>
  <w:style w:type="paragraph" w:styleId="BodyText3">
    <w:name w:val="Body Text 3"/>
    <w:basedOn w:val="Normal"/>
    <w:semiHidden/>
    <w:rsid w:val="00C249C7"/>
    <w:rPr>
      <w:sz w:val="16"/>
    </w:rPr>
  </w:style>
  <w:style w:type="paragraph" w:styleId="ListBullet4">
    <w:name w:val="List Bullet 4"/>
    <w:basedOn w:val="Normal"/>
    <w:semiHidden/>
    <w:rsid w:val="00C249C7"/>
    <w:pPr>
      <w:numPr>
        <w:numId w:val="1"/>
      </w:numPr>
    </w:pPr>
  </w:style>
  <w:style w:type="paragraph" w:styleId="ListBullet5">
    <w:name w:val="List Bullet 5"/>
    <w:basedOn w:val="Normal"/>
    <w:semiHidden/>
    <w:rsid w:val="00C249C7"/>
    <w:pPr>
      <w:numPr>
        <w:numId w:val="2"/>
      </w:numPr>
    </w:pPr>
  </w:style>
  <w:style w:type="paragraph" w:customStyle="1" w:styleId="BoxListNumber2">
    <w:name w:val="Box List Number 2"/>
    <w:basedOn w:val="BoxListNumber"/>
    <w:uiPriority w:val="4"/>
    <w:rsid w:val="00C249C7"/>
    <w:pPr>
      <w:numPr>
        <w:ilvl w:val="1"/>
      </w:numPr>
    </w:pPr>
  </w:style>
  <w:style w:type="paragraph" w:customStyle="1" w:styleId="SideNoteopListBullet">
    <w:name w:val="Side Note op List Bullet"/>
    <w:basedOn w:val="SideNote"/>
    <w:uiPriority w:val="2"/>
    <w:rsid w:val="00C249C7"/>
    <w:pPr>
      <w:framePr w:wrap="around"/>
    </w:pPr>
  </w:style>
  <w:style w:type="paragraph" w:customStyle="1" w:styleId="OfficeAddress">
    <w:name w:val="OfficeAddress"/>
    <w:autoRedefine/>
    <w:semiHidden/>
    <w:rsid w:val="00C249C7"/>
    <w:pPr>
      <w:spacing w:before="0" w:line="240" w:lineRule="auto"/>
      <w:ind w:right="-291"/>
    </w:pPr>
    <w:rPr>
      <w:sz w:val="16"/>
      <w:szCs w:val="20"/>
      <w:lang w:eastAsia="en-AU"/>
    </w:rPr>
  </w:style>
  <w:style w:type="paragraph" w:customStyle="1" w:styleId="OfficeContact">
    <w:name w:val="OfficeContact"/>
    <w:autoRedefine/>
    <w:semiHidden/>
    <w:rsid w:val="00C249C7"/>
    <w:pPr>
      <w:spacing w:before="60" w:line="240" w:lineRule="auto"/>
    </w:pPr>
    <w:rPr>
      <w:sz w:val="16"/>
      <w:szCs w:val="20"/>
      <w:lang w:eastAsia="en-AU"/>
    </w:rPr>
  </w:style>
  <w:style w:type="paragraph" w:customStyle="1" w:styleId="OfficeEmail">
    <w:name w:val="OfficeEmail"/>
    <w:basedOn w:val="OfficeAddress"/>
    <w:autoRedefine/>
    <w:semiHidden/>
    <w:rsid w:val="00C249C7"/>
  </w:style>
  <w:style w:type="paragraph" w:styleId="BalloonText">
    <w:name w:val="Balloon Text"/>
    <w:basedOn w:val="Normal"/>
    <w:semiHidden/>
    <w:rsid w:val="00C249C7"/>
    <w:rPr>
      <w:rFonts w:ascii="Tahoma" w:hAnsi="Tahoma" w:cs="Tahoma"/>
      <w:sz w:val="16"/>
      <w:szCs w:val="16"/>
    </w:rPr>
  </w:style>
  <w:style w:type="paragraph" w:styleId="CommentSubject">
    <w:name w:val="annotation subject"/>
    <w:basedOn w:val="CommentText"/>
    <w:next w:val="CommentText"/>
    <w:semiHidden/>
    <w:rsid w:val="00C249C7"/>
    <w:pPr>
      <w:spacing w:before="0" w:line="240" w:lineRule="auto"/>
      <w:ind w:left="0" w:firstLine="0"/>
    </w:pPr>
    <w:rPr>
      <w:rFonts w:ascii="Garamond" w:hAnsi="Garamond"/>
      <w:b/>
      <w:bCs/>
      <w:sz w:val="20"/>
    </w:rPr>
  </w:style>
  <w:style w:type="paragraph" w:styleId="DocumentMap">
    <w:name w:val="Document Map"/>
    <w:basedOn w:val="Normal"/>
    <w:semiHidden/>
    <w:rsid w:val="00C249C7"/>
    <w:pPr>
      <w:shd w:val="clear" w:color="auto" w:fill="000080"/>
    </w:pPr>
    <w:rPr>
      <w:rFonts w:ascii="Tahoma" w:hAnsi="Tahoma" w:cs="Tahoma"/>
    </w:rPr>
  </w:style>
  <w:style w:type="character" w:styleId="EndnoteReference">
    <w:name w:val="endnote reference"/>
    <w:basedOn w:val="DefaultParagraphFont"/>
    <w:semiHidden/>
    <w:rsid w:val="00C249C7"/>
    <w:rPr>
      <w:vertAlign w:val="superscript"/>
    </w:rPr>
  </w:style>
  <w:style w:type="paragraph" w:styleId="EndnoteText">
    <w:name w:val="endnote text"/>
    <w:semiHidden/>
    <w:rsid w:val="00C249C7"/>
    <w:rPr>
      <w:lang w:eastAsia="en-US"/>
    </w:rPr>
  </w:style>
  <w:style w:type="paragraph" w:styleId="Index1">
    <w:name w:val="index 1"/>
    <w:basedOn w:val="Normal"/>
    <w:next w:val="Normal"/>
    <w:autoRedefine/>
    <w:uiPriority w:val="99"/>
    <w:semiHidden/>
    <w:rsid w:val="00C249C7"/>
    <w:pPr>
      <w:ind w:left="240" w:hanging="240"/>
    </w:pPr>
  </w:style>
  <w:style w:type="paragraph" w:styleId="Index2">
    <w:name w:val="index 2"/>
    <w:basedOn w:val="Normal"/>
    <w:next w:val="Normal"/>
    <w:autoRedefine/>
    <w:uiPriority w:val="99"/>
    <w:semiHidden/>
    <w:rsid w:val="00C249C7"/>
    <w:pPr>
      <w:ind w:left="480" w:hanging="240"/>
    </w:pPr>
  </w:style>
  <w:style w:type="paragraph" w:styleId="Index3">
    <w:name w:val="index 3"/>
    <w:basedOn w:val="Normal"/>
    <w:next w:val="Normal"/>
    <w:autoRedefine/>
    <w:uiPriority w:val="99"/>
    <w:semiHidden/>
    <w:rsid w:val="00C249C7"/>
    <w:pPr>
      <w:ind w:left="720" w:hanging="240"/>
    </w:pPr>
  </w:style>
  <w:style w:type="paragraph" w:styleId="Index4">
    <w:name w:val="index 4"/>
    <w:basedOn w:val="Normal"/>
    <w:next w:val="Normal"/>
    <w:autoRedefine/>
    <w:uiPriority w:val="99"/>
    <w:semiHidden/>
    <w:rsid w:val="00C249C7"/>
    <w:pPr>
      <w:ind w:left="960" w:hanging="240"/>
    </w:pPr>
  </w:style>
  <w:style w:type="paragraph" w:styleId="Index5">
    <w:name w:val="index 5"/>
    <w:basedOn w:val="Normal"/>
    <w:next w:val="Normal"/>
    <w:autoRedefine/>
    <w:semiHidden/>
    <w:rsid w:val="00C249C7"/>
    <w:pPr>
      <w:ind w:left="1200" w:hanging="240"/>
    </w:pPr>
  </w:style>
  <w:style w:type="paragraph" w:styleId="Index6">
    <w:name w:val="index 6"/>
    <w:basedOn w:val="Normal"/>
    <w:next w:val="Normal"/>
    <w:autoRedefine/>
    <w:semiHidden/>
    <w:rsid w:val="00C249C7"/>
    <w:pPr>
      <w:ind w:left="1440" w:hanging="240"/>
    </w:pPr>
  </w:style>
  <w:style w:type="paragraph" w:styleId="Index7">
    <w:name w:val="index 7"/>
    <w:basedOn w:val="Normal"/>
    <w:next w:val="Normal"/>
    <w:autoRedefine/>
    <w:semiHidden/>
    <w:rsid w:val="00C249C7"/>
    <w:pPr>
      <w:ind w:left="1680" w:hanging="240"/>
    </w:pPr>
  </w:style>
  <w:style w:type="paragraph" w:styleId="Index8">
    <w:name w:val="index 8"/>
    <w:basedOn w:val="Normal"/>
    <w:next w:val="Normal"/>
    <w:autoRedefine/>
    <w:semiHidden/>
    <w:rsid w:val="00C249C7"/>
    <w:pPr>
      <w:ind w:left="1920" w:hanging="240"/>
    </w:pPr>
  </w:style>
  <w:style w:type="paragraph" w:styleId="Index9">
    <w:name w:val="index 9"/>
    <w:basedOn w:val="Normal"/>
    <w:next w:val="Normal"/>
    <w:autoRedefine/>
    <w:semiHidden/>
    <w:rsid w:val="00C249C7"/>
    <w:pPr>
      <w:ind w:left="2160" w:hanging="240"/>
    </w:pPr>
  </w:style>
  <w:style w:type="paragraph" w:styleId="IndexHeading">
    <w:name w:val="index heading"/>
    <w:basedOn w:val="Normal"/>
    <w:next w:val="Index1"/>
    <w:uiPriority w:val="99"/>
    <w:semiHidden/>
    <w:rsid w:val="00C249C7"/>
    <w:rPr>
      <w:rFonts w:ascii="Arial" w:hAnsi="Arial" w:cs="Arial"/>
      <w:b/>
      <w:bCs/>
    </w:rPr>
  </w:style>
  <w:style w:type="paragraph" w:styleId="MacroText">
    <w:name w:val="macro"/>
    <w:semiHidden/>
    <w:rsid w:val="00C249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AU"/>
    </w:rPr>
  </w:style>
  <w:style w:type="paragraph" w:styleId="TableofAuthorities">
    <w:name w:val="table of authorities"/>
    <w:next w:val="Normal"/>
    <w:uiPriority w:val="99"/>
    <w:rsid w:val="00C249C7"/>
    <w:pPr>
      <w:ind w:left="240" w:hanging="240"/>
    </w:pPr>
    <w:rPr>
      <w:rFonts w:asciiTheme="minorHAnsi" w:hAnsiTheme="minorHAnsi"/>
      <w:lang w:eastAsia="en-US"/>
    </w:rPr>
  </w:style>
  <w:style w:type="paragraph" w:styleId="TOAHeading">
    <w:name w:val="toa heading"/>
    <w:basedOn w:val="Normal"/>
    <w:next w:val="Normal"/>
    <w:autoRedefine/>
    <w:rsid w:val="00C249C7"/>
    <w:rPr>
      <w:rFonts w:asciiTheme="majorHAnsi" w:hAnsiTheme="majorHAnsi" w:cs="Arial"/>
      <w:b/>
      <w:bCs/>
      <w:sz w:val="20"/>
    </w:rPr>
  </w:style>
  <w:style w:type="paragraph" w:styleId="TOC4">
    <w:name w:val="toc 4"/>
    <w:basedOn w:val="Normal"/>
    <w:next w:val="Normal"/>
    <w:autoRedefine/>
    <w:uiPriority w:val="11"/>
    <w:rsid w:val="009949E9"/>
    <w:pPr>
      <w:ind w:left="720"/>
    </w:pPr>
    <w:rPr>
      <w:rFonts w:asciiTheme="majorHAnsi" w:hAnsiTheme="majorHAnsi"/>
    </w:rPr>
  </w:style>
  <w:style w:type="paragraph" w:styleId="TOC5">
    <w:name w:val="toc 5"/>
    <w:basedOn w:val="Normal"/>
    <w:next w:val="Normal"/>
    <w:autoRedefine/>
    <w:uiPriority w:val="39"/>
    <w:rsid w:val="00F77AB7"/>
    <w:pPr>
      <w:tabs>
        <w:tab w:val="right" w:pos="7362"/>
      </w:tabs>
      <w:spacing w:before="600" w:after="0" w:line="260" w:lineRule="exact"/>
    </w:pPr>
    <w:rPr>
      <w:rFonts w:asciiTheme="majorHAnsi" w:hAnsiTheme="majorHAnsi"/>
      <w:b/>
      <w:smallCaps/>
      <w:noProof/>
      <w:color w:val="9757A6" w:themeColor="text2"/>
    </w:rPr>
  </w:style>
  <w:style w:type="paragraph" w:styleId="TOC6">
    <w:name w:val="toc 6"/>
    <w:basedOn w:val="Normal"/>
    <w:next w:val="Normal"/>
    <w:autoRedefine/>
    <w:uiPriority w:val="39"/>
    <w:rsid w:val="009949E9"/>
    <w:pPr>
      <w:tabs>
        <w:tab w:val="right" w:pos="7371"/>
      </w:tabs>
      <w:ind w:right="568"/>
    </w:pPr>
    <w:rPr>
      <w:rFonts w:asciiTheme="majorHAnsi" w:hAnsiTheme="majorHAnsi"/>
      <w:sz w:val="24"/>
      <w:szCs w:val="24"/>
      <w:lang w:eastAsia="en-US"/>
    </w:rPr>
  </w:style>
  <w:style w:type="paragraph" w:styleId="TOC7">
    <w:name w:val="toc 7"/>
    <w:basedOn w:val="Normal"/>
    <w:next w:val="Normal"/>
    <w:autoRedefine/>
    <w:uiPriority w:val="39"/>
    <w:rsid w:val="00492999"/>
    <w:pPr>
      <w:tabs>
        <w:tab w:val="right" w:pos="7371"/>
      </w:tabs>
      <w:ind w:left="1701" w:right="567" w:hanging="1701"/>
    </w:pPr>
    <w:rPr>
      <w:rFonts w:asciiTheme="majorHAnsi" w:hAnsiTheme="majorHAnsi"/>
      <w:noProof/>
      <w:lang w:eastAsia="en-US"/>
    </w:rPr>
  </w:style>
  <w:style w:type="paragraph" w:styleId="TOC8">
    <w:name w:val="toc 8"/>
    <w:basedOn w:val="Normal"/>
    <w:next w:val="Normal"/>
    <w:autoRedefine/>
    <w:uiPriority w:val="11"/>
    <w:rsid w:val="009949E9"/>
    <w:pPr>
      <w:tabs>
        <w:tab w:val="right" w:pos="7371"/>
      </w:tabs>
      <w:spacing w:before="500" w:after="0" w:line="260" w:lineRule="exact"/>
    </w:pPr>
    <w:rPr>
      <w:rFonts w:asciiTheme="majorHAnsi" w:hAnsiTheme="majorHAnsi"/>
      <w:b/>
      <w:noProof/>
      <w:color w:val="9757A6" w:themeColor="text2"/>
      <w:sz w:val="32"/>
    </w:rPr>
  </w:style>
  <w:style w:type="paragraph" w:styleId="TOC9">
    <w:name w:val="toc 9"/>
    <w:basedOn w:val="Normal"/>
    <w:next w:val="Normal"/>
    <w:autoRedefine/>
    <w:uiPriority w:val="39"/>
    <w:rsid w:val="009949E9"/>
    <w:pPr>
      <w:ind w:left="1920"/>
    </w:pPr>
    <w:rPr>
      <w:rFonts w:asciiTheme="majorHAnsi" w:hAnsiTheme="majorHAnsi"/>
      <w:sz w:val="52"/>
    </w:rPr>
  </w:style>
  <w:style w:type="numbering" w:styleId="ArticleSection">
    <w:name w:val="Outline List 3"/>
    <w:basedOn w:val="NoList"/>
    <w:semiHidden/>
    <w:rsid w:val="00C249C7"/>
    <w:pPr>
      <w:numPr>
        <w:numId w:val="7"/>
      </w:numPr>
    </w:pPr>
  </w:style>
  <w:style w:type="paragraph" w:styleId="BlockText">
    <w:name w:val="Block Text"/>
    <w:basedOn w:val="Normal"/>
    <w:semiHidden/>
    <w:rsid w:val="00C249C7"/>
    <w:pPr>
      <w:ind w:left="1440" w:right="1440"/>
    </w:pPr>
  </w:style>
  <w:style w:type="paragraph" w:styleId="BodyTextFirstIndent">
    <w:name w:val="Body Text First Indent"/>
    <w:basedOn w:val="BodyText"/>
    <w:semiHidden/>
    <w:rsid w:val="00C249C7"/>
    <w:pPr>
      <w:spacing w:before="0" w:line="240" w:lineRule="auto"/>
      <w:ind w:firstLine="210"/>
    </w:pPr>
  </w:style>
  <w:style w:type="paragraph" w:styleId="BodyTextIndent">
    <w:name w:val="Body Text Indent"/>
    <w:basedOn w:val="Normal"/>
    <w:semiHidden/>
    <w:rsid w:val="00C249C7"/>
    <w:pPr>
      <w:ind w:left="283"/>
    </w:pPr>
  </w:style>
  <w:style w:type="paragraph" w:styleId="BodyTextFirstIndent2">
    <w:name w:val="Body Text First Indent 2"/>
    <w:basedOn w:val="BodyTextIndent"/>
    <w:semiHidden/>
    <w:rsid w:val="00C249C7"/>
    <w:pPr>
      <w:ind w:firstLine="210"/>
    </w:pPr>
  </w:style>
  <w:style w:type="paragraph" w:styleId="BodyTextIndent2">
    <w:name w:val="Body Text Indent 2"/>
    <w:basedOn w:val="Normal"/>
    <w:semiHidden/>
    <w:rsid w:val="00C249C7"/>
    <w:pPr>
      <w:spacing w:line="480" w:lineRule="auto"/>
      <w:ind w:left="283"/>
    </w:pPr>
  </w:style>
  <w:style w:type="paragraph" w:styleId="BodyTextIndent3">
    <w:name w:val="Body Text Indent 3"/>
    <w:basedOn w:val="Normal"/>
    <w:semiHidden/>
    <w:rsid w:val="00C249C7"/>
    <w:pPr>
      <w:ind w:left="283"/>
    </w:pPr>
    <w:rPr>
      <w:sz w:val="16"/>
      <w:szCs w:val="16"/>
    </w:rPr>
  </w:style>
  <w:style w:type="paragraph" w:styleId="Closing">
    <w:name w:val="Closing"/>
    <w:basedOn w:val="Normal"/>
    <w:semiHidden/>
    <w:rsid w:val="00C249C7"/>
    <w:pPr>
      <w:ind w:left="4252"/>
    </w:pPr>
  </w:style>
  <w:style w:type="paragraph" w:styleId="E-mailSignature">
    <w:name w:val="E-mail Signature"/>
    <w:basedOn w:val="Normal"/>
    <w:semiHidden/>
    <w:rsid w:val="00C249C7"/>
  </w:style>
  <w:style w:type="character" w:styleId="Emphasis">
    <w:name w:val="Emphasis"/>
    <w:basedOn w:val="DefaultParagraphFont"/>
    <w:semiHidden/>
    <w:rsid w:val="00C249C7"/>
    <w:rPr>
      <w:i/>
      <w:iCs/>
    </w:rPr>
  </w:style>
  <w:style w:type="paragraph" w:styleId="EnvelopeAddress">
    <w:name w:val="envelope address"/>
    <w:basedOn w:val="Normal"/>
    <w:semiHidden/>
    <w:rsid w:val="00C249C7"/>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249C7"/>
    <w:rPr>
      <w:rFonts w:ascii="Arial" w:hAnsi="Arial" w:cs="Arial"/>
    </w:rPr>
  </w:style>
  <w:style w:type="character" w:styleId="FollowedHyperlink">
    <w:name w:val="FollowedHyperlink"/>
    <w:basedOn w:val="DefaultParagraphFont"/>
    <w:semiHidden/>
    <w:rsid w:val="00C249C7"/>
    <w:rPr>
      <w:color w:val="800080"/>
      <w:u w:val="single"/>
    </w:rPr>
  </w:style>
  <w:style w:type="character" w:styleId="HTMLAcronym">
    <w:name w:val="HTML Acronym"/>
    <w:basedOn w:val="DefaultParagraphFont"/>
    <w:semiHidden/>
    <w:rsid w:val="00C249C7"/>
  </w:style>
  <w:style w:type="paragraph" w:styleId="HTMLAddress">
    <w:name w:val="HTML Address"/>
    <w:basedOn w:val="Normal"/>
    <w:semiHidden/>
    <w:rsid w:val="00C249C7"/>
    <w:rPr>
      <w:i/>
      <w:iCs/>
    </w:rPr>
  </w:style>
  <w:style w:type="character" w:styleId="HTMLCite">
    <w:name w:val="HTML Cite"/>
    <w:basedOn w:val="DefaultParagraphFont"/>
    <w:semiHidden/>
    <w:rsid w:val="00C249C7"/>
    <w:rPr>
      <w:i/>
      <w:iCs/>
    </w:rPr>
  </w:style>
  <w:style w:type="character" w:styleId="HTMLCode">
    <w:name w:val="HTML Code"/>
    <w:basedOn w:val="DefaultParagraphFont"/>
    <w:semiHidden/>
    <w:rsid w:val="00C249C7"/>
    <w:rPr>
      <w:rFonts w:ascii="Courier New" w:hAnsi="Courier New" w:cs="Courier New"/>
      <w:sz w:val="20"/>
      <w:szCs w:val="20"/>
    </w:rPr>
  </w:style>
  <w:style w:type="character" w:styleId="HTMLDefinition">
    <w:name w:val="HTML Definition"/>
    <w:basedOn w:val="DefaultParagraphFont"/>
    <w:semiHidden/>
    <w:rsid w:val="00C249C7"/>
    <w:rPr>
      <w:i/>
      <w:iCs/>
    </w:rPr>
  </w:style>
  <w:style w:type="character" w:styleId="HTMLKeyboard">
    <w:name w:val="HTML Keyboard"/>
    <w:basedOn w:val="DefaultParagraphFont"/>
    <w:semiHidden/>
    <w:rsid w:val="00C249C7"/>
    <w:rPr>
      <w:rFonts w:ascii="Courier New" w:hAnsi="Courier New" w:cs="Courier New"/>
      <w:sz w:val="20"/>
      <w:szCs w:val="20"/>
    </w:rPr>
  </w:style>
  <w:style w:type="paragraph" w:styleId="HTMLPreformatted">
    <w:name w:val="HTML Preformatted"/>
    <w:basedOn w:val="Normal"/>
    <w:semiHidden/>
    <w:rsid w:val="00C249C7"/>
    <w:rPr>
      <w:rFonts w:ascii="Courier New" w:hAnsi="Courier New" w:cs="Courier New"/>
    </w:rPr>
  </w:style>
  <w:style w:type="character" w:styleId="HTMLSample">
    <w:name w:val="HTML Sample"/>
    <w:basedOn w:val="DefaultParagraphFont"/>
    <w:semiHidden/>
    <w:rsid w:val="00C249C7"/>
    <w:rPr>
      <w:rFonts w:ascii="Courier New" w:hAnsi="Courier New" w:cs="Courier New"/>
    </w:rPr>
  </w:style>
  <w:style w:type="character" w:styleId="HTMLTypewriter">
    <w:name w:val="HTML Typewriter"/>
    <w:basedOn w:val="DefaultParagraphFont"/>
    <w:semiHidden/>
    <w:rsid w:val="00C249C7"/>
    <w:rPr>
      <w:rFonts w:ascii="Courier New" w:hAnsi="Courier New" w:cs="Courier New"/>
      <w:sz w:val="20"/>
      <w:szCs w:val="20"/>
    </w:rPr>
  </w:style>
  <w:style w:type="character" w:styleId="HTMLVariable">
    <w:name w:val="HTML Variable"/>
    <w:basedOn w:val="DefaultParagraphFont"/>
    <w:semiHidden/>
    <w:rsid w:val="00C249C7"/>
    <w:rPr>
      <w:i/>
      <w:iCs/>
    </w:rPr>
  </w:style>
  <w:style w:type="character" w:styleId="LineNumber">
    <w:name w:val="line number"/>
    <w:basedOn w:val="DefaultParagraphFont"/>
    <w:semiHidden/>
    <w:rsid w:val="00C249C7"/>
  </w:style>
  <w:style w:type="paragraph" w:styleId="List">
    <w:name w:val="List"/>
    <w:basedOn w:val="Normal"/>
    <w:semiHidden/>
    <w:rsid w:val="00C249C7"/>
    <w:pPr>
      <w:ind w:left="283" w:hanging="283"/>
    </w:pPr>
  </w:style>
  <w:style w:type="paragraph" w:styleId="List2">
    <w:name w:val="List 2"/>
    <w:basedOn w:val="Normal"/>
    <w:semiHidden/>
    <w:rsid w:val="00C249C7"/>
    <w:pPr>
      <w:ind w:left="566" w:hanging="283"/>
    </w:pPr>
  </w:style>
  <w:style w:type="paragraph" w:styleId="List3">
    <w:name w:val="List 3"/>
    <w:basedOn w:val="Normal"/>
    <w:semiHidden/>
    <w:rsid w:val="00C249C7"/>
    <w:pPr>
      <w:ind w:left="849" w:hanging="283"/>
    </w:pPr>
  </w:style>
  <w:style w:type="paragraph" w:styleId="List4">
    <w:name w:val="List 4"/>
    <w:basedOn w:val="Normal"/>
    <w:semiHidden/>
    <w:rsid w:val="00C249C7"/>
    <w:pPr>
      <w:ind w:left="1132" w:hanging="283"/>
    </w:pPr>
  </w:style>
  <w:style w:type="paragraph" w:styleId="List5">
    <w:name w:val="List 5"/>
    <w:basedOn w:val="Normal"/>
    <w:semiHidden/>
    <w:rsid w:val="00C249C7"/>
    <w:pPr>
      <w:ind w:left="1415" w:hanging="283"/>
    </w:pPr>
  </w:style>
  <w:style w:type="paragraph" w:styleId="ListContinue">
    <w:name w:val="List Continue"/>
    <w:basedOn w:val="Normal"/>
    <w:semiHidden/>
    <w:rsid w:val="00C249C7"/>
    <w:pPr>
      <w:ind w:left="283"/>
    </w:pPr>
  </w:style>
  <w:style w:type="paragraph" w:styleId="ListContinue2">
    <w:name w:val="List Continue 2"/>
    <w:basedOn w:val="Normal"/>
    <w:semiHidden/>
    <w:rsid w:val="00C249C7"/>
    <w:pPr>
      <w:ind w:left="566"/>
    </w:pPr>
  </w:style>
  <w:style w:type="paragraph" w:styleId="ListContinue3">
    <w:name w:val="List Continue 3"/>
    <w:basedOn w:val="Normal"/>
    <w:semiHidden/>
    <w:rsid w:val="00C249C7"/>
    <w:pPr>
      <w:ind w:left="849"/>
    </w:pPr>
  </w:style>
  <w:style w:type="paragraph" w:styleId="ListContinue4">
    <w:name w:val="List Continue 4"/>
    <w:basedOn w:val="Normal"/>
    <w:semiHidden/>
    <w:rsid w:val="00C249C7"/>
    <w:pPr>
      <w:ind w:left="1132"/>
    </w:pPr>
  </w:style>
  <w:style w:type="paragraph" w:styleId="ListContinue5">
    <w:name w:val="List Continue 5"/>
    <w:basedOn w:val="Normal"/>
    <w:semiHidden/>
    <w:rsid w:val="00C249C7"/>
    <w:pPr>
      <w:ind w:left="1415"/>
    </w:pPr>
  </w:style>
  <w:style w:type="paragraph" w:styleId="ListNumber3">
    <w:name w:val="List Number 3"/>
    <w:basedOn w:val="ListNumber2"/>
    <w:uiPriority w:val="2"/>
    <w:rsid w:val="00013650"/>
    <w:pPr>
      <w:numPr>
        <w:ilvl w:val="2"/>
      </w:numPr>
    </w:pPr>
  </w:style>
  <w:style w:type="paragraph" w:styleId="ListNumber4">
    <w:name w:val="List Number 4"/>
    <w:basedOn w:val="Normal"/>
    <w:semiHidden/>
    <w:rsid w:val="00C249C7"/>
    <w:pPr>
      <w:numPr>
        <w:numId w:val="3"/>
      </w:numPr>
    </w:pPr>
  </w:style>
  <w:style w:type="paragraph" w:styleId="ListNumber5">
    <w:name w:val="List Number 5"/>
    <w:basedOn w:val="Normal"/>
    <w:semiHidden/>
    <w:rsid w:val="00C249C7"/>
    <w:pPr>
      <w:numPr>
        <w:numId w:val="4"/>
      </w:numPr>
    </w:pPr>
  </w:style>
  <w:style w:type="paragraph" w:styleId="MessageHeader">
    <w:name w:val="Message Header"/>
    <w:basedOn w:val="Normal"/>
    <w:semiHidden/>
    <w:rsid w:val="00C249C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C249C7"/>
    <w:rPr>
      <w:rFonts w:asciiTheme="minorHAnsi" w:hAnsiTheme="minorHAnsi"/>
      <w:sz w:val="24"/>
      <w:szCs w:val="24"/>
      <w:lang w:eastAsia="en-US"/>
    </w:rPr>
  </w:style>
  <w:style w:type="paragraph" w:styleId="NormalIndent">
    <w:name w:val="Normal Indent"/>
    <w:basedOn w:val="Normal"/>
    <w:semiHidden/>
    <w:rsid w:val="00C249C7"/>
    <w:pPr>
      <w:ind w:left="720"/>
    </w:pPr>
  </w:style>
  <w:style w:type="paragraph" w:styleId="PlainText">
    <w:name w:val="Plain Text"/>
    <w:basedOn w:val="Normal"/>
    <w:semiHidden/>
    <w:rsid w:val="00C249C7"/>
    <w:rPr>
      <w:rFonts w:ascii="Courier New" w:hAnsi="Courier New" w:cs="Courier New"/>
    </w:rPr>
  </w:style>
  <w:style w:type="paragraph" w:styleId="Salutation">
    <w:name w:val="Salutation"/>
    <w:basedOn w:val="Normal"/>
    <w:next w:val="Normal"/>
    <w:semiHidden/>
    <w:rsid w:val="00C249C7"/>
  </w:style>
  <w:style w:type="paragraph" w:styleId="Signature">
    <w:name w:val="Signature"/>
    <w:basedOn w:val="Normal"/>
    <w:semiHidden/>
    <w:rsid w:val="00C249C7"/>
    <w:pPr>
      <w:ind w:left="4252"/>
    </w:pPr>
  </w:style>
  <w:style w:type="character" w:styleId="Strong">
    <w:name w:val="Strong"/>
    <w:basedOn w:val="DefaultParagraphFont"/>
    <w:semiHidden/>
    <w:rsid w:val="00C249C7"/>
    <w:rPr>
      <w:b/>
      <w:bCs/>
    </w:rPr>
  </w:style>
  <w:style w:type="table" w:styleId="Table3Deffects1">
    <w:name w:val="Table 3D effects 1"/>
    <w:basedOn w:val="TableNormal"/>
    <w:semiHidden/>
    <w:rsid w:val="00C249C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249C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249C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249C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249C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249C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249C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249C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249C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249C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249C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249C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249C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249C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249C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249C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24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249C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249C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249C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249C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249C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249C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249C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249C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semiHidden/>
    <w:rsid w:val="00C249C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249C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249C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249C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249C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249C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249C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249C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249C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249C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249C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24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249C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249C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249C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
    <w:name w:val="Table"/>
    <w:uiPriority w:val="4"/>
    <w:rsid w:val="00C249C7"/>
    <w:pPr>
      <w:spacing w:before="40" w:after="40" w:line="240" w:lineRule="auto"/>
    </w:pPr>
    <w:rPr>
      <w:rFonts w:ascii="Arial" w:hAnsi="Arial"/>
      <w:color w:val="000000"/>
      <w:sz w:val="16"/>
      <w:lang w:eastAsia="en-AU"/>
    </w:rPr>
  </w:style>
  <w:style w:type="paragraph" w:customStyle="1" w:styleId="QuoteListBullet">
    <w:name w:val="Quote List Bullet"/>
    <w:basedOn w:val="Quote"/>
    <w:uiPriority w:val="4"/>
    <w:qFormat/>
    <w:rsid w:val="00C249C7"/>
    <w:pPr>
      <w:numPr>
        <w:numId w:val="9"/>
      </w:numPr>
    </w:pPr>
    <w:rPr>
      <w:szCs w:val="18"/>
    </w:rPr>
  </w:style>
  <w:style w:type="paragraph" w:customStyle="1" w:styleId="AppendixFooterlandscape">
    <w:name w:val="AppendixFooter landscape"/>
    <w:uiPriority w:val="99"/>
    <w:semiHidden/>
    <w:rsid w:val="00C249C7"/>
    <w:pPr>
      <w:framePr w:wrap="around" w:vAnchor="text" w:hAnchor="margin" w:xAlign="right" w:y="1"/>
      <w:spacing w:line="200" w:lineRule="exact"/>
      <w:ind w:right="40"/>
      <w:jc w:val="both"/>
    </w:pPr>
    <w:rPr>
      <w:rFonts w:ascii="Century Gothic" w:hAnsi="Century Gothic"/>
      <w:b/>
      <w:sz w:val="16"/>
      <w:lang w:eastAsia="en-AU"/>
    </w:rPr>
  </w:style>
  <w:style w:type="paragraph" w:customStyle="1" w:styleId="AppendixLandscapePageNumber">
    <w:name w:val="AppendixLandscapePage Number"/>
    <w:basedOn w:val="Normal"/>
    <w:semiHidden/>
    <w:rsid w:val="00C249C7"/>
    <w:pPr>
      <w:framePr w:wrap="around" w:vAnchor="text" w:hAnchor="margin" w:xAlign="right" w:y="1"/>
      <w:spacing w:before="40"/>
      <w:ind w:left="-142" w:right="40"/>
      <w:jc w:val="right"/>
    </w:pPr>
    <w:rPr>
      <w:rFonts w:ascii="Century Gothic" w:hAnsi="Century Gothic"/>
      <w:sz w:val="16"/>
    </w:rPr>
  </w:style>
  <w:style w:type="character" w:customStyle="1" w:styleId="Heading1Char">
    <w:name w:val="Heading 1 Char"/>
    <w:basedOn w:val="DefaultParagraphFont"/>
    <w:link w:val="Heading1"/>
    <w:rsid w:val="0071248D"/>
    <w:rPr>
      <w:rFonts w:asciiTheme="majorHAnsi" w:hAnsiTheme="majorHAnsi"/>
      <w:b/>
      <w:color w:val="FFFFFF" w:themeColor="background1"/>
      <w:kern w:val="28"/>
      <w:sz w:val="38"/>
      <w:szCs w:val="38"/>
      <w:shd w:val="clear" w:color="auto" w:fill="9757A6"/>
      <w:lang w:eastAsia="en-AU"/>
    </w:rPr>
  </w:style>
  <w:style w:type="paragraph" w:customStyle="1" w:styleId="LastTableRow">
    <w:name w:val="LastTableRow"/>
    <w:basedOn w:val="Tablebody"/>
    <w:uiPriority w:val="99"/>
    <w:semiHidden/>
    <w:rsid w:val="00C249C7"/>
  </w:style>
  <w:style w:type="paragraph" w:customStyle="1" w:styleId="HeaderLandscape">
    <w:name w:val="HeaderLandscape"/>
    <w:semiHidden/>
    <w:rsid w:val="00C249C7"/>
    <w:pPr>
      <w:spacing w:before="0" w:line="240" w:lineRule="auto"/>
    </w:pPr>
    <w:rPr>
      <w:rFonts w:asciiTheme="minorHAnsi" w:hAnsiTheme="minorHAnsi"/>
      <w:sz w:val="14"/>
      <w:szCs w:val="16"/>
      <w:lang w:eastAsia="en-US"/>
    </w:rPr>
  </w:style>
  <w:style w:type="character" w:customStyle="1" w:styleId="HeaderChar">
    <w:name w:val="Header Char"/>
    <w:basedOn w:val="DefaultParagraphFont"/>
    <w:link w:val="Header"/>
    <w:rsid w:val="00C249C7"/>
    <w:rPr>
      <w:rFonts w:asciiTheme="minorHAnsi" w:hAnsiTheme="minorHAnsi"/>
      <w:noProof/>
      <w:sz w:val="16"/>
      <w:lang w:eastAsia="en-AU"/>
    </w:rPr>
  </w:style>
  <w:style w:type="character" w:customStyle="1" w:styleId="FooterChar">
    <w:name w:val="Footer Char"/>
    <w:basedOn w:val="DefaultParagraphFont"/>
    <w:link w:val="Footer"/>
    <w:uiPriority w:val="99"/>
    <w:rsid w:val="00C249C7"/>
    <w:rPr>
      <w:rFonts w:asciiTheme="minorHAnsi" w:hAnsiTheme="minorHAnsi"/>
      <w:sz w:val="14"/>
      <w:lang w:eastAsia="en-US"/>
    </w:rPr>
  </w:style>
  <w:style w:type="paragraph" w:customStyle="1" w:styleId="Contact">
    <w:name w:val="Contact"/>
    <w:basedOn w:val="OfficeAddress"/>
    <w:rsid w:val="00180AC7"/>
    <w:pPr>
      <w:spacing w:after="120" w:line="200" w:lineRule="exact"/>
      <w:ind w:left="113" w:right="-289"/>
    </w:pPr>
    <w:rPr>
      <w:rFonts w:asciiTheme="majorHAnsi" w:hAnsiTheme="majorHAnsi"/>
      <w:caps/>
      <w:sz w:val="14"/>
    </w:rPr>
  </w:style>
  <w:style w:type="paragraph" w:customStyle="1" w:styleId="BoxQuoteListBullet">
    <w:name w:val="Box Quote List Bullet"/>
    <w:basedOn w:val="BoxQuote"/>
    <w:uiPriority w:val="4"/>
    <w:rsid w:val="00EE1A65"/>
    <w:pPr>
      <w:numPr>
        <w:numId w:val="23"/>
      </w:numPr>
      <w:spacing w:before="40"/>
    </w:pPr>
  </w:style>
  <w:style w:type="paragraph" w:styleId="Bibliography">
    <w:name w:val="Bibliography"/>
    <w:basedOn w:val="Reference"/>
    <w:next w:val="BodyText"/>
    <w:uiPriority w:val="37"/>
    <w:semiHidden/>
    <w:rsid w:val="00C249C7"/>
  </w:style>
  <w:style w:type="table" w:customStyle="1" w:styleId="LightShading1">
    <w:name w:val="Light Shading1"/>
    <w:basedOn w:val="TableNormal"/>
    <w:uiPriority w:val="60"/>
    <w:rsid w:val="00C249C7"/>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quation">
    <w:name w:val="Equation"/>
    <w:basedOn w:val="BodyText"/>
    <w:next w:val="BodyText"/>
    <w:uiPriority w:val="8"/>
    <w:rsid w:val="00C249C7"/>
    <w:pPr>
      <w:spacing w:before="0" w:after="60" w:line="240" w:lineRule="auto"/>
      <w:jc w:val="center"/>
    </w:pPr>
  </w:style>
  <w:style w:type="character" w:styleId="PlaceholderText">
    <w:name w:val="Placeholder Text"/>
    <w:basedOn w:val="DefaultParagraphFont"/>
    <w:uiPriority w:val="99"/>
    <w:semiHidden/>
    <w:rsid w:val="00C249C7"/>
    <w:rPr>
      <w:color w:val="808080"/>
    </w:rPr>
  </w:style>
  <w:style w:type="paragraph" w:customStyle="1" w:styleId="Subject">
    <w:name w:val="Subject"/>
    <w:semiHidden/>
    <w:rsid w:val="00C249C7"/>
    <w:pPr>
      <w:spacing w:before="0"/>
    </w:pPr>
    <w:rPr>
      <w:rFonts w:ascii="Century Gothic" w:hAnsi="Century Gothic"/>
      <w:b/>
      <w:color w:val="000080"/>
      <w:szCs w:val="20"/>
      <w:lang w:eastAsia="en-US"/>
    </w:rPr>
  </w:style>
  <w:style w:type="paragraph" w:customStyle="1" w:styleId="Email">
    <w:name w:val="Email"/>
    <w:basedOn w:val="Normal"/>
    <w:semiHidden/>
    <w:rsid w:val="00C249C7"/>
    <w:pPr>
      <w:spacing w:before="0" w:line="240" w:lineRule="auto"/>
      <w:outlineLvl w:val="0"/>
    </w:pPr>
    <w:rPr>
      <w:sz w:val="23"/>
      <w:szCs w:val="20"/>
    </w:rPr>
  </w:style>
  <w:style w:type="paragraph" w:customStyle="1" w:styleId="SignatureBlock">
    <w:name w:val="Signature Block"/>
    <w:basedOn w:val="LetterName"/>
    <w:uiPriority w:val="6"/>
    <w:rsid w:val="00610859"/>
    <w:pPr>
      <w:spacing w:line="240" w:lineRule="auto"/>
    </w:pPr>
  </w:style>
  <w:style w:type="paragraph" w:customStyle="1" w:styleId="Address">
    <w:name w:val="Address"/>
    <w:basedOn w:val="BodyText"/>
    <w:uiPriority w:val="99"/>
    <w:semiHidden/>
    <w:rsid w:val="00C249C7"/>
  </w:style>
  <w:style w:type="paragraph" w:customStyle="1" w:styleId="OfficeDarwin">
    <w:name w:val="OfficeDarwin"/>
    <w:basedOn w:val="Office"/>
    <w:uiPriority w:val="99"/>
    <w:semiHidden/>
    <w:rsid w:val="00C249C7"/>
    <w:pPr>
      <w:spacing w:before="540"/>
      <w:ind w:right="-289"/>
    </w:pPr>
  </w:style>
  <w:style w:type="paragraph" w:customStyle="1" w:styleId="OfficeSydney">
    <w:name w:val="OfficeSydney"/>
    <w:basedOn w:val="Office"/>
    <w:uiPriority w:val="99"/>
    <w:semiHidden/>
    <w:rsid w:val="00C249C7"/>
    <w:pPr>
      <w:spacing w:before="640"/>
      <w:ind w:right="-289"/>
    </w:pPr>
  </w:style>
  <w:style w:type="paragraph" w:customStyle="1" w:styleId="Tablelistnumber2">
    <w:name w:val="Table list number 2"/>
    <w:basedOn w:val="Tablelistnumber"/>
    <w:uiPriority w:val="3"/>
    <w:rsid w:val="00520ED6"/>
    <w:pPr>
      <w:numPr>
        <w:ilvl w:val="1"/>
      </w:numPr>
    </w:pPr>
  </w:style>
  <w:style w:type="paragraph" w:customStyle="1" w:styleId="BoxListNumber3">
    <w:name w:val="Box List Number 3"/>
    <w:basedOn w:val="BoxListNumber2"/>
    <w:uiPriority w:val="4"/>
    <w:rsid w:val="00C249C7"/>
    <w:pPr>
      <w:numPr>
        <w:ilvl w:val="2"/>
      </w:numPr>
    </w:pPr>
  </w:style>
  <w:style w:type="paragraph" w:customStyle="1" w:styleId="Tablelistnumber3">
    <w:name w:val="Table list number 3"/>
    <w:basedOn w:val="Tablelistnumber2"/>
    <w:uiPriority w:val="3"/>
    <w:rsid w:val="00520ED6"/>
    <w:pPr>
      <w:numPr>
        <w:ilvl w:val="2"/>
      </w:numPr>
    </w:pPr>
    <w:rPr>
      <w:rFonts w:cs="Arial"/>
      <w:szCs w:val="16"/>
    </w:rPr>
  </w:style>
  <w:style w:type="character" w:customStyle="1" w:styleId="BodyTextChar">
    <w:name w:val="Body Text Char"/>
    <w:aliases w:val="Body Text Char1 Char,Body Text Char Char Char,Body Text Char2 Char,Body Text Char2 Char Char1 Char Char,Body Text Char1 Char Char Char Char Char,Body Text Char2 Char Char1 Char Char Char Char Char Char,Body Text Char11 Char Char"/>
    <w:basedOn w:val="DefaultParagraphFont"/>
    <w:link w:val="BodyText"/>
    <w:rsid w:val="0041114B"/>
    <w:rPr>
      <w:rFonts w:asciiTheme="minorHAnsi" w:hAnsiTheme="minorHAnsi"/>
      <w:sz w:val="22"/>
      <w:szCs w:val="22"/>
      <w:lang w:eastAsia="en-AU"/>
    </w:rPr>
  </w:style>
  <w:style w:type="numbering" w:styleId="111111">
    <w:name w:val="Outline List 2"/>
    <w:basedOn w:val="NoList"/>
    <w:uiPriority w:val="99"/>
    <w:semiHidden/>
    <w:unhideWhenUsed/>
    <w:rsid w:val="00C249C7"/>
    <w:pPr>
      <w:numPr>
        <w:numId w:val="6"/>
      </w:numPr>
    </w:pPr>
  </w:style>
  <w:style w:type="numbering" w:styleId="1ai">
    <w:name w:val="Outline List 1"/>
    <w:basedOn w:val="NoList"/>
    <w:uiPriority w:val="99"/>
    <w:semiHidden/>
    <w:unhideWhenUsed/>
    <w:rsid w:val="00C249C7"/>
    <w:pPr>
      <w:numPr>
        <w:numId w:val="5"/>
      </w:numPr>
    </w:pPr>
  </w:style>
  <w:style w:type="character" w:styleId="BookTitle">
    <w:name w:val="Book Title"/>
    <w:basedOn w:val="DefaultParagraphFont"/>
    <w:uiPriority w:val="33"/>
    <w:semiHidden/>
    <w:rsid w:val="00C249C7"/>
    <w:rPr>
      <w:b/>
      <w:bCs/>
      <w:smallCaps/>
      <w:spacing w:val="5"/>
    </w:rPr>
  </w:style>
  <w:style w:type="table" w:styleId="ColorfulGrid">
    <w:name w:val="Colorful Grid"/>
    <w:basedOn w:val="TableNormal"/>
    <w:uiPriority w:val="73"/>
    <w:rsid w:val="00C249C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249C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ADDED" w:themeFill="accent1" w:themeFillTint="33"/>
    </w:tcPr>
    <w:tblStylePr w:type="firstRow">
      <w:rPr>
        <w:b/>
        <w:bCs/>
      </w:rPr>
      <w:tblPr/>
      <w:tcPr>
        <w:shd w:val="clear" w:color="auto" w:fill="D5BBDB" w:themeFill="accent1" w:themeFillTint="66"/>
      </w:tcPr>
    </w:tblStylePr>
    <w:tblStylePr w:type="lastRow">
      <w:rPr>
        <w:b/>
        <w:bCs/>
        <w:color w:val="000000" w:themeColor="text1"/>
      </w:rPr>
      <w:tblPr/>
      <w:tcPr>
        <w:shd w:val="clear" w:color="auto" w:fill="D5BBDB" w:themeFill="accent1" w:themeFillTint="66"/>
      </w:tcPr>
    </w:tblStylePr>
    <w:tblStylePr w:type="firstCol">
      <w:rPr>
        <w:color w:val="FFFFFF" w:themeColor="background1"/>
      </w:rPr>
      <w:tblPr/>
      <w:tcPr>
        <w:shd w:val="clear" w:color="auto" w:fill="70417C" w:themeFill="accent1" w:themeFillShade="BF"/>
      </w:tcPr>
    </w:tblStylePr>
    <w:tblStylePr w:type="lastCol">
      <w:rPr>
        <w:color w:val="FFFFFF" w:themeColor="background1"/>
      </w:rPr>
      <w:tblPr/>
      <w:tcPr>
        <w:shd w:val="clear" w:color="auto" w:fill="70417C" w:themeFill="accent1" w:themeFillShade="BF"/>
      </w:tcPr>
    </w:tblStylePr>
    <w:tblStylePr w:type="band1Vert">
      <w:tblPr/>
      <w:tcPr>
        <w:shd w:val="clear" w:color="auto" w:fill="CBABD3" w:themeFill="accent1" w:themeFillTint="7F"/>
      </w:tcPr>
    </w:tblStylePr>
    <w:tblStylePr w:type="band1Horz">
      <w:tblPr/>
      <w:tcPr>
        <w:shd w:val="clear" w:color="auto" w:fill="CBABD3" w:themeFill="accent1" w:themeFillTint="7F"/>
      </w:tcPr>
    </w:tblStylePr>
  </w:style>
  <w:style w:type="table" w:styleId="ColorfulGrid-Accent2">
    <w:name w:val="Colorful Grid Accent 2"/>
    <w:basedOn w:val="TableNormal"/>
    <w:uiPriority w:val="73"/>
    <w:rsid w:val="00C249C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EED7" w:themeFill="accent2" w:themeFillTint="33"/>
    </w:tcPr>
    <w:tblStylePr w:type="firstRow">
      <w:rPr>
        <w:b/>
        <w:bCs/>
      </w:rPr>
      <w:tblPr/>
      <w:tcPr>
        <w:shd w:val="clear" w:color="auto" w:fill="FFDEB0" w:themeFill="accent2" w:themeFillTint="66"/>
      </w:tcPr>
    </w:tblStylePr>
    <w:tblStylePr w:type="lastRow">
      <w:rPr>
        <w:b/>
        <w:bCs/>
        <w:color w:val="000000" w:themeColor="text1"/>
      </w:rPr>
      <w:tblPr/>
      <w:tcPr>
        <w:shd w:val="clear" w:color="auto" w:fill="FFDEB0" w:themeFill="accent2" w:themeFillTint="66"/>
      </w:tcPr>
    </w:tblStylePr>
    <w:tblStylePr w:type="firstCol">
      <w:rPr>
        <w:color w:val="FFFFFF" w:themeColor="background1"/>
      </w:rPr>
      <w:tblPr/>
      <w:tcPr>
        <w:shd w:val="clear" w:color="auto" w:fill="EB8900" w:themeFill="accent2" w:themeFillShade="BF"/>
      </w:tcPr>
    </w:tblStylePr>
    <w:tblStylePr w:type="lastCol">
      <w:rPr>
        <w:color w:val="FFFFFF" w:themeColor="background1"/>
      </w:rPr>
      <w:tblPr/>
      <w:tcPr>
        <w:shd w:val="clear" w:color="auto" w:fill="EB8900" w:themeFill="accent2" w:themeFillShade="BF"/>
      </w:tcPr>
    </w:tblStylePr>
    <w:tblStylePr w:type="band1Vert">
      <w:tblPr/>
      <w:tcPr>
        <w:shd w:val="clear" w:color="auto" w:fill="FFD69D" w:themeFill="accent2" w:themeFillTint="7F"/>
      </w:tcPr>
    </w:tblStylePr>
    <w:tblStylePr w:type="band1Horz">
      <w:tblPr/>
      <w:tcPr>
        <w:shd w:val="clear" w:color="auto" w:fill="FFD69D" w:themeFill="accent2" w:themeFillTint="7F"/>
      </w:tcPr>
    </w:tblStylePr>
  </w:style>
  <w:style w:type="table" w:styleId="ColorfulGrid-Accent3">
    <w:name w:val="Colorful Grid Accent 3"/>
    <w:basedOn w:val="TableNormal"/>
    <w:uiPriority w:val="73"/>
    <w:rsid w:val="00C249C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249C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0E7F2" w:themeFill="accent4" w:themeFillTint="33"/>
    </w:tcPr>
    <w:tblStylePr w:type="firstRow">
      <w:rPr>
        <w:b/>
        <w:bCs/>
      </w:rPr>
      <w:tblPr/>
      <w:tcPr>
        <w:shd w:val="clear" w:color="auto" w:fill="E1CFE6" w:themeFill="accent4" w:themeFillTint="66"/>
      </w:tcPr>
    </w:tblStylePr>
    <w:tblStylePr w:type="lastRow">
      <w:rPr>
        <w:b/>
        <w:bCs/>
        <w:color w:val="000000" w:themeColor="text1"/>
      </w:rPr>
      <w:tblPr/>
      <w:tcPr>
        <w:shd w:val="clear" w:color="auto" w:fill="E1CFE6" w:themeFill="accent4" w:themeFillTint="66"/>
      </w:tcPr>
    </w:tblStylePr>
    <w:tblStylePr w:type="firstCol">
      <w:rPr>
        <w:color w:val="FFFFFF" w:themeColor="background1"/>
      </w:rPr>
      <w:tblPr/>
      <w:tcPr>
        <w:shd w:val="clear" w:color="auto" w:fill="9255A1" w:themeFill="accent4" w:themeFillShade="BF"/>
      </w:tcPr>
    </w:tblStylePr>
    <w:tblStylePr w:type="lastCol">
      <w:rPr>
        <w:color w:val="FFFFFF" w:themeColor="background1"/>
      </w:rPr>
      <w:tblPr/>
      <w:tcPr>
        <w:shd w:val="clear" w:color="auto" w:fill="9255A1" w:themeFill="accent4" w:themeFillShade="BF"/>
      </w:tcPr>
    </w:tblStylePr>
    <w:tblStylePr w:type="band1Vert">
      <w:tblPr/>
      <w:tcPr>
        <w:shd w:val="clear" w:color="auto" w:fill="DAC4E0" w:themeFill="accent4" w:themeFillTint="7F"/>
      </w:tcPr>
    </w:tblStylePr>
    <w:tblStylePr w:type="band1Horz">
      <w:tblPr/>
      <w:tcPr>
        <w:shd w:val="clear" w:color="auto" w:fill="DAC4E0" w:themeFill="accent4" w:themeFillTint="7F"/>
      </w:tcPr>
    </w:tblStylePr>
  </w:style>
  <w:style w:type="table" w:styleId="ColorfulGrid-Accent5">
    <w:name w:val="Colorful Grid Accent 5"/>
    <w:basedOn w:val="TableNormal"/>
    <w:uiPriority w:val="73"/>
    <w:rsid w:val="00C249C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E8C7" w:themeFill="accent5" w:themeFillTint="33"/>
    </w:tcPr>
    <w:tblStylePr w:type="firstRow">
      <w:rPr>
        <w:b/>
        <w:bCs/>
      </w:rPr>
      <w:tblPr/>
      <w:tcPr>
        <w:shd w:val="clear" w:color="auto" w:fill="FFD190" w:themeFill="accent5" w:themeFillTint="66"/>
      </w:tcPr>
    </w:tblStylePr>
    <w:tblStylePr w:type="lastRow">
      <w:rPr>
        <w:b/>
        <w:bCs/>
        <w:color w:val="000000" w:themeColor="text1"/>
      </w:rPr>
      <w:tblPr/>
      <w:tcPr>
        <w:shd w:val="clear" w:color="auto" w:fill="FFD190" w:themeFill="accent5" w:themeFillTint="66"/>
      </w:tcPr>
    </w:tblStylePr>
    <w:tblStylePr w:type="firstCol">
      <w:rPr>
        <w:color w:val="FFFFFF" w:themeColor="background1"/>
      </w:rPr>
      <w:tblPr/>
      <w:tcPr>
        <w:shd w:val="clear" w:color="auto" w:fill="AF6700" w:themeFill="accent5" w:themeFillShade="BF"/>
      </w:tcPr>
    </w:tblStylePr>
    <w:tblStylePr w:type="lastCol">
      <w:rPr>
        <w:color w:val="FFFFFF" w:themeColor="background1"/>
      </w:rPr>
      <w:tblPr/>
      <w:tcPr>
        <w:shd w:val="clear" w:color="auto" w:fill="AF6700" w:themeFill="accent5" w:themeFillShade="BF"/>
      </w:tcPr>
    </w:tblStylePr>
    <w:tblStylePr w:type="band1Vert">
      <w:tblPr/>
      <w:tcPr>
        <w:shd w:val="clear" w:color="auto" w:fill="FFC675" w:themeFill="accent5" w:themeFillTint="7F"/>
      </w:tcPr>
    </w:tblStylePr>
    <w:tblStylePr w:type="band1Horz">
      <w:tblPr/>
      <w:tcPr>
        <w:shd w:val="clear" w:color="auto" w:fill="FFC675" w:themeFill="accent5" w:themeFillTint="7F"/>
      </w:tcPr>
    </w:tblStylePr>
  </w:style>
  <w:style w:type="table" w:styleId="ColorfulGrid-Accent6">
    <w:name w:val="Colorful Grid Accent 6"/>
    <w:basedOn w:val="TableNormal"/>
    <w:uiPriority w:val="73"/>
    <w:rsid w:val="00C249C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2F2F2" w:themeFill="accent6" w:themeFillTint="33"/>
    </w:tcPr>
    <w:tblStylePr w:type="firstRow">
      <w:rPr>
        <w:b/>
        <w:bCs/>
      </w:rPr>
      <w:tblPr/>
      <w:tcPr>
        <w:shd w:val="clear" w:color="auto" w:fill="E5E5E5" w:themeFill="accent6" w:themeFillTint="66"/>
      </w:tcPr>
    </w:tblStylePr>
    <w:tblStylePr w:type="lastRow">
      <w:rPr>
        <w:b/>
        <w:bCs/>
        <w:color w:val="000000" w:themeColor="text1"/>
      </w:rPr>
      <w:tblPr/>
      <w:tcPr>
        <w:shd w:val="clear" w:color="auto" w:fill="E5E5E5" w:themeFill="accent6" w:themeFillTint="66"/>
      </w:tcPr>
    </w:tblStylePr>
    <w:tblStylePr w:type="firstCol">
      <w:rPr>
        <w:color w:val="FFFFFF" w:themeColor="background1"/>
      </w:rPr>
      <w:tblPr/>
      <w:tcPr>
        <w:shd w:val="clear" w:color="auto" w:fill="8F8F8F" w:themeFill="accent6" w:themeFillShade="BF"/>
      </w:tcPr>
    </w:tblStylePr>
    <w:tblStylePr w:type="lastCol">
      <w:rPr>
        <w:color w:val="FFFFFF" w:themeColor="background1"/>
      </w:rPr>
      <w:tblPr/>
      <w:tcPr>
        <w:shd w:val="clear" w:color="auto" w:fill="8F8F8F" w:themeFill="accent6" w:themeFillShade="BF"/>
      </w:tc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ColorfulList">
    <w:name w:val="Colorful List"/>
    <w:basedOn w:val="TableNormal"/>
    <w:uiPriority w:val="72"/>
    <w:rsid w:val="00C249C7"/>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B9200" w:themeFill="accent2" w:themeFillShade="CC"/>
      </w:tcPr>
    </w:tblStylePr>
    <w:tblStylePr w:type="lastRow">
      <w:rPr>
        <w:b/>
        <w:bCs/>
        <w:color w:val="FB92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249C7"/>
    <w:pPr>
      <w:spacing w:before="0" w:line="240" w:lineRule="auto"/>
    </w:pPr>
    <w:rPr>
      <w:color w:val="000000" w:themeColor="text1"/>
    </w:rPr>
    <w:tblPr>
      <w:tblStyleRowBandSize w:val="1"/>
      <w:tblStyleColBandSize w:val="1"/>
    </w:tblPr>
    <w:tcPr>
      <w:shd w:val="clear" w:color="auto" w:fill="F4EEF6" w:themeFill="accent1" w:themeFillTint="19"/>
    </w:tcPr>
    <w:tblStylePr w:type="firstRow">
      <w:rPr>
        <w:b/>
        <w:bCs/>
        <w:color w:val="FFFFFF" w:themeColor="background1"/>
      </w:rPr>
      <w:tblPr/>
      <w:tcPr>
        <w:tcBorders>
          <w:bottom w:val="single" w:sz="12" w:space="0" w:color="FFFFFF" w:themeColor="background1"/>
        </w:tcBorders>
        <w:shd w:val="clear" w:color="auto" w:fill="FB9200" w:themeFill="accent2" w:themeFillShade="CC"/>
      </w:tcPr>
    </w:tblStylePr>
    <w:tblStylePr w:type="lastRow">
      <w:rPr>
        <w:b/>
        <w:bCs/>
        <w:color w:val="FB92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D5E9" w:themeFill="accent1" w:themeFillTint="3F"/>
      </w:tcPr>
    </w:tblStylePr>
    <w:tblStylePr w:type="band1Horz">
      <w:tblPr/>
      <w:tcPr>
        <w:shd w:val="clear" w:color="auto" w:fill="EADDED" w:themeFill="accent1" w:themeFillTint="33"/>
      </w:tcPr>
    </w:tblStylePr>
  </w:style>
  <w:style w:type="table" w:styleId="ColorfulList-Accent2">
    <w:name w:val="Colorful List Accent 2"/>
    <w:basedOn w:val="TableNormal"/>
    <w:uiPriority w:val="72"/>
    <w:rsid w:val="00C249C7"/>
    <w:pPr>
      <w:spacing w:before="0" w:line="240" w:lineRule="auto"/>
    </w:pPr>
    <w:rPr>
      <w:color w:val="000000" w:themeColor="text1"/>
    </w:rPr>
    <w:tblPr>
      <w:tblStyleRowBandSize w:val="1"/>
      <w:tblStyleColBandSize w:val="1"/>
    </w:tblPr>
    <w:tcPr>
      <w:shd w:val="clear" w:color="auto" w:fill="FFF6EB" w:themeFill="accent2" w:themeFillTint="19"/>
    </w:tcPr>
    <w:tblStylePr w:type="firstRow">
      <w:rPr>
        <w:b/>
        <w:bCs/>
        <w:color w:val="FFFFFF" w:themeColor="background1"/>
      </w:rPr>
      <w:tblPr/>
      <w:tcPr>
        <w:tcBorders>
          <w:bottom w:val="single" w:sz="12" w:space="0" w:color="FFFFFF" w:themeColor="background1"/>
        </w:tcBorders>
        <w:shd w:val="clear" w:color="auto" w:fill="FB9200" w:themeFill="accent2" w:themeFillShade="CC"/>
      </w:tcPr>
    </w:tblStylePr>
    <w:tblStylePr w:type="lastRow">
      <w:rPr>
        <w:b/>
        <w:bCs/>
        <w:color w:val="FB92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ACE" w:themeFill="accent2" w:themeFillTint="3F"/>
      </w:tcPr>
    </w:tblStylePr>
    <w:tblStylePr w:type="band1Horz">
      <w:tblPr/>
      <w:tcPr>
        <w:shd w:val="clear" w:color="auto" w:fill="FFEED7" w:themeFill="accent2" w:themeFillTint="33"/>
      </w:tcPr>
    </w:tblStylePr>
  </w:style>
  <w:style w:type="table" w:styleId="ColorfulList-Accent3">
    <w:name w:val="Colorful List Accent 3"/>
    <w:basedOn w:val="TableNormal"/>
    <w:uiPriority w:val="72"/>
    <w:rsid w:val="00C249C7"/>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9B5DAA" w:themeFill="accent4" w:themeFillShade="CC"/>
      </w:tcPr>
    </w:tblStylePr>
    <w:tblStylePr w:type="lastRow">
      <w:rPr>
        <w:b/>
        <w:bCs/>
        <w:color w:val="9B5D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249C7"/>
    <w:pPr>
      <w:spacing w:before="0" w:line="240" w:lineRule="auto"/>
    </w:pPr>
    <w:rPr>
      <w:color w:val="000000" w:themeColor="text1"/>
    </w:rPr>
    <w:tblPr>
      <w:tblStyleRowBandSize w:val="1"/>
      <w:tblStyleColBandSize w:val="1"/>
    </w:tblPr>
    <w:tcPr>
      <w:shd w:val="clear" w:color="auto" w:fill="F7F3F9"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1EF" w:themeFill="accent4" w:themeFillTint="3F"/>
      </w:tcPr>
    </w:tblStylePr>
    <w:tblStylePr w:type="band1Horz">
      <w:tblPr/>
      <w:tcPr>
        <w:shd w:val="clear" w:color="auto" w:fill="F0E7F2" w:themeFill="accent4" w:themeFillTint="33"/>
      </w:tcPr>
    </w:tblStylePr>
  </w:style>
  <w:style w:type="table" w:styleId="ColorfulList-Accent5">
    <w:name w:val="Colorful List Accent 5"/>
    <w:basedOn w:val="TableNormal"/>
    <w:uiPriority w:val="72"/>
    <w:rsid w:val="00C249C7"/>
    <w:pPr>
      <w:spacing w:before="0" w:line="240" w:lineRule="auto"/>
    </w:pPr>
    <w:rPr>
      <w:color w:val="000000" w:themeColor="text1"/>
    </w:rPr>
    <w:tblPr>
      <w:tblStyleRowBandSize w:val="1"/>
      <w:tblStyleColBandSize w:val="1"/>
    </w:tblPr>
    <w:tcPr>
      <w:shd w:val="clear" w:color="auto" w:fill="FFF3E3" w:themeFill="accent5" w:themeFillTint="19"/>
    </w:tcPr>
    <w:tblStylePr w:type="firstRow">
      <w:rPr>
        <w:b/>
        <w:bCs/>
        <w:color w:val="FFFFFF" w:themeColor="background1"/>
      </w:rPr>
      <w:tblPr/>
      <w:tcPr>
        <w:tcBorders>
          <w:bottom w:val="single" w:sz="12" w:space="0" w:color="FFFFFF" w:themeColor="background1"/>
        </w:tcBorders>
        <w:shd w:val="clear" w:color="auto" w:fill="989898" w:themeFill="accent6" w:themeFillShade="CC"/>
      </w:tcPr>
    </w:tblStylePr>
    <w:tblStylePr w:type="lastRow">
      <w:rPr>
        <w:b/>
        <w:bCs/>
        <w:color w:val="98989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3BA" w:themeFill="accent5" w:themeFillTint="3F"/>
      </w:tcPr>
    </w:tblStylePr>
    <w:tblStylePr w:type="band1Horz">
      <w:tblPr/>
      <w:tcPr>
        <w:shd w:val="clear" w:color="auto" w:fill="FFE8C7" w:themeFill="accent5" w:themeFillTint="33"/>
      </w:tcPr>
    </w:tblStylePr>
  </w:style>
  <w:style w:type="table" w:styleId="ColorfulList-Accent6">
    <w:name w:val="Colorful List Accent 6"/>
    <w:basedOn w:val="TableNormal"/>
    <w:uiPriority w:val="72"/>
    <w:rsid w:val="00C249C7"/>
    <w:pPr>
      <w:spacing w:before="0" w:line="240" w:lineRule="auto"/>
    </w:pPr>
    <w:rPr>
      <w:color w:val="000000" w:themeColor="text1"/>
    </w:rPr>
    <w:tblPr>
      <w:tblStyleRowBandSize w:val="1"/>
      <w:tblStyleColBandSize w:val="1"/>
    </w:tblPr>
    <w:tcPr>
      <w:shd w:val="clear" w:color="auto" w:fill="F8F8F8" w:themeFill="accent6" w:themeFillTint="19"/>
    </w:tcPr>
    <w:tblStylePr w:type="firstRow">
      <w:rPr>
        <w:b/>
        <w:bCs/>
        <w:color w:val="FFFFFF" w:themeColor="background1"/>
      </w:rPr>
      <w:tblPr/>
      <w:tcPr>
        <w:tcBorders>
          <w:bottom w:val="single" w:sz="12" w:space="0" w:color="FFFFFF" w:themeColor="background1"/>
        </w:tcBorders>
        <w:shd w:val="clear" w:color="auto" w:fill="BB6E00" w:themeFill="accent5" w:themeFillShade="CC"/>
      </w:tcPr>
    </w:tblStylePr>
    <w:tblStylePr w:type="lastRow">
      <w:rPr>
        <w:b/>
        <w:bCs/>
        <w:color w:val="BB6E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accent6" w:themeFillTint="3F"/>
      </w:tcPr>
    </w:tblStylePr>
    <w:tblStylePr w:type="band1Horz">
      <w:tblPr/>
      <w:tcPr>
        <w:shd w:val="clear" w:color="auto" w:fill="F2F2F2" w:themeFill="accent6" w:themeFillTint="33"/>
      </w:tcPr>
    </w:tblStylePr>
  </w:style>
  <w:style w:type="table" w:styleId="ColorfulShading">
    <w:name w:val="Colorful Shading"/>
    <w:basedOn w:val="TableNormal"/>
    <w:uiPriority w:val="71"/>
    <w:rsid w:val="00C249C7"/>
    <w:pPr>
      <w:spacing w:before="0" w:line="240" w:lineRule="auto"/>
    </w:pPr>
    <w:rPr>
      <w:color w:val="000000" w:themeColor="text1"/>
    </w:rPr>
    <w:tblPr>
      <w:tblStyleRowBandSize w:val="1"/>
      <w:tblStyleColBandSize w:val="1"/>
      <w:tblBorders>
        <w:top w:val="single" w:sz="24" w:space="0" w:color="FFAE3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AE3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249C7"/>
    <w:pPr>
      <w:spacing w:before="0" w:line="240" w:lineRule="auto"/>
    </w:pPr>
    <w:rPr>
      <w:color w:val="000000" w:themeColor="text1"/>
    </w:rPr>
    <w:tblPr>
      <w:tblStyleRowBandSize w:val="1"/>
      <w:tblStyleColBandSize w:val="1"/>
      <w:tblBorders>
        <w:top w:val="single" w:sz="24" w:space="0" w:color="FFAE3B" w:themeColor="accent2"/>
        <w:left w:val="single" w:sz="4" w:space="0" w:color="9757A6" w:themeColor="accent1"/>
        <w:bottom w:val="single" w:sz="4" w:space="0" w:color="9757A6" w:themeColor="accent1"/>
        <w:right w:val="single" w:sz="4" w:space="0" w:color="9757A6" w:themeColor="accent1"/>
        <w:insideH w:val="single" w:sz="4" w:space="0" w:color="FFFFFF" w:themeColor="background1"/>
        <w:insideV w:val="single" w:sz="4" w:space="0" w:color="FFFFFF" w:themeColor="background1"/>
      </w:tblBorders>
    </w:tblPr>
    <w:tcPr>
      <w:shd w:val="clear" w:color="auto" w:fill="F4EEF6" w:themeFill="accent1" w:themeFillTint="19"/>
    </w:tcPr>
    <w:tblStylePr w:type="firstRow">
      <w:rPr>
        <w:b/>
        <w:bCs/>
      </w:rPr>
      <w:tblPr/>
      <w:tcPr>
        <w:tcBorders>
          <w:top w:val="nil"/>
          <w:left w:val="nil"/>
          <w:bottom w:val="single" w:sz="24" w:space="0" w:color="FFAE3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3463" w:themeFill="accent1" w:themeFillShade="99"/>
      </w:tcPr>
    </w:tblStylePr>
    <w:tblStylePr w:type="firstCol">
      <w:rPr>
        <w:color w:val="FFFFFF" w:themeColor="background1"/>
      </w:rPr>
      <w:tblPr/>
      <w:tcPr>
        <w:tcBorders>
          <w:top w:val="nil"/>
          <w:left w:val="nil"/>
          <w:bottom w:val="nil"/>
          <w:right w:val="nil"/>
          <w:insideH w:val="single" w:sz="4" w:space="0" w:color="5A3463" w:themeColor="accent1" w:themeShade="99"/>
          <w:insideV w:val="nil"/>
        </w:tcBorders>
        <w:shd w:val="clear" w:color="auto" w:fill="5A346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A3463" w:themeFill="accent1" w:themeFillShade="99"/>
      </w:tcPr>
    </w:tblStylePr>
    <w:tblStylePr w:type="band1Vert">
      <w:tblPr/>
      <w:tcPr>
        <w:shd w:val="clear" w:color="auto" w:fill="D5BBDB" w:themeFill="accent1" w:themeFillTint="66"/>
      </w:tcPr>
    </w:tblStylePr>
    <w:tblStylePr w:type="band1Horz">
      <w:tblPr/>
      <w:tcPr>
        <w:shd w:val="clear" w:color="auto" w:fill="CBAB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249C7"/>
    <w:pPr>
      <w:spacing w:before="0" w:line="240" w:lineRule="auto"/>
    </w:pPr>
    <w:rPr>
      <w:color w:val="000000" w:themeColor="text1"/>
    </w:rPr>
    <w:tblPr>
      <w:tblStyleRowBandSize w:val="1"/>
      <w:tblStyleColBandSize w:val="1"/>
      <w:tblBorders>
        <w:top w:val="single" w:sz="24" w:space="0" w:color="FFAE3B" w:themeColor="accent2"/>
        <w:left w:val="single" w:sz="4" w:space="0" w:color="FFAE3B" w:themeColor="accent2"/>
        <w:bottom w:val="single" w:sz="4" w:space="0" w:color="FFAE3B" w:themeColor="accent2"/>
        <w:right w:val="single" w:sz="4" w:space="0" w:color="FFAE3B" w:themeColor="accent2"/>
        <w:insideH w:val="single" w:sz="4" w:space="0" w:color="FFFFFF" w:themeColor="background1"/>
        <w:insideV w:val="single" w:sz="4" w:space="0" w:color="FFFFFF" w:themeColor="background1"/>
      </w:tblBorders>
    </w:tblPr>
    <w:tcPr>
      <w:shd w:val="clear" w:color="auto" w:fill="FFF6EB" w:themeFill="accent2" w:themeFillTint="19"/>
    </w:tcPr>
    <w:tblStylePr w:type="firstRow">
      <w:rPr>
        <w:b/>
        <w:bCs/>
      </w:rPr>
      <w:tblPr/>
      <w:tcPr>
        <w:tcBorders>
          <w:top w:val="nil"/>
          <w:left w:val="nil"/>
          <w:bottom w:val="single" w:sz="24" w:space="0" w:color="FFAE3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E00" w:themeFill="accent2" w:themeFillShade="99"/>
      </w:tcPr>
    </w:tblStylePr>
    <w:tblStylePr w:type="firstCol">
      <w:rPr>
        <w:color w:val="FFFFFF" w:themeColor="background1"/>
      </w:rPr>
      <w:tblPr/>
      <w:tcPr>
        <w:tcBorders>
          <w:top w:val="nil"/>
          <w:left w:val="nil"/>
          <w:bottom w:val="nil"/>
          <w:right w:val="nil"/>
          <w:insideH w:val="single" w:sz="4" w:space="0" w:color="BC6E00" w:themeColor="accent2" w:themeShade="99"/>
          <w:insideV w:val="nil"/>
        </w:tcBorders>
        <w:shd w:val="clear" w:color="auto" w:fill="BC6E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C6E00" w:themeFill="accent2" w:themeFillShade="99"/>
      </w:tcPr>
    </w:tblStylePr>
    <w:tblStylePr w:type="band1Vert">
      <w:tblPr/>
      <w:tcPr>
        <w:shd w:val="clear" w:color="auto" w:fill="FFDEB0" w:themeFill="accent2" w:themeFillTint="66"/>
      </w:tcPr>
    </w:tblStylePr>
    <w:tblStylePr w:type="band1Horz">
      <w:tblPr/>
      <w:tcPr>
        <w:shd w:val="clear" w:color="auto" w:fill="FF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249C7"/>
    <w:pPr>
      <w:spacing w:before="0" w:line="240" w:lineRule="auto"/>
    </w:pPr>
    <w:rPr>
      <w:color w:val="000000" w:themeColor="text1"/>
    </w:rPr>
    <w:tblPr>
      <w:tblStyleRowBandSize w:val="1"/>
      <w:tblStyleColBandSize w:val="1"/>
      <w:tblBorders>
        <w:top w:val="single" w:sz="24" w:space="0" w:color="B689C1"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B689C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249C7"/>
    <w:pPr>
      <w:spacing w:before="0" w:line="240" w:lineRule="auto"/>
    </w:pPr>
    <w:rPr>
      <w:color w:val="000000" w:themeColor="text1"/>
    </w:rPr>
    <w:tblPr>
      <w:tblStyleRowBandSize w:val="1"/>
      <w:tblStyleColBandSize w:val="1"/>
      <w:tblBorders>
        <w:top w:val="single" w:sz="24" w:space="0" w:color="A5A5A5" w:themeColor="accent3"/>
        <w:left w:val="single" w:sz="4" w:space="0" w:color="B689C1" w:themeColor="accent4"/>
        <w:bottom w:val="single" w:sz="4" w:space="0" w:color="B689C1" w:themeColor="accent4"/>
        <w:right w:val="single" w:sz="4" w:space="0" w:color="B689C1" w:themeColor="accent4"/>
        <w:insideH w:val="single" w:sz="4" w:space="0" w:color="FFFFFF" w:themeColor="background1"/>
        <w:insideV w:val="single" w:sz="4" w:space="0" w:color="FFFFFF" w:themeColor="background1"/>
      </w:tblBorders>
    </w:tblPr>
    <w:tcPr>
      <w:shd w:val="clear" w:color="auto" w:fill="F7F3F9"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481" w:themeFill="accent4" w:themeFillShade="99"/>
      </w:tcPr>
    </w:tblStylePr>
    <w:tblStylePr w:type="firstCol">
      <w:rPr>
        <w:color w:val="FFFFFF" w:themeColor="background1"/>
      </w:rPr>
      <w:tblPr/>
      <w:tcPr>
        <w:tcBorders>
          <w:top w:val="nil"/>
          <w:left w:val="nil"/>
          <w:bottom w:val="nil"/>
          <w:right w:val="nil"/>
          <w:insideH w:val="single" w:sz="4" w:space="0" w:color="754481" w:themeColor="accent4" w:themeShade="99"/>
          <w:insideV w:val="nil"/>
        </w:tcBorders>
        <w:shd w:val="clear" w:color="auto" w:fill="7544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54481" w:themeFill="accent4" w:themeFillShade="99"/>
      </w:tcPr>
    </w:tblStylePr>
    <w:tblStylePr w:type="band1Vert">
      <w:tblPr/>
      <w:tcPr>
        <w:shd w:val="clear" w:color="auto" w:fill="E1CFE6" w:themeFill="accent4" w:themeFillTint="66"/>
      </w:tcPr>
    </w:tblStylePr>
    <w:tblStylePr w:type="band1Horz">
      <w:tblPr/>
      <w:tcPr>
        <w:shd w:val="clear" w:color="auto" w:fill="DAC4E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249C7"/>
    <w:pPr>
      <w:spacing w:before="0" w:line="240" w:lineRule="auto"/>
    </w:pPr>
    <w:rPr>
      <w:color w:val="000000" w:themeColor="text1"/>
    </w:rPr>
    <w:tblPr>
      <w:tblStyleRowBandSize w:val="1"/>
      <w:tblStyleColBandSize w:val="1"/>
      <w:tblBorders>
        <w:top w:val="single" w:sz="24" w:space="0" w:color="BFBFBF" w:themeColor="accent6"/>
        <w:left w:val="single" w:sz="4" w:space="0" w:color="EA8B00" w:themeColor="accent5"/>
        <w:bottom w:val="single" w:sz="4" w:space="0" w:color="EA8B00" w:themeColor="accent5"/>
        <w:right w:val="single" w:sz="4" w:space="0" w:color="EA8B00" w:themeColor="accent5"/>
        <w:insideH w:val="single" w:sz="4" w:space="0" w:color="FFFFFF" w:themeColor="background1"/>
        <w:insideV w:val="single" w:sz="4" w:space="0" w:color="FFFFFF" w:themeColor="background1"/>
      </w:tblBorders>
    </w:tblPr>
    <w:tcPr>
      <w:shd w:val="clear" w:color="auto" w:fill="FFF3E3" w:themeFill="accent5" w:themeFillTint="19"/>
    </w:tcPr>
    <w:tblStylePr w:type="firstRow">
      <w:rPr>
        <w:b/>
        <w:bCs/>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5300" w:themeFill="accent5" w:themeFillShade="99"/>
      </w:tcPr>
    </w:tblStylePr>
    <w:tblStylePr w:type="firstCol">
      <w:rPr>
        <w:color w:val="FFFFFF" w:themeColor="background1"/>
      </w:rPr>
      <w:tblPr/>
      <w:tcPr>
        <w:tcBorders>
          <w:top w:val="nil"/>
          <w:left w:val="nil"/>
          <w:bottom w:val="nil"/>
          <w:right w:val="nil"/>
          <w:insideH w:val="single" w:sz="4" w:space="0" w:color="8C5300" w:themeColor="accent5" w:themeShade="99"/>
          <w:insideV w:val="nil"/>
        </w:tcBorders>
        <w:shd w:val="clear" w:color="auto" w:fill="8C53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5300" w:themeFill="accent5" w:themeFillShade="99"/>
      </w:tcPr>
    </w:tblStylePr>
    <w:tblStylePr w:type="band1Vert">
      <w:tblPr/>
      <w:tcPr>
        <w:shd w:val="clear" w:color="auto" w:fill="FFD190" w:themeFill="accent5" w:themeFillTint="66"/>
      </w:tcPr>
    </w:tblStylePr>
    <w:tblStylePr w:type="band1Horz">
      <w:tblPr/>
      <w:tcPr>
        <w:shd w:val="clear" w:color="auto" w:fill="FFC67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249C7"/>
    <w:pPr>
      <w:spacing w:before="0" w:line="240" w:lineRule="auto"/>
    </w:pPr>
    <w:rPr>
      <w:color w:val="000000" w:themeColor="text1"/>
    </w:rPr>
    <w:tblPr>
      <w:tblStyleRowBandSize w:val="1"/>
      <w:tblStyleColBandSize w:val="1"/>
      <w:tblBorders>
        <w:top w:val="single" w:sz="24" w:space="0" w:color="EA8B00" w:themeColor="accent5"/>
        <w:left w:val="single" w:sz="4" w:space="0" w:color="BFBFBF" w:themeColor="accent6"/>
        <w:bottom w:val="single" w:sz="4" w:space="0" w:color="BFBFBF" w:themeColor="accent6"/>
        <w:right w:val="single" w:sz="4" w:space="0" w:color="BFBFBF" w:themeColor="accent6"/>
        <w:insideH w:val="single" w:sz="4" w:space="0" w:color="FFFFFF" w:themeColor="background1"/>
        <w:insideV w:val="single" w:sz="4" w:space="0" w:color="FFFFFF" w:themeColor="background1"/>
      </w:tblBorders>
    </w:tblPr>
    <w:tcPr>
      <w:shd w:val="clear" w:color="auto" w:fill="F8F8F8" w:themeFill="accent6" w:themeFillTint="19"/>
    </w:tcPr>
    <w:tblStylePr w:type="firstRow">
      <w:rPr>
        <w:b/>
        <w:bCs/>
      </w:rPr>
      <w:tblPr/>
      <w:tcPr>
        <w:tcBorders>
          <w:top w:val="nil"/>
          <w:left w:val="nil"/>
          <w:bottom w:val="single" w:sz="24" w:space="0" w:color="EA8B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7272" w:themeFill="accent6" w:themeFillShade="99"/>
      </w:tcPr>
    </w:tblStylePr>
    <w:tblStylePr w:type="firstCol">
      <w:rPr>
        <w:color w:val="FFFFFF" w:themeColor="background1"/>
      </w:rPr>
      <w:tblPr/>
      <w:tcPr>
        <w:tcBorders>
          <w:top w:val="nil"/>
          <w:left w:val="nil"/>
          <w:bottom w:val="nil"/>
          <w:right w:val="nil"/>
          <w:insideH w:val="single" w:sz="4" w:space="0" w:color="727272" w:themeColor="accent6" w:themeShade="99"/>
          <w:insideV w:val="nil"/>
        </w:tcBorders>
        <w:shd w:val="clear" w:color="auto" w:fill="72727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27272" w:themeFill="accent6" w:themeFillShade="99"/>
      </w:tcPr>
    </w:tblStylePr>
    <w:tblStylePr w:type="band1Vert">
      <w:tblPr/>
      <w:tcPr>
        <w:shd w:val="clear" w:color="auto" w:fill="E5E5E5" w:themeFill="accent6" w:themeFillTint="66"/>
      </w:tcPr>
    </w:tblStylePr>
    <w:tblStylePr w:type="band1Horz">
      <w:tblPr/>
      <w:tcPr>
        <w:shd w:val="clear" w:color="auto" w:fill="DFDFD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C249C7"/>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249C7"/>
    <w:pPr>
      <w:spacing w:before="0" w:line="240" w:lineRule="auto"/>
    </w:pPr>
    <w:rPr>
      <w:color w:val="FFFFFF" w:themeColor="background1"/>
    </w:rPr>
    <w:tblPr>
      <w:tblStyleRowBandSize w:val="1"/>
      <w:tblStyleColBandSize w:val="1"/>
    </w:tblPr>
    <w:tcPr>
      <w:shd w:val="clear" w:color="auto" w:fill="9757A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2B5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0417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0417C" w:themeFill="accent1" w:themeFillShade="BF"/>
      </w:tcPr>
    </w:tblStylePr>
    <w:tblStylePr w:type="band1Vert">
      <w:tblPr/>
      <w:tcPr>
        <w:tcBorders>
          <w:top w:val="nil"/>
          <w:left w:val="nil"/>
          <w:bottom w:val="nil"/>
          <w:right w:val="nil"/>
          <w:insideH w:val="nil"/>
          <w:insideV w:val="nil"/>
        </w:tcBorders>
        <w:shd w:val="clear" w:color="auto" w:fill="70417C" w:themeFill="accent1" w:themeFillShade="BF"/>
      </w:tcPr>
    </w:tblStylePr>
    <w:tblStylePr w:type="band1Horz">
      <w:tblPr/>
      <w:tcPr>
        <w:tcBorders>
          <w:top w:val="nil"/>
          <w:left w:val="nil"/>
          <w:bottom w:val="nil"/>
          <w:right w:val="nil"/>
          <w:insideH w:val="nil"/>
          <w:insideV w:val="nil"/>
        </w:tcBorders>
        <w:shd w:val="clear" w:color="auto" w:fill="70417C" w:themeFill="accent1" w:themeFillShade="BF"/>
      </w:tcPr>
    </w:tblStylePr>
  </w:style>
  <w:style w:type="table" w:styleId="DarkList-Accent2">
    <w:name w:val="Dark List Accent 2"/>
    <w:basedOn w:val="TableNormal"/>
    <w:uiPriority w:val="70"/>
    <w:rsid w:val="00C249C7"/>
    <w:pPr>
      <w:spacing w:before="0" w:line="240" w:lineRule="auto"/>
    </w:pPr>
    <w:rPr>
      <w:color w:val="FFFFFF" w:themeColor="background1"/>
    </w:rPr>
    <w:tblPr>
      <w:tblStyleRowBandSize w:val="1"/>
      <w:tblStyleColBandSize w:val="1"/>
    </w:tblPr>
    <w:tcPr>
      <w:shd w:val="clear" w:color="auto" w:fill="FFAE3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C5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B89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B8900" w:themeFill="accent2" w:themeFillShade="BF"/>
      </w:tcPr>
    </w:tblStylePr>
    <w:tblStylePr w:type="band1Vert">
      <w:tblPr/>
      <w:tcPr>
        <w:tcBorders>
          <w:top w:val="nil"/>
          <w:left w:val="nil"/>
          <w:bottom w:val="nil"/>
          <w:right w:val="nil"/>
          <w:insideH w:val="nil"/>
          <w:insideV w:val="nil"/>
        </w:tcBorders>
        <w:shd w:val="clear" w:color="auto" w:fill="EB8900" w:themeFill="accent2" w:themeFillShade="BF"/>
      </w:tcPr>
    </w:tblStylePr>
    <w:tblStylePr w:type="band1Horz">
      <w:tblPr/>
      <w:tcPr>
        <w:tcBorders>
          <w:top w:val="nil"/>
          <w:left w:val="nil"/>
          <w:bottom w:val="nil"/>
          <w:right w:val="nil"/>
          <w:insideH w:val="nil"/>
          <w:insideV w:val="nil"/>
        </w:tcBorders>
        <w:shd w:val="clear" w:color="auto" w:fill="EB8900" w:themeFill="accent2" w:themeFillShade="BF"/>
      </w:tcPr>
    </w:tblStylePr>
  </w:style>
  <w:style w:type="table" w:styleId="DarkList-Accent3">
    <w:name w:val="Dark List Accent 3"/>
    <w:basedOn w:val="TableNormal"/>
    <w:uiPriority w:val="70"/>
    <w:rsid w:val="00C249C7"/>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249C7"/>
    <w:pPr>
      <w:spacing w:before="0" w:line="240" w:lineRule="auto"/>
    </w:pPr>
    <w:rPr>
      <w:color w:val="FFFFFF" w:themeColor="background1"/>
    </w:rPr>
    <w:tblPr>
      <w:tblStyleRowBandSize w:val="1"/>
      <w:tblStyleColBandSize w:val="1"/>
    </w:tblPr>
    <w:tcPr>
      <w:shd w:val="clear" w:color="auto" w:fill="B689C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386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255A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255A1" w:themeFill="accent4" w:themeFillShade="BF"/>
      </w:tcPr>
    </w:tblStylePr>
    <w:tblStylePr w:type="band1Vert">
      <w:tblPr/>
      <w:tcPr>
        <w:tcBorders>
          <w:top w:val="nil"/>
          <w:left w:val="nil"/>
          <w:bottom w:val="nil"/>
          <w:right w:val="nil"/>
          <w:insideH w:val="nil"/>
          <w:insideV w:val="nil"/>
        </w:tcBorders>
        <w:shd w:val="clear" w:color="auto" w:fill="9255A1" w:themeFill="accent4" w:themeFillShade="BF"/>
      </w:tcPr>
    </w:tblStylePr>
    <w:tblStylePr w:type="band1Horz">
      <w:tblPr/>
      <w:tcPr>
        <w:tcBorders>
          <w:top w:val="nil"/>
          <w:left w:val="nil"/>
          <w:bottom w:val="nil"/>
          <w:right w:val="nil"/>
          <w:insideH w:val="nil"/>
          <w:insideV w:val="nil"/>
        </w:tcBorders>
        <w:shd w:val="clear" w:color="auto" w:fill="9255A1" w:themeFill="accent4" w:themeFillShade="BF"/>
      </w:tcPr>
    </w:tblStylePr>
  </w:style>
  <w:style w:type="table" w:styleId="DarkList-Accent5">
    <w:name w:val="Dark List Accent 5"/>
    <w:basedOn w:val="TableNormal"/>
    <w:uiPriority w:val="70"/>
    <w:rsid w:val="00C249C7"/>
    <w:pPr>
      <w:spacing w:before="0" w:line="240" w:lineRule="auto"/>
    </w:pPr>
    <w:rPr>
      <w:color w:val="FFFFFF" w:themeColor="background1"/>
    </w:rPr>
    <w:tblPr>
      <w:tblStyleRowBandSize w:val="1"/>
      <w:tblStyleColBandSize w:val="1"/>
    </w:tblPr>
    <w:tcPr>
      <w:shd w:val="clear" w:color="auto" w:fill="EA8B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44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67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6700" w:themeFill="accent5" w:themeFillShade="BF"/>
      </w:tcPr>
    </w:tblStylePr>
    <w:tblStylePr w:type="band1Vert">
      <w:tblPr/>
      <w:tcPr>
        <w:tcBorders>
          <w:top w:val="nil"/>
          <w:left w:val="nil"/>
          <w:bottom w:val="nil"/>
          <w:right w:val="nil"/>
          <w:insideH w:val="nil"/>
          <w:insideV w:val="nil"/>
        </w:tcBorders>
        <w:shd w:val="clear" w:color="auto" w:fill="AF6700" w:themeFill="accent5" w:themeFillShade="BF"/>
      </w:tcPr>
    </w:tblStylePr>
    <w:tblStylePr w:type="band1Horz">
      <w:tblPr/>
      <w:tcPr>
        <w:tcBorders>
          <w:top w:val="nil"/>
          <w:left w:val="nil"/>
          <w:bottom w:val="nil"/>
          <w:right w:val="nil"/>
          <w:insideH w:val="nil"/>
          <w:insideV w:val="nil"/>
        </w:tcBorders>
        <w:shd w:val="clear" w:color="auto" w:fill="AF6700" w:themeFill="accent5" w:themeFillShade="BF"/>
      </w:tcPr>
    </w:tblStylePr>
  </w:style>
  <w:style w:type="table" w:styleId="DarkList-Accent6">
    <w:name w:val="Dark List Accent 6"/>
    <w:basedOn w:val="TableNormal"/>
    <w:uiPriority w:val="70"/>
    <w:rsid w:val="00C249C7"/>
    <w:pPr>
      <w:spacing w:before="0" w:line="240" w:lineRule="auto"/>
    </w:pPr>
    <w:rPr>
      <w:color w:val="FFFFFF" w:themeColor="background1"/>
    </w:rPr>
    <w:tblPr>
      <w:tblStyleRowBandSize w:val="1"/>
      <w:tblStyleColBandSize w:val="1"/>
    </w:tblPr>
    <w:tcPr>
      <w:shd w:val="clear" w:color="auto" w:fill="BFBFB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5F5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F8F8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F8F8F" w:themeFill="accent6" w:themeFillShade="BF"/>
      </w:tcPr>
    </w:tblStylePr>
    <w:tblStylePr w:type="band1Vert">
      <w:tblPr/>
      <w:tcPr>
        <w:tcBorders>
          <w:top w:val="nil"/>
          <w:left w:val="nil"/>
          <w:bottom w:val="nil"/>
          <w:right w:val="nil"/>
          <w:insideH w:val="nil"/>
          <w:insideV w:val="nil"/>
        </w:tcBorders>
        <w:shd w:val="clear" w:color="auto" w:fill="8F8F8F" w:themeFill="accent6" w:themeFillShade="BF"/>
      </w:tcPr>
    </w:tblStylePr>
    <w:tblStylePr w:type="band1Horz">
      <w:tblPr/>
      <w:tcPr>
        <w:tcBorders>
          <w:top w:val="nil"/>
          <w:left w:val="nil"/>
          <w:bottom w:val="nil"/>
          <w:right w:val="nil"/>
          <w:insideH w:val="nil"/>
          <w:insideV w:val="nil"/>
        </w:tcBorders>
        <w:shd w:val="clear" w:color="auto" w:fill="8F8F8F" w:themeFill="accent6" w:themeFillShade="BF"/>
      </w:tcPr>
    </w:tblStylePr>
  </w:style>
  <w:style w:type="paragraph" w:styleId="Date">
    <w:name w:val="Date"/>
    <w:next w:val="Normal"/>
    <w:link w:val="DateChar"/>
    <w:rsid w:val="00C249C7"/>
    <w:pPr>
      <w:spacing w:before="0" w:line="240" w:lineRule="auto"/>
    </w:pPr>
    <w:rPr>
      <w:rFonts w:asciiTheme="majorHAnsi" w:hAnsiTheme="majorHAnsi"/>
      <w:caps/>
      <w:sz w:val="20"/>
      <w:lang w:eastAsia="en-US"/>
    </w:rPr>
  </w:style>
  <w:style w:type="character" w:customStyle="1" w:styleId="DateChar">
    <w:name w:val="Date Char"/>
    <w:basedOn w:val="DefaultParagraphFont"/>
    <w:link w:val="Date"/>
    <w:rsid w:val="00C249C7"/>
    <w:rPr>
      <w:rFonts w:asciiTheme="majorHAnsi" w:hAnsiTheme="majorHAnsi"/>
      <w:caps/>
      <w:sz w:val="20"/>
      <w:lang w:eastAsia="en-US"/>
    </w:rPr>
  </w:style>
  <w:style w:type="character" w:styleId="IntenseEmphasis">
    <w:name w:val="Intense Emphasis"/>
    <w:basedOn w:val="DefaultParagraphFont"/>
    <w:uiPriority w:val="99"/>
    <w:semiHidden/>
    <w:rsid w:val="00C249C7"/>
    <w:rPr>
      <w:b/>
      <w:bCs/>
      <w:i/>
      <w:iCs/>
      <w:color w:val="9757A6" w:themeColor="accent1"/>
    </w:rPr>
  </w:style>
  <w:style w:type="paragraph" w:styleId="IntenseQuote">
    <w:name w:val="Intense Quote"/>
    <w:basedOn w:val="Normal"/>
    <w:next w:val="Normal"/>
    <w:link w:val="IntenseQuoteChar"/>
    <w:uiPriority w:val="99"/>
    <w:semiHidden/>
    <w:rsid w:val="00C249C7"/>
    <w:pPr>
      <w:pBdr>
        <w:bottom w:val="single" w:sz="4" w:space="4" w:color="9757A6" w:themeColor="accent1"/>
      </w:pBdr>
      <w:spacing w:before="200" w:after="280"/>
      <w:ind w:left="936" w:right="936"/>
    </w:pPr>
    <w:rPr>
      <w:rFonts w:ascii="Garamond" w:hAnsi="Garamond"/>
      <w:b/>
      <w:bCs/>
      <w:i/>
      <w:iCs/>
      <w:color w:val="9757A6" w:themeColor="accent1"/>
    </w:rPr>
  </w:style>
  <w:style w:type="character" w:customStyle="1" w:styleId="IntenseQuoteChar">
    <w:name w:val="Intense Quote Char"/>
    <w:basedOn w:val="DefaultParagraphFont"/>
    <w:link w:val="IntenseQuote"/>
    <w:uiPriority w:val="99"/>
    <w:semiHidden/>
    <w:rsid w:val="00C249C7"/>
    <w:rPr>
      <w:b/>
      <w:bCs/>
      <w:i/>
      <w:iCs/>
      <w:color w:val="9757A6" w:themeColor="accent1"/>
      <w:lang w:eastAsia="en-US"/>
    </w:rPr>
  </w:style>
  <w:style w:type="character" w:styleId="IntenseReference">
    <w:name w:val="Intense Reference"/>
    <w:basedOn w:val="DefaultParagraphFont"/>
    <w:uiPriority w:val="99"/>
    <w:semiHidden/>
    <w:rsid w:val="00C249C7"/>
    <w:rPr>
      <w:b/>
      <w:bCs/>
      <w:smallCaps/>
      <w:color w:val="FFAE3B" w:themeColor="accent2"/>
      <w:spacing w:val="5"/>
      <w:u w:val="single"/>
    </w:rPr>
  </w:style>
  <w:style w:type="table" w:styleId="LightGrid">
    <w:name w:val="Light Grid"/>
    <w:basedOn w:val="TableNormal"/>
    <w:uiPriority w:val="62"/>
    <w:rsid w:val="00C249C7"/>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249C7"/>
    <w:pPr>
      <w:spacing w:before="0" w:line="240" w:lineRule="auto"/>
    </w:pPr>
    <w:tblPr>
      <w:tblStyleRowBandSize w:val="1"/>
      <w:tblStyleColBandSize w:val="1"/>
      <w:tblBorders>
        <w:top w:val="single" w:sz="8" w:space="0" w:color="9757A6" w:themeColor="accent1"/>
        <w:left w:val="single" w:sz="8" w:space="0" w:color="9757A6" w:themeColor="accent1"/>
        <w:bottom w:val="single" w:sz="8" w:space="0" w:color="9757A6" w:themeColor="accent1"/>
        <w:right w:val="single" w:sz="8" w:space="0" w:color="9757A6" w:themeColor="accent1"/>
        <w:insideH w:val="single" w:sz="8" w:space="0" w:color="9757A6" w:themeColor="accent1"/>
        <w:insideV w:val="single" w:sz="8" w:space="0" w:color="9757A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57A6" w:themeColor="accent1"/>
          <w:left w:val="single" w:sz="8" w:space="0" w:color="9757A6" w:themeColor="accent1"/>
          <w:bottom w:val="single" w:sz="18" w:space="0" w:color="9757A6" w:themeColor="accent1"/>
          <w:right w:val="single" w:sz="8" w:space="0" w:color="9757A6" w:themeColor="accent1"/>
          <w:insideH w:val="nil"/>
          <w:insideV w:val="single" w:sz="8" w:space="0" w:color="9757A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57A6" w:themeColor="accent1"/>
          <w:left w:val="single" w:sz="8" w:space="0" w:color="9757A6" w:themeColor="accent1"/>
          <w:bottom w:val="single" w:sz="8" w:space="0" w:color="9757A6" w:themeColor="accent1"/>
          <w:right w:val="single" w:sz="8" w:space="0" w:color="9757A6" w:themeColor="accent1"/>
          <w:insideH w:val="nil"/>
          <w:insideV w:val="single" w:sz="8" w:space="0" w:color="9757A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57A6" w:themeColor="accent1"/>
          <w:left w:val="single" w:sz="8" w:space="0" w:color="9757A6" w:themeColor="accent1"/>
          <w:bottom w:val="single" w:sz="8" w:space="0" w:color="9757A6" w:themeColor="accent1"/>
          <w:right w:val="single" w:sz="8" w:space="0" w:color="9757A6" w:themeColor="accent1"/>
        </w:tcBorders>
      </w:tcPr>
    </w:tblStylePr>
    <w:tblStylePr w:type="band1Vert">
      <w:tblPr/>
      <w:tcPr>
        <w:tcBorders>
          <w:top w:val="single" w:sz="8" w:space="0" w:color="9757A6" w:themeColor="accent1"/>
          <w:left w:val="single" w:sz="8" w:space="0" w:color="9757A6" w:themeColor="accent1"/>
          <w:bottom w:val="single" w:sz="8" w:space="0" w:color="9757A6" w:themeColor="accent1"/>
          <w:right w:val="single" w:sz="8" w:space="0" w:color="9757A6" w:themeColor="accent1"/>
        </w:tcBorders>
        <w:shd w:val="clear" w:color="auto" w:fill="E5D5E9" w:themeFill="accent1" w:themeFillTint="3F"/>
      </w:tcPr>
    </w:tblStylePr>
    <w:tblStylePr w:type="band1Horz">
      <w:tblPr/>
      <w:tcPr>
        <w:tcBorders>
          <w:top w:val="single" w:sz="8" w:space="0" w:color="9757A6" w:themeColor="accent1"/>
          <w:left w:val="single" w:sz="8" w:space="0" w:color="9757A6" w:themeColor="accent1"/>
          <w:bottom w:val="single" w:sz="8" w:space="0" w:color="9757A6" w:themeColor="accent1"/>
          <w:right w:val="single" w:sz="8" w:space="0" w:color="9757A6" w:themeColor="accent1"/>
          <w:insideV w:val="single" w:sz="8" w:space="0" w:color="9757A6" w:themeColor="accent1"/>
        </w:tcBorders>
        <w:shd w:val="clear" w:color="auto" w:fill="E5D5E9" w:themeFill="accent1" w:themeFillTint="3F"/>
      </w:tcPr>
    </w:tblStylePr>
    <w:tblStylePr w:type="band2Horz">
      <w:tblPr/>
      <w:tcPr>
        <w:tcBorders>
          <w:top w:val="single" w:sz="8" w:space="0" w:color="9757A6" w:themeColor="accent1"/>
          <w:left w:val="single" w:sz="8" w:space="0" w:color="9757A6" w:themeColor="accent1"/>
          <w:bottom w:val="single" w:sz="8" w:space="0" w:color="9757A6" w:themeColor="accent1"/>
          <w:right w:val="single" w:sz="8" w:space="0" w:color="9757A6" w:themeColor="accent1"/>
          <w:insideV w:val="single" w:sz="8" w:space="0" w:color="9757A6" w:themeColor="accent1"/>
        </w:tcBorders>
      </w:tcPr>
    </w:tblStylePr>
  </w:style>
  <w:style w:type="table" w:styleId="LightGrid-Accent2">
    <w:name w:val="Light Grid Accent 2"/>
    <w:basedOn w:val="TableNormal"/>
    <w:uiPriority w:val="62"/>
    <w:rsid w:val="00C249C7"/>
    <w:pPr>
      <w:spacing w:before="0" w:line="240" w:lineRule="auto"/>
    </w:pPr>
    <w:tblPr>
      <w:tblStyleRowBandSize w:val="1"/>
      <w:tblStyleColBandSize w:val="1"/>
      <w:tblBorders>
        <w:top w:val="single" w:sz="8" w:space="0" w:color="FFAE3B" w:themeColor="accent2"/>
        <w:left w:val="single" w:sz="8" w:space="0" w:color="FFAE3B" w:themeColor="accent2"/>
        <w:bottom w:val="single" w:sz="8" w:space="0" w:color="FFAE3B" w:themeColor="accent2"/>
        <w:right w:val="single" w:sz="8" w:space="0" w:color="FFAE3B" w:themeColor="accent2"/>
        <w:insideH w:val="single" w:sz="8" w:space="0" w:color="FFAE3B" w:themeColor="accent2"/>
        <w:insideV w:val="single" w:sz="8" w:space="0" w:color="FFAE3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AE3B" w:themeColor="accent2"/>
          <w:left w:val="single" w:sz="8" w:space="0" w:color="FFAE3B" w:themeColor="accent2"/>
          <w:bottom w:val="single" w:sz="18" w:space="0" w:color="FFAE3B" w:themeColor="accent2"/>
          <w:right w:val="single" w:sz="8" w:space="0" w:color="FFAE3B" w:themeColor="accent2"/>
          <w:insideH w:val="nil"/>
          <w:insideV w:val="single" w:sz="8" w:space="0" w:color="FFAE3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AE3B" w:themeColor="accent2"/>
          <w:left w:val="single" w:sz="8" w:space="0" w:color="FFAE3B" w:themeColor="accent2"/>
          <w:bottom w:val="single" w:sz="8" w:space="0" w:color="FFAE3B" w:themeColor="accent2"/>
          <w:right w:val="single" w:sz="8" w:space="0" w:color="FFAE3B" w:themeColor="accent2"/>
          <w:insideH w:val="nil"/>
          <w:insideV w:val="single" w:sz="8" w:space="0" w:color="FFAE3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AE3B" w:themeColor="accent2"/>
          <w:left w:val="single" w:sz="8" w:space="0" w:color="FFAE3B" w:themeColor="accent2"/>
          <w:bottom w:val="single" w:sz="8" w:space="0" w:color="FFAE3B" w:themeColor="accent2"/>
          <w:right w:val="single" w:sz="8" w:space="0" w:color="FFAE3B" w:themeColor="accent2"/>
        </w:tcBorders>
      </w:tcPr>
    </w:tblStylePr>
    <w:tblStylePr w:type="band1Vert">
      <w:tblPr/>
      <w:tcPr>
        <w:tcBorders>
          <w:top w:val="single" w:sz="8" w:space="0" w:color="FFAE3B" w:themeColor="accent2"/>
          <w:left w:val="single" w:sz="8" w:space="0" w:color="FFAE3B" w:themeColor="accent2"/>
          <w:bottom w:val="single" w:sz="8" w:space="0" w:color="FFAE3B" w:themeColor="accent2"/>
          <w:right w:val="single" w:sz="8" w:space="0" w:color="FFAE3B" w:themeColor="accent2"/>
        </w:tcBorders>
        <w:shd w:val="clear" w:color="auto" w:fill="FFEACE" w:themeFill="accent2" w:themeFillTint="3F"/>
      </w:tcPr>
    </w:tblStylePr>
    <w:tblStylePr w:type="band1Horz">
      <w:tblPr/>
      <w:tcPr>
        <w:tcBorders>
          <w:top w:val="single" w:sz="8" w:space="0" w:color="FFAE3B" w:themeColor="accent2"/>
          <w:left w:val="single" w:sz="8" w:space="0" w:color="FFAE3B" w:themeColor="accent2"/>
          <w:bottom w:val="single" w:sz="8" w:space="0" w:color="FFAE3B" w:themeColor="accent2"/>
          <w:right w:val="single" w:sz="8" w:space="0" w:color="FFAE3B" w:themeColor="accent2"/>
          <w:insideV w:val="single" w:sz="8" w:space="0" w:color="FFAE3B" w:themeColor="accent2"/>
        </w:tcBorders>
        <w:shd w:val="clear" w:color="auto" w:fill="FFEACE" w:themeFill="accent2" w:themeFillTint="3F"/>
      </w:tcPr>
    </w:tblStylePr>
    <w:tblStylePr w:type="band2Horz">
      <w:tblPr/>
      <w:tcPr>
        <w:tcBorders>
          <w:top w:val="single" w:sz="8" w:space="0" w:color="FFAE3B" w:themeColor="accent2"/>
          <w:left w:val="single" w:sz="8" w:space="0" w:color="FFAE3B" w:themeColor="accent2"/>
          <w:bottom w:val="single" w:sz="8" w:space="0" w:color="FFAE3B" w:themeColor="accent2"/>
          <w:right w:val="single" w:sz="8" w:space="0" w:color="FFAE3B" w:themeColor="accent2"/>
          <w:insideV w:val="single" w:sz="8" w:space="0" w:color="FFAE3B" w:themeColor="accent2"/>
        </w:tcBorders>
      </w:tcPr>
    </w:tblStylePr>
  </w:style>
  <w:style w:type="table" w:styleId="LightGrid-Accent3">
    <w:name w:val="Light Grid Accent 3"/>
    <w:basedOn w:val="TableNormal"/>
    <w:uiPriority w:val="62"/>
    <w:rsid w:val="00C249C7"/>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249C7"/>
    <w:pPr>
      <w:spacing w:before="0" w:line="240" w:lineRule="auto"/>
    </w:pPr>
    <w:tblPr>
      <w:tblStyleRowBandSize w:val="1"/>
      <w:tblStyleColBandSize w:val="1"/>
      <w:tblBorders>
        <w:top w:val="single" w:sz="8" w:space="0" w:color="B689C1" w:themeColor="accent4"/>
        <w:left w:val="single" w:sz="8" w:space="0" w:color="B689C1" w:themeColor="accent4"/>
        <w:bottom w:val="single" w:sz="8" w:space="0" w:color="B689C1" w:themeColor="accent4"/>
        <w:right w:val="single" w:sz="8" w:space="0" w:color="B689C1" w:themeColor="accent4"/>
        <w:insideH w:val="single" w:sz="8" w:space="0" w:color="B689C1" w:themeColor="accent4"/>
        <w:insideV w:val="single" w:sz="8" w:space="0" w:color="B689C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89C1" w:themeColor="accent4"/>
          <w:left w:val="single" w:sz="8" w:space="0" w:color="B689C1" w:themeColor="accent4"/>
          <w:bottom w:val="single" w:sz="18" w:space="0" w:color="B689C1" w:themeColor="accent4"/>
          <w:right w:val="single" w:sz="8" w:space="0" w:color="B689C1" w:themeColor="accent4"/>
          <w:insideH w:val="nil"/>
          <w:insideV w:val="single" w:sz="8" w:space="0" w:color="B689C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89C1" w:themeColor="accent4"/>
          <w:left w:val="single" w:sz="8" w:space="0" w:color="B689C1" w:themeColor="accent4"/>
          <w:bottom w:val="single" w:sz="8" w:space="0" w:color="B689C1" w:themeColor="accent4"/>
          <w:right w:val="single" w:sz="8" w:space="0" w:color="B689C1" w:themeColor="accent4"/>
          <w:insideH w:val="nil"/>
          <w:insideV w:val="single" w:sz="8" w:space="0" w:color="B689C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89C1" w:themeColor="accent4"/>
          <w:left w:val="single" w:sz="8" w:space="0" w:color="B689C1" w:themeColor="accent4"/>
          <w:bottom w:val="single" w:sz="8" w:space="0" w:color="B689C1" w:themeColor="accent4"/>
          <w:right w:val="single" w:sz="8" w:space="0" w:color="B689C1" w:themeColor="accent4"/>
        </w:tcBorders>
      </w:tcPr>
    </w:tblStylePr>
    <w:tblStylePr w:type="band1Vert">
      <w:tblPr/>
      <w:tcPr>
        <w:tcBorders>
          <w:top w:val="single" w:sz="8" w:space="0" w:color="B689C1" w:themeColor="accent4"/>
          <w:left w:val="single" w:sz="8" w:space="0" w:color="B689C1" w:themeColor="accent4"/>
          <w:bottom w:val="single" w:sz="8" w:space="0" w:color="B689C1" w:themeColor="accent4"/>
          <w:right w:val="single" w:sz="8" w:space="0" w:color="B689C1" w:themeColor="accent4"/>
        </w:tcBorders>
        <w:shd w:val="clear" w:color="auto" w:fill="ECE1EF" w:themeFill="accent4" w:themeFillTint="3F"/>
      </w:tcPr>
    </w:tblStylePr>
    <w:tblStylePr w:type="band1Horz">
      <w:tblPr/>
      <w:tcPr>
        <w:tcBorders>
          <w:top w:val="single" w:sz="8" w:space="0" w:color="B689C1" w:themeColor="accent4"/>
          <w:left w:val="single" w:sz="8" w:space="0" w:color="B689C1" w:themeColor="accent4"/>
          <w:bottom w:val="single" w:sz="8" w:space="0" w:color="B689C1" w:themeColor="accent4"/>
          <w:right w:val="single" w:sz="8" w:space="0" w:color="B689C1" w:themeColor="accent4"/>
          <w:insideV w:val="single" w:sz="8" w:space="0" w:color="B689C1" w:themeColor="accent4"/>
        </w:tcBorders>
        <w:shd w:val="clear" w:color="auto" w:fill="ECE1EF" w:themeFill="accent4" w:themeFillTint="3F"/>
      </w:tcPr>
    </w:tblStylePr>
    <w:tblStylePr w:type="band2Horz">
      <w:tblPr/>
      <w:tcPr>
        <w:tcBorders>
          <w:top w:val="single" w:sz="8" w:space="0" w:color="B689C1" w:themeColor="accent4"/>
          <w:left w:val="single" w:sz="8" w:space="0" w:color="B689C1" w:themeColor="accent4"/>
          <w:bottom w:val="single" w:sz="8" w:space="0" w:color="B689C1" w:themeColor="accent4"/>
          <w:right w:val="single" w:sz="8" w:space="0" w:color="B689C1" w:themeColor="accent4"/>
          <w:insideV w:val="single" w:sz="8" w:space="0" w:color="B689C1" w:themeColor="accent4"/>
        </w:tcBorders>
      </w:tcPr>
    </w:tblStylePr>
  </w:style>
  <w:style w:type="table" w:styleId="LightGrid-Accent5">
    <w:name w:val="Light Grid Accent 5"/>
    <w:basedOn w:val="TableNormal"/>
    <w:uiPriority w:val="62"/>
    <w:rsid w:val="00C249C7"/>
    <w:pPr>
      <w:spacing w:before="0" w:line="240" w:lineRule="auto"/>
    </w:pPr>
    <w:tblPr>
      <w:tblStyleRowBandSize w:val="1"/>
      <w:tblStyleColBandSize w:val="1"/>
      <w:tblBorders>
        <w:top w:val="single" w:sz="8" w:space="0" w:color="EA8B00" w:themeColor="accent5"/>
        <w:left w:val="single" w:sz="8" w:space="0" w:color="EA8B00" w:themeColor="accent5"/>
        <w:bottom w:val="single" w:sz="8" w:space="0" w:color="EA8B00" w:themeColor="accent5"/>
        <w:right w:val="single" w:sz="8" w:space="0" w:color="EA8B00" w:themeColor="accent5"/>
        <w:insideH w:val="single" w:sz="8" w:space="0" w:color="EA8B00" w:themeColor="accent5"/>
        <w:insideV w:val="single" w:sz="8" w:space="0" w:color="EA8B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8B00" w:themeColor="accent5"/>
          <w:left w:val="single" w:sz="8" w:space="0" w:color="EA8B00" w:themeColor="accent5"/>
          <w:bottom w:val="single" w:sz="18" w:space="0" w:color="EA8B00" w:themeColor="accent5"/>
          <w:right w:val="single" w:sz="8" w:space="0" w:color="EA8B00" w:themeColor="accent5"/>
          <w:insideH w:val="nil"/>
          <w:insideV w:val="single" w:sz="8" w:space="0" w:color="EA8B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8B00" w:themeColor="accent5"/>
          <w:left w:val="single" w:sz="8" w:space="0" w:color="EA8B00" w:themeColor="accent5"/>
          <w:bottom w:val="single" w:sz="8" w:space="0" w:color="EA8B00" w:themeColor="accent5"/>
          <w:right w:val="single" w:sz="8" w:space="0" w:color="EA8B00" w:themeColor="accent5"/>
          <w:insideH w:val="nil"/>
          <w:insideV w:val="single" w:sz="8" w:space="0" w:color="EA8B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8B00" w:themeColor="accent5"/>
          <w:left w:val="single" w:sz="8" w:space="0" w:color="EA8B00" w:themeColor="accent5"/>
          <w:bottom w:val="single" w:sz="8" w:space="0" w:color="EA8B00" w:themeColor="accent5"/>
          <w:right w:val="single" w:sz="8" w:space="0" w:color="EA8B00" w:themeColor="accent5"/>
        </w:tcBorders>
      </w:tcPr>
    </w:tblStylePr>
    <w:tblStylePr w:type="band1Vert">
      <w:tblPr/>
      <w:tcPr>
        <w:tcBorders>
          <w:top w:val="single" w:sz="8" w:space="0" w:color="EA8B00" w:themeColor="accent5"/>
          <w:left w:val="single" w:sz="8" w:space="0" w:color="EA8B00" w:themeColor="accent5"/>
          <w:bottom w:val="single" w:sz="8" w:space="0" w:color="EA8B00" w:themeColor="accent5"/>
          <w:right w:val="single" w:sz="8" w:space="0" w:color="EA8B00" w:themeColor="accent5"/>
        </w:tcBorders>
        <w:shd w:val="clear" w:color="auto" w:fill="FFE3BA" w:themeFill="accent5" w:themeFillTint="3F"/>
      </w:tcPr>
    </w:tblStylePr>
    <w:tblStylePr w:type="band1Horz">
      <w:tblPr/>
      <w:tcPr>
        <w:tcBorders>
          <w:top w:val="single" w:sz="8" w:space="0" w:color="EA8B00" w:themeColor="accent5"/>
          <w:left w:val="single" w:sz="8" w:space="0" w:color="EA8B00" w:themeColor="accent5"/>
          <w:bottom w:val="single" w:sz="8" w:space="0" w:color="EA8B00" w:themeColor="accent5"/>
          <w:right w:val="single" w:sz="8" w:space="0" w:color="EA8B00" w:themeColor="accent5"/>
          <w:insideV w:val="single" w:sz="8" w:space="0" w:color="EA8B00" w:themeColor="accent5"/>
        </w:tcBorders>
        <w:shd w:val="clear" w:color="auto" w:fill="FFE3BA" w:themeFill="accent5" w:themeFillTint="3F"/>
      </w:tcPr>
    </w:tblStylePr>
    <w:tblStylePr w:type="band2Horz">
      <w:tblPr/>
      <w:tcPr>
        <w:tcBorders>
          <w:top w:val="single" w:sz="8" w:space="0" w:color="EA8B00" w:themeColor="accent5"/>
          <w:left w:val="single" w:sz="8" w:space="0" w:color="EA8B00" w:themeColor="accent5"/>
          <w:bottom w:val="single" w:sz="8" w:space="0" w:color="EA8B00" w:themeColor="accent5"/>
          <w:right w:val="single" w:sz="8" w:space="0" w:color="EA8B00" w:themeColor="accent5"/>
          <w:insideV w:val="single" w:sz="8" w:space="0" w:color="EA8B00" w:themeColor="accent5"/>
        </w:tcBorders>
      </w:tcPr>
    </w:tblStylePr>
  </w:style>
  <w:style w:type="table" w:styleId="LightGrid-Accent6">
    <w:name w:val="Light Grid Accent 6"/>
    <w:basedOn w:val="TableNormal"/>
    <w:uiPriority w:val="62"/>
    <w:rsid w:val="00C249C7"/>
    <w:pPr>
      <w:spacing w:before="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18" w:space="0" w:color="BFBFBF" w:themeColor="accent6"/>
          <w:right w:val="single" w:sz="8" w:space="0" w:color="BFBFBF" w:themeColor="accent6"/>
          <w:insideH w:val="nil"/>
          <w:insideV w:val="single" w:sz="8" w:space="0" w:color="BFBFB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insideH w:val="nil"/>
          <w:insideV w:val="single" w:sz="8" w:space="0" w:color="BFBFB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shd w:val="clear" w:color="auto" w:fill="EFEFEF" w:themeFill="accent6" w:themeFillTint="3F"/>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shd w:val="clear" w:color="auto" w:fill="EFEFEF" w:themeFill="accent6" w:themeFillTint="3F"/>
      </w:tcPr>
    </w:tblStylePr>
    <w:tblStylePr w:type="band2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tcPr>
    </w:tblStylePr>
  </w:style>
  <w:style w:type="table" w:styleId="LightList">
    <w:name w:val="Light List"/>
    <w:basedOn w:val="TableNormal"/>
    <w:uiPriority w:val="61"/>
    <w:rsid w:val="00C249C7"/>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249C7"/>
    <w:pPr>
      <w:spacing w:before="0" w:line="240" w:lineRule="auto"/>
    </w:pPr>
    <w:tblPr>
      <w:tblStyleRowBandSize w:val="1"/>
      <w:tblStyleColBandSize w:val="1"/>
      <w:tblBorders>
        <w:top w:val="single" w:sz="8" w:space="0" w:color="9757A6" w:themeColor="accent1"/>
        <w:left w:val="single" w:sz="8" w:space="0" w:color="9757A6" w:themeColor="accent1"/>
        <w:bottom w:val="single" w:sz="8" w:space="0" w:color="9757A6" w:themeColor="accent1"/>
        <w:right w:val="single" w:sz="8" w:space="0" w:color="9757A6" w:themeColor="accent1"/>
      </w:tblBorders>
    </w:tblPr>
    <w:tblStylePr w:type="firstRow">
      <w:pPr>
        <w:spacing w:before="0" w:after="0" w:line="240" w:lineRule="auto"/>
      </w:pPr>
      <w:rPr>
        <w:b/>
        <w:bCs/>
        <w:color w:val="FFFFFF" w:themeColor="background1"/>
      </w:rPr>
      <w:tblPr/>
      <w:tcPr>
        <w:shd w:val="clear" w:color="auto" w:fill="9757A6" w:themeFill="accent1"/>
      </w:tcPr>
    </w:tblStylePr>
    <w:tblStylePr w:type="lastRow">
      <w:pPr>
        <w:spacing w:before="0" w:after="0" w:line="240" w:lineRule="auto"/>
      </w:pPr>
      <w:rPr>
        <w:b/>
        <w:bCs/>
      </w:rPr>
      <w:tblPr/>
      <w:tcPr>
        <w:tcBorders>
          <w:top w:val="double" w:sz="6" w:space="0" w:color="9757A6" w:themeColor="accent1"/>
          <w:left w:val="single" w:sz="8" w:space="0" w:color="9757A6" w:themeColor="accent1"/>
          <w:bottom w:val="single" w:sz="8" w:space="0" w:color="9757A6" w:themeColor="accent1"/>
          <w:right w:val="single" w:sz="8" w:space="0" w:color="9757A6" w:themeColor="accent1"/>
        </w:tcBorders>
      </w:tcPr>
    </w:tblStylePr>
    <w:tblStylePr w:type="firstCol">
      <w:rPr>
        <w:b/>
        <w:bCs/>
      </w:rPr>
    </w:tblStylePr>
    <w:tblStylePr w:type="lastCol">
      <w:rPr>
        <w:b/>
        <w:bCs/>
      </w:rPr>
    </w:tblStylePr>
    <w:tblStylePr w:type="band1Vert">
      <w:tblPr/>
      <w:tcPr>
        <w:tcBorders>
          <w:top w:val="single" w:sz="8" w:space="0" w:color="9757A6" w:themeColor="accent1"/>
          <w:left w:val="single" w:sz="8" w:space="0" w:color="9757A6" w:themeColor="accent1"/>
          <w:bottom w:val="single" w:sz="8" w:space="0" w:color="9757A6" w:themeColor="accent1"/>
          <w:right w:val="single" w:sz="8" w:space="0" w:color="9757A6" w:themeColor="accent1"/>
        </w:tcBorders>
      </w:tcPr>
    </w:tblStylePr>
    <w:tblStylePr w:type="band1Horz">
      <w:tblPr/>
      <w:tcPr>
        <w:tcBorders>
          <w:top w:val="single" w:sz="8" w:space="0" w:color="9757A6" w:themeColor="accent1"/>
          <w:left w:val="single" w:sz="8" w:space="0" w:color="9757A6" w:themeColor="accent1"/>
          <w:bottom w:val="single" w:sz="8" w:space="0" w:color="9757A6" w:themeColor="accent1"/>
          <w:right w:val="single" w:sz="8" w:space="0" w:color="9757A6" w:themeColor="accent1"/>
        </w:tcBorders>
      </w:tcPr>
    </w:tblStylePr>
  </w:style>
  <w:style w:type="table" w:styleId="LightList-Accent2">
    <w:name w:val="Light List Accent 2"/>
    <w:basedOn w:val="TableNormal"/>
    <w:uiPriority w:val="61"/>
    <w:rsid w:val="00C249C7"/>
    <w:pPr>
      <w:spacing w:before="0" w:line="240" w:lineRule="auto"/>
    </w:pPr>
    <w:tblPr>
      <w:tblStyleRowBandSize w:val="1"/>
      <w:tblStyleColBandSize w:val="1"/>
      <w:tblBorders>
        <w:top w:val="single" w:sz="8" w:space="0" w:color="FFAE3B" w:themeColor="accent2"/>
        <w:left w:val="single" w:sz="8" w:space="0" w:color="FFAE3B" w:themeColor="accent2"/>
        <w:bottom w:val="single" w:sz="8" w:space="0" w:color="FFAE3B" w:themeColor="accent2"/>
        <w:right w:val="single" w:sz="8" w:space="0" w:color="FFAE3B" w:themeColor="accent2"/>
      </w:tblBorders>
    </w:tblPr>
    <w:tblStylePr w:type="firstRow">
      <w:pPr>
        <w:spacing w:before="0" w:after="0" w:line="240" w:lineRule="auto"/>
      </w:pPr>
      <w:rPr>
        <w:b/>
        <w:bCs/>
        <w:color w:val="FFFFFF" w:themeColor="background1"/>
      </w:rPr>
      <w:tblPr/>
      <w:tcPr>
        <w:shd w:val="clear" w:color="auto" w:fill="FFAE3B" w:themeFill="accent2"/>
      </w:tcPr>
    </w:tblStylePr>
    <w:tblStylePr w:type="lastRow">
      <w:pPr>
        <w:spacing w:before="0" w:after="0" w:line="240" w:lineRule="auto"/>
      </w:pPr>
      <w:rPr>
        <w:b/>
        <w:bCs/>
      </w:rPr>
      <w:tblPr/>
      <w:tcPr>
        <w:tcBorders>
          <w:top w:val="double" w:sz="6" w:space="0" w:color="FFAE3B" w:themeColor="accent2"/>
          <w:left w:val="single" w:sz="8" w:space="0" w:color="FFAE3B" w:themeColor="accent2"/>
          <w:bottom w:val="single" w:sz="8" w:space="0" w:color="FFAE3B" w:themeColor="accent2"/>
          <w:right w:val="single" w:sz="8" w:space="0" w:color="FFAE3B" w:themeColor="accent2"/>
        </w:tcBorders>
      </w:tcPr>
    </w:tblStylePr>
    <w:tblStylePr w:type="firstCol">
      <w:rPr>
        <w:b/>
        <w:bCs/>
      </w:rPr>
    </w:tblStylePr>
    <w:tblStylePr w:type="lastCol">
      <w:rPr>
        <w:b/>
        <w:bCs/>
      </w:rPr>
    </w:tblStylePr>
    <w:tblStylePr w:type="band1Vert">
      <w:tblPr/>
      <w:tcPr>
        <w:tcBorders>
          <w:top w:val="single" w:sz="8" w:space="0" w:color="FFAE3B" w:themeColor="accent2"/>
          <w:left w:val="single" w:sz="8" w:space="0" w:color="FFAE3B" w:themeColor="accent2"/>
          <w:bottom w:val="single" w:sz="8" w:space="0" w:color="FFAE3B" w:themeColor="accent2"/>
          <w:right w:val="single" w:sz="8" w:space="0" w:color="FFAE3B" w:themeColor="accent2"/>
        </w:tcBorders>
      </w:tcPr>
    </w:tblStylePr>
    <w:tblStylePr w:type="band1Horz">
      <w:tblPr/>
      <w:tcPr>
        <w:tcBorders>
          <w:top w:val="single" w:sz="8" w:space="0" w:color="FFAE3B" w:themeColor="accent2"/>
          <w:left w:val="single" w:sz="8" w:space="0" w:color="FFAE3B" w:themeColor="accent2"/>
          <w:bottom w:val="single" w:sz="8" w:space="0" w:color="FFAE3B" w:themeColor="accent2"/>
          <w:right w:val="single" w:sz="8" w:space="0" w:color="FFAE3B" w:themeColor="accent2"/>
        </w:tcBorders>
      </w:tcPr>
    </w:tblStylePr>
  </w:style>
  <w:style w:type="table" w:styleId="LightList-Accent3">
    <w:name w:val="Light List Accent 3"/>
    <w:basedOn w:val="TableNormal"/>
    <w:uiPriority w:val="61"/>
    <w:rsid w:val="00C249C7"/>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249C7"/>
    <w:pPr>
      <w:spacing w:before="0" w:line="240" w:lineRule="auto"/>
    </w:pPr>
    <w:tblPr>
      <w:tblStyleRowBandSize w:val="1"/>
      <w:tblStyleColBandSize w:val="1"/>
      <w:tblBorders>
        <w:top w:val="single" w:sz="8" w:space="0" w:color="B689C1" w:themeColor="accent4"/>
        <w:left w:val="single" w:sz="8" w:space="0" w:color="B689C1" w:themeColor="accent4"/>
        <w:bottom w:val="single" w:sz="8" w:space="0" w:color="B689C1" w:themeColor="accent4"/>
        <w:right w:val="single" w:sz="8" w:space="0" w:color="B689C1" w:themeColor="accent4"/>
      </w:tblBorders>
    </w:tblPr>
    <w:tblStylePr w:type="firstRow">
      <w:pPr>
        <w:spacing w:before="0" w:after="0" w:line="240" w:lineRule="auto"/>
      </w:pPr>
      <w:rPr>
        <w:b/>
        <w:bCs/>
        <w:color w:val="FFFFFF" w:themeColor="background1"/>
      </w:rPr>
      <w:tblPr/>
      <w:tcPr>
        <w:shd w:val="clear" w:color="auto" w:fill="B689C1" w:themeFill="accent4"/>
      </w:tcPr>
    </w:tblStylePr>
    <w:tblStylePr w:type="lastRow">
      <w:pPr>
        <w:spacing w:before="0" w:after="0" w:line="240" w:lineRule="auto"/>
      </w:pPr>
      <w:rPr>
        <w:b/>
        <w:bCs/>
      </w:rPr>
      <w:tblPr/>
      <w:tcPr>
        <w:tcBorders>
          <w:top w:val="double" w:sz="6" w:space="0" w:color="B689C1" w:themeColor="accent4"/>
          <w:left w:val="single" w:sz="8" w:space="0" w:color="B689C1" w:themeColor="accent4"/>
          <w:bottom w:val="single" w:sz="8" w:space="0" w:color="B689C1" w:themeColor="accent4"/>
          <w:right w:val="single" w:sz="8" w:space="0" w:color="B689C1" w:themeColor="accent4"/>
        </w:tcBorders>
      </w:tcPr>
    </w:tblStylePr>
    <w:tblStylePr w:type="firstCol">
      <w:rPr>
        <w:b/>
        <w:bCs/>
      </w:rPr>
    </w:tblStylePr>
    <w:tblStylePr w:type="lastCol">
      <w:rPr>
        <w:b/>
        <w:bCs/>
      </w:rPr>
    </w:tblStylePr>
    <w:tblStylePr w:type="band1Vert">
      <w:tblPr/>
      <w:tcPr>
        <w:tcBorders>
          <w:top w:val="single" w:sz="8" w:space="0" w:color="B689C1" w:themeColor="accent4"/>
          <w:left w:val="single" w:sz="8" w:space="0" w:color="B689C1" w:themeColor="accent4"/>
          <w:bottom w:val="single" w:sz="8" w:space="0" w:color="B689C1" w:themeColor="accent4"/>
          <w:right w:val="single" w:sz="8" w:space="0" w:color="B689C1" w:themeColor="accent4"/>
        </w:tcBorders>
      </w:tcPr>
    </w:tblStylePr>
    <w:tblStylePr w:type="band1Horz">
      <w:tblPr/>
      <w:tcPr>
        <w:tcBorders>
          <w:top w:val="single" w:sz="8" w:space="0" w:color="B689C1" w:themeColor="accent4"/>
          <w:left w:val="single" w:sz="8" w:space="0" w:color="B689C1" w:themeColor="accent4"/>
          <w:bottom w:val="single" w:sz="8" w:space="0" w:color="B689C1" w:themeColor="accent4"/>
          <w:right w:val="single" w:sz="8" w:space="0" w:color="B689C1" w:themeColor="accent4"/>
        </w:tcBorders>
      </w:tcPr>
    </w:tblStylePr>
  </w:style>
  <w:style w:type="table" w:styleId="LightList-Accent5">
    <w:name w:val="Light List Accent 5"/>
    <w:basedOn w:val="TableNormal"/>
    <w:uiPriority w:val="61"/>
    <w:rsid w:val="00C249C7"/>
    <w:pPr>
      <w:spacing w:before="0" w:line="240" w:lineRule="auto"/>
    </w:pPr>
    <w:tblPr>
      <w:tblStyleRowBandSize w:val="1"/>
      <w:tblStyleColBandSize w:val="1"/>
      <w:tblBorders>
        <w:top w:val="single" w:sz="8" w:space="0" w:color="EA8B00" w:themeColor="accent5"/>
        <w:left w:val="single" w:sz="8" w:space="0" w:color="EA8B00" w:themeColor="accent5"/>
        <w:bottom w:val="single" w:sz="8" w:space="0" w:color="EA8B00" w:themeColor="accent5"/>
        <w:right w:val="single" w:sz="8" w:space="0" w:color="EA8B00" w:themeColor="accent5"/>
      </w:tblBorders>
    </w:tblPr>
    <w:tblStylePr w:type="firstRow">
      <w:pPr>
        <w:spacing w:before="0" w:after="0" w:line="240" w:lineRule="auto"/>
      </w:pPr>
      <w:rPr>
        <w:b/>
        <w:bCs/>
        <w:color w:val="FFFFFF" w:themeColor="background1"/>
      </w:rPr>
      <w:tblPr/>
      <w:tcPr>
        <w:shd w:val="clear" w:color="auto" w:fill="EA8B00" w:themeFill="accent5"/>
      </w:tcPr>
    </w:tblStylePr>
    <w:tblStylePr w:type="lastRow">
      <w:pPr>
        <w:spacing w:before="0" w:after="0" w:line="240" w:lineRule="auto"/>
      </w:pPr>
      <w:rPr>
        <w:b/>
        <w:bCs/>
      </w:rPr>
      <w:tblPr/>
      <w:tcPr>
        <w:tcBorders>
          <w:top w:val="double" w:sz="6" w:space="0" w:color="EA8B00" w:themeColor="accent5"/>
          <w:left w:val="single" w:sz="8" w:space="0" w:color="EA8B00" w:themeColor="accent5"/>
          <w:bottom w:val="single" w:sz="8" w:space="0" w:color="EA8B00" w:themeColor="accent5"/>
          <w:right w:val="single" w:sz="8" w:space="0" w:color="EA8B00" w:themeColor="accent5"/>
        </w:tcBorders>
      </w:tcPr>
    </w:tblStylePr>
    <w:tblStylePr w:type="firstCol">
      <w:rPr>
        <w:b/>
        <w:bCs/>
      </w:rPr>
    </w:tblStylePr>
    <w:tblStylePr w:type="lastCol">
      <w:rPr>
        <w:b/>
        <w:bCs/>
      </w:rPr>
    </w:tblStylePr>
    <w:tblStylePr w:type="band1Vert">
      <w:tblPr/>
      <w:tcPr>
        <w:tcBorders>
          <w:top w:val="single" w:sz="8" w:space="0" w:color="EA8B00" w:themeColor="accent5"/>
          <w:left w:val="single" w:sz="8" w:space="0" w:color="EA8B00" w:themeColor="accent5"/>
          <w:bottom w:val="single" w:sz="8" w:space="0" w:color="EA8B00" w:themeColor="accent5"/>
          <w:right w:val="single" w:sz="8" w:space="0" w:color="EA8B00" w:themeColor="accent5"/>
        </w:tcBorders>
      </w:tcPr>
    </w:tblStylePr>
    <w:tblStylePr w:type="band1Horz">
      <w:tblPr/>
      <w:tcPr>
        <w:tcBorders>
          <w:top w:val="single" w:sz="8" w:space="0" w:color="EA8B00" w:themeColor="accent5"/>
          <w:left w:val="single" w:sz="8" w:space="0" w:color="EA8B00" w:themeColor="accent5"/>
          <w:bottom w:val="single" w:sz="8" w:space="0" w:color="EA8B00" w:themeColor="accent5"/>
          <w:right w:val="single" w:sz="8" w:space="0" w:color="EA8B00" w:themeColor="accent5"/>
        </w:tcBorders>
      </w:tcPr>
    </w:tblStylePr>
  </w:style>
  <w:style w:type="table" w:styleId="LightList-Accent6">
    <w:name w:val="Light List Accent 6"/>
    <w:basedOn w:val="TableNormal"/>
    <w:uiPriority w:val="61"/>
    <w:rsid w:val="00C249C7"/>
    <w:pPr>
      <w:spacing w:before="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pPr>
        <w:spacing w:before="0" w:after="0" w:line="240" w:lineRule="auto"/>
      </w:pPr>
      <w:rPr>
        <w:b/>
        <w:bCs/>
        <w:color w:val="FFFFFF" w:themeColor="background1"/>
      </w:rPr>
      <w:tblPr/>
      <w:tcPr>
        <w:shd w:val="clear" w:color="auto" w:fill="BFBFBF" w:themeFill="accent6"/>
      </w:tcPr>
    </w:tblStylePr>
    <w:tblStylePr w:type="lastRow">
      <w:pPr>
        <w:spacing w:before="0" w:after="0" w:line="240" w:lineRule="auto"/>
      </w:pPr>
      <w:rPr>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tcBorders>
      </w:tcPr>
    </w:tblStylePr>
    <w:tblStylePr w:type="firstCol">
      <w:rPr>
        <w:b/>
        <w:bCs/>
      </w:rPr>
    </w:tblStylePr>
    <w:tblStylePr w:type="lastCol">
      <w:rPr>
        <w:b/>
        <w:bCs/>
      </w:r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style>
  <w:style w:type="table" w:styleId="LightShading">
    <w:name w:val="Light Shading"/>
    <w:basedOn w:val="TableNormal"/>
    <w:uiPriority w:val="60"/>
    <w:rsid w:val="00C249C7"/>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249C7"/>
    <w:pPr>
      <w:spacing w:before="0" w:line="240" w:lineRule="auto"/>
    </w:pPr>
    <w:rPr>
      <w:color w:val="70417C" w:themeColor="accent1" w:themeShade="BF"/>
    </w:rPr>
    <w:tblPr>
      <w:tblStyleRowBandSize w:val="1"/>
      <w:tblStyleColBandSize w:val="1"/>
      <w:tblBorders>
        <w:top w:val="single" w:sz="8" w:space="0" w:color="9757A6" w:themeColor="accent1"/>
        <w:bottom w:val="single" w:sz="8" w:space="0" w:color="9757A6" w:themeColor="accent1"/>
      </w:tblBorders>
    </w:tblPr>
    <w:tblStylePr w:type="firstRow">
      <w:pPr>
        <w:spacing w:before="0" w:after="0" w:line="240" w:lineRule="auto"/>
      </w:pPr>
      <w:rPr>
        <w:b/>
        <w:bCs/>
      </w:rPr>
      <w:tblPr/>
      <w:tcPr>
        <w:tcBorders>
          <w:top w:val="single" w:sz="8" w:space="0" w:color="9757A6" w:themeColor="accent1"/>
          <w:left w:val="nil"/>
          <w:bottom w:val="single" w:sz="8" w:space="0" w:color="9757A6" w:themeColor="accent1"/>
          <w:right w:val="nil"/>
          <w:insideH w:val="nil"/>
          <w:insideV w:val="nil"/>
        </w:tcBorders>
      </w:tcPr>
    </w:tblStylePr>
    <w:tblStylePr w:type="lastRow">
      <w:pPr>
        <w:spacing w:before="0" w:after="0" w:line="240" w:lineRule="auto"/>
      </w:pPr>
      <w:rPr>
        <w:b/>
        <w:bCs/>
      </w:rPr>
      <w:tblPr/>
      <w:tcPr>
        <w:tcBorders>
          <w:top w:val="single" w:sz="8" w:space="0" w:color="9757A6" w:themeColor="accent1"/>
          <w:left w:val="nil"/>
          <w:bottom w:val="single" w:sz="8" w:space="0" w:color="9757A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5E9" w:themeFill="accent1" w:themeFillTint="3F"/>
      </w:tcPr>
    </w:tblStylePr>
    <w:tblStylePr w:type="band1Horz">
      <w:tblPr/>
      <w:tcPr>
        <w:tcBorders>
          <w:left w:val="nil"/>
          <w:right w:val="nil"/>
          <w:insideH w:val="nil"/>
          <w:insideV w:val="nil"/>
        </w:tcBorders>
        <w:shd w:val="clear" w:color="auto" w:fill="E5D5E9" w:themeFill="accent1" w:themeFillTint="3F"/>
      </w:tcPr>
    </w:tblStylePr>
  </w:style>
  <w:style w:type="table" w:styleId="LightShading-Accent2">
    <w:name w:val="Light Shading Accent 2"/>
    <w:basedOn w:val="TableNormal"/>
    <w:uiPriority w:val="60"/>
    <w:rsid w:val="00C249C7"/>
    <w:pPr>
      <w:spacing w:before="0" w:line="240" w:lineRule="auto"/>
    </w:pPr>
    <w:rPr>
      <w:color w:val="EB8900" w:themeColor="accent2" w:themeShade="BF"/>
    </w:rPr>
    <w:tblPr>
      <w:tblStyleRowBandSize w:val="1"/>
      <w:tblStyleColBandSize w:val="1"/>
      <w:tblBorders>
        <w:top w:val="single" w:sz="8" w:space="0" w:color="FFAE3B" w:themeColor="accent2"/>
        <w:bottom w:val="single" w:sz="8" w:space="0" w:color="FFAE3B" w:themeColor="accent2"/>
      </w:tblBorders>
    </w:tblPr>
    <w:tblStylePr w:type="firstRow">
      <w:pPr>
        <w:spacing w:before="0" w:after="0" w:line="240" w:lineRule="auto"/>
      </w:pPr>
      <w:rPr>
        <w:b/>
        <w:bCs/>
      </w:rPr>
      <w:tblPr/>
      <w:tcPr>
        <w:tcBorders>
          <w:top w:val="single" w:sz="8" w:space="0" w:color="FFAE3B" w:themeColor="accent2"/>
          <w:left w:val="nil"/>
          <w:bottom w:val="single" w:sz="8" w:space="0" w:color="FFAE3B" w:themeColor="accent2"/>
          <w:right w:val="nil"/>
          <w:insideH w:val="nil"/>
          <w:insideV w:val="nil"/>
        </w:tcBorders>
      </w:tcPr>
    </w:tblStylePr>
    <w:tblStylePr w:type="lastRow">
      <w:pPr>
        <w:spacing w:before="0" w:after="0" w:line="240" w:lineRule="auto"/>
      </w:pPr>
      <w:rPr>
        <w:b/>
        <w:bCs/>
      </w:rPr>
      <w:tblPr/>
      <w:tcPr>
        <w:tcBorders>
          <w:top w:val="single" w:sz="8" w:space="0" w:color="FFAE3B" w:themeColor="accent2"/>
          <w:left w:val="nil"/>
          <w:bottom w:val="single" w:sz="8" w:space="0" w:color="FFAE3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ACE" w:themeFill="accent2" w:themeFillTint="3F"/>
      </w:tcPr>
    </w:tblStylePr>
    <w:tblStylePr w:type="band1Horz">
      <w:tblPr/>
      <w:tcPr>
        <w:tcBorders>
          <w:left w:val="nil"/>
          <w:right w:val="nil"/>
          <w:insideH w:val="nil"/>
          <w:insideV w:val="nil"/>
        </w:tcBorders>
        <w:shd w:val="clear" w:color="auto" w:fill="FFEACE" w:themeFill="accent2" w:themeFillTint="3F"/>
      </w:tcPr>
    </w:tblStylePr>
  </w:style>
  <w:style w:type="table" w:styleId="LightShading-Accent3">
    <w:name w:val="Light Shading Accent 3"/>
    <w:basedOn w:val="TableNormal"/>
    <w:uiPriority w:val="60"/>
    <w:rsid w:val="00C249C7"/>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C249C7"/>
    <w:pPr>
      <w:spacing w:before="0" w:line="240" w:lineRule="auto"/>
    </w:pPr>
    <w:rPr>
      <w:color w:val="9255A1" w:themeColor="accent4" w:themeShade="BF"/>
    </w:rPr>
    <w:tblPr>
      <w:tblStyleRowBandSize w:val="1"/>
      <w:tblStyleColBandSize w:val="1"/>
      <w:tblBorders>
        <w:top w:val="single" w:sz="8" w:space="0" w:color="B689C1" w:themeColor="accent4"/>
        <w:bottom w:val="single" w:sz="8" w:space="0" w:color="B689C1" w:themeColor="accent4"/>
      </w:tblBorders>
    </w:tblPr>
    <w:tblStylePr w:type="firstRow">
      <w:pPr>
        <w:spacing w:before="0" w:after="0" w:line="240" w:lineRule="auto"/>
      </w:pPr>
      <w:rPr>
        <w:b/>
        <w:bCs/>
      </w:rPr>
      <w:tblPr/>
      <w:tcPr>
        <w:tcBorders>
          <w:top w:val="single" w:sz="8" w:space="0" w:color="B689C1" w:themeColor="accent4"/>
          <w:left w:val="nil"/>
          <w:bottom w:val="single" w:sz="8" w:space="0" w:color="B689C1" w:themeColor="accent4"/>
          <w:right w:val="nil"/>
          <w:insideH w:val="nil"/>
          <w:insideV w:val="nil"/>
        </w:tcBorders>
      </w:tcPr>
    </w:tblStylePr>
    <w:tblStylePr w:type="lastRow">
      <w:pPr>
        <w:spacing w:before="0" w:after="0" w:line="240" w:lineRule="auto"/>
      </w:pPr>
      <w:rPr>
        <w:b/>
        <w:bCs/>
      </w:rPr>
      <w:tblPr/>
      <w:tcPr>
        <w:tcBorders>
          <w:top w:val="single" w:sz="8" w:space="0" w:color="B689C1" w:themeColor="accent4"/>
          <w:left w:val="nil"/>
          <w:bottom w:val="single" w:sz="8" w:space="0" w:color="B689C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1EF" w:themeFill="accent4" w:themeFillTint="3F"/>
      </w:tcPr>
    </w:tblStylePr>
    <w:tblStylePr w:type="band1Horz">
      <w:tblPr/>
      <w:tcPr>
        <w:tcBorders>
          <w:left w:val="nil"/>
          <w:right w:val="nil"/>
          <w:insideH w:val="nil"/>
          <w:insideV w:val="nil"/>
        </w:tcBorders>
        <w:shd w:val="clear" w:color="auto" w:fill="ECE1EF" w:themeFill="accent4" w:themeFillTint="3F"/>
      </w:tcPr>
    </w:tblStylePr>
  </w:style>
  <w:style w:type="table" w:styleId="LightShading-Accent5">
    <w:name w:val="Light Shading Accent 5"/>
    <w:basedOn w:val="TableNormal"/>
    <w:uiPriority w:val="60"/>
    <w:rsid w:val="00C249C7"/>
    <w:pPr>
      <w:spacing w:before="0" w:line="240" w:lineRule="auto"/>
    </w:pPr>
    <w:rPr>
      <w:color w:val="AF6700" w:themeColor="accent5" w:themeShade="BF"/>
    </w:rPr>
    <w:tblPr>
      <w:tblStyleRowBandSize w:val="1"/>
      <w:tblStyleColBandSize w:val="1"/>
      <w:tblBorders>
        <w:top w:val="single" w:sz="8" w:space="0" w:color="EA8B00" w:themeColor="accent5"/>
        <w:bottom w:val="single" w:sz="8" w:space="0" w:color="EA8B00" w:themeColor="accent5"/>
      </w:tblBorders>
    </w:tblPr>
    <w:tblStylePr w:type="firstRow">
      <w:pPr>
        <w:spacing w:before="0" w:after="0" w:line="240" w:lineRule="auto"/>
      </w:pPr>
      <w:rPr>
        <w:b/>
        <w:bCs/>
      </w:rPr>
      <w:tblPr/>
      <w:tcPr>
        <w:tcBorders>
          <w:top w:val="single" w:sz="8" w:space="0" w:color="EA8B00" w:themeColor="accent5"/>
          <w:left w:val="nil"/>
          <w:bottom w:val="single" w:sz="8" w:space="0" w:color="EA8B00" w:themeColor="accent5"/>
          <w:right w:val="nil"/>
          <w:insideH w:val="nil"/>
          <w:insideV w:val="nil"/>
        </w:tcBorders>
      </w:tcPr>
    </w:tblStylePr>
    <w:tblStylePr w:type="lastRow">
      <w:pPr>
        <w:spacing w:before="0" w:after="0" w:line="240" w:lineRule="auto"/>
      </w:pPr>
      <w:rPr>
        <w:b/>
        <w:bCs/>
      </w:rPr>
      <w:tblPr/>
      <w:tcPr>
        <w:tcBorders>
          <w:top w:val="single" w:sz="8" w:space="0" w:color="EA8B00" w:themeColor="accent5"/>
          <w:left w:val="nil"/>
          <w:bottom w:val="single" w:sz="8" w:space="0" w:color="EA8B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3BA" w:themeFill="accent5" w:themeFillTint="3F"/>
      </w:tcPr>
    </w:tblStylePr>
    <w:tblStylePr w:type="band1Horz">
      <w:tblPr/>
      <w:tcPr>
        <w:tcBorders>
          <w:left w:val="nil"/>
          <w:right w:val="nil"/>
          <w:insideH w:val="nil"/>
          <w:insideV w:val="nil"/>
        </w:tcBorders>
        <w:shd w:val="clear" w:color="auto" w:fill="FFE3BA" w:themeFill="accent5" w:themeFillTint="3F"/>
      </w:tcPr>
    </w:tblStylePr>
  </w:style>
  <w:style w:type="table" w:styleId="LightShading-Accent6">
    <w:name w:val="Light Shading Accent 6"/>
    <w:basedOn w:val="TableNormal"/>
    <w:uiPriority w:val="60"/>
    <w:rsid w:val="00C249C7"/>
    <w:pPr>
      <w:spacing w:before="0" w:line="240" w:lineRule="auto"/>
    </w:pPr>
    <w:rPr>
      <w:color w:val="8F8F8F" w:themeColor="accent6" w:themeShade="BF"/>
    </w:rPr>
    <w:tblPr>
      <w:tblStyleRowBandSize w:val="1"/>
      <w:tblStyleColBandSize w:val="1"/>
      <w:tblBorders>
        <w:top w:val="single" w:sz="8" w:space="0" w:color="BFBFBF" w:themeColor="accent6"/>
        <w:bottom w:val="single" w:sz="8" w:space="0" w:color="BFBFBF" w:themeColor="accent6"/>
      </w:tblBorders>
    </w:tblPr>
    <w:tblStylePr w:type="fir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la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paragraph" w:styleId="ListParagraph">
    <w:name w:val="List Paragraph"/>
    <w:basedOn w:val="Normal"/>
    <w:uiPriority w:val="34"/>
    <w:semiHidden/>
    <w:rsid w:val="00C249C7"/>
    <w:pPr>
      <w:ind w:left="720"/>
      <w:contextualSpacing/>
    </w:pPr>
  </w:style>
  <w:style w:type="table" w:styleId="MediumGrid1">
    <w:name w:val="Medium Grid 1"/>
    <w:basedOn w:val="TableNormal"/>
    <w:uiPriority w:val="67"/>
    <w:rsid w:val="00C249C7"/>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249C7"/>
    <w:pPr>
      <w:spacing w:before="0" w:line="240" w:lineRule="auto"/>
    </w:pPr>
    <w:tblPr>
      <w:tblStyleRowBandSize w:val="1"/>
      <w:tblStyleColBandSize w:val="1"/>
      <w:tblBorders>
        <w:top w:val="single" w:sz="8" w:space="0" w:color="B180BC" w:themeColor="accent1" w:themeTint="BF"/>
        <w:left w:val="single" w:sz="8" w:space="0" w:color="B180BC" w:themeColor="accent1" w:themeTint="BF"/>
        <w:bottom w:val="single" w:sz="8" w:space="0" w:color="B180BC" w:themeColor="accent1" w:themeTint="BF"/>
        <w:right w:val="single" w:sz="8" w:space="0" w:color="B180BC" w:themeColor="accent1" w:themeTint="BF"/>
        <w:insideH w:val="single" w:sz="8" w:space="0" w:color="B180BC" w:themeColor="accent1" w:themeTint="BF"/>
        <w:insideV w:val="single" w:sz="8" w:space="0" w:color="B180BC" w:themeColor="accent1" w:themeTint="BF"/>
      </w:tblBorders>
    </w:tblPr>
    <w:tcPr>
      <w:shd w:val="clear" w:color="auto" w:fill="E5D5E9" w:themeFill="accent1" w:themeFillTint="3F"/>
    </w:tcPr>
    <w:tblStylePr w:type="firstRow">
      <w:rPr>
        <w:b/>
        <w:bCs/>
      </w:rPr>
    </w:tblStylePr>
    <w:tblStylePr w:type="lastRow">
      <w:rPr>
        <w:b/>
        <w:bCs/>
      </w:rPr>
      <w:tblPr/>
      <w:tcPr>
        <w:tcBorders>
          <w:top w:val="single" w:sz="18" w:space="0" w:color="B180BC" w:themeColor="accent1" w:themeTint="BF"/>
        </w:tcBorders>
      </w:tcPr>
    </w:tblStylePr>
    <w:tblStylePr w:type="firstCol">
      <w:rPr>
        <w:b/>
        <w:bCs/>
      </w:rPr>
    </w:tblStylePr>
    <w:tblStylePr w:type="lastCol">
      <w:rPr>
        <w:b/>
        <w:bCs/>
      </w:rPr>
    </w:tblStylePr>
    <w:tblStylePr w:type="band1Vert">
      <w:tblPr/>
      <w:tcPr>
        <w:shd w:val="clear" w:color="auto" w:fill="CBABD3" w:themeFill="accent1" w:themeFillTint="7F"/>
      </w:tcPr>
    </w:tblStylePr>
    <w:tblStylePr w:type="band1Horz">
      <w:tblPr/>
      <w:tcPr>
        <w:shd w:val="clear" w:color="auto" w:fill="CBABD3" w:themeFill="accent1" w:themeFillTint="7F"/>
      </w:tcPr>
    </w:tblStylePr>
  </w:style>
  <w:style w:type="table" w:styleId="MediumGrid1-Accent2">
    <w:name w:val="Medium Grid 1 Accent 2"/>
    <w:basedOn w:val="TableNormal"/>
    <w:uiPriority w:val="67"/>
    <w:rsid w:val="00C249C7"/>
    <w:pPr>
      <w:spacing w:before="0" w:line="240" w:lineRule="auto"/>
    </w:pPr>
    <w:tblPr>
      <w:tblStyleRowBandSize w:val="1"/>
      <w:tblStyleColBandSize w:val="1"/>
      <w:tblBorders>
        <w:top w:val="single" w:sz="8" w:space="0" w:color="FFC16C" w:themeColor="accent2" w:themeTint="BF"/>
        <w:left w:val="single" w:sz="8" w:space="0" w:color="FFC16C" w:themeColor="accent2" w:themeTint="BF"/>
        <w:bottom w:val="single" w:sz="8" w:space="0" w:color="FFC16C" w:themeColor="accent2" w:themeTint="BF"/>
        <w:right w:val="single" w:sz="8" w:space="0" w:color="FFC16C" w:themeColor="accent2" w:themeTint="BF"/>
        <w:insideH w:val="single" w:sz="8" w:space="0" w:color="FFC16C" w:themeColor="accent2" w:themeTint="BF"/>
        <w:insideV w:val="single" w:sz="8" w:space="0" w:color="FFC16C" w:themeColor="accent2" w:themeTint="BF"/>
      </w:tblBorders>
    </w:tblPr>
    <w:tcPr>
      <w:shd w:val="clear" w:color="auto" w:fill="FFEACE" w:themeFill="accent2" w:themeFillTint="3F"/>
    </w:tcPr>
    <w:tblStylePr w:type="firstRow">
      <w:rPr>
        <w:b/>
        <w:bCs/>
      </w:rPr>
    </w:tblStylePr>
    <w:tblStylePr w:type="lastRow">
      <w:rPr>
        <w:b/>
        <w:bCs/>
      </w:rPr>
      <w:tblPr/>
      <w:tcPr>
        <w:tcBorders>
          <w:top w:val="single" w:sz="18" w:space="0" w:color="FFC16C" w:themeColor="accent2" w:themeTint="BF"/>
        </w:tcBorders>
      </w:tcPr>
    </w:tblStylePr>
    <w:tblStylePr w:type="firstCol">
      <w:rPr>
        <w:b/>
        <w:bCs/>
      </w:rPr>
    </w:tblStylePr>
    <w:tblStylePr w:type="lastCol">
      <w:rPr>
        <w:b/>
        <w:bCs/>
      </w:rPr>
    </w:tblStylePr>
    <w:tblStylePr w:type="band1Vert">
      <w:tblPr/>
      <w:tcPr>
        <w:shd w:val="clear" w:color="auto" w:fill="FFD69D" w:themeFill="accent2" w:themeFillTint="7F"/>
      </w:tcPr>
    </w:tblStylePr>
    <w:tblStylePr w:type="band1Horz">
      <w:tblPr/>
      <w:tcPr>
        <w:shd w:val="clear" w:color="auto" w:fill="FFD69D" w:themeFill="accent2" w:themeFillTint="7F"/>
      </w:tcPr>
    </w:tblStylePr>
  </w:style>
  <w:style w:type="table" w:styleId="MediumGrid1-Accent3">
    <w:name w:val="Medium Grid 1 Accent 3"/>
    <w:basedOn w:val="TableNormal"/>
    <w:uiPriority w:val="67"/>
    <w:rsid w:val="00C249C7"/>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249C7"/>
    <w:pPr>
      <w:spacing w:before="0" w:line="240" w:lineRule="auto"/>
    </w:pPr>
    <w:tblPr>
      <w:tblStyleRowBandSize w:val="1"/>
      <w:tblStyleColBandSize w:val="1"/>
      <w:tblBorders>
        <w:top w:val="single" w:sz="8" w:space="0" w:color="C8A6D0" w:themeColor="accent4" w:themeTint="BF"/>
        <w:left w:val="single" w:sz="8" w:space="0" w:color="C8A6D0" w:themeColor="accent4" w:themeTint="BF"/>
        <w:bottom w:val="single" w:sz="8" w:space="0" w:color="C8A6D0" w:themeColor="accent4" w:themeTint="BF"/>
        <w:right w:val="single" w:sz="8" w:space="0" w:color="C8A6D0" w:themeColor="accent4" w:themeTint="BF"/>
        <w:insideH w:val="single" w:sz="8" w:space="0" w:color="C8A6D0" w:themeColor="accent4" w:themeTint="BF"/>
        <w:insideV w:val="single" w:sz="8" w:space="0" w:color="C8A6D0" w:themeColor="accent4" w:themeTint="BF"/>
      </w:tblBorders>
    </w:tblPr>
    <w:tcPr>
      <w:shd w:val="clear" w:color="auto" w:fill="ECE1EF" w:themeFill="accent4" w:themeFillTint="3F"/>
    </w:tcPr>
    <w:tblStylePr w:type="firstRow">
      <w:rPr>
        <w:b/>
        <w:bCs/>
      </w:rPr>
    </w:tblStylePr>
    <w:tblStylePr w:type="lastRow">
      <w:rPr>
        <w:b/>
        <w:bCs/>
      </w:rPr>
      <w:tblPr/>
      <w:tcPr>
        <w:tcBorders>
          <w:top w:val="single" w:sz="18" w:space="0" w:color="C8A6D0" w:themeColor="accent4" w:themeTint="BF"/>
        </w:tcBorders>
      </w:tcPr>
    </w:tblStylePr>
    <w:tblStylePr w:type="firstCol">
      <w:rPr>
        <w:b/>
        <w:bCs/>
      </w:rPr>
    </w:tblStylePr>
    <w:tblStylePr w:type="lastCol">
      <w:rPr>
        <w:b/>
        <w:bCs/>
      </w:rPr>
    </w:tblStylePr>
    <w:tblStylePr w:type="band1Vert">
      <w:tblPr/>
      <w:tcPr>
        <w:shd w:val="clear" w:color="auto" w:fill="DAC4E0" w:themeFill="accent4" w:themeFillTint="7F"/>
      </w:tcPr>
    </w:tblStylePr>
    <w:tblStylePr w:type="band1Horz">
      <w:tblPr/>
      <w:tcPr>
        <w:shd w:val="clear" w:color="auto" w:fill="DAC4E0" w:themeFill="accent4" w:themeFillTint="7F"/>
      </w:tcPr>
    </w:tblStylePr>
  </w:style>
  <w:style w:type="table" w:styleId="MediumGrid1-Accent5">
    <w:name w:val="Medium Grid 1 Accent 5"/>
    <w:basedOn w:val="TableNormal"/>
    <w:uiPriority w:val="67"/>
    <w:rsid w:val="00C249C7"/>
    <w:pPr>
      <w:spacing w:before="0" w:line="240" w:lineRule="auto"/>
    </w:pPr>
    <w:tblPr>
      <w:tblStyleRowBandSize w:val="1"/>
      <w:tblStyleColBandSize w:val="1"/>
      <w:tblBorders>
        <w:top w:val="single" w:sz="8" w:space="0" w:color="FFAA30" w:themeColor="accent5" w:themeTint="BF"/>
        <w:left w:val="single" w:sz="8" w:space="0" w:color="FFAA30" w:themeColor="accent5" w:themeTint="BF"/>
        <w:bottom w:val="single" w:sz="8" w:space="0" w:color="FFAA30" w:themeColor="accent5" w:themeTint="BF"/>
        <w:right w:val="single" w:sz="8" w:space="0" w:color="FFAA30" w:themeColor="accent5" w:themeTint="BF"/>
        <w:insideH w:val="single" w:sz="8" w:space="0" w:color="FFAA30" w:themeColor="accent5" w:themeTint="BF"/>
        <w:insideV w:val="single" w:sz="8" w:space="0" w:color="FFAA30" w:themeColor="accent5" w:themeTint="BF"/>
      </w:tblBorders>
    </w:tblPr>
    <w:tcPr>
      <w:shd w:val="clear" w:color="auto" w:fill="FFE3BA" w:themeFill="accent5" w:themeFillTint="3F"/>
    </w:tcPr>
    <w:tblStylePr w:type="firstRow">
      <w:rPr>
        <w:b/>
        <w:bCs/>
      </w:rPr>
    </w:tblStylePr>
    <w:tblStylePr w:type="lastRow">
      <w:rPr>
        <w:b/>
        <w:bCs/>
      </w:rPr>
      <w:tblPr/>
      <w:tcPr>
        <w:tcBorders>
          <w:top w:val="single" w:sz="18" w:space="0" w:color="FFAA30" w:themeColor="accent5" w:themeTint="BF"/>
        </w:tcBorders>
      </w:tcPr>
    </w:tblStylePr>
    <w:tblStylePr w:type="firstCol">
      <w:rPr>
        <w:b/>
        <w:bCs/>
      </w:rPr>
    </w:tblStylePr>
    <w:tblStylePr w:type="lastCol">
      <w:rPr>
        <w:b/>
        <w:bCs/>
      </w:rPr>
    </w:tblStylePr>
    <w:tblStylePr w:type="band1Vert">
      <w:tblPr/>
      <w:tcPr>
        <w:shd w:val="clear" w:color="auto" w:fill="FFC675" w:themeFill="accent5" w:themeFillTint="7F"/>
      </w:tcPr>
    </w:tblStylePr>
    <w:tblStylePr w:type="band1Horz">
      <w:tblPr/>
      <w:tcPr>
        <w:shd w:val="clear" w:color="auto" w:fill="FFC675" w:themeFill="accent5" w:themeFillTint="7F"/>
      </w:tcPr>
    </w:tblStylePr>
  </w:style>
  <w:style w:type="table" w:styleId="MediumGrid1-Accent6">
    <w:name w:val="Medium Grid 1 Accent 6"/>
    <w:basedOn w:val="TableNormal"/>
    <w:uiPriority w:val="67"/>
    <w:rsid w:val="00C249C7"/>
    <w:pPr>
      <w:spacing w:before="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insideV w:val="single" w:sz="8" w:space="0" w:color="CFCFCF" w:themeColor="accent6" w:themeTint="BF"/>
      </w:tblBorders>
    </w:tblPr>
    <w:tcPr>
      <w:shd w:val="clear" w:color="auto" w:fill="EFEFEF" w:themeFill="accent6" w:themeFillTint="3F"/>
    </w:tcPr>
    <w:tblStylePr w:type="firstRow">
      <w:rPr>
        <w:b/>
        <w:bCs/>
      </w:rPr>
    </w:tblStylePr>
    <w:tblStylePr w:type="lastRow">
      <w:rPr>
        <w:b/>
        <w:bCs/>
      </w:rPr>
      <w:tblPr/>
      <w:tcPr>
        <w:tcBorders>
          <w:top w:val="single" w:sz="18" w:space="0" w:color="CFCFCF" w:themeColor="accent6" w:themeTint="BF"/>
        </w:tcBorders>
      </w:tcPr>
    </w:tblStylePr>
    <w:tblStylePr w:type="firstCol">
      <w:rPr>
        <w:b/>
        <w:bCs/>
      </w:rPr>
    </w:tblStylePr>
    <w:tblStylePr w:type="lastCol">
      <w:rPr>
        <w:b/>
        <w:bCs/>
      </w:r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MediumGrid2">
    <w:name w:val="Medium Grid 2"/>
    <w:basedOn w:val="TableNormal"/>
    <w:uiPriority w:val="68"/>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757A6" w:themeColor="accent1"/>
        <w:left w:val="single" w:sz="8" w:space="0" w:color="9757A6" w:themeColor="accent1"/>
        <w:bottom w:val="single" w:sz="8" w:space="0" w:color="9757A6" w:themeColor="accent1"/>
        <w:right w:val="single" w:sz="8" w:space="0" w:color="9757A6" w:themeColor="accent1"/>
        <w:insideH w:val="single" w:sz="8" w:space="0" w:color="9757A6" w:themeColor="accent1"/>
        <w:insideV w:val="single" w:sz="8" w:space="0" w:color="9757A6" w:themeColor="accent1"/>
      </w:tblBorders>
    </w:tblPr>
    <w:tcPr>
      <w:shd w:val="clear" w:color="auto" w:fill="E5D5E9" w:themeFill="accent1" w:themeFillTint="3F"/>
    </w:tcPr>
    <w:tblStylePr w:type="firstRow">
      <w:rPr>
        <w:b/>
        <w:bCs/>
        <w:color w:val="000000" w:themeColor="text1"/>
      </w:rPr>
      <w:tblPr/>
      <w:tcPr>
        <w:shd w:val="clear" w:color="auto" w:fill="F4EE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ED" w:themeFill="accent1" w:themeFillTint="33"/>
      </w:tcPr>
    </w:tblStylePr>
    <w:tblStylePr w:type="band1Vert">
      <w:tblPr/>
      <w:tcPr>
        <w:shd w:val="clear" w:color="auto" w:fill="CBABD3" w:themeFill="accent1" w:themeFillTint="7F"/>
      </w:tcPr>
    </w:tblStylePr>
    <w:tblStylePr w:type="band1Horz">
      <w:tblPr/>
      <w:tcPr>
        <w:tcBorders>
          <w:insideH w:val="single" w:sz="6" w:space="0" w:color="9757A6" w:themeColor="accent1"/>
          <w:insideV w:val="single" w:sz="6" w:space="0" w:color="9757A6" w:themeColor="accent1"/>
        </w:tcBorders>
        <w:shd w:val="clear" w:color="auto" w:fill="CBAB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AE3B" w:themeColor="accent2"/>
        <w:left w:val="single" w:sz="8" w:space="0" w:color="FFAE3B" w:themeColor="accent2"/>
        <w:bottom w:val="single" w:sz="8" w:space="0" w:color="FFAE3B" w:themeColor="accent2"/>
        <w:right w:val="single" w:sz="8" w:space="0" w:color="FFAE3B" w:themeColor="accent2"/>
        <w:insideH w:val="single" w:sz="8" w:space="0" w:color="FFAE3B" w:themeColor="accent2"/>
        <w:insideV w:val="single" w:sz="8" w:space="0" w:color="FFAE3B" w:themeColor="accent2"/>
      </w:tblBorders>
    </w:tblPr>
    <w:tcPr>
      <w:shd w:val="clear" w:color="auto" w:fill="FFEACE" w:themeFill="accent2" w:themeFillTint="3F"/>
    </w:tcPr>
    <w:tblStylePr w:type="firstRow">
      <w:rPr>
        <w:b/>
        <w:bCs/>
        <w:color w:val="000000" w:themeColor="text1"/>
      </w:rPr>
      <w:tblPr/>
      <w:tcPr>
        <w:shd w:val="clear" w:color="auto" w:fill="FFF6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ED7" w:themeFill="accent2" w:themeFillTint="33"/>
      </w:tcPr>
    </w:tblStylePr>
    <w:tblStylePr w:type="band1Vert">
      <w:tblPr/>
      <w:tcPr>
        <w:shd w:val="clear" w:color="auto" w:fill="FFD69D" w:themeFill="accent2" w:themeFillTint="7F"/>
      </w:tcPr>
    </w:tblStylePr>
    <w:tblStylePr w:type="band1Horz">
      <w:tblPr/>
      <w:tcPr>
        <w:tcBorders>
          <w:insideH w:val="single" w:sz="6" w:space="0" w:color="FFAE3B" w:themeColor="accent2"/>
          <w:insideV w:val="single" w:sz="6" w:space="0" w:color="FFAE3B" w:themeColor="accent2"/>
        </w:tcBorders>
        <w:shd w:val="clear" w:color="auto" w:fill="FF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89C1" w:themeColor="accent4"/>
        <w:left w:val="single" w:sz="8" w:space="0" w:color="B689C1" w:themeColor="accent4"/>
        <w:bottom w:val="single" w:sz="8" w:space="0" w:color="B689C1" w:themeColor="accent4"/>
        <w:right w:val="single" w:sz="8" w:space="0" w:color="B689C1" w:themeColor="accent4"/>
        <w:insideH w:val="single" w:sz="8" w:space="0" w:color="B689C1" w:themeColor="accent4"/>
        <w:insideV w:val="single" w:sz="8" w:space="0" w:color="B689C1" w:themeColor="accent4"/>
      </w:tblBorders>
    </w:tblPr>
    <w:tcPr>
      <w:shd w:val="clear" w:color="auto" w:fill="ECE1EF" w:themeFill="accent4" w:themeFillTint="3F"/>
    </w:tcPr>
    <w:tblStylePr w:type="firstRow">
      <w:rPr>
        <w:b/>
        <w:bCs/>
        <w:color w:val="000000" w:themeColor="text1"/>
      </w:rPr>
      <w:tblPr/>
      <w:tcPr>
        <w:shd w:val="clear" w:color="auto" w:fill="F7F3F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F2" w:themeFill="accent4" w:themeFillTint="33"/>
      </w:tcPr>
    </w:tblStylePr>
    <w:tblStylePr w:type="band1Vert">
      <w:tblPr/>
      <w:tcPr>
        <w:shd w:val="clear" w:color="auto" w:fill="DAC4E0" w:themeFill="accent4" w:themeFillTint="7F"/>
      </w:tcPr>
    </w:tblStylePr>
    <w:tblStylePr w:type="band1Horz">
      <w:tblPr/>
      <w:tcPr>
        <w:tcBorders>
          <w:insideH w:val="single" w:sz="6" w:space="0" w:color="B689C1" w:themeColor="accent4"/>
          <w:insideV w:val="single" w:sz="6" w:space="0" w:color="B689C1" w:themeColor="accent4"/>
        </w:tcBorders>
        <w:shd w:val="clear" w:color="auto" w:fill="DAC4E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8B00" w:themeColor="accent5"/>
        <w:left w:val="single" w:sz="8" w:space="0" w:color="EA8B00" w:themeColor="accent5"/>
        <w:bottom w:val="single" w:sz="8" w:space="0" w:color="EA8B00" w:themeColor="accent5"/>
        <w:right w:val="single" w:sz="8" w:space="0" w:color="EA8B00" w:themeColor="accent5"/>
        <w:insideH w:val="single" w:sz="8" w:space="0" w:color="EA8B00" w:themeColor="accent5"/>
        <w:insideV w:val="single" w:sz="8" w:space="0" w:color="EA8B00" w:themeColor="accent5"/>
      </w:tblBorders>
    </w:tblPr>
    <w:tcPr>
      <w:shd w:val="clear" w:color="auto" w:fill="FFE3BA" w:themeFill="accent5" w:themeFillTint="3F"/>
    </w:tcPr>
    <w:tblStylePr w:type="firstRow">
      <w:rPr>
        <w:b/>
        <w:bCs/>
        <w:color w:val="000000" w:themeColor="text1"/>
      </w:rPr>
      <w:tblPr/>
      <w:tcPr>
        <w:shd w:val="clear" w:color="auto" w:fill="FFF3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8C7" w:themeFill="accent5" w:themeFillTint="33"/>
      </w:tcPr>
    </w:tblStylePr>
    <w:tblStylePr w:type="band1Vert">
      <w:tblPr/>
      <w:tcPr>
        <w:shd w:val="clear" w:color="auto" w:fill="FFC675" w:themeFill="accent5" w:themeFillTint="7F"/>
      </w:tcPr>
    </w:tblStylePr>
    <w:tblStylePr w:type="band1Horz">
      <w:tblPr/>
      <w:tcPr>
        <w:tcBorders>
          <w:insideH w:val="single" w:sz="6" w:space="0" w:color="EA8B00" w:themeColor="accent5"/>
          <w:insideV w:val="single" w:sz="6" w:space="0" w:color="EA8B00" w:themeColor="accent5"/>
        </w:tcBorders>
        <w:shd w:val="clear" w:color="auto" w:fill="FFC67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cPr>
      <w:shd w:val="clear" w:color="auto" w:fill="EFEFEF" w:themeFill="accent6" w:themeFillTint="3F"/>
    </w:tcPr>
    <w:tblStylePr w:type="firstRow">
      <w:rPr>
        <w:b/>
        <w:bCs/>
        <w:color w:val="000000" w:themeColor="text1"/>
      </w:rPr>
      <w:tblPr/>
      <w:tcPr>
        <w:shd w:val="clear" w:color="auto" w:fill="F8F8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2" w:themeFill="accent6" w:themeFillTint="33"/>
      </w:tcPr>
    </w:tblStylePr>
    <w:tblStylePr w:type="band1Vert">
      <w:tblPr/>
      <w:tcPr>
        <w:shd w:val="clear" w:color="auto" w:fill="DFDFDF" w:themeFill="accent6" w:themeFillTint="7F"/>
      </w:tcPr>
    </w:tblStylePr>
    <w:tblStylePr w:type="band1Horz">
      <w:tblPr/>
      <w:tcPr>
        <w:tcBorders>
          <w:insideH w:val="single" w:sz="6" w:space="0" w:color="BFBFBF" w:themeColor="accent6"/>
          <w:insideV w:val="single" w:sz="6" w:space="0" w:color="BFBFBF" w:themeColor="accent6"/>
        </w:tcBorders>
        <w:shd w:val="clear" w:color="auto" w:fill="DFDFD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249C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249C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D5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57A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57A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57A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57A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AB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ABD3" w:themeFill="accent1" w:themeFillTint="7F"/>
      </w:tcPr>
    </w:tblStylePr>
  </w:style>
  <w:style w:type="table" w:styleId="MediumGrid3-Accent2">
    <w:name w:val="Medium Grid 3 Accent 2"/>
    <w:basedOn w:val="TableNormal"/>
    <w:uiPriority w:val="69"/>
    <w:rsid w:val="00C249C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A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AE3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AE3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AE3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AE3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69D" w:themeFill="accent2" w:themeFillTint="7F"/>
      </w:tcPr>
    </w:tblStylePr>
  </w:style>
  <w:style w:type="table" w:styleId="MediumGrid3-Accent3">
    <w:name w:val="Medium Grid 3 Accent 3"/>
    <w:basedOn w:val="TableNormal"/>
    <w:uiPriority w:val="69"/>
    <w:rsid w:val="00C249C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249C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1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89C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89C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89C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89C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E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E0" w:themeFill="accent4" w:themeFillTint="7F"/>
      </w:tcPr>
    </w:tblStylePr>
  </w:style>
  <w:style w:type="table" w:styleId="MediumGrid3-Accent5">
    <w:name w:val="Medium Grid 3 Accent 5"/>
    <w:basedOn w:val="TableNormal"/>
    <w:uiPriority w:val="69"/>
    <w:rsid w:val="00C249C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3B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8B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8B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8B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8B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67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675" w:themeFill="accent5" w:themeFillTint="7F"/>
      </w:tcPr>
    </w:tblStylePr>
  </w:style>
  <w:style w:type="table" w:styleId="MediumGrid3-Accent6">
    <w:name w:val="Medium Grid 3 Accent 6"/>
    <w:basedOn w:val="TableNormal"/>
    <w:uiPriority w:val="69"/>
    <w:rsid w:val="00C249C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B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B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D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DF" w:themeFill="accent6" w:themeFillTint="7F"/>
      </w:tcPr>
    </w:tblStylePr>
  </w:style>
  <w:style w:type="table" w:styleId="MediumList1">
    <w:name w:val="Medium List 1"/>
    <w:basedOn w:val="TableNormal"/>
    <w:uiPriority w:val="65"/>
    <w:rsid w:val="00C249C7"/>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757A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249C7"/>
    <w:pPr>
      <w:spacing w:before="0" w:line="240" w:lineRule="auto"/>
    </w:pPr>
    <w:rPr>
      <w:color w:val="000000" w:themeColor="text1"/>
    </w:rPr>
    <w:tblPr>
      <w:tblStyleRowBandSize w:val="1"/>
      <w:tblStyleColBandSize w:val="1"/>
      <w:tblBorders>
        <w:top w:val="single" w:sz="8" w:space="0" w:color="9757A6" w:themeColor="accent1"/>
        <w:bottom w:val="single" w:sz="8" w:space="0" w:color="9757A6" w:themeColor="accent1"/>
      </w:tblBorders>
    </w:tblPr>
    <w:tblStylePr w:type="firstRow">
      <w:rPr>
        <w:rFonts w:asciiTheme="majorHAnsi" w:eastAsiaTheme="majorEastAsia" w:hAnsiTheme="majorHAnsi" w:cstheme="majorBidi"/>
      </w:rPr>
      <w:tblPr/>
      <w:tcPr>
        <w:tcBorders>
          <w:top w:val="nil"/>
          <w:bottom w:val="single" w:sz="8" w:space="0" w:color="9757A6" w:themeColor="accent1"/>
        </w:tcBorders>
      </w:tcPr>
    </w:tblStylePr>
    <w:tblStylePr w:type="lastRow">
      <w:rPr>
        <w:b/>
        <w:bCs/>
        <w:color w:val="9757A6" w:themeColor="text2"/>
      </w:rPr>
      <w:tblPr/>
      <w:tcPr>
        <w:tcBorders>
          <w:top w:val="single" w:sz="8" w:space="0" w:color="9757A6" w:themeColor="accent1"/>
          <w:bottom w:val="single" w:sz="8" w:space="0" w:color="9757A6" w:themeColor="accent1"/>
        </w:tcBorders>
      </w:tcPr>
    </w:tblStylePr>
    <w:tblStylePr w:type="firstCol">
      <w:rPr>
        <w:b/>
        <w:bCs/>
      </w:rPr>
    </w:tblStylePr>
    <w:tblStylePr w:type="lastCol">
      <w:rPr>
        <w:b/>
        <w:bCs/>
      </w:rPr>
      <w:tblPr/>
      <w:tcPr>
        <w:tcBorders>
          <w:top w:val="single" w:sz="8" w:space="0" w:color="9757A6" w:themeColor="accent1"/>
          <w:bottom w:val="single" w:sz="8" w:space="0" w:color="9757A6" w:themeColor="accent1"/>
        </w:tcBorders>
      </w:tcPr>
    </w:tblStylePr>
    <w:tblStylePr w:type="band1Vert">
      <w:tblPr/>
      <w:tcPr>
        <w:shd w:val="clear" w:color="auto" w:fill="E5D5E9" w:themeFill="accent1" w:themeFillTint="3F"/>
      </w:tcPr>
    </w:tblStylePr>
    <w:tblStylePr w:type="band1Horz">
      <w:tblPr/>
      <w:tcPr>
        <w:shd w:val="clear" w:color="auto" w:fill="E5D5E9" w:themeFill="accent1" w:themeFillTint="3F"/>
      </w:tcPr>
    </w:tblStylePr>
  </w:style>
  <w:style w:type="table" w:styleId="MediumList1-Accent2">
    <w:name w:val="Medium List 1 Accent 2"/>
    <w:basedOn w:val="TableNormal"/>
    <w:uiPriority w:val="65"/>
    <w:rsid w:val="00C249C7"/>
    <w:pPr>
      <w:spacing w:before="0" w:line="240" w:lineRule="auto"/>
    </w:pPr>
    <w:rPr>
      <w:color w:val="000000" w:themeColor="text1"/>
    </w:rPr>
    <w:tblPr>
      <w:tblStyleRowBandSize w:val="1"/>
      <w:tblStyleColBandSize w:val="1"/>
      <w:tblBorders>
        <w:top w:val="single" w:sz="8" w:space="0" w:color="FFAE3B" w:themeColor="accent2"/>
        <w:bottom w:val="single" w:sz="8" w:space="0" w:color="FFAE3B" w:themeColor="accent2"/>
      </w:tblBorders>
    </w:tblPr>
    <w:tblStylePr w:type="firstRow">
      <w:rPr>
        <w:rFonts w:asciiTheme="majorHAnsi" w:eastAsiaTheme="majorEastAsia" w:hAnsiTheme="majorHAnsi" w:cstheme="majorBidi"/>
      </w:rPr>
      <w:tblPr/>
      <w:tcPr>
        <w:tcBorders>
          <w:top w:val="nil"/>
          <w:bottom w:val="single" w:sz="8" w:space="0" w:color="FFAE3B" w:themeColor="accent2"/>
        </w:tcBorders>
      </w:tcPr>
    </w:tblStylePr>
    <w:tblStylePr w:type="lastRow">
      <w:rPr>
        <w:b/>
        <w:bCs/>
        <w:color w:val="9757A6" w:themeColor="text2"/>
      </w:rPr>
      <w:tblPr/>
      <w:tcPr>
        <w:tcBorders>
          <w:top w:val="single" w:sz="8" w:space="0" w:color="FFAE3B" w:themeColor="accent2"/>
          <w:bottom w:val="single" w:sz="8" w:space="0" w:color="FFAE3B" w:themeColor="accent2"/>
        </w:tcBorders>
      </w:tcPr>
    </w:tblStylePr>
    <w:tblStylePr w:type="firstCol">
      <w:rPr>
        <w:b/>
        <w:bCs/>
      </w:rPr>
    </w:tblStylePr>
    <w:tblStylePr w:type="lastCol">
      <w:rPr>
        <w:b/>
        <w:bCs/>
      </w:rPr>
      <w:tblPr/>
      <w:tcPr>
        <w:tcBorders>
          <w:top w:val="single" w:sz="8" w:space="0" w:color="FFAE3B" w:themeColor="accent2"/>
          <w:bottom w:val="single" w:sz="8" w:space="0" w:color="FFAE3B" w:themeColor="accent2"/>
        </w:tcBorders>
      </w:tcPr>
    </w:tblStylePr>
    <w:tblStylePr w:type="band1Vert">
      <w:tblPr/>
      <w:tcPr>
        <w:shd w:val="clear" w:color="auto" w:fill="FFEACE" w:themeFill="accent2" w:themeFillTint="3F"/>
      </w:tcPr>
    </w:tblStylePr>
    <w:tblStylePr w:type="band1Horz">
      <w:tblPr/>
      <w:tcPr>
        <w:shd w:val="clear" w:color="auto" w:fill="FFEACE" w:themeFill="accent2" w:themeFillTint="3F"/>
      </w:tcPr>
    </w:tblStylePr>
  </w:style>
  <w:style w:type="table" w:styleId="MediumList1-Accent3">
    <w:name w:val="Medium List 1 Accent 3"/>
    <w:basedOn w:val="TableNormal"/>
    <w:uiPriority w:val="65"/>
    <w:rsid w:val="00C249C7"/>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9757A6"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249C7"/>
    <w:pPr>
      <w:spacing w:before="0" w:line="240" w:lineRule="auto"/>
    </w:pPr>
    <w:rPr>
      <w:color w:val="000000" w:themeColor="text1"/>
    </w:rPr>
    <w:tblPr>
      <w:tblStyleRowBandSize w:val="1"/>
      <w:tblStyleColBandSize w:val="1"/>
      <w:tblBorders>
        <w:top w:val="single" w:sz="8" w:space="0" w:color="B689C1" w:themeColor="accent4"/>
        <w:bottom w:val="single" w:sz="8" w:space="0" w:color="B689C1" w:themeColor="accent4"/>
      </w:tblBorders>
    </w:tblPr>
    <w:tblStylePr w:type="firstRow">
      <w:rPr>
        <w:rFonts w:asciiTheme="majorHAnsi" w:eastAsiaTheme="majorEastAsia" w:hAnsiTheme="majorHAnsi" w:cstheme="majorBidi"/>
      </w:rPr>
      <w:tblPr/>
      <w:tcPr>
        <w:tcBorders>
          <w:top w:val="nil"/>
          <w:bottom w:val="single" w:sz="8" w:space="0" w:color="B689C1" w:themeColor="accent4"/>
        </w:tcBorders>
      </w:tcPr>
    </w:tblStylePr>
    <w:tblStylePr w:type="lastRow">
      <w:rPr>
        <w:b/>
        <w:bCs/>
        <w:color w:val="9757A6" w:themeColor="text2"/>
      </w:rPr>
      <w:tblPr/>
      <w:tcPr>
        <w:tcBorders>
          <w:top w:val="single" w:sz="8" w:space="0" w:color="B689C1" w:themeColor="accent4"/>
          <w:bottom w:val="single" w:sz="8" w:space="0" w:color="B689C1" w:themeColor="accent4"/>
        </w:tcBorders>
      </w:tcPr>
    </w:tblStylePr>
    <w:tblStylePr w:type="firstCol">
      <w:rPr>
        <w:b/>
        <w:bCs/>
      </w:rPr>
    </w:tblStylePr>
    <w:tblStylePr w:type="lastCol">
      <w:rPr>
        <w:b/>
        <w:bCs/>
      </w:rPr>
      <w:tblPr/>
      <w:tcPr>
        <w:tcBorders>
          <w:top w:val="single" w:sz="8" w:space="0" w:color="B689C1" w:themeColor="accent4"/>
          <w:bottom w:val="single" w:sz="8" w:space="0" w:color="B689C1" w:themeColor="accent4"/>
        </w:tcBorders>
      </w:tcPr>
    </w:tblStylePr>
    <w:tblStylePr w:type="band1Vert">
      <w:tblPr/>
      <w:tcPr>
        <w:shd w:val="clear" w:color="auto" w:fill="ECE1EF" w:themeFill="accent4" w:themeFillTint="3F"/>
      </w:tcPr>
    </w:tblStylePr>
    <w:tblStylePr w:type="band1Horz">
      <w:tblPr/>
      <w:tcPr>
        <w:shd w:val="clear" w:color="auto" w:fill="ECE1EF" w:themeFill="accent4" w:themeFillTint="3F"/>
      </w:tcPr>
    </w:tblStylePr>
  </w:style>
  <w:style w:type="table" w:styleId="MediumList1-Accent5">
    <w:name w:val="Medium List 1 Accent 5"/>
    <w:basedOn w:val="TableNormal"/>
    <w:uiPriority w:val="65"/>
    <w:rsid w:val="00C249C7"/>
    <w:pPr>
      <w:spacing w:before="0" w:line="240" w:lineRule="auto"/>
    </w:pPr>
    <w:rPr>
      <w:color w:val="000000" w:themeColor="text1"/>
    </w:rPr>
    <w:tblPr>
      <w:tblStyleRowBandSize w:val="1"/>
      <w:tblStyleColBandSize w:val="1"/>
      <w:tblBorders>
        <w:top w:val="single" w:sz="8" w:space="0" w:color="EA8B00" w:themeColor="accent5"/>
        <w:bottom w:val="single" w:sz="8" w:space="0" w:color="EA8B00" w:themeColor="accent5"/>
      </w:tblBorders>
    </w:tblPr>
    <w:tblStylePr w:type="firstRow">
      <w:rPr>
        <w:rFonts w:asciiTheme="majorHAnsi" w:eastAsiaTheme="majorEastAsia" w:hAnsiTheme="majorHAnsi" w:cstheme="majorBidi"/>
      </w:rPr>
      <w:tblPr/>
      <w:tcPr>
        <w:tcBorders>
          <w:top w:val="nil"/>
          <w:bottom w:val="single" w:sz="8" w:space="0" w:color="EA8B00" w:themeColor="accent5"/>
        </w:tcBorders>
      </w:tcPr>
    </w:tblStylePr>
    <w:tblStylePr w:type="lastRow">
      <w:rPr>
        <w:b/>
        <w:bCs/>
        <w:color w:val="9757A6" w:themeColor="text2"/>
      </w:rPr>
      <w:tblPr/>
      <w:tcPr>
        <w:tcBorders>
          <w:top w:val="single" w:sz="8" w:space="0" w:color="EA8B00" w:themeColor="accent5"/>
          <w:bottom w:val="single" w:sz="8" w:space="0" w:color="EA8B00" w:themeColor="accent5"/>
        </w:tcBorders>
      </w:tcPr>
    </w:tblStylePr>
    <w:tblStylePr w:type="firstCol">
      <w:rPr>
        <w:b/>
        <w:bCs/>
      </w:rPr>
    </w:tblStylePr>
    <w:tblStylePr w:type="lastCol">
      <w:rPr>
        <w:b/>
        <w:bCs/>
      </w:rPr>
      <w:tblPr/>
      <w:tcPr>
        <w:tcBorders>
          <w:top w:val="single" w:sz="8" w:space="0" w:color="EA8B00" w:themeColor="accent5"/>
          <w:bottom w:val="single" w:sz="8" w:space="0" w:color="EA8B00" w:themeColor="accent5"/>
        </w:tcBorders>
      </w:tcPr>
    </w:tblStylePr>
    <w:tblStylePr w:type="band1Vert">
      <w:tblPr/>
      <w:tcPr>
        <w:shd w:val="clear" w:color="auto" w:fill="FFE3BA" w:themeFill="accent5" w:themeFillTint="3F"/>
      </w:tcPr>
    </w:tblStylePr>
    <w:tblStylePr w:type="band1Horz">
      <w:tblPr/>
      <w:tcPr>
        <w:shd w:val="clear" w:color="auto" w:fill="FFE3BA" w:themeFill="accent5" w:themeFillTint="3F"/>
      </w:tcPr>
    </w:tblStylePr>
  </w:style>
  <w:style w:type="table" w:styleId="MediumList1-Accent6">
    <w:name w:val="Medium List 1 Accent 6"/>
    <w:basedOn w:val="TableNormal"/>
    <w:uiPriority w:val="65"/>
    <w:rsid w:val="00C249C7"/>
    <w:pPr>
      <w:spacing w:before="0" w:line="240" w:lineRule="auto"/>
    </w:pPr>
    <w:rPr>
      <w:color w:val="000000" w:themeColor="text1"/>
    </w:rPr>
    <w:tblPr>
      <w:tblStyleRowBandSize w:val="1"/>
      <w:tblStyleColBandSize w:val="1"/>
      <w:tblBorders>
        <w:top w:val="single" w:sz="8" w:space="0" w:color="BFBFBF" w:themeColor="accent6"/>
        <w:bottom w:val="single" w:sz="8" w:space="0" w:color="BFBFBF" w:themeColor="accent6"/>
      </w:tblBorders>
    </w:tblPr>
    <w:tblStylePr w:type="firstRow">
      <w:rPr>
        <w:rFonts w:asciiTheme="majorHAnsi" w:eastAsiaTheme="majorEastAsia" w:hAnsiTheme="majorHAnsi" w:cstheme="majorBidi"/>
      </w:rPr>
      <w:tblPr/>
      <w:tcPr>
        <w:tcBorders>
          <w:top w:val="nil"/>
          <w:bottom w:val="single" w:sz="8" w:space="0" w:color="BFBFBF" w:themeColor="accent6"/>
        </w:tcBorders>
      </w:tcPr>
    </w:tblStylePr>
    <w:tblStylePr w:type="lastRow">
      <w:rPr>
        <w:b/>
        <w:bCs/>
        <w:color w:val="9757A6" w:themeColor="text2"/>
      </w:rPr>
      <w:tblPr/>
      <w:tcPr>
        <w:tcBorders>
          <w:top w:val="single" w:sz="8" w:space="0" w:color="BFBFBF" w:themeColor="accent6"/>
          <w:bottom w:val="single" w:sz="8" w:space="0" w:color="BFBFBF" w:themeColor="accent6"/>
        </w:tcBorders>
      </w:tcPr>
    </w:tblStylePr>
    <w:tblStylePr w:type="firstCol">
      <w:rPr>
        <w:b/>
        <w:bCs/>
      </w:rPr>
    </w:tblStylePr>
    <w:tblStylePr w:type="lastCol">
      <w:rPr>
        <w:b/>
        <w:bCs/>
      </w:rPr>
      <w:tblPr/>
      <w:tcPr>
        <w:tcBorders>
          <w:top w:val="single" w:sz="8" w:space="0" w:color="BFBFBF" w:themeColor="accent6"/>
          <w:bottom w:val="single" w:sz="8" w:space="0" w:color="BFBFBF" w:themeColor="accent6"/>
        </w:tcBorders>
      </w:tcPr>
    </w:tblStylePr>
    <w:tblStylePr w:type="band1Vert">
      <w:tblPr/>
      <w:tcPr>
        <w:shd w:val="clear" w:color="auto" w:fill="EFEFEF" w:themeFill="accent6" w:themeFillTint="3F"/>
      </w:tcPr>
    </w:tblStylePr>
    <w:tblStylePr w:type="band1Horz">
      <w:tblPr/>
      <w:tcPr>
        <w:shd w:val="clear" w:color="auto" w:fill="EFEFEF" w:themeFill="accent6" w:themeFillTint="3F"/>
      </w:tcPr>
    </w:tblStylePr>
  </w:style>
  <w:style w:type="table" w:styleId="MediumList2">
    <w:name w:val="Medium List 2"/>
    <w:basedOn w:val="TableNormal"/>
    <w:uiPriority w:val="66"/>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757A6" w:themeColor="accent1"/>
        <w:left w:val="single" w:sz="8" w:space="0" w:color="9757A6" w:themeColor="accent1"/>
        <w:bottom w:val="single" w:sz="8" w:space="0" w:color="9757A6" w:themeColor="accent1"/>
        <w:right w:val="single" w:sz="8" w:space="0" w:color="9757A6" w:themeColor="accent1"/>
      </w:tblBorders>
    </w:tblPr>
    <w:tblStylePr w:type="firstRow">
      <w:rPr>
        <w:sz w:val="24"/>
        <w:szCs w:val="24"/>
      </w:rPr>
      <w:tblPr/>
      <w:tcPr>
        <w:tcBorders>
          <w:top w:val="nil"/>
          <w:left w:val="nil"/>
          <w:bottom w:val="single" w:sz="24" w:space="0" w:color="9757A6" w:themeColor="accent1"/>
          <w:right w:val="nil"/>
          <w:insideH w:val="nil"/>
          <w:insideV w:val="nil"/>
        </w:tcBorders>
        <w:shd w:val="clear" w:color="auto" w:fill="FFFFFF" w:themeFill="background1"/>
      </w:tcPr>
    </w:tblStylePr>
    <w:tblStylePr w:type="lastRow">
      <w:tblPr/>
      <w:tcPr>
        <w:tcBorders>
          <w:top w:val="single" w:sz="8" w:space="0" w:color="9757A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57A6" w:themeColor="accent1"/>
          <w:insideH w:val="nil"/>
          <w:insideV w:val="nil"/>
        </w:tcBorders>
        <w:shd w:val="clear" w:color="auto" w:fill="FFFFFF" w:themeFill="background1"/>
      </w:tcPr>
    </w:tblStylePr>
    <w:tblStylePr w:type="lastCol">
      <w:tblPr/>
      <w:tcPr>
        <w:tcBorders>
          <w:top w:val="nil"/>
          <w:left w:val="single" w:sz="8" w:space="0" w:color="9757A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D5E9" w:themeFill="accent1" w:themeFillTint="3F"/>
      </w:tcPr>
    </w:tblStylePr>
    <w:tblStylePr w:type="band1Horz">
      <w:tblPr/>
      <w:tcPr>
        <w:tcBorders>
          <w:top w:val="nil"/>
          <w:bottom w:val="nil"/>
          <w:insideH w:val="nil"/>
          <w:insideV w:val="nil"/>
        </w:tcBorders>
        <w:shd w:val="clear" w:color="auto" w:fill="E5D5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AE3B" w:themeColor="accent2"/>
        <w:left w:val="single" w:sz="8" w:space="0" w:color="FFAE3B" w:themeColor="accent2"/>
        <w:bottom w:val="single" w:sz="8" w:space="0" w:color="FFAE3B" w:themeColor="accent2"/>
        <w:right w:val="single" w:sz="8" w:space="0" w:color="FFAE3B" w:themeColor="accent2"/>
      </w:tblBorders>
    </w:tblPr>
    <w:tblStylePr w:type="firstRow">
      <w:rPr>
        <w:sz w:val="24"/>
        <w:szCs w:val="24"/>
      </w:rPr>
      <w:tblPr/>
      <w:tcPr>
        <w:tcBorders>
          <w:top w:val="nil"/>
          <w:left w:val="nil"/>
          <w:bottom w:val="single" w:sz="24" w:space="0" w:color="FFAE3B" w:themeColor="accent2"/>
          <w:right w:val="nil"/>
          <w:insideH w:val="nil"/>
          <w:insideV w:val="nil"/>
        </w:tcBorders>
        <w:shd w:val="clear" w:color="auto" w:fill="FFFFFF" w:themeFill="background1"/>
      </w:tcPr>
    </w:tblStylePr>
    <w:tblStylePr w:type="lastRow">
      <w:tblPr/>
      <w:tcPr>
        <w:tcBorders>
          <w:top w:val="single" w:sz="8" w:space="0" w:color="FFAE3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AE3B" w:themeColor="accent2"/>
          <w:insideH w:val="nil"/>
          <w:insideV w:val="nil"/>
        </w:tcBorders>
        <w:shd w:val="clear" w:color="auto" w:fill="FFFFFF" w:themeFill="background1"/>
      </w:tcPr>
    </w:tblStylePr>
    <w:tblStylePr w:type="lastCol">
      <w:tblPr/>
      <w:tcPr>
        <w:tcBorders>
          <w:top w:val="nil"/>
          <w:left w:val="single" w:sz="8" w:space="0" w:color="FFAE3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ACE" w:themeFill="accent2" w:themeFillTint="3F"/>
      </w:tcPr>
    </w:tblStylePr>
    <w:tblStylePr w:type="band1Horz">
      <w:tblPr/>
      <w:tcPr>
        <w:tcBorders>
          <w:top w:val="nil"/>
          <w:bottom w:val="nil"/>
          <w:insideH w:val="nil"/>
          <w:insideV w:val="nil"/>
        </w:tcBorders>
        <w:shd w:val="clear" w:color="auto" w:fill="FFEA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89C1" w:themeColor="accent4"/>
        <w:left w:val="single" w:sz="8" w:space="0" w:color="B689C1" w:themeColor="accent4"/>
        <w:bottom w:val="single" w:sz="8" w:space="0" w:color="B689C1" w:themeColor="accent4"/>
        <w:right w:val="single" w:sz="8" w:space="0" w:color="B689C1" w:themeColor="accent4"/>
      </w:tblBorders>
    </w:tblPr>
    <w:tblStylePr w:type="firstRow">
      <w:rPr>
        <w:sz w:val="24"/>
        <w:szCs w:val="24"/>
      </w:rPr>
      <w:tblPr/>
      <w:tcPr>
        <w:tcBorders>
          <w:top w:val="nil"/>
          <w:left w:val="nil"/>
          <w:bottom w:val="single" w:sz="24" w:space="0" w:color="B689C1" w:themeColor="accent4"/>
          <w:right w:val="nil"/>
          <w:insideH w:val="nil"/>
          <w:insideV w:val="nil"/>
        </w:tcBorders>
        <w:shd w:val="clear" w:color="auto" w:fill="FFFFFF" w:themeFill="background1"/>
      </w:tcPr>
    </w:tblStylePr>
    <w:tblStylePr w:type="lastRow">
      <w:tblPr/>
      <w:tcPr>
        <w:tcBorders>
          <w:top w:val="single" w:sz="8" w:space="0" w:color="B689C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89C1" w:themeColor="accent4"/>
          <w:insideH w:val="nil"/>
          <w:insideV w:val="nil"/>
        </w:tcBorders>
        <w:shd w:val="clear" w:color="auto" w:fill="FFFFFF" w:themeFill="background1"/>
      </w:tcPr>
    </w:tblStylePr>
    <w:tblStylePr w:type="lastCol">
      <w:tblPr/>
      <w:tcPr>
        <w:tcBorders>
          <w:top w:val="nil"/>
          <w:left w:val="single" w:sz="8" w:space="0" w:color="B689C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1EF" w:themeFill="accent4" w:themeFillTint="3F"/>
      </w:tcPr>
    </w:tblStylePr>
    <w:tblStylePr w:type="band1Horz">
      <w:tblPr/>
      <w:tcPr>
        <w:tcBorders>
          <w:top w:val="nil"/>
          <w:bottom w:val="nil"/>
          <w:insideH w:val="nil"/>
          <w:insideV w:val="nil"/>
        </w:tcBorders>
        <w:shd w:val="clear" w:color="auto" w:fill="ECE1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8B00" w:themeColor="accent5"/>
        <w:left w:val="single" w:sz="8" w:space="0" w:color="EA8B00" w:themeColor="accent5"/>
        <w:bottom w:val="single" w:sz="8" w:space="0" w:color="EA8B00" w:themeColor="accent5"/>
        <w:right w:val="single" w:sz="8" w:space="0" w:color="EA8B00" w:themeColor="accent5"/>
      </w:tblBorders>
    </w:tblPr>
    <w:tblStylePr w:type="firstRow">
      <w:rPr>
        <w:sz w:val="24"/>
        <w:szCs w:val="24"/>
      </w:rPr>
      <w:tblPr/>
      <w:tcPr>
        <w:tcBorders>
          <w:top w:val="nil"/>
          <w:left w:val="nil"/>
          <w:bottom w:val="single" w:sz="24" w:space="0" w:color="EA8B00" w:themeColor="accent5"/>
          <w:right w:val="nil"/>
          <w:insideH w:val="nil"/>
          <w:insideV w:val="nil"/>
        </w:tcBorders>
        <w:shd w:val="clear" w:color="auto" w:fill="FFFFFF" w:themeFill="background1"/>
      </w:tcPr>
    </w:tblStylePr>
    <w:tblStylePr w:type="lastRow">
      <w:tblPr/>
      <w:tcPr>
        <w:tcBorders>
          <w:top w:val="single" w:sz="8" w:space="0" w:color="EA8B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8B00" w:themeColor="accent5"/>
          <w:insideH w:val="nil"/>
          <w:insideV w:val="nil"/>
        </w:tcBorders>
        <w:shd w:val="clear" w:color="auto" w:fill="FFFFFF" w:themeFill="background1"/>
      </w:tcPr>
    </w:tblStylePr>
    <w:tblStylePr w:type="lastCol">
      <w:tblPr/>
      <w:tcPr>
        <w:tcBorders>
          <w:top w:val="nil"/>
          <w:left w:val="single" w:sz="8" w:space="0" w:color="EA8B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3BA" w:themeFill="accent5" w:themeFillTint="3F"/>
      </w:tcPr>
    </w:tblStylePr>
    <w:tblStylePr w:type="band1Horz">
      <w:tblPr/>
      <w:tcPr>
        <w:tcBorders>
          <w:top w:val="nil"/>
          <w:bottom w:val="nil"/>
          <w:insideH w:val="nil"/>
          <w:insideV w:val="nil"/>
        </w:tcBorders>
        <w:shd w:val="clear" w:color="auto" w:fill="FFE3B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249C7"/>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rPr>
        <w:sz w:val="24"/>
        <w:szCs w:val="24"/>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tblPr/>
      <w:tcPr>
        <w:tcBorders>
          <w:top w:val="single" w:sz="8" w:space="0" w:color="BFBFB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BF" w:themeColor="accent6"/>
          <w:insideH w:val="nil"/>
          <w:insideV w:val="nil"/>
        </w:tcBorders>
        <w:shd w:val="clear" w:color="auto" w:fill="FFFFFF" w:themeFill="background1"/>
      </w:tcPr>
    </w:tblStylePr>
    <w:tblStylePr w:type="lastCol">
      <w:tblPr/>
      <w:tcPr>
        <w:tcBorders>
          <w:top w:val="nil"/>
          <w:left w:val="single" w:sz="8" w:space="0" w:color="BFBFB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top w:val="nil"/>
          <w:bottom w:val="nil"/>
          <w:insideH w:val="nil"/>
          <w:insideV w:val="nil"/>
        </w:tcBorders>
        <w:shd w:val="clear" w:color="auto" w:fill="EFEF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249C7"/>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249C7"/>
    <w:pPr>
      <w:spacing w:before="0" w:line="240" w:lineRule="auto"/>
    </w:pPr>
    <w:tblPr>
      <w:tblStyleRowBandSize w:val="1"/>
      <w:tblStyleColBandSize w:val="1"/>
      <w:tblBorders>
        <w:top w:val="single" w:sz="8" w:space="0" w:color="B180BC" w:themeColor="accent1" w:themeTint="BF"/>
        <w:left w:val="single" w:sz="8" w:space="0" w:color="B180BC" w:themeColor="accent1" w:themeTint="BF"/>
        <w:bottom w:val="single" w:sz="8" w:space="0" w:color="B180BC" w:themeColor="accent1" w:themeTint="BF"/>
        <w:right w:val="single" w:sz="8" w:space="0" w:color="B180BC" w:themeColor="accent1" w:themeTint="BF"/>
        <w:insideH w:val="single" w:sz="8" w:space="0" w:color="B180BC" w:themeColor="accent1" w:themeTint="BF"/>
      </w:tblBorders>
    </w:tblPr>
    <w:tblStylePr w:type="firstRow">
      <w:pPr>
        <w:spacing w:before="0" w:after="0" w:line="240" w:lineRule="auto"/>
      </w:pPr>
      <w:rPr>
        <w:b/>
        <w:bCs/>
        <w:color w:val="FFFFFF" w:themeColor="background1"/>
      </w:rPr>
      <w:tblPr/>
      <w:tcPr>
        <w:tcBorders>
          <w:top w:val="single" w:sz="8" w:space="0" w:color="B180BC" w:themeColor="accent1" w:themeTint="BF"/>
          <w:left w:val="single" w:sz="8" w:space="0" w:color="B180BC" w:themeColor="accent1" w:themeTint="BF"/>
          <w:bottom w:val="single" w:sz="8" w:space="0" w:color="B180BC" w:themeColor="accent1" w:themeTint="BF"/>
          <w:right w:val="single" w:sz="8" w:space="0" w:color="B180BC" w:themeColor="accent1" w:themeTint="BF"/>
          <w:insideH w:val="nil"/>
          <w:insideV w:val="nil"/>
        </w:tcBorders>
        <w:shd w:val="clear" w:color="auto" w:fill="9757A6" w:themeFill="accent1"/>
      </w:tcPr>
    </w:tblStylePr>
    <w:tblStylePr w:type="lastRow">
      <w:pPr>
        <w:spacing w:before="0" w:after="0" w:line="240" w:lineRule="auto"/>
      </w:pPr>
      <w:rPr>
        <w:b/>
        <w:bCs/>
      </w:rPr>
      <w:tblPr/>
      <w:tcPr>
        <w:tcBorders>
          <w:top w:val="double" w:sz="6" w:space="0" w:color="B180BC" w:themeColor="accent1" w:themeTint="BF"/>
          <w:left w:val="single" w:sz="8" w:space="0" w:color="B180BC" w:themeColor="accent1" w:themeTint="BF"/>
          <w:bottom w:val="single" w:sz="8" w:space="0" w:color="B180BC" w:themeColor="accent1" w:themeTint="BF"/>
          <w:right w:val="single" w:sz="8" w:space="0" w:color="B180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D5E9" w:themeFill="accent1" w:themeFillTint="3F"/>
      </w:tcPr>
    </w:tblStylePr>
    <w:tblStylePr w:type="band1Horz">
      <w:tblPr/>
      <w:tcPr>
        <w:tcBorders>
          <w:insideH w:val="nil"/>
          <w:insideV w:val="nil"/>
        </w:tcBorders>
        <w:shd w:val="clear" w:color="auto" w:fill="E5D5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249C7"/>
    <w:pPr>
      <w:spacing w:before="0" w:line="240" w:lineRule="auto"/>
    </w:pPr>
    <w:tblPr>
      <w:tblStyleRowBandSize w:val="1"/>
      <w:tblStyleColBandSize w:val="1"/>
      <w:tblBorders>
        <w:top w:val="single" w:sz="8" w:space="0" w:color="FFC16C" w:themeColor="accent2" w:themeTint="BF"/>
        <w:left w:val="single" w:sz="8" w:space="0" w:color="FFC16C" w:themeColor="accent2" w:themeTint="BF"/>
        <w:bottom w:val="single" w:sz="8" w:space="0" w:color="FFC16C" w:themeColor="accent2" w:themeTint="BF"/>
        <w:right w:val="single" w:sz="8" w:space="0" w:color="FFC16C" w:themeColor="accent2" w:themeTint="BF"/>
        <w:insideH w:val="single" w:sz="8" w:space="0" w:color="FFC16C" w:themeColor="accent2" w:themeTint="BF"/>
      </w:tblBorders>
    </w:tblPr>
    <w:tblStylePr w:type="firstRow">
      <w:pPr>
        <w:spacing w:before="0" w:after="0" w:line="240" w:lineRule="auto"/>
      </w:pPr>
      <w:rPr>
        <w:b/>
        <w:bCs/>
        <w:color w:val="FFFFFF" w:themeColor="background1"/>
      </w:rPr>
      <w:tblPr/>
      <w:tcPr>
        <w:tcBorders>
          <w:top w:val="single" w:sz="8" w:space="0" w:color="FFC16C" w:themeColor="accent2" w:themeTint="BF"/>
          <w:left w:val="single" w:sz="8" w:space="0" w:color="FFC16C" w:themeColor="accent2" w:themeTint="BF"/>
          <w:bottom w:val="single" w:sz="8" w:space="0" w:color="FFC16C" w:themeColor="accent2" w:themeTint="BF"/>
          <w:right w:val="single" w:sz="8" w:space="0" w:color="FFC16C" w:themeColor="accent2" w:themeTint="BF"/>
          <w:insideH w:val="nil"/>
          <w:insideV w:val="nil"/>
        </w:tcBorders>
        <w:shd w:val="clear" w:color="auto" w:fill="FFAE3B" w:themeFill="accent2"/>
      </w:tcPr>
    </w:tblStylePr>
    <w:tblStylePr w:type="lastRow">
      <w:pPr>
        <w:spacing w:before="0" w:after="0" w:line="240" w:lineRule="auto"/>
      </w:pPr>
      <w:rPr>
        <w:b/>
        <w:bCs/>
      </w:rPr>
      <w:tblPr/>
      <w:tcPr>
        <w:tcBorders>
          <w:top w:val="double" w:sz="6" w:space="0" w:color="FFC16C" w:themeColor="accent2" w:themeTint="BF"/>
          <w:left w:val="single" w:sz="8" w:space="0" w:color="FFC16C" w:themeColor="accent2" w:themeTint="BF"/>
          <w:bottom w:val="single" w:sz="8" w:space="0" w:color="FFC16C" w:themeColor="accent2" w:themeTint="BF"/>
          <w:right w:val="single" w:sz="8" w:space="0" w:color="FFC16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ACE" w:themeFill="accent2" w:themeFillTint="3F"/>
      </w:tcPr>
    </w:tblStylePr>
    <w:tblStylePr w:type="band1Horz">
      <w:tblPr/>
      <w:tcPr>
        <w:tcBorders>
          <w:insideH w:val="nil"/>
          <w:insideV w:val="nil"/>
        </w:tcBorders>
        <w:shd w:val="clear" w:color="auto" w:fill="FFEA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249C7"/>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249C7"/>
    <w:pPr>
      <w:spacing w:before="0" w:line="240" w:lineRule="auto"/>
    </w:pPr>
    <w:tblPr>
      <w:tblStyleRowBandSize w:val="1"/>
      <w:tblStyleColBandSize w:val="1"/>
      <w:tblBorders>
        <w:top w:val="single" w:sz="8" w:space="0" w:color="C8A6D0" w:themeColor="accent4" w:themeTint="BF"/>
        <w:left w:val="single" w:sz="8" w:space="0" w:color="C8A6D0" w:themeColor="accent4" w:themeTint="BF"/>
        <w:bottom w:val="single" w:sz="8" w:space="0" w:color="C8A6D0" w:themeColor="accent4" w:themeTint="BF"/>
        <w:right w:val="single" w:sz="8" w:space="0" w:color="C8A6D0" w:themeColor="accent4" w:themeTint="BF"/>
        <w:insideH w:val="single" w:sz="8" w:space="0" w:color="C8A6D0" w:themeColor="accent4" w:themeTint="BF"/>
      </w:tblBorders>
    </w:tblPr>
    <w:tblStylePr w:type="firstRow">
      <w:pPr>
        <w:spacing w:before="0" w:after="0" w:line="240" w:lineRule="auto"/>
      </w:pPr>
      <w:rPr>
        <w:b/>
        <w:bCs/>
        <w:color w:val="FFFFFF" w:themeColor="background1"/>
      </w:rPr>
      <w:tblPr/>
      <w:tcPr>
        <w:tcBorders>
          <w:top w:val="single" w:sz="8" w:space="0" w:color="C8A6D0" w:themeColor="accent4" w:themeTint="BF"/>
          <w:left w:val="single" w:sz="8" w:space="0" w:color="C8A6D0" w:themeColor="accent4" w:themeTint="BF"/>
          <w:bottom w:val="single" w:sz="8" w:space="0" w:color="C8A6D0" w:themeColor="accent4" w:themeTint="BF"/>
          <w:right w:val="single" w:sz="8" w:space="0" w:color="C8A6D0" w:themeColor="accent4" w:themeTint="BF"/>
          <w:insideH w:val="nil"/>
          <w:insideV w:val="nil"/>
        </w:tcBorders>
        <w:shd w:val="clear" w:color="auto" w:fill="B689C1" w:themeFill="accent4"/>
      </w:tcPr>
    </w:tblStylePr>
    <w:tblStylePr w:type="lastRow">
      <w:pPr>
        <w:spacing w:before="0" w:after="0" w:line="240" w:lineRule="auto"/>
      </w:pPr>
      <w:rPr>
        <w:b/>
        <w:bCs/>
      </w:rPr>
      <w:tblPr/>
      <w:tcPr>
        <w:tcBorders>
          <w:top w:val="double" w:sz="6" w:space="0" w:color="C8A6D0" w:themeColor="accent4" w:themeTint="BF"/>
          <w:left w:val="single" w:sz="8" w:space="0" w:color="C8A6D0" w:themeColor="accent4" w:themeTint="BF"/>
          <w:bottom w:val="single" w:sz="8" w:space="0" w:color="C8A6D0" w:themeColor="accent4" w:themeTint="BF"/>
          <w:right w:val="single" w:sz="8" w:space="0" w:color="C8A6D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1EF" w:themeFill="accent4" w:themeFillTint="3F"/>
      </w:tcPr>
    </w:tblStylePr>
    <w:tblStylePr w:type="band1Horz">
      <w:tblPr/>
      <w:tcPr>
        <w:tcBorders>
          <w:insideH w:val="nil"/>
          <w:insideV w:val="nil"/>
        </w:tcBorders>
        <w:shd w:val="clear" w:color="auto" w:fill="ECE1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49C7"/>
    <w:pPr>
      <w:spacing w:before="0" w:line="240" w:lineRule="auto"/>
    </w:pPr>
    <w:tblPr>
      <w:tblStyleRowBandSize w:val="1"/>
      <w:tblStyleColBandSize w:val="1"/>
      <w:tblBorders>
        <w:top w:val="single" w:sz="8" w:space="0" w:color="FFAA30" w:themeColor="accent5" w:themeTint="BF"/>
        <w:left w:val="single" w:sz="8" w:space="0" w:color="FFAA30" w:themeColor="accent5" w:themeTint="BF"/>
        <w:bottom w:val="single" w:sz="8" w:space="0" w:color="FFAA30" w:themeColor="accent5" w:themeTint="BF"/>
        <w:right w:val="single" w:sz="8" w:space="0" w:color="FFAA30" w:themeColor="accent5" w:themeTint="BF"/>
        <w:insideH w:val="single" w:sz="8" w:space="0" w:color="FFAA30" w:themeColor="accent5" w:themeTint="BF"/>
      </w:tblBorders>
    </w:tblPr>
    <w:tblStylePr w:type="firstRow">
      <w:pPr>
        <w:spacing w:before="0" w:after="0" w:line="240" w:lineRule="auto"/>
      </w:pPr>
      <w:rPr>
        <w:b/>
        <w:bCs/>
        <w:color w:val="FFFFFF" w:themeColor="background1"/>
      </w:rPr>
      <w:tblPr/>
      <w:tcPr>
        <w:tcBorders>
          <w:top w:val="single" w:sz="8" w:space="0" w:color="FFAA30" w:themeColor="accent5" w:themeTint="BF"/>
          <w:left w:val="single" w:sz="8" w:space="0" w:color="FFAA30" w:themeColor="accent5" w:themeTint="BF"/>
          <w:bottom w:val="single" w:sz="8" w:space="0" w:color="FFAA30" w:themeColor="accent5" w:themeTint="BF"/>
          <w:right w:val="single" w:sz="8" w:space="0" w:color="FFAA30" w:themeColor="accent5" w:themeTint="BF"/>
          <w:insideH w:val="nil"/>
          <w:insideV w:val="nil"/>
        </w:tcBorders>
        <w:shd w:val="clear" w:color="auto" w:fill="EA8B00" w:themeFill="accent5"/>
      </w:tcPr>
    </w:tblStylePr>
    <w:tblStylePr w:type="lastRow">
      <w:pPr>
        <w:spacing w:before="0" w:after="0" w:line="240" w:lineRule="auto"/>
      </w:pPr>
      <w:rPr>
        <w:b/>
        <w:bCs/>
      </w:rPr>
      <w:tblPr/>
      <w:tcPr>
        <w:tcBorders>
          <w:top w:val="double" w:sz="6" w:space="0" w:color="FFAA30" w:themeColor="accent5" w:themeTint="BF"/>
          <w:left w:val="single" w:sz="8" w:space="0" w:color="FFAA30" w:themeColor="accent5" w:themeTint="BF"/>
          <w:bottom w:val="single" w:sz="8" w:space="0" w:color="FFAA30" w:themeColor="accent5" w:themeTint="BF"/>
          <w:right w:val="single" w:sz="8" w:space="0" w:color="FFAA3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3BA" w:themeFill="accent5" w:themeFillTint="3F"/>
      </w:tcPr>
    </w:tblStylePr>
    <w:tblStylePr w:type="band1Horz">
      <w:tblPr/>
      <w:tcPr>
        <w:tcBorders>
          <w:insideH w:val="nil"/>
          <w:insideV w:val="nil"/>
        </w:tcBorders>
        <w:shd w:val="clear" w:color="auto" w:fill="FFE3B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249C7"/>
    <w:pPr>
      <w:spacing w:before="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tblBorders>
    </w:tblPr>
    <w:tblStylePr w:type="firstRow">
      <w:pPr>
        <w:spacing w:before="0" w:after="0" w:line="240" w:lineRule="auto"/>
      </w:pPr>
      <w:rPr>
        <w:b/>
        <w:bCs/>
        <w:color w:val="FFFFFF" w:themeColor="background1"/>
      </w:rPr>
      <w:tblPr/>
      <w:tcPr>
        <w:tc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shd w:val="clear" w:color="auto" w:fill="BFBFBF" w:themeFill="accent6"/>
      </w:tcPr>
    </w:tblStylePr>
    <w:tblStylePr w:type="lastRow">
      <w:pPr>
        <w:spacing w:before="0" w:after="0" w:line="240" w:lineRule="auto"/>
      </w:pPr>
      <w:rPr>
        <w:b/>
        <w:bCs/>
      </w:rPr>
      <w:tblPr/>
      <w:tcPr>
        <w:tcBorders>
          <w:top w:val="double" w:sz="6"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6" w:themeFillTint="3F"/>
      </w:tcPr>
    </w:tblStylePr>
    <w:tblStylePr w:type="band1Horz">
      <w:tblPr/>
      <w:tcPr>
        <w:tcBorders>
          <w:insideH w:val="nil"/>
          <w:insideV w:val="nil"/>
        </w:tcBorders>
        <w:shd w:val="clear" w:color="auto" w:fill="EFEFE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249C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249C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57A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57A6" w:themeFill="accent1"/>
      </w:tcPr>
    </w:tblStylePr>
    <w:tblStylePr w:type="lastCol">
      <w:rPr>
        <w:b/>
        <w:bCs/>
        <w:color w:val="FFFFFF" w:themeColor="background1"/>
      </w:rPr>
      <w:tblPr/>
      <w:tcPr>
        <w:tcBorders>
          <w:left w:val="nil"/>
          <w:right w:val="nil"/>
          <w:insideH w:val="nil"/>
          <w:insideV w:val="nil"/>
        </w:tcBorders>
        <w:shd w:val="clear" w:color="auto" w:fill="9757A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249C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AE3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AE3B" w:themeFill="accent2"/>
      </w:tcPr>
    </w:tblStylePr>
    <w:tblStylePr w:type="lastCol">
      <w:rPr>
        <w:b/>
        <w:bCs/>
        <w:color w:val="FFFFFF" w:themeColor="background1"/>
      </w:rPr>
      <w:tblPr/>
      <w:tcPr>
        <w:tcBorders>
          <w:left w:val="nil"/>
          <w:right w:val="nil"/>
          <w:insideH w:val="nil"/>
          <w:insideV w:val="nil"/>
        </w:tcBorders>
        <w:shd w:val="clear" w:color="auto" w:fill="FFAE3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249C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249C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89C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89C1" w:themeFill="accent4"/>
      </w:tcPr>
    </w:tblStylePr>
    <w:tblStylePr w:type="lastCol">
      <w:rPr>
        <w:b/>
        <w:bCs/>
        <w:color w:val="FFFFFF" w:themeColor="background1"/>
      </w:rPr>
      <w:tblPr/>
      <w:tcPr>
        <w:tcBorders>
          <w:left w:val="nil"/>
          <w:right w:val="nil"/>
          <w:insideH w:val="nil"/>
          <w:insideV w:val="nil"/>
        </w:tcBorders>
        <w:shd w:val="clear" w:color="auto" w:fill="B689C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249C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8B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8B00" w:themeFill="accent5"/>
      </w:tcPr>
    </w:tblStylePr>
    <w:tblStylePr w:type="lastCol">
      <w:rPr>
        <w:b/>
        <w:bCs/>
        <w:color w:val="FFFFFF" w:themeColor="background1"/>
      </w:rPr>
      <w:tblPr/>
      <w:tcPr>
        <w:tcBorders>
          <w:left w:val="nil"/>
          <w:right w:val="nil"/>
          <w:insideH w:val="nil"/>
          <w:insideV w:val="nil"/>
        </w:tcBorders>
        <w:shd w:val="clear" w:color="auto" w:fill="EA8B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249C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B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BF" w:themeFill="accent6"/>
      </w:tcPr>
    </w:tblStylePr>
    <w:tblStylePr w:type="lastCol">
      <w:rPr>
        <w:b/>
        <w:bCs/>
        <w:color w:val="FFFFFF" w:themeColor="background1"/>
      </w:rPr>
      <w:tblPr/>
      <w:tcPr>
        <w:tcBorders>
          <w:left w:val="nil"/>
          <w:right w:val="nil"/>
          <w:insideH w:val="nil"/>
          <w:insideV w:val="nil"/>
        </w:tcBorders>
        <w:shd w:val="clear" w:color="auto" w:fill="BFBFB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semiHidden/>
    <w:rsid w:val="00C249C7"/>
    <w:pPr>
      <w:spacing w:before="0" w:line="240" w:lineRule="auto"/>
    </w:pPr>
    <w:rPr>
      <w:lang w:eastAsia="en-US"/>
    </w:rPr>
  </w:style>
  <w:style w:type="paragraph" w:styleId="NoteHeading">
    <w:name w:val="Note Heading"/>
    <w:basedOn w:val="Normal"/>
    <w:next w:val="Normal"/>
    <w:link w:val="NoteHeadingChar"/>
    <w:uiPriority w:val="99"/>
    <w:semiHidden/>
    <w:unhideWhenUsed/>
    <w:rsid w:val="00C249C7"/>
    <w:pPr>
      <w:spacing w:before="0" w:line="240" w:lineRule="auto"/>
    </w:pPr>
    <w:rPr>
      <w:rFonts w:ascii="Garamond" w:hAnsi="Garamond"/>
    </w:rPr>
  </w:style>
  <w:style w:type="character" w:customStyle="1" w:styleId="NoteHeadingChar">
    <w:name w:val="Note Heading Char"/>
    <w:basedOn w:val="DefaultParagraphFont"/>
    <w:link w:val="NoteHeading"/>
    <w:uiPriority w:val="99"/>
    <w:semiHidden/>
    <w:rsid w:val="00C249C7"/>
    <w:rPr>
      <w:lang w:eastAsia="en-US"/>
    </w:rPr>
  </w:style>
  <w:style w:type="paragraph" w:styleId="Subtitle0">
    <w:name w:val="Subtitle"/>
    <w:basedOn w:val="Normal"/>
    <w:next w:val="Normal"/>
    <w:link w:val="SubtitleChar"/>
    <w:rsid w:val="00180AC7"/>
    <w:pPr>
      <w:numPr>
        <w:ilvl w:val="1"/>
      </w:numPr>
      <w:spacing w:before="0" w:after="0" w:line="220" w:lineRule="exact"/>
    </w:pPr>
    <w:rPr>
      <w:rFonts w:asciiTheme="majorHAnsi" w:eastAsiaTheme="majorEastAsia" w:hAnsiTheme="majorHAnsi" w:cstheme="majorBidi"/>
      <w:b/>
      <w:iCs/>
      <w:caps/>
      <w:spacing w:val="15"/>
      <w:sz w:val="24"/>
      <w:szCs w:val="24"/>
      <w:lang w:eastAsia="en-US"/>
    </w:rPr>
  </w:style>
  <w:style w:type="character" w:customStyle="1" w:styleId="SubtitleChar">
    <w:name w:val="Subtitle Char"/>
    <w:basedOn w:val="DefaultParagraphFont"/>
    <w:link w:val="Subtitle0"/>
    <w:rsid w:val="00180AC7"/>
    <w:rPr>
      <w:rFonts w:asciiTheme="majorHAnsi" w:eastAsiaTheme="majorEastAsia" w:hAnsiTheme="majorHAnsi" w:cstheme="majorBidi"/>
      <w:b/>
      <w:iCs/>
      <w:caps/>
      <w:spacing w:val="15"/>
      <w:sz w:val="24"/>
      <w:szCs w:val="24"/>
      <w:lang w:eastAsia="en-US"/>
    </w:rPr>
  </w:style>
  <w:style w:type="character" w:styleId="SubtleEmphasis">
    <w:name w:val="Subtle Emphasis"/>
    <w:basedOn w:val="DefaultParagraphFont"/>
    <w:uiPriority w:val="19"/>
    <w:semiHidden/>
    <w:rsid w:val="00C249C7"/>
    <w:rPr>
      <w:i/>
      <w:iCs/>
      <w:color w:val="808080" w:themeColor="text1" w:themeTint="7F"/>
    </w:rPr>
  </w:style>
  <w:style w:type="character" w:styleId="SubtleReference">
    <w:name w:val="Subtle Reference"/>
    <w:basedOn w:val="DefaultParagraphFont"/>
    <w:uiPriority w:val="31"/>
    <w:semiHidden/>
    <w:rsid w:val="00C249C7"/>
    <w:rPr>
      <w:smallCaps/>
      <w:color w:val="FFAE3B" w:themeColor="accent2"/>
      <w:u w:val="single"/>
    </w:rPr>
  </w:style>
  <w:style w:type="table" w:styleId="Table3Deffects3">
    <w:name w:val="Table 3D effects 3"/>
    <w:basedOn w:val="TableNormal"/>
    <w:uiPriority w:val="99"/>
    <w:semiHidden/>
    <w:unhideWhenUsed/>
    <w:rsid w:val="00C249C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249C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249C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249C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C249C7"/>
    <w:pPr>
      <w:keepLines/>
      <w:pageBreakBefore w:val="0"/>
      <w:numPr>
        <w:numId w:val="0"/>
      </w:numPr>
      <w:spacing w:before="480" w:after="0" w:line="300" w:lineRule="exact"/>
      <w:outlineLvl w:val="9"/>
    </w:pPr>
    <w:rPr>
      <w:rFonts w:eastAsiaTheme="majorEastAsia" w:cstheme="majorBidi"/>
      <w:bCs/>
      <w:color w:val="70417C" w:themeColor="accent1" w:themeShade="BF"/>
      <w:kern w:val="0"/>
      <w:sz w:val="28"/>
      <w:szCs w:val="28"/>
      <w:lang w:eastAsia="en-US"/>
    </w:rPr>
  </w:style>
  <w:style w:type="paragraph" w:customStyle="1" w:styleId="BoxListBullet3">
    <w:name w:val="Box List Bullet 3"/>
    <w:basedOn w:val="BoxListBullet2"/>
    <w:uiPriority w:val="4"/>
    <w:rsid w:val="00C249C7"/>
    <w:pPr>
      <w:numPr>
        <w:ilvl w:val="2"/>
      </w:numPr>
    </w:pPr>
  </w:style>
  <w:style w:type="paragraph" w:customStyle="1" w:styleId="Tablelistbullet3">
    <w:name w:val="Table list bullet 3"/>
    <w:basedOn w:val="Tablebody"/>
    <w:uiPriority w:val="3"/>
    <w:rsid w:val="009A67B0"/>
    <w:pPr>
      <w:numPr>
        <w:ilvl w:val="2"/>
        <w:numId w:val="28"/>
      </w:numPr>
    </w:pPr>
  </w:style>
  <w:style w:type="paragraph" w:customStyle="1" w:styleId="SmallDeltasRightAligned">
    <w:name w:val="SmallDeltasRightAligned"/>
    <w:basedOn w:val="Normal"/>
    <w:rsid w:val="00C249C7"/>
    <w:pPr>
      <w:spacing w:before="0" w:after="0" w:line="240" w:lineRule="auto"/>
      <w:jc w:val="right"/>
    </w:pPr>
  </w:style>
  <w:style w:type="paragraph" w:customStyle="1" w:styleId="SmallDeltasLeftAligned">
    <w:name w:val="SmallDeltasLeftAligned"/>
    <w:basedOn w:val="BodyText"/>
    <w:semiHidden/>
    <w:rsid w:val="00C249C7"/>
  </w:style>
  <w:style w:type="paragraph" w:customStyle="1" w:styleId="LandscapeHeader">
    <w:name w:val="LandscapeHeader"/>
    <w:basedOn w:val="Header"/>
    <w:rsid w:val="00C249C7"/>
    <w:pPr>
      <w:pBdr>
        <w:top w:val="single" w:sz="6" w:space="2" w:color="A6A6A6" w:themeColor="background1" w:themeShade="A6"/>
      </w:pBdr>
      <w:tabs>
        <w:tab w:val="left" w:pos="567"/>
      </w:tabs>
      <w:jc w:val="right"/>
    </w:pPr>
    <w:rPr>
      <w:rFonts w:ascii="Novecento Book" w:hAnsi="Novecento Book"/>
      <w:b/>
      <w:spacing w:val="22"/>
      <w:sz w:val="14"/>
      <w:szCs w:val="14"/>
    </w:rPr>
  </w:style>
  <w:style w:type="paragraph" w:customStyle="1" w:styleId="PortraitHeader">
    <w:name w:val="PortraitHeader"/>
    <w:basedOn w:val="Normal"/>
    <w:semiHidden/>
    <w:rsid w:val="00C249C7"/>
    <w:pPr>
      <w:pBdr>
        <w:top w:val="single" w:sz="6" w:space="2" w:color="A6A6A6" w:themeColor="background1" w:themeShade="A6"/>
      </w:pBdr>
      <w:tabs>
        <w:tab w:val="left" w:pos="567"/>
      </w:tabs>
      <w:spacing w:before="0" w:after="0" w:line="240" w:lineRule="auto"/>
      <w:ind w:left="-2268"/>
      <w:jc w:val="right"/>
    </w:pPr>
    <w:rPr>
      <w:rFonts w:ascii="Novecento Book" w:hAnsi="Novecento Book"/>
      <w:b/>
      <w:spacing w:val="22"/>
      <w:sz w:val="14"/>
      <w:szCs w:val="14"/>
    </w:rPr>
  </w:style>
  <w:style w:type="paragraph" w:customStyle="1" w:styleId="PortraitFooter">
    <w:name w:val="PortraitFooter"/>
    <w:basedOn w:val="Normal"/>
    <w:rsid w:val="00C249C7"/>
    <w:pPr>
      <w:spacing w:before="0" w:after="0" w:line="240" w:lineRule="auto"/>
      <w:jc w:val="right"/>
    </w:pPr>
    <w:rPr>
      <w:rFonts w:asciiTheme="majorHAnsi" w:eastAsia="Calibri" w:hAnsiTheme="majorHAnsi"/>
      <w:caps/>
      <w:sz w:val="14"/>
      <w:szCs w:val="14"/>
    </w:rPr>
  </w:style>
  <w:style w:type="paragraph" w:customStyle="1" w:styleId="LandscapeFooter">
    <w:name w:val="LandscapeFooter"/>
    <w:basedOn w:val="PortraitFooter"/>
    <w:rsid w:val="00C249C7"/>
    <w:rPr>
      <w:b/>
    </w:rPr>
  </w:style>
  <w:style w:type="paragraph" w:customStyle="1" w:styleId="AACHeader">
    <w:name w:val="AACHeader"/>
    <w:basedOn w:val="Header"/>
    <w:rsid w:val="00EA4292"/>
    <w:pPr>
      <w:pBdr>
        <w:top w:val="single" w:sz="6" w:space="2" w:color="A6A6A6" w:themeColor="background1" w:themeShade="A6"/>
      </w:pBdr>
      <w:ind w:left="-2552"/>
      <w:jc w:val="right"/>
    </w:pPr>
    <w:rPr>
      <w:rFonts w:asciiTheme="majorHAnsi" w:hAnsiTheme="majorHAnsi" w:cstheme="majorHAnsi"/>
      <w:b/>
      <w:caps/>
      <w:spacing w:val="22"/>
      <w:sz w:val="14"/>
      <w:szCs w:val="14"/>
    </w:rPr>
  </w:style>
  <w:style w:type="paragraph" w:customStyle="1" w:styleId="AACFooter">
    <w:name w:val="AACFooter"/>
    <w:basedOn w:val="Footer"/>
    <w:semiHidden/>
    <w:rsid w:val="00C249C7"/>
    <w:pPr>
      <w:jc w:val="right"/>
    </w:pPr>
    <w:rPr>
      <w:rFonts w:ascii="Novecento Book" w:eastAsia="Calibri" w:hAnsi="Novecento Book"/>
      <w:szCs w:val="14"/>
    </w:rPr>
  </w:style>
  <w:style w:type="paragraph" w:customStyle="1" w:styleId="Tabletext">
    <w:name w:val="Table text"/>
    <w:uiPriority w:val="3"/>
    <w:rsid w:val="009949E9"/>
    <w:pPr>
      <w:keepNext/>
      <w:keepLines/>
      <w:spacing w:before="40" w:after="40" w:line="240" w:lineRule="auto"/>
    </w:pPr>
    <w:rPr>
      <w:rFonts w:ascii="Arial" w:hAnsi="Arial"/>
      <w:color w:val="000000"/>
      <w:sz w:val="16"/>
      <w:lang w:eastAsia="en-US"/>
    </w:rPr>
  </w:style>
  <w:style w:type="paragraph" w:customStyle="1" w:styleId="SpaceAboveAppendixTOC">
    <w:name w:val="SpaceAboveAppendixTOC"/>
    <w:basedOn w:val="BodyText"/>
    <w:uiPriority w:val="8"/>
    <w:semiHidden/>
    <w:rsid w:val="00C249C7"/>
    <w:pPr>
      <w:pBdr>
        <w:top w:val="single" w:sz="4" w:space="1" w:color="A6A6A6" w:themeColor="background1" w:themeShade="A6"/>
      </w:pBdr>
    </w:pPr>
  </w:style>
  <w:style w:type="paragraph" w:customStyle="1" w:styleId="SpaceAboveInTOC">
    <w:name w:val="SpaceAboveInTOC"/>
    <w:basedOn w:val="BodyText"/>
    <w:rsid w:val="00C249C7"/>
    <w:pPr>
      <w:pBdr>
        <w:top w:val="single" w:sz="4" w:space="1" w:color="A6A6A6" w:themeColor="background1" w:themeShade="A6"/>
      </w:pBdr>
      <w:spacing w:before="0" w:after="0" w:line="240" w:lineRule="auto"/>
    </w:pPr>
  </w:style>
  <w:style w:type="paragraph" w:customStyle="1" w:styleId="ContactPageDeltas">
    <w:name w:val="ContactPageDeltas"/>
    <w:basedOn w:val="Normal"/>
    <w:rsid w:val="00C249C7"/>
    <w:pPr>
      <w:spacing w:before="0" w:after="0" w:line="240" w:lineRule="auto"/>
    </w:pPr>
  </w:style>
  <w:style w:type="paragraph" w:customStyle="1" w:styleId="ReportTo">
    <w:name w:val="ReportTo"/>
    <w:basedOn w:val="Normal"/>
    <w:rsid w:val="00C249C7"/>
    <w:pPr>
      <w:spacing w:before="0" w:after="0" w:line="240" w:lineRule="auto"/>
    </w:pPr>
    <w:rPr>
      <w:rFonts w:asciiTheme="majorHAnsi" w:hAnsiTheme="majorHAnsi"/>
      <w:caps/>
      <w:sz w:val="24"/>
      <w:szCs w:val="24"/>
      <w:lang w:eastAsia="en-US"/>
    </w:rPr>
  </w:style>
  <w:style w:type="paragraph" w:customStyle="1" w:styleId="CoverPageDeltas">
    <w:name w:val="CoverPageDeltas"/>
    <w:basedOn w:val="Normal"/>
    <w:rsid w:val="00C249C7"/>
    <w:pPr>
      <w:spacing w:before="0" w:after="0" w:line="240" w:lineRule="auto"/>
      <w:jc w:val="right"/>
    </w:pPr>
  </w:style>
  <w:style w:type="paragraph" w:customStyle="1" w:styleId="PreparedFor0">
    <w:name w:val="Prepared For"/>
    <w:basedOn w:val="Normal"/>
    <w:rsid w:val="00C249C7"/>
    <w:pPr>
      <w:spacing w:before="0" w:after="0" w:line="240" w:lineRule="auto"/>
    </w:pPr>
    <w:rPr>
      <w:rFonts w:asciiTheme="majorHAnsi" w:eastAsiaTheme="minorHAnsi" w:hAnsiTheme="majorHAnsi"/>
      <w:b/>
      <w:caps/>
      <w:sz w:val="24"/>
      <w:szCs w:val="20"/>
      <w:lang w:eastAsia="en-US"/>
    </w:rPr>
  </w:style>
  <w:style w:type="character" w:customStyle="1" w:styleId="StyleTextBrandingNotBoldCustomColorRGB25517459Expan">
    <w:name w:val="Style TextBranding + Not Bold Custom Color(RGB(25517459)) Expan..."/>
    <w:basedOn w:val="DefaultParagraphFont"/>
    <w:uiPriority w:val="7"/>
    <w:rsid w:val="00C249C7"/>
    <w:rPr>
      <w:color w:val="FFAE3B"/>
      <w:spacing w:val="120"/>
    </w:rPr>
  </w:style>
  <w:style w:type="paragraph" w:customStyle="1" w:styleId="TextBranding">
    <w:name w:val="TextBranding"/>
    <w:basedOn w:val="Normal"/>
    <w:rsid w:val="00C249C7"/>
    <w:pPr>
      <w:spacing w:before="0" w:after="0" w:line="240" w:lineRule="auto"/>
    </w:pPr>
    <w:rPr>
      <w:rFonts w:ascii="Novecento Book" w:eastAsiaTheme="minorHAnsi" w:hAnsi="Novecento Book"/>
      <w:b/>
      <w:caps/>
      <w:color w:val="9757A6"/>
      <w:spacing w:val="60"/>
      <w:sz w:val="27"/>
    </w:rPr>
  </w:style>
  <w:style w:type="paragraph" w:customStyle="1" w:styleId="TextBrandingPurple">
    <w:name w:val="TextBrandingPurple"/>
    <w:basedOn w:val="Normal"/>
    <w:rsid w:val="00C249C7"/>
    <w:pPr>
      <w:spacing w:before="0" w:after="0" w:line="240" w:lineRule="auto"/>
    </w:pPr>
    <w:rPr>
      <w:rFonts w:asciiTheme="majorHAnsi" w:eastAsiaTheme="minorHAnsi" w:hAnsiTheme="majorHAnsi"/>
      <w:b/>
      <w:caps/>
      <w:color w:val="9757A6"/>
      <w:spacing w:val="120"/>
      <w:sz w:val="25"/>
    </w:rPr>
  </w:style>
  <w:style w:type="paragraph" w:customStyle="1" w:styleId="TextBrandingYellow">
    <w:name w:val="TextBrandingYellow"/>
    <w:basedOn w:val="TextBrandingPurple"/>
    <w:uiPriority w:val="7"/>
    <w:rsid w:val="00C249C7"/>
    <w:rPr>
      <w:b w:val="0"/>
      <w:caps w:val="0"/>
      <w:color w:val="FFAE3B"/>
    </w:rPr>
  </w:style>
  <w:style w:type="paragraph" w:customStyle="1" w:styleId="TitleShort">
    <w:name w:val="Title Short"/>
    <w:basedOn w:val="Normal"/>
    <w:qFormat/>
    <w:rsid w:val="00C249C7"/>
    <w:pPr>
      <w:spacing w:after="0" w:line="780" w:lineRule="exact"/>
    </w:pPr>
    <w:rPr>
      <w:rFonts w:ascii="Georgia" w:eastAsiaTheme="minorHAnsi" w:hAnsi="Georgia"/>
      <w:b/>
      <w:caps/>
      <w:color w:val="9D57A6"/>
      <w:sz w:val="72"/>
      <w:szCs w:val="20"/>
    </w:rPr>
  </w:style>
  <w:style w:type="paragraph" w:customStyle="1" w:styleId="Image">
    <w:name w:val="Image"/>
    <w:basedOn w:val="Normal"/>
    <w:rsid w:val="00C249C7"/>
    <w:pPr>
      <w:spacing w:before="0" w:after="0" w:line="240" w:lineRule="auto"/>
      <w:jc w:val="right"/>
    </w:pPr>
    <w:rPr>
      <w:rFonts w:eastAsiaTheme="minorHAnsi"/>
      <w:noProof/>
      <w:szCs w:val="20"/>
      <w:lang w:eastAsia="en-AU"/>
    </w:rPr>
  </w:style>
  <w:style w:type="paragraph" w:customStyle="1" w:styleId="SpaceAbove">
    <w:name w:val="SpaceAbove"/>
    <w:basedOn w:val="Normal"/>
    <w:rsid w:val="009949E9"/>
    <w:pPr>
      <w:spacing w:before="0" w:after="0" w:line="240" w:lineRule="auto"/>
    </w:pPr>
    <w:rPr>
      <w:rFonts w:asciiTheme="majorHAnsi" w:eastAsiaTheme="minorHAnsi" w:hAnsiTheme="majorHAnsi"/>
      <w:sz w:val="12"/>
      <w:szCs w:val="20"/>
    </w:rPr>
  </w:style>
  <w:style w:type="paragraph" w:customStyle="1" w:styleId="Disclaimer">
    <w:name w:val="Disclaimer"/>
    <w:basedOn w:val="Normal"/>
    <w:rsid w:val="00FD14ED"/>
    <w:pPr>
      <w:spacing w:before="0" w:after="40" w:line="240" w:lineRule="auto"/>
    </w:pPr>
    <w:rPr>
      <w:rFonts w:asciiTheme="majorHAnsi" w:eastAsiaTheme="minorHAnsi" w:hAnsiTheme="majorHAnsi"/>
      <w:caps/>
      <w:sz w:val="14"/>
      <w:szCs w:val="16"/>
    </w:rPr>
  </w:style>
  <w:style w:type="table" w:customStyle="1" w:styleId="TableGrid10">
    <w:name w:val="Table Grid1"/>
    <w:basedOn w:val="TableNormal"/>
    <w:next w:val="TableGrid"/>
    <w:uiPriority w:val="59"/>
    <w:rsid w:val="00C249C7"/>
    <w:pPr>
      <w:spacing w:before="0" w:line="240" w:lineRule="auto"/>
    </w:pPr>
    <w:rPr>
      <w:rFonts w:ascii="HelveticaNeueLT Std Lt Cn" w:eastAsiaTheme="minorHAnsi" w:hAnsi="HelveticaNeueLT Std Lt C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ILAllenTable">
    <w:name w:val="ACIL Allen Table"/>
    <w:basedOn w:val="TableNormal"/>
    <w:uiPriority w:val="99"/>
    <w:rsid w:val="00C249C7"/>
    <w:pPr>
      <w:spacing w:before="40" w:after="40" w:line="240" w:lineRule="auto"/>
    </w:pPr>
    <w:rPr>
      <w:rFonts w:asciiTheme="minorHAnsi" w:hAnsiTheme="minorHAnsi"/>
      <w:sz w:val="16"/>
    </w:rPr>
    <w:tblPr>
      <w:tblBorders>
        <w:bottom w:val="single" w:sz="6" w:space="0" w:color="BFBFBF" w:themeColor="background1" w:themeShade="BF"/>
        <w:insideH w:val="single" w:sz="6" w:space="0" w:color="BFBFBF" w:themeColor="background1" w:themeShade="BF"/>
      </w:tblBorders>
    </w:tblPr>
    <w:tblStylePr w:type="firstRow">
      <w:rPr>
        <w:rFonts w:asciiTheme="minorHAnsi" w:hAnsiTheme="minorHAnsi"/>
        <w:color w:val="FFFFFF" w:themeColor="background1"/>
        <w:sz w:val="16"/>
      </w:rPr>
      <w:tblPr/>
      <w:tcPr>
        <w:shd w:val="clear" w:color="auto" w:fill="9757A6"/>
      </w:tcPr>
    </w:tblStylePr>
    <w:tblStylePr w:type="lastRow">
      <w:tblPr/>
      <w:tcPr>
        <w:tcBorders>
          <w:bottom w:val="single" w:sz="6" w:space="0" w:color="C0C0C0"/>
        </w:tcBorders>
      </w:tcPr>
    </w:tblStylePr>
  </w:style>
  <w:style w:type="numbering" w:customStyle="1" w:styleId="ACILAllenBoxBulletedList">
    <w:name w:val="ACIL Allen Box Bulleted List"/>
    <w:uiPriority w:val="99"/>
    <w:rsid w:val="009A67B0"/>
    <w:pPr>
      <w:numPr>
        <w:numId w:val="10"/>
      </w:numPr>
    </w:pPr>
  </w:style>
  <w:style w:type="numbering" w:customStyle="1" w:styleId="ACILAllenBoxListNumbering">
    <w:name w:val="ACIL Allen Box List Numbering"/>
    <w:uiPriority w:val="99"/>
    <w:rsid w:val="007F1F56"/>
    <w:pPr>
      <w:numPr>
        <w:numId w:val="11"/>
      </w:numPr>
    </w:pPr>
  </w:style>
  <w:style w:type="numbering" w:customStyle="1" w:styleId="ACILAllenNumberedList">
    <w:name w:val="ACIL Allen Numbered List"/>
    <w:uiPriority w:val="99"/>
    <w:rsid w:val="00C249C7"/>
    <w:pPr>
      <w:numPr>
        <w:numId w:val="12"/>
      </w:numPr>
    </w:pPr>
  </w:style>
  <w:style w:type="numbering" w:customStyle="1" w:styleId="ACILAllenTableBulletedList">
    <w:name w:val="ACIL Allen Table Bulleted List"/>
    <w:uiPriority w:val="99"/>
    <w:rsid w:val="009A67B0"/>
    <w:pPr>
      <w:numPr>
        <w:numId w:val="13"/>
      </w:numPr>
    </w:pPr>
  </w:style>
  <w:style w:type="numbering" w:customStyle="1" w:styleId="ACILAllenTableListNumbering">
    <w:name w:val="ACIL Allen Table List Numbering"/>
    <w:uiPriority w:val="99"/>
    <w:rsid w:val="00520ED6"/>
    <w:pPr>
      <w:numPr>
        <w:numId w:val="21"/>
      </w:numPr>
    </w:pPr>
  </w:style>
  <w:style w:type="paragraph" w:customStyle="1" w:styleId="TableQuote">
    <w:name w:val="Table Quote"/>
    <w:basedOn w:val="Tabletext"/>
    <w:uiPriority w:val="3"/>
    <w:rsid w:val="009949E9"/>
    <w:pPr>
      <w:ind w:left="113" w:right="113"/>
    </w:pPr>
  </w:style>
  <w:style w:type="paragraph" w:customStyle="1" w:styleId="TableQuoteBullet">
    <w:name w:val="Table Quote Bullet"/>
    <w:basedOn w:val="TableQuote"/>
    <w:uiPriority w:val="3"/>
    <w:rsid w:val="00E57AAC"/>
    <w:pPr>
      <w:numPr>
        <w:numId w:val="22"/>
      </w:numPr>
    </w:pPr>
  </w:style>
  <w:style w:type="paragraph" w:customStyle="1" w:styleId="LetterHeading1">
    <w:name w:val="Letter Heading 1"/>
    <w:next w:val="BodyText"/>
    <w:uiPriority w:val="7"/>
    <w:qFormat/>
    <w:rsid w:val="00C249C7"/>
    <w:pPr>
      <w:spacing w:before="200" w:line="240" w:lineRule="auto"/>
    </w:pPr>
    <w:rPr>
      <w:rFonts w:asciiTheme="majorHAnsi" w:hAnsiTheme="majorHAnsi"/>
      <w:b/>
      <w:sz w:val="20"/>
      <w:szCs w:val="36"/>
      <w:lang w:eastAsia="en-AU"/>
    </w:rPr>
  </w:style>
  <w:style w:type="paragraph" w:customStyle="1" w:styleId="LetterHeading2">
    <w:name w:val="Letter Heading 2"/>
    <w:basedOn w:val="LetterHeading1"/>
    <w:next w:val="BodyText"/>
    <w:uiPriority w:val="7"/>
    <w:qFormat/>
    <w:rsid w:val="00C249C7"/>
    <w:rPr>
      <w:i/>
      <w:sz w:val="18"/>
      <w:szCs w:val="28"/>
    </w:rPr>
  </w:style>
  <w:style w:type="paragraph" w:customStyle="1" w:styleId="LetterHeading3">
    <w:name w:val="Letter Heading 3"/>
    <w:basedOn w:val="LetterHeading2"/>
    <w:next w:val="BodyText"/>
    <w:uiPriority w:val="7"/>
    <w:qFormat/>
    <w:rsid w:val="00C249C7"/>
    <w:rPr>
      <w:b w:val="0"/>
      <w:szCs w:val="27"/>
    </w:rPr>
  </w:style>
  <w:style w:type="paragraph" w:customStyle="1" w:styleId="LetterAddress">
    <w:name w:val="LetterAddress"/>
    <w:basedOn w:val="LetterName"/>
    <w:uiPriority w:val="99"/>
    <w:rsid w:val="00610859"/>
    <w:pPr>
      <w:jc w:val="both"/>
    </w:pPr>
  </w:style>
  <w:style w:type="paragraph" w:customStyle="1" w:styleId="LetterCityStatePostcode">
    <w:name w:val="LetterCityStatePostcode"/>
    <w:basedOn w:val="LetterName"/>
    <w:uiPriority w:val="99"/>
    <w:rsid w:val="00610859"/>
    <w:pPr>
      <w:spacing w:line="260" w:lineRule="exact"/>
    </w:pPr>
  </w:style>
  <w:style w:type="paragraph" w:customStyle="1" w:styleId="LetterCompany">
    <w:name w:val="LetterCompany"/>
    <w:basedOn w:val="LetterName"/>
    <w:uiPriority w:val="99"/>
    <w:rsid w:val="00610859"/>
  </w:style>
  <w:style w:type="paragraph" w:customStyle="1" w:styleId="LetterDate">
    <w:name w:val="LetterDate"/>
    <w:basedOn w:val="LetterName"/>
    <w:uiPriority w:val="99"/>
    <w:rsid w:val="00EF6248"/>
    <w:pPr>
      <w:spacing w:before="600"/>
    </w:pPr>
  </w:style>
  <w:style w:type="paragraph" w:customStyle="1" w:styleId="LetterName">
    <w:name w:val="LetterName"/>
    <w:basedOn w:val="Normal"/>
    <w:uiPriority w:val="99"/>
    <w:rsid w:val="00610859"/>
    <w:pPr>
      <w:spacing w:before="0" w:after="0" w:line="280" w:lineRule="exact"/>
    </w:pPr>
    <w:rPr>
      <w:rFonts w:asciiTheme="minorHAnsi" w:hAnsiTheme="minorHAnsi"/>
      <w:sz w:val="24"/>
      <w:szCs w:val="20"/>
      <w:lang w:eastAsia="en-US"/>
    </w:rPr>
  </w:style>
  <w:style w:type="paragraph" w:customStyle="1" w:styleId="LetterSubject">
    <w:name w:val="LetterSubject"/>
    <w:basedOn w:val="Normal"/>
    <w:next w:val="Normal"/>
    <w:uiPriority w:val="99"/>
    <w:semiHidden/>
    <w:rsid w:val="00C249C7"/>
    <w:pPr>
      <w:tabs>
        <w:tab w:val="left" w:pos="4395"/>
        <w:tab w:val="left" w:pos="6946"/>
      </w:tabs>
      <w:spacing w:before="400" w:after="200" w:line="260" w:lineRule="exact"/>
    </w:pPr>
    <w:rPr>
      <w:b/>
      <w:caps/>
      <w:szCs w:val="20"/>
    </w:rPr>
  </w:style>
  <w:style w:type="paragraph" w:customStyle="1" w:styleId="LetterTitle">
    <w:name w:val="LetterTitle"/>
    <w:basedOn w:val="LetterName"/>
    <w:uiPriority w:val="99"/>
    <w:rsid w:val="00610859"/>
  </w:style>
  <w:style w:type="character" w:customStyle="1" w:styleId="ACILAllenYellow">
    <w:name w:val="ACIL Allen Yellow"/>
    <w:basedOn w:val="DefaultParagraphFont"/>
    <w:uiPriority w:val="1"/>
    <w:rsid w:val="00C249C7"/>
    <w:rPr>
      <w:color w:val="FFAE3B"/>
    </w:rPr>
  </w:style>
  <w:style w:type="character" w:customStyle="1" w:styleId="PageNumberLandscapeChar">
    <w:name w:val="Page Number Landscape Char"/>
    <w:basedOn w:val="DefaultParagraphFont"/>
    <w:link w:val="PageNumberLandscape"/>
    <w:semiHidden/>
    <w:rsid w:val="00C249C7"/>
    <w:rPr>
      <w:rFonts w:asciiTheme="minorHAnsi" w:hAnsiTheme="minorHAnsi"/>
      <w:lang w:eastAsia="en-US"/>
    </w:rPr>
  </w:style>
  <w:style w:type="character" w:customStyle="1" w:styleId="CaptionLabel">
    <w:name w:val="Caption Label"/>
    <w:qFormat/>
    <w:rsid w:val="00C249C7"/>
    <w:rPr>
      <w:b/>
    </w:rPr>
  </w:style>
  <w:style w:type="paragraph" w:customStyle="1" w:styleId="SideQuote">
    <w:name w:val="Side Quote"/>
    <w:basedOn w:val="SideNote"/>
    <w:next w:val="SideQuoteSource"/>
    <w:link w:val="SideQuoteChar"/>
    <w:rsid w:val="00C249C7"/>
    <w:pPr>
      <w:framePr w:wrap="around"/>
      <w:pBdr>
        <w:top w:val="single" w:sz="12" w:space="3" w:color="9757A6" w:themeColor="accent1"/>
        <w:bottom w:val="single" w:sz="12" w:space="3" w:color="9757A6" w:themeColor="accent1"/>
      </w:pBdr>
    </w:pPr>
    <w:rPr>
      <w:color w:val="808080" w:themeColor="background1" w:themeShade="80"/>
    </w:rPr>
  </w:style>
  <w:style w:type="paragraph" w:customStyle="1" w:styleId="SideQuoteSource">
    <w:name w:val="Side Quote Source"/>
    <w:basedOn w:val="SideQuote"/>
    <w:next w:val="BodyText"/>
    <w:rsid w:val="00C249C7"/>
    <w:pPr>
      <w:framePr w:wrap="around"/>
      <w:jc w:val="right"/>
    </w:pPr>
    <w:rPr>
      <w:i/>
    </w:rPr>
  </w:style>
  <w:style w:type="paragraph" w:customStyle="1" w:styleId="Style1">
    <w:name w:val="Style1"/>
    <w:basedOn w:val="SideQuote"/>
    <w:next w:val="BodyText"/>
    <w:link w:val="Style1Char"/>
    <w:rsid w:val="00C249C7"/>
    <w:pPr>
      <w:keepNext w:val="0"/>
      <w:framePr w:w="0" w:hSpace="0" w:vSpace="0" w:wrap="auto" w:vAnchor="margin" w:hAnchor="text" w:xAlign="left" w:yAlign="inline"/>
      <w:spacing w:before="120" w:after="120" w:line="240" w:lineRule="exact"/>
    </w:pPr>
    <w:rPr>
      <w:b w:val="0"/>
      <w:color w:val="9757A6" w:themeColor="accent1"/>
      <w:sz w:val="18"/>
      <w:lang w:eastAsia="en-US"/>
    </w:rPr>
  </w:style>
  <w:style w:type="character" w:customStyle="1" w:styleId="Style1Char">
    <w:name w:val="Style1 Char"/>
    <w:basedOn w:val="DefaultParagraphFont"/>
    <w:link w:val="Style1"/>
    <w:rsid w:val="00C249C7"/>
    <w:rPr>
      <w:rFonts w:asciiTheme="minorHAnsi" w:hAnsiTheme="minorHAnsi"/>
      <w:color w:val="9757A6" w:themeColor="accent1"/>
      <w:sz w:val="18"/>
      <w:lang w:eastAsia="en-US"/>
    </w:rPr>
  </w:style>
  <w:style w:type="character" w:customStyle="1" w:styleId="SideQuoteChar">
    <w:name w:val="Side Quote Char"/>
    <w:basedOn w:val="DefaultParagraphFont"/>
    <w:link w:val="SideQuote"/>
    <w:rsid w:val="00C249C7"/>
    <w:rPr>
      <w:rFonts w:asciiTheme="minorHAnsi" w:hAnsiTheme="minorHAnsi"/>
      <w:b/>
      <w:color w:val="808080" w:themeColor="background1" w:themeShade="80"/>
      <w:sz w:val="16"/>
      <w:lang w:eastAsia="en-AU"/>
    </w:rPr>
  </w:style>
  <w:style w:type="paragraph" w:customStyle="1" w:styleId="ExecSummaryHeading">
    <w:name w:val="Exec Summary Heading"/>
    <w:basedOn w:val="Heading1nonumber"/>
    <w:next w:val="BodyText"/>
    <w:autoRedefine/>
    <w:rsid w:val="0070776B"/>
    <w:pPr>
      <w:pBdr>
        <w:top w:val="single" w:sz="48" w:space="30" w:color="9757A6"/>
        <w:left w:val="single" w:sz="48" w:space="4" w:color="9757A6"/>
        <w:bottom w:val="single" w:sz="48" w:space="5" w:color="9757A6"/>
        <w:right w:val="single" w:sz="48" w:space="4" w:color="9757A6"/>
      </w:pBdr>
      <w:shd w:val="clear" w:color="auto" w:fill="9757A6"/>
      <w:spacing w:before="0"/>
    </w:pPr>
    <w:rPr>
      <w:color w:val="FFFFFF" w:themeColor="background1"/>
    </w:rPr>
  </w:style>
  <w:style w:type="paragraph" w:customStyle="1" w:styleId="QuoteSource">
    <w:name w:val="Quote Source"/>
    <w:basedOn w:val="Quote"/>
    <w:next w:val="BodyText"/>
    <w:rsid w:val="00C249C7"/>
    <w:pPr>
      <w:jc w:val="right"/>
    </w:pPr>
    <w:rPr>
      <w:i/>
    </w:rPr>
  </w:style>
  <w:style w:type="paragraph" w:customStyle="1" w:styleId="BoxQuoteSource">
    <w:name w:val="Box Quote Source"/>
    <w:basedOn w:val="BoxQuote"/>
    <w:rsid w:val="00C249C7"/>
    <w:pPr>
      <w:ind w:right="199"/>
      <w:jc w:val="right"/>
    </w:pPr>
    <w:rPr>
      <w:i/>
    </w:rPr>
  </w:style>
  <w:style w:type="paragraph" w:customStyle="1" w:styleId="TableQuoteSource">
    <w:name w:val="Table Quote Source"/>
    <w:basedOn w:val="TableQuote"/>
    <w:rsid w:val="00C249C7"/>
    <w:pPr>
      <w:jc w:val="right"/>
    </w:pPr>
    <w:rPr>
      <w:i/>
    </w:rPr>
  </w:style>
  <w:style w:type="paragraph" w:customStyle="1" w:styleId="ConsultantContact">
    <w:name w:val="Consultant Contact"/>
    <w:basedOn w:val="BodyText"/>
    <w:rsid w:val="007377C2"/>
    <w:rPr>
      <w:color w:val="808080" w:themeColor="background1" w:themeShade="80"/>
      <w:sz w:val="20"/>
    </w:rPr>
  </w:style>
  <w:style w:type="paragraph" w:customStyle="1" w:styleId="CoverInfoHeading">
    <w:name w:val="Cover Info Heading"/>
    <w:basedOn w:val="CoverInfo"/>
    <w:rsid w:val="007377C2"/>
    <w:rPr>
      <w:b/>
      <w:color w:val="9757A6"/>
      <w:sz w:val="20"/>
      <w:lang w:val="en-AU"/>
    </w:rPr>
  </w:style>
  <w:style w:type="numbering" w:customStyle="1" w:styleId="ACILAllenBulletedlist">
    <w:name w:val="ACIL Allen Bulleted list"/>
    <w:uiPriority w:val="99"/>
    <w:rsid w:val="00CE3F7C"/>
    <w:pPr>
      <w:numPr>
        <w:numId w:val="14"/>
      </w:numPr>
    </w:pPr>
  </w:style>
  <w:style w:type="paragraph" w:customStyle="1" w:styleId="ListDash">
    <w:name w:val="List Dash"/>
    <w:basedOn w:val="BodyText"/>
    <w:rsid w:val="00A62441"/>
    <w:pPr>
      <w:numPr>
        <w:numId w:val="19"/>
      </w:numPr>
      <w:spacing w:before="60" w:after="60"/>
    </w:pPr>
  </w:style>
  <w:style w:type="paragraph" w:customStyle="1" w:styleId="ListDash2">
    <w:name w:val="List Dash 2"/>
    <w:basedOn w:val="ListDash"/>
    <w:rsid w:val="00160E03"/>
    <w:pPr>
      <w:numPr>
        <w:ilvl w:val="1"/>
      </w:numPr>
      <w:ind w:left="567"/>
    </w:pPr>
  </w:style>
  <w:style w:type="paragraph" w:customStyle="1" w:styleId="ListDash3">
    <w:name w:val="List Dash 3"/>
    <w:basedOn w:val="ListDash2"/>
    <w:rsid w:val="00160E03"/>
    <w:pPr>
      <w:numPr>
        <w:ilvl w:val="2"/>
      </w:numPr>
      <w:ind w:left="851"/>
    </w:pPr>
  </w:style>
  <w:style w:type="numbering" w:customStyle="1" w:styleId="ACILAllenDashedList">
    <w:name w:val="ACIL Allen Dashed List"/>
    <w:uiPriority w:val="99"/>
    <w:rsid w:val="00A62441"/>
    <w:pPr>
      <w:numPr>
        <w:numId w:val="15"/>
      </w:numPr>
    </w:pPr>
  </w:style>
  <w:style w:type="paragraph" w:customStyle="1" w:styleId="NewPartDeltas">
    <w:name w:val="NewPartDeltas"/>
    <w:basedOn w:val="BodyText"/>
    <w:rsid w:val="00C249C7"/>
    <w:pPr>
      <w:spacing w:before="0" w:after="0" w:line="240" w:lineRule="auto"/>
    </w:pPr>
    <w:rPr>
      <w:noProof/>
    </w:rPr>
  </w:style>
  <w:style w:type="paragraph" w:customStyle="1" w:styleId="Part">
    <w:name w:val="Part"/>
    <w:basedOn w:val="Normal"/>
    <w:rsid w:val="007B3211"/>
    <w:pPr>
      <w:spacing w:before="0" w:after="0" w:line="240" w:lineRule="auto"/>
    </w:pPr>
    <w:rPr>
      <w:rFonts w:asciiTheme="majorHAnsi" w:hAnsiTheme="majorHAnsi"/>
      <w:color w:val="FFFFFF" w:themeColor="background1"/>
      <w:spacing w:val="80"/>
      <w:sz w:val="80"/>
      <w:szCs w:val="80"/>
    </w:rPr>
  </w:style>
  <w:style w:type="paragraph" w:customStyle="1" w:styleId="PartTitle">
    <w:name w:val="Part Title"/>
    <w:basedOn w:val="BodyText"/>
    <w:rsid w:val="007B3211"/>
    <w:pPr>
      <w:spacing w:line="240" w:lineRule="auto"/>
    </w:pPr>
    <w:rPr>
      <w:rFonts w:ascii="Arial Narrow" w:hAnsi="Arial Narrow" w:cstheme="majorHAnsi"/>
      <w:b/>
      <w:caps/>
      <w:color w:val="FFAE3B"/>
      <w:spacing w:val="100"/>
      <w:sz w:val="40"/>
      <w:szCs w:val="40"/>
      <w:lang w:eastAsia="zh-CN"/>
    </w:rPr>
  </w:style>
  <w:style w:type="paragraph" w:customStyle="1" w:styleId="PartNumberOnly">
    <w:name w:val="PartNumberOnly"/>
    <w:basedOn w:val="Normal"/>
    <w:rsid w:val="00CF7515"/>
    <w:pPr>
      <w:spacing w:before="0" w:after="0" w:line="240" w:lineRule="auto"/>
      <w:jc w:val="center"/>
    </w:pPr>
    <w:rPr>
      <w:rFonts w:ascii="Georgia" w:hAnsi="Georgia"/>
      <w:color w:val="FFFFFF" w:themeColor="background1"/>
      <w:sz w:val="144"/>
    </w:rPr>
  </w:style>
  <w:style w:type="numbering" w:customStyle="1" w:styleId="ATbulletedlist">
    <w:name w:val="AT bulleted list"/>
    <w:uiPriority w:val="99"/>
    <w:rsid w:val="00C249C7"/>
    <w:pPr>
      <w:numPr>
        <w:numId w:val="16"/>
      </w:numPr>
    </w:pPr>
  </w:style>
  <w:style w:type="numbering" w:customStyle="1" w:styleId="ATBoxBulletedList">
    <w:name w:val="AT Box Bulleted List"/>
    <w:uiPriority w:val="99"/>
    <w:rsid w:val="00C249C7"/>
    <w:pPr>
      <w:numPr>
        <w:numId w:val="17"/>
      </w:numPr>
    </w:pPr>
  </w:style>
  <w:style w:type="numbering" w:customStyle="1" w:styleId="ACILAllenPartNumbers">
    <w:name w:val="ACIL Allen Part Numbers"/>
    <w:uiPriority w:val="99"/>
    <w:rsid w:val="00C249C7"/>
    <w:pPr>
      <w:numPr>
        <w:numId w:val="18"/>
      </w:numPr>
    </w:pPr>
  </w:style>
  <w:style w:type="paragraph" w:customStyle="1" w:styleId="LetterRef">
    <w:name w:val="LetterRef"/>
    <w:basedOn w:val="LetterDate"/>
    <w:rsid w:val="002F733E"/>
    <w:pPr>
      <w:spacing w:before="40" w:after="600"/>
    </w:pPr>
  </w:style>
  <w:style w:type="paragraph" w:customStyle="1" w:styleId="Default">
    <w:name w:val="Default"/>
    <w:rsid w:val="0019780E"/>
    <w:pPr>
      <w:autoSpaceDE w:val="0"/>
      <w:autoSpaceDN w:val="0"/>
      <w:adjustRightInd w:val="0"/>
      <w:spacing w:before="0" w:line="240" w:lineRule="auto"/>
    </w:pPr>
    <w:rPr>
      <w:rFonts w:ascii="Arial" w:hAnsi="Arial" w:cs="Arial"/>
      <w:color w:val="000000"/>
    </w:rPr>
  </w:style>
  <w:style w:type="character" w:customStyle="1" w:styleId="SourceChar">
    <w:name w:val="Source Char"/>
    <w:basedOn w:val="BodyTextChar"/>
    <w:link w:val="Source"/>
    <w:rsid w:val="001174F6"/>
    <w:rPr>
      <w:rFonts w:ascii="Arial" w:hAnsi="Arial"/>
      <w:sz w:val="16"/>
      <w:szCs w:val="14"/>
      <w:lang w:eastAsia="en-AU"/>
    </w:rPr>
  </w:style>
  <w:style w:type="character" w:customStyle="1" w:styleId="FootnoteTextChar">
    <w:name w:val="Footnote Text Char"/>
    <w:basedOn w:val="DefaultParagraphFont"/>
    <w:link w:val="FootnoteText"/>
    <w:rsid w:val="00A940DF"/>
    <w:rPr>
      <w:rFonts w:asciiTheme="minorHAnsi" w:hAnsiTheme="minorHAnsi"/>
      <w:sz w:val="16"/>
      <w:szCs w:val="22"/>
      <w:lang w:eastAsia="en-AU"/>
    </w:rPr>
  </w:style>
  <w:style w:type="paragraph" w:customStyle="1" w:styleId="MEBasic1">
    <w:name w:val="ME Basic 1"/>
    <w:basedOn w:val="Normal"/>
    <w:rsid w:val="005E443A"/>
    <w:pPr>
      <w:numPr>
        <w:numId w:val="36"/>
      </w:numPr>
      <w:spacing w:before="0" w:after="140" w:line="280" w:lineRule="atLeast"/>
      <w:outlineLvl w:val="0"/>
    </w:pPr>
    <w:rPr>
      <w:rFonts w:asciiTheme="minorHAnsi" w:hAnsiTheme="minorHAnsi" w:cs="Angsana New"/>
      <w:sz w:val="24"/>
      <w:szCs w:val="24"/>
      <w:lang w:eastAsia="en-US" w:bidi="th-TH"/>
    </w:rPr>
  </w:style>
  <w:style w:type="paragraph" w:customStyle="1" w:styleId="MEBasic2">
    <w:name w:val="ME Basic 2"/>
    <w:basedOn w:val="Normal"/>
    <w:rsid w:val="005E443A"/>
    <w:pPr>
      <w:numPr>
        <w:ilvl w:val="1"/>
        <w:numId w:val="36"/>
      </w:numPr>
      <w:spacing w:before="0" w:after="140" w:line="280" w:lineRule="atLeast"/>
      <w:outlineLvl w:val="1"/>
    </w:pPr>
    <w:rPr>
      <w:rFonts w:asciiTheme="minorHAnsi" w:hAnsiTheme="minorHAnsi" w:cs="Angsana New"/>
      <w:sz w:val="24"/>
      <w:szCs w:val="24"/>
      <w:lang w:eastAsia="en-US" w:bidi="th-TH"/>
    </w:rPr>
  </w:style>
  <w:style w:type="paragraph" w:customStyle="1" w:styleId="MEBasic3">
    <w:name w:val="ME Basic 3"/>
    <w:basedOn w:val="Normal"/>
    <w:rsid w:val="005E443A"/>
    <w:pPr>
      <w:numPr>
        <w:ilvl w:val="2"/>
        <w:numId w:val="36"/>
      </w:numPr>
      <w:spacing w:before="0" w:after="140" w:line="280" w:lineRule="atLeast"/>
      <w:outlineLvl w:val="2"/>
    </w:pPr>
    <w:rPr>
      <w:rFonts w:asciiTheme="minorHAnsi" w:hAnsiTheme="minorHAnsi" w:cs="Angsana New"/>
      <w:sz w:val="24"/>
      <w:szCs w:val="24"/>
      <w:lang w:eastAsia="en-US" w:bidi="th-TH"/>
    </w:rPr>
  </w:style>
  <w:style w:type="paragraph" w:customStyle="1" w:styleId="MEBasic4">
    <w:name w:val="ME Basic 4"/>
    <w:basedOn w:val="Normal"/>
    <w:rsid w:val="005E443A"/>
    <w:pPr>
      <w:numPr>
        <w:ilvl w:val="3"/>
        <w:numId w:val="36"/>
      </w:numPr>
      <w:spacing w:before="0" w:after="140" w:line="280" w:lineRule="atLeast"/>
      <w:outlineLvl w:val="3"/>
    </w:pPr>
    <w:rPr>
      <w:rFonts w:asciiTheme="minorHAnsi" w:hAnsiTheme="minorHAnsi" w:cs="Angsana New"/>
      <w:sz w:val="24"/>
      <w:szCs w:val="24"/>
      <w:lang w:eastAsia="en-US" w:bidi="th-TH"/>
    </w:rPr>
  </w:style>
  <w:style w:type="paragraph" w:customStyle="1" w:styleId="MEBasic5">
    <w:name w:val="ME Basic 5"/>
    <w:basedOn w:val="Normal"/>
    <w:rsid w:val="005E443A"/>
    <w:pPr>
      <w:numPr>
        <w:ilvl w:val="4"/>
        <w:numId w:val="36"/>
      </w:numPr>
      <w:spacing w:before="0" w:after="140" w:line="280" w:lineRule="atLeast"/>
      <w:outlineLvl w:val="4"/>
    </w:pPr>
    <w:rPr>
      <w:rFonts w:asciiTheme="minorHAnsi" w:hAnsiTheme="minorHAnsi" w:cs="Angsana New"/>
      <w:sz w:val="24"/>
      <w:szCs w:val="24"/>
      <w:lang w:eastAsia="en-US" w:bidi="th-TH"/>
    </w:rPr>
  </w:style>
  <w:style w:type="numbering" w:customStyle="1" w:styleId="ACILAllenBoxBulletedList1">
    <w:name w:val="ACIL Allen Box Bulleted List1"/>
    <w:uiPriority w:val="99"/>
    <w:rsid w:val="00662CD7"/>
  </w:style>
  <w:style w:type="character" w:customStyle="1" w:styleId="QuoteChar">
    <w:name w:val="Quote Char"/>
    <w:basedOn w:val="DefaultParagraphFont"/>
    <w:link w:val="Quote"/>
    <w:uiPriority w:val="4"/>
    <w:rsid w:val="00156643"/>
    <w:rPr>
      <w:rFonts w:asciiTheme="minorHAnsi" w:hAnsiTheme="minorHAnsi"/>
      <w:sz w:val="18"/>
      <w:szCs w:val="22"/>
      <w:lang w:eastAsia="en-AU"/>
    </w:rPr>
  </w:style>
  <w:style w:type="numbering" w:customStyle="1" w:styleId="ACILAllenNumberedList1">
    <w:name w:val="ACIL Allen Numbered List1"/>
    <w:uiPriority w:val="99"/>
    <w:rsid w:val="00AA1873"/>
  </w:style>
  <w:style w:type="character" w:customStyle="1" w:styleId="CommentTextChar">
    <w:name w:val="Comment Text Char"/>
    <w:basedOn w:val="DefaultParagraphFont"/>
    <w:link w:val="CommentText"/>
    <w:uiPriority w:val="99"/>
    <w:semiHidden/>
    <w:rsid w:val="00BC12D8"/>
    <w:rPr>
      <w:rFonts w:ascii="Century Gothic" w:hAnsi="Century Gothic"/>
      <w:sz w:val="21"/>
      <w:szCs w:val="22"/>
      <w:lang w:eastAsia="en-AU"/>
    </w:rPr>
  </w:style>
  <w:style w:type="paragraph" w:styleId="Revision">
    <w:name w:val="Revision"/>
    <w:hidden/>
    <w:uiPriority w:val="99"/>
    <w:semiHidden/>
    <w:rsid w:val="00D8364E"/>
    <w:pPr>
      <w:spacing w:before="0" w:line="240" w:lineRule="auto"/>
    </w:pPr>
    <w:rPr>
      <w:rFonts w:asciiTheme="minorHAnsi" w:hAnsi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4132">
      <w:bodyDiv w:val="1"/>
      <w:marLeft w:val="0"/>
      <w:marRight w:val="0"/>
      <w:marTop w:val="0"/>
      <w:marBottom w:val="0"/>
      <w:divBdr>
        <w:top w:val="none" w:sz="0" w:space="0" w:color="auto"/>
        <w:left w:val="none" w:sz="0" w:space="0" w:color="auto"/>
        <w:bottom w:val="none" w:sz="0" w:space="0" w:color="auto"/>
        <w:right w:val="none" w:sz="0" w:space="0" w:color="auto"/>
      </w:divBdr>
    </w:div>
    <w:div w:id="176308360">
      <w:bodyDiv w:val="1"/>
      <w:marLeft w:val="0"/>
      <w:marRight w:val="0"/>
      <w:marTop w:val="0"/>
      <w:marBottom w:val="0"/>
      <w:divBdr>
        <w:top w:val="none" w:sz="0" w:space="0" w:color="auto"/>
        <w:left w:val="none" w:sz="0" w:space="0" w:color="auto"/>
        <w:bottom w:val="none" w:sz="0" w:space="0" w:color="auto"/>
        <w:right w:val="none" w:sz="0" w:space="0" w:color="auto"/>
      </w:divBdr>
    </w:div>
    <w:div w:id="408815264">
      <w:bodyDiv w:val="1"/>
      <w:marLeft w:val="0"/>
      <w:marRight w:val="0"/>
      <w:marTop w:val="0"/>
      <w:marBottom w:val="0"/>
      <w:divBdr>
        <w:top w:val="none" w:sz="0" w:space="0" w:color="auto"/>
        <w:left w:val="none" w:sz="0" w:space="0" w:color="auto"/>
        <w:bottom w:val="none" w:sz="0" w:space="0" w:color="auto"/>
        <w:right w:val="none" w:sz="0" w:space="0" w:color="auto"/>
      </w:divBdr>
      <w:divsChild>
        <w:div w:id="185950941">
          <w:marLeft w:val="706"/>
          <w:marRight w:val="0"/>
          <w:marTop w:val="100"/>
          <w:marBottom w:val="0"/>
          <w:divBdr>
            <w:top w:val="none" w:sz="0" w:space="0" w:color="auto"/>
            <w:left w:val="none" w:sz="0" w:space="0" w:color="auto"/>
            <w:bottom w:val="none" w:sz="0" w:space="0" w:color="auto"/>
            <w:right w:val="none" w:sz="0" w:space="0" w:color="auto"/>
          </w:divBdr>
        </w:div>
        <w:div w:id="306323406">
          <w:marLeft w:val="706"/>
          <w:marRight w:val="0"/>
          <w:marTop w:val="100"/>
          <w:marBottom w:val="0"/>
          <w:divBdr>
            <w:top w:val="none" w:sz="0" w:space="0" w:color="auto"/>
            <w:left w:val="none" w:sz="0" w:space="0" w:color="auto"/>
            <w:bottom w:val="none" w:sz="0" w:space="0" w:color="auto"/>
            <w:right w:val="none" w:sz="0" w:space="0" w:color="auto"/>
          </w:divBdr>
        </w:div>
        <w:div w:id="599801684">
          <w:marLeft w:val="1282"/>
          <w:marRight w:val="0"/>
          <w:marTop w:val="100"/>
          <w:marBottom w:val="0"/>
          <w:divBdr>
            <w:top w:val="none" w:sz="0" w:space="0" w:color="auto"/>
            <w:left w:val="none" w:sz="0" w:space="0" w:color="auto"/>
            <w:bottom w:val="none" w:sz="0" w:space="0" w:color="auto"/>
            <w:right w:val="none" w:sz="0" w:space="0" w:color="auto"/>
          </w:divBdr>
        </w:div>
        <w:div w:id="902447833">
          <w:marLeft w:val="706"/>
          <w:marRight w:val="0"/>
          <w:marTop w:val="100"/>
          <w:marBottom w:val="0"/>
          <w:divBdr>
            <w:top w:val="none" w:sz="0" w:space="0" w:color="auto"/>
            <w:left w:val="none" w:sz="0" w:space="0" w:color="auto"/>
            <w:bottom w:val="none" w:sz="0" w:space="0" w:color="auto"/>
            <w:right w:val="none" w:sz="0" w:space="0" w:color="auto"/>
          </w:divBdr>
        </w:div>
        <w:div w:id="1971589306">
          <w:marLeft w:val="1282"/>
          <w:marRight w:val="0"/>
          <w:marTop w:val="100"/>
          <w:marBottom w:val="0"/>
          <w:divBdr>
            <w:top w:val="none" w:sz="0" w:space="0" w:color="auto"/>
            <w:left w:val="none" w:sz="0" w:space="0" w:color="auto"/>
            <w:bottom w:val="none" w:sz="0" w:space="0" w:color="auto"/>
            <w:right w:val="none" w:sz="0" w:space="0" w:color="auto"/>
          </w:divBdr>
        </w:div>
      </w:divsChild>
    </w:div>
    <w:div w:id="429278536">
      <w:bodyDiv w:val="1"/>
      <w:marLeft w:val="0"/>
      <w:marRight w:val="0"/>
      <w:marTop w:val="0"/>
      <w:marBottom w:val="0"/>
      <w:divBdr>
        <w:top w:val="none" w:sz="0" w:space="0" w:color="auto"/>
        <w:left w:val="none" w:sz="0" w:space="0" w:color="auto"/>
        <w:bottom w:val="none" w:sz="0" w:space="0" w:color="auto"/>
        <w:right w:val="none" w:sz="0" w:space="0" w:color="auto"/>
      </w:divBdr>
      <w:divsChild>
        <w:div w:id="66196285">
          <w:marLeft w:val="706"/>
          <w:marRight w:val="0"/>
          <w:marTop w:val="100"/>
          <w:marBottom w:val="0"/>
          <w:divBdr>
            <w:top w:val="none" w:sz="0" w:space="0" w:color="auto"/>
            <w:left w:val="none" w:sz="0" w:space="0" w:color="auto"/>
            <w:bottom w:val="none" w:sz="0" w:space="0" w:color="auto"/>
            <w:right w:val="none" w:sz="0" w:space="0" w:color="auto"/>
          </w:divBdr>
        </w:div>
        <w:div w:id="398524730">
          <w:marLeft w:val="706"/>
          <w:marRight w:val="0"/>
          <w:marTop w:val="100"/>
          <w:marBottom w:val="0"/>
          <w:divBdr>
            <w:top w:val="none" w:sz="0" w:space="0" w:color="auto"/>
            <w:left w:val="none" w:sz="0" w:space="0" w:color="auto"/>
            <w:bottom w:val="none" w:sz="0" w:space="0" w:color="auto"/>
            <w:right w:val="none" w:sz="0" w:space="0" w:color="auto"/>
          </w:divBdr>
        </w:div>
        <w:div w:id="1339582647">
          <w:marLeft w:val="706"/>
          <w:marRight w:val="0"/>
          <w:marTop w:val="100"/>
          <w:marBottom w:val="0"/>
          <w:divBdr>
            <w:top w:val="none" w:sz="0" w:space="0" w:color="auto"/>
            <w:left w:val="none" w:sz="0" w:space="0" w:color="auto"/>
            <w:bottom w:val="none" w:sz="0" w:space="0" w:color="auto"/>
            <w:right w:val="none" w:sz="0" w:space="0" w:color="auto"/>
          </w:divBdr>
        </w:div>
        <w:div w:id="1700665666">
          <w:marLeft w:val="706"/>
          <w:marRight w:val="0"/>
          <w:marTop w:val="100"/>
          <w:marBottom w:val="0"/>
          <w:divBdr>
            <w:top w:val="none" w:sz="0" w:space="0" w:color="auto"/>
            <w:left w:val="none" w:sz="0" w:space="0" w:color="auto"/>
            <w:bottom w:val="none" w:sz="0" w:space="0" w:color="auto"/>
            <w:right w:val="none" w:sz="0" w:space="0" w:color="auto"/>
          </w:divBdr>
        </w:div>
        <w:div w:id="1732726201">
          <w:marLeft w:val="706"/>
          <w:marRight w:val="0"/>
          <w:marTop w:val="100"/>
          <w:marBottom w:val="0"/>
          <w:divBdr>
            <w:top w:val="none" w:sz="0" w:space="0" w:color="auto"/>
            <w:left w:val="none" w:sz="0" w:space="0" w:color="auto"/>
            <w:bottom w:val="none" w:sz="0" w:space="0" w:color="auto"/>
            <w:right w:val="none" w:sz="0" w:space="0" w:color="auto"/>
          </w:divBdr>
        </w:div>
      </w:divsChild>
    </w:div>
    <w:div w:id="550920093">
      <w:bodyDiv w:val="1"/>
      <w:marLeft w:val="0"/>
      <w:marRight w:val="0"/>
      <w:marTop w:val="0"/>
      <w:marBottom w:val="0"/>
      <w:divBdr>
        <w:top w:val="none" w:sz="0" w:space="0" w:color="auto"/>
        <w:left w:val="none" w:sz="0" w:space="0" w:color="auto"/>
        <w:bottom w:val="none" w:sz="0" w:space="0" w:color="auto"/>
        <w:right w:val="none" w:sz="0" w:space="0" w:color="auto"/>
      </w:divBdr>
      <w:divsChild>
        <w:div w:id="48844462">
          <w:marLeft w:val="1282"/>
          <w:marRight w:val="0"/>
          <w:marTop w:val="100"/>
          <w:marBottom w:val="0"/>
          <w:divBdr>
            <w:top w:val="none" w:sz="0" w:space="0" w:color="auto"/>
            <w:left w:val="none" w:sz="0" w:space="0" w:color="auto"/>
            <w:bottom w:val="none" w:sz="0" w:space="0" w:color="auto"/>
            <w:right w:val="none" w:sz="0" w:space="0" w:color="auto"/>
          </w:divBdr>
        </w:div>
        <w:div w:id="1165317887">
          <w:marLeft w:val="1282"/>
          <w:marRight w:val="0"/>
          <w:marTop w:val="100"/>
          <w:marBottom w:val="0"/>
          <w:divBdr>
            <w:top w:val="none" w:sz="0" w:space="0" w:color="auto"/>
            <w:left w:val="none" w:sz="0" w:space="0" w:color="auto"/>
            <w:bottom w:val="none" w:sz="0" w:space="0" w:color="auto"/>
            <w:right w:val="none" w:sz="0" w:space="0" w:color="auto"/>
          </w:divBdr>
        </w:div>
        <w:div w:id="1353457815">
          <w:marLeft w:val="1282"/>
          <w:marRight w:val="0"/>
          <w:marTop w:val="100"/>
          <w:marBottom w:val="0"/>
          <w:divBdr>
            <w:top w:val="none" w:sz="0" w:space="0" w:color="auto"/>
            <w:left w:val="none" w:sz="0" w:space="0" w:color="auto"/>
            <w:bottom w:val="none" w:sz="0" w:space="0" w:color="auto"/>
            <w:right w:val="none" w:sz="0" w:space="0" w:color="auto"/>
          </w:divBdr>
        </w:div>
        <w:div w:id="1696223251">
          <w:marLeft w:val="706"/>
          <w:marRight w:val="0"/>
          <w:marTop w:val="100"/>
          <w:marBottom w:val="0"/>
          <w:divBdr>
            <w:top w:val="none" w:sz="0" w:space="0" w:color="auto"/>
            <w:left w:val="none" w:sz="0" w:space="0" w:color="auto"/>
            <w:bottom w:val="none" w:sz="0" w:space="0" w:color="auto"/>
            <w:right w:val="none" w:sz="0" w:space="0" w:color="auto"/>
          </w:divBdr>
        </w:div>
        <w:div w:id="1715083360">
          <w:marLeft w:val="1282"/>
          <w:marRight w:val="0"/>
          <w:marTop w:val="100"/>
          <w:marBottom w:val="0"/>
          <w:divBdr>
            <w:top w:val="none" w:sz="0" w:space="0" w:color="auto"/>
            <w:left w:val="none" w:sz="0" w:space="0" w:color="auto"/>
            <w:bottom w:val="none" w:sz="0" w:space="0" w:color="auto"/>
            <w:right w:val="none" w:sz="0" w:space="0" w:color="auto"/>
          </w:divBdr>
        </w:div>
        <w:div w:id="1839272357">
          <w:marLeft w:val="1282"/>
          <w:marRight w:val="0"/>
          <w:marTop w:val="100"/>
          <w:marBottom w:val="0"/>
          <w:divBdr>
            <w:top w:val="none" w:sz="0" w:space="0" w:color="auto"/>
            <w:left w:val="none" w:sz="0" w:space="0" w:color="auto"/>
            <w:bottom w:val="none" w:sz="0" w:space="0" w:color="auto"/>
            <w:right w:val="none" w:sz="0" w:space="0" w:color="auto"/>
          </w:divBdr>
        </w:div>
        <w:div w:id="1949266605">
          <w:marLeft w:val="1282"/>
          <w:marRight w:val="0"/>
          <w:marTop w:val="100"/>
          <w:marBottom w:val="0"/>
          <w:divBdr>
            <w:top w:val="none" w:sz="0" w:space="0" w:color="auto"/>
            <w:left w:val="none" w:sz="0" w:space="0" w:color="auto"/>
            <w:bottom w:val="none" w:sz="0" w:space="0" w:color="auto"/>
            <w:right w:val="none" w:sz="0" w:space="0" w:color="auto"/>
          </w:divBdr>
        </w:div>
        <w:div w:id="2028943152">
          <w:marLeft w:val="706"/>
          <w:marRight w:val="0"/>
          <w:marTop w:val="100"/>
          <w:marBottom w:val="0"/>
          <w:divBdr>
            <w:top w:val="none" w:sz="0" w:space="0" w:color="auto"/>
            <w:left w:val="none" w:sz="0" w:space="0" w:color="auto"/>
            <w:bottom w:val="none" w:sz="0" w:space="0" w:color="auto"/>
            <w:right w:val="none" w:sz="0" w:space="0" w:color="auto"/>
          </w:divBdr>
        </w:div>
        <w:div w:id="2060739578">
          <w:marLeft w:val="1282"/>
          <w:marRight w:val="0"/>
          <w:marTop w:val="100"/>
          <w:marBottom w:val="0"/>
          <w:divBdr>
            <w:top w:val="none" w:sz="0" w:space="0" w:color="auto"/>
            <w:left w:val="none" w:sz="0" w:space="0" w:color="auto"/>
            <w:bottom w:val="none" w:sz="0" w:space="0" w:color="auto"/>
            <w:right w:val="none" w:sz="0" w:space="0" w:color="auto"/>
          </w:divBdr>
        </w:div>
      </w:divsChild>
    </w:div>
    <w:div w:id="629284289">
      <w:bodyDiv w:val="1"/>
      <w:marLeft w:val="0"/>
      <w:marRight w:val="0"/>
      <w:marTop w:val="0"/>
      <w:marBottom w:val="0"/>
      <w:divBdr>
        <w:top w:val="none" w:sz="0" w:space="0" w:color="auto"/>
        <w:left w:val="none" w:sz="0" w:space="0" w:color="auto"/>
        <w:bottom w:val="none" w:sz="0" w:space="0" w:color="auto"/>
        <w:right w:val="none" w:sz="0" w:space="0" w:color="auto"/>
      </w:divBdr>
    </w:div>
    <w:div w:id="653922700">
      <w:bodyDiv w:val="1"/>
      <w:marLeft w:val="0"/>
      <w:marRight w:val="0"/>
      <w:marTop w:val="0"/>
      <w:marBottom w:val="0"/>
      <w:divBdr>
        <w:top w:val="none" w:sz="0" w:space="0" w:color="auto"/>
        <w:left w:val="none" w:sz="0" w:space="0" w:color="auto"/>
        <w:bottom w:val="none" w:sz="0" w:space="0" w:color="auto"/>
        <w:right w:val="none" w:sz="0" w:space="0" w:color="auto"/>
      </w:divBdr>
      <w:divsChild>
        <w:div w:id="65568462">
          <w:marLeft w:val="706"/>
          <w:marRight w:val="0"/>
          <w:marTop w:val="100"/>
          <w:marBottom w:val="0"/>
          <w:divBdr>
            <w:top w:val="none" w:sz="0" w:space="0" w:color="auto"/>
            <w:left w:val="none" w:sz="0" w:space="0" w:color="auto"/>
            <w:bottom w:val="none" w:sz="0" w:space="0" w:color="auto"/>
            <w:right w:val="none" w:sz="0" w:space="0" w:color="auto"/>
          </w:divBdr>
        </w:div>
        <w:div w:id="426390956">
          <w:marLeft w:val="706"/>
          <w:marRight w:val="0"/>
          <w:marTop w:val="100"/>
          <w:marBottom w:val="0"/>
          <w:divBdr>
            <w:top w:val="none" w:sz="0" w:space="0" w:color="auto"/>
            <w:left w:val="none" w:sz="0" w:space="0" w:color="auto"/>
            <w:bottom w:val="none" w:sz="0" w:space="0" w:color="auto"/>
            <w:right w:val="none" w:sz="0" w:space="0" w:color="auto"/>
          </w:divBdr>
        </w:div>
        <w:div w:id="725638747">
          <w:marLeft w:val="706"/>
          <w:marRight w:val="0"/>
          <w:marTop w:val="100"/>
          <w:marBottom w:val="0"/>
          <w:divBdr>
            <w:top w:val="none" w:sz="0" w:space="0" w:color="auto"/>
            <w:left w:val="none" w:sz="0" w:space="0" w:color="auto"/>
            <w:bottom w:val="none" w:sz="0" w:space="0" w:color="auto"/>
            <w:right w:val="none" w:sz="0" w:space="0" w:color="auto"/>
          </w:divBdr>
        </w:div>
        <w:div w:id="1410273225">
          <w:marLeft w:val="706"/>
          <w:marRight w:val="0"/>
          <w:marTop w:val="100"/>
          <w:marBottom w:val="0"/>
          <w:divBdr>
            <w:top w:val="none" w:sz="0" w:space="0" w:color="auto"/>
            <w:left w:val="none" w:sz="0" w:space="0" w:color="auto"/>
            <w:bottom w:val="none" w:sz="0" w:space="0" w:color="auto"/>
            <w:right w:val="none" w:sz="0" w:space="0" w:color="auto"/>
          </w:divBdr>
        </w:div>
        <w:div w:id="1534078879">
          <w:marLeft w:val="706"/>
          <w:marRight w:val="0"/>
          <w:marTop w:val="100"/>
          <w:marBottom w:val="0"/>
          <w:divBdr>
            <w:top w:val="none" w:sz="0" w:space="0" w:color="auto"/>
            <w:left w:val="none" w:sz="0" w:space="0" w:color="auto"/>
            <w:bottom w:val="none" w:sz="0" w:space="0" w:color="auto"/>
            <w:right w:val="none" w:sz="0" w:space="0" w:color="auto"/>
          </w:divBdr>
        </w:div>
        <w:div w:id="1594707227">
          <w:marLeft w:val="706"/>
          <w:marRight w:val="0"/>
          <w:marTop w:val="100"/>
          <w:marBottom w:val="0"/>
          <w:divBdr>
            <w:top w:val="none" w:sz="0" w:space="0" w:color="auto"/>
            <w:left w:val="none" w:sz="0" w:space="0" w:color="auto"/>
            <w:bottom w:val="none" w:sz="0" w:space="0" w:color="auto"/>
            <w:right w:val="none" w:sz="0" w:space="0" w:color="auto"/>
          </w:divBdr>
        </w:div>
      </w:divsChild>
    </w:div>
    <w:div w:id="777871986">
      <w:bodyDiv w:val="1"/>
      <w:marLeft w:val="0"/>
      <w:marRight w:val="0"/>
      <w:marTop w:val="0"/>
      <w:marBottom w:val="0"/>
      <w:divBdr>
        <w:top w:val="none" w:sz="0" w:space="0" w:color="auto"/>
        <w:left w:val="none" w:sz="0" w:space="0" w:color="auto"/>
        <w:bottom w:val="none" w:sz="0" w:space="0" w:color="auto"/>
        <w:right w:val="none" w:sz="0" w:space="0" w:color="auto"/>
      </w:divBdr>
    </w:div>
    <w:div w:id="837306551">
      <w:bodyDiv w:val="1"/>
      <w:marLeft w:val="0"/>
      <w:marRight w:val="0"/>
      <w:marTop w:val="0"/>
      <w:marBottom w:val="0"/>
      <w:divBdr>
        <w:top w:val="none" w:sz="0" w:space="0" w:color="auto"/>
        <w:left w:val="none" w:sz="0" w:space="0" w:color="auto"/>
        <w:bottom w:val="none" w:sz="0" w:space="0" w:color="auto"/>
        <w:right w:val="none" w:sz="0" w:space="0" w:color="auto"/>
      </w:divBdr>
    </w:div>
    <w:div w:id="878782928">
      <w:bodyDiv w:val="1"/>
      <w:marLeft w:val="0"/>
      <w:marRight w:val="0"/>
      <w:marTop w:val="0"/>
      <w:marBottom w:val="0"/>
      <w:divBdr>
        <w:top w:val="none" w:sz="0" w:space="0" w:color="auto"/>
        <w:left w:val="none" w:sz="0" w:space="0" w:color="auto"/>
        <w:bottom w:val="none" w:sz="0" w:space="0" w:color="auto"/>
        <w:right w:val="none" w:sz="0" w:space="0" w:color="auto"/>
      </w:divBdr>
    </w:div>
    <w:div w:id="895430224">
      <w:bodyDiv w:val="1"/>
      <w:marLeft w:val="0"/>
      <w:marRight w:val="0"/>
      <w:marTop w:val="0"/>
      <w:marBottom w:val="0"/>
      <w:divBdr>
        <w:top w:val="none" w:sz="0" w:space="0" w:color="auto"/>
        <w:left w:val="none" w:sz="0" w:space="0" w:color="auto"/>
        <w:bottom w:val="none" w:sz="0" w:space="0" w:color="auto"/>
        <w:right w:val="none" w:sz="0" w:space="0" w:color="auto"/>
      </w:divBdr>
    </w:div>
    <w:div w:id="965086996">
      <w:bodyDiv w:val="1"/>
      <w:marLeft w:val="0"/>
      <w:marRight w:val="0"/>
      <w:marTop w:val="0"/>
      <w:marBottom w:val="0"/>
      <w:divBdr>
        <w:top w:val="none" w:sz="0" w:space="0" w:color="auto"/>
        <w:left w:val="none" w:sz="0" w:space="0" w:color="auto"/>
        <w:bottom w:val="none" w:sz="0" w:space="0" w:color="auto"/>
        <w:right w:val="none" w:sz="0" w:space="0" w:color="auto"/>
      </w:divBdr>
    </w:div>
    <w:div w:id="1013190963">
      <w:bodyDiv w:val="1"/>
      <w:marLeft w:val="0"/>
      <w:marRight w:val="0"/>
      <w:marTop w:val="0"/>
      <w:marBottom w:val="0"/>
      <w:divBdr>
        <w:top w:val="none" w:sz="0" w:space="0" w:color="auto"/>
        <w:left w:val="none" w:sz="0" w:space="0" w:color="auto"/>
        <w:bottom w:val="none" w:sz="0" w:space="0" w:color="auto"/>
        <w:right w:val="none" w:sz="0" w:space="0" w:color="auto"/>
      </w:divBdr>
    </w:div>
    <w:div w:id="1017928851">
      <w:bodyDiv w:val="1"/>
      <w:marLeft w:val="0"/>
      <w:marRight w:val="0"/>
      <w:marTop w:val="0"/>
      <w:marBottom w:val="0"/>
      <w:divBdr>
        <w:top w:val="none" w:sz="0" w:space="0" w:color="auto"/>
        <w:left w:val="none" w:sz="0" w:space="0" w:color="auto"/>
        <w:bottom w:val="none" w:sz="0" w:space="0" w:color="auto"/>
        <w:right w:val="none" w:sz="0" w:space="0" w:color="auto"/>
      </w:divBdr>
    </w:div>
    <w:div w:id="1026836089">
      <w:bodyDiv w:val="1"/>
      <w:marLeft w:val="0"/>
      <w:marRight w:val="0"/>
      <w:marTop w:val="0"/>
      <w:marBottom w:val="0"/>
      <w:divBdr>
        <w:top w:val="none" w:sz="0" w:space="0" w:color="auto"/>
        <w:left w:val="none" w:sz="0" w:space="0" w:color="auto"/>
        <w:bottom w:val="none" w:sz="0" w:space="0" w:color="auto"/>
        <w:right w:val="none" w:sz="0" w:space="0" w:color="auto"/>
      </w:divBdr>
    </w:div>
    <w:div w:id="1027102984">
      <w:bodyDiv w:val="1"/>
      <w:marLeft w:val="0"/>
      <w:marRight w:val="0"/>
      <w:marTop w:val="0"/>
      <w:marBottom w:val="0"/>
      <w:divBdr>
        <w:top w:val="none" w:sz="0" w:space="0" w:color="auto"/>
        <w:left w:val="none" w:sz="0" w:space="0" w:color="auto"/>
        <w:bottom w:val="none" w:sz="0" w:space="0" w:color="auto"/>
        <w:right w:val="none" w:sz="0" w:space="0" w:color="auto"/>
      </w:divBdr>
    </w:div>
    <w:div w:id="1041053374">
      <w:bodyDiv w:val="1"/>
      <w:marLeft w:val="0"/>
      <w:marRight w:val="0"/>
      <w:marTop w:val="0"/>
      <w:marBottom w:val="0"/>
      <w:divBdr>
        <w:top w:val="none" w:sz="0" w:space="0" w:color="auto"/>
        <w:left w:val="none" w:sz="0" w:space="0" w:color="auto"/>
        <w:bottom w:val="none" w:sz="0" w:space="0" w:color="auto"/>
        <w:right w:val="none" w:sz="0" w:space="0" w:color="auto"/>
      </w:divBdr>
    </w:div>
    <w:div w:id="1083724770">
      <w:bodyDiv w:val="1"/>
      <w:marLeft w:val="0"/>
      <w:marRight w:val="0"/>
      <w:marTop w:val="0"/>
      <w:marBottom w:val="0"/>
      <w:divBdr>
        <w:top w:val="none" w:sz="0" w:space="0" w:color="auto"/>
        <w:left w:val="none" w:sz="0" w:space="0" w:color="auto"/>
        <w:bottom w:val="none" w:sz="0" w:space="0" w:color="auto"/>
        <w:right w:val="none" w:sz="0" w:space="0" w:color="auto"/>
      </w:divBdr>
    </w:div>
    <w:div w:id="1098335757">
      <w:bodyDiv w:val="1"/>
      <w:marLeft w:val="0"/>
      <w:marRight w:val="0"/>
      <w:marTop w:val="0"/>
      <w:marBottom w:val="0"/>
      <w:divBdr>
        <w:top w:val="none" w:sz="0" w:space="0" w:color="auto"/>
        <w:left w:val="none" w:sz="0" w:space="0" w:color="auto"/>
        <w:bottom w:val="none" w:sz="0" w:space="0" w:color="auto"/>
        <w:right w:val="none" w:sz="0" w:space="0" w:color="auto"/>
      </w:divBdr>
    </w:div>
    <w:div w:id="1175339927">
      <w:bodyDiv w:val="1"/>
      <w:marLeft w:val="0"/>
      <w:marRight w:val="0"/>
      <w:marTop w:val="0"/>
      <w:marBottom w:val="0"/>
      <w:divBdr>
        <w:top w:val="none" w:sz="0" w:space="0" w:color="auto"/>
        <w:left w:val="none" w:sz="0" w:space="0" w:color="auto"/>
        <w:bottom w:val="none" w:sz="0" w:space="0" w:color="auto"/>
        <w:right w:val="none" w:sz="0" w:space="0" w:color="auto"/>
      </w:divBdr>
    </w:div>
    <w:div w:id="1559364395">
      <w:bodyDiv w:val="1"/>
      <w:marLeft w:val="0"/>
      <w:marRight w:val="0"/>
      <w:marTop w:val="0"/>
      <w:marBottom w:val="0"/>
      <w:divBdr>
        <w:top w:val="none" w:sz="0" w:space="0" w:color="auto"/>
        <w:left w:val="none" w:sz="0" w:space="0" w:color="auto"/>
        <w:bottom w:val="none" w:sz="0" w:space="0" w:color="auto"/>
        <w:right w:val="none" w:sz="0" w:space="0" w:color="auto"/>
      </w:divBdr>
    </w:div>
    <w:div w:id="1565027299">
      <w:bodyDiv w:val="1"/>
      <w:marLeft w:val="0"/>
      <w:marRight w:val="0"/>
      <w:marTop w:val="0"/>
      <w:marBottom w:val="0"/>
      <w:divBdr>
        <w:top w:val="none" w:sz="0" w:space="0" w:color="auto"/>
        <w:left w:val="none" w:sz="0" w:space="0" w:color="auto"/>
        <w:bottom w:val="none" w:sz="0" w:space="0" w:color="auto"/>
        <w:right w:val="none" w:sz="0" w:space="0" w:color="auto"/>
      </w:divBdr>
    </w:div>
    <w:div w:id="1633823040">
      <w:bodyDiv w:val="1"/>
      <w:marLeft w:val="0"/>
      <w:marRight w:val="0"/>
      <w:marTop w:val="0"/>
      <w:marBottom w:val="0"/>
      <w:divBdr>
        <w:top w:val="none" w:sz="0" w:space="0" w:color="auto"/>
        <w:left w:val="none" w:sz="0" w:space="0" w:color="auto"/>
        <w:bottom w:val="none" w:sz="0" w:space="0" w:color="auto"/>
        <w:right w:val="none" w:sz="0" w:space="0" w:color="auto"/>
      </w:divBdr>
    </w:div>
    <w:div w:id="1649357552">
      <w:bodyDiv w:val="1"/>
      <w:marLeft w:val="0"/>
      <w:marRight w:val="0"/>
      <w:marTop w:val="0"/>
      <w:marBottom w:val="0"/>
      <w:divBdr>
        <w:top w:val="none" w:sz="0" w:space="0" w:color="auto"/>
        <w:left w:val="none" w:sz="0" w:space="0" w:color="auto"/>
        <w:bottom w:val="none" w:sz="0" w:space="0" w:color="auto"/>
        <w:right w:val="none" w:sz="0" w:space="0" w:color="auto"/>
      </w:divBdr>
    </w:div>
    <w:div w:id="1656492553">
      <w:bodyDiv w:val="1"/>
      <w:marLeft w:val="0"/>
      <w:marRight w:val="0"/>
      <w:marTop w:val="0"/>
      <w:marBottom w:val="0"/>
      <w:divBdr>
        <w:top w:val="none" w:sz="0" w:space="0" w:color="auto"/>
        <w:left w:val="none" w:sz="0" w:space="0" w:color="auto"/>
        <w:bottom w:val="none" w:sz="0" w:space="0" w:color="auto"/>
        <w:right w:val="none" w:sz="0" w:space="0" w:color="auto"/>
      </w:divBdr>
    </w:div>
    <w:div w:id="1783453286">
      <w:bodyDiv w:val="1"/>
      <w:marLeft w:val="0"/>
      <w:marRight w:val="0"/>
      <w:marTop w:val="0"/>
      <w:marBottom w:val="0"/>
      <w:divBdr>
        <w:top w:val="none" w:sz="0" w:space="0" w:color="auto"/>
        <w:left w:val="none" w:sz="0" w:space="0" w:color="auto"/>
        <w:bottom w:val="none" w:sz="0" w:space="0" w:color="auto"/>
        <w:right w:val="none" w:sz="0" w:space="0" w:color="auto"/>
      </w:divBdr>
    </w:div>
    <w:div w:id="1851136055">
      <w:bodyDiv w:val="1"/>
      <w:marLeft w:val="0"/>
      <w:marRight w:val="0"/>
      <w:marTop w:val="0"/>
      <w:marBottom w:val="0"/>
      <w:divBdr>
        <w:top w:val="none" w:sz="0" w:space="0" w:color="auto"/>
        <w:left w:val="none" w:sz="0" w:space="0" w:color="auto"/>
        <w:bottom w:val="none" w:sz="0" w:space="0" w:color="auto"/>
        <w:right w:val="none" w:sz="0" w:space="0" w:color="auto"/>
      </w:divBdr>
    </w:div>
    <w:div w:id="1939751520">
      <w:bodyDiv w:val="1"/>
      <w:marLeft w:val="0"/>
      <w:marRight w:val="0"/>
      <w:marTop w:val="0"/>
      <w:marBottom w:val="0"/>
      <w:divBdr>
        <w:top w:val="none" w:sz="0" w:space="0" w:color="auto"/>
        <w:left w:val="none" w:sz="0" w:space="0" w:color="auto"/>
        <w:bottom w:val="none" w:sz="0" w:space="0" w:color="auto"/>
        <w:right w:val="none" w:sz="0" w:space="0" w:color="auto"/>
      </w:divBdr>
    </w:div>
    <w:div w:id="195598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footer" Target="footer5.xml"/><Relationship Id="rId42" Type="http://schemas.openxmlformats.org/officeDocument/2006/relationships/chart" Target="charts/chart3.xml"/><Relationship Id="rId47" Type="http://schemas.openxmlformats.org/officeDocument/2006/relationships/chart" Target="charts/chart8.xml"/><Relationship Id="rId63" Type="http://schemas.openxmlformats.org/officeDocument/2006/relationships/header" Target="header20.xml"/><Relationship Id="rId68" Type="http://schemas.openxmlformats.org/officeDocument/2006/relationships/footer" Target="footer21.xml"/><Relationship Id="rId16" Type="http://schemas.openxmlformats.org/officeDocument/2006/relationships/header" Target="header4.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chart" Target="charts/chart6.xml"/><Relationship Id="rId53" Type="http://schemas.openxmlformats.org/officeDocument/2006/relationships/footer" Target="footer13.xml"/><Relationship Id="rId58" Type="http://schemas.openxmlformats.org/officeDocument/2006/relationships/header" Target="header18.xml"/><Relationship Id="rId66" Type="http://schemas.openxmlformats.org/officeDocument/2006/relationships/footer" Target="footer20.xml"/><Relationship Id="rId74" Type="http://schemas.openxmlformats.org/officeDocument/2006/relationships/footer" Target="footer24.xml"/><Relationship Id="rId79" Type="http://schemas.openxmlformats.org/officeDocument/2006/relationships/customXml" Target="../customXml/item4.xml"/><Relationship Id="rId5" Type="http://schemas.openxmlformats.org/officeDocument/2006/relationships/webSettings" Target="webSettings.xml"/><Relationship Id="rId61" Type="http://schemas.openxmlformats.org/officeDocument/2006/relationships/header" Target="header19.xml"/><Relationship Id="rId19" Type="http://schemas.openxmlformats.org/officeDocument/2006/relationships/header" Target="header6.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1.xml"/><Relationship Id="rId35" Type="http://schemas.openxmlformats.org/officeDocument/2006/relationships/footer" Target="footer12.xml"/><Relationship Id="rId43" Type="http://schemas.openxmlformats.org/officeDocument/2006/relationships/chart" Target="charts/chart4.xml"/><Relationship Id="rId48" Type="http://schemas.openxmlformats.org/officeDocument/2006/relationships/chart" Target="charts/chart9.xml"/><Relationship Id="rId56" Type="http://schemas.openxmlformats.org/officeDocument/2006/relationships/footer" Target="footer15.xml"/><Relationship Id="rId64" Type="http://schemas.openxmlformats.org/officeDocument/2006/relationships/header" Target="header21.xml"/><Relationship Id="rId69" Type="http://schemas.openxmlformats.org/officeDocument/2006/relationships/header" Target="header23.xml"/><Relationship Id="rId77" Type="http://schemas.openxmlformats.org/officeDocument/2006/relationships/customXml" Target="../customXml/item2.xml"/><Relationship Id="rId8" Type="http://schemas.openxmlformats.org/officeDocument/2006/relationships/image" Target="media/image3.png"/><Relationship Id="rId51" Type="http://schemas.openxmlformats.org/officeDocument/2006/relationships/header" Target="header14.xml"/><Relationship Id="rId72" Type="http://schemas.openxmlformats.org/officeDocument/2006/relationships/footer" Target="footer2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footer" Target="footer11.xml"/><Relationship Id="rId38" Type="http://schemas.openxmlformats.org/officeDocument/2006/relationships/image" Target="media/image8.png"/><Relationship Id="rId46" Type="http://schemas.openxmlformats.org/officeDocument/2006/relationships/chart" Target="charts/chart7.xml"/><Relationship Id="rId59" Type="http://schemas.openxmlformats.org/officeDocument/2006/relationships/footer" Target="footer16.xml"/><Relationship Id="rId67" Type="http://schemas.openxmlformats.org/officeDocument/2006/relationships/header" Target="header22.xml"/><Relationship Id="rId20" Type="http://schemas.openxmlformats.org/officeDocument/2006/relationships/footer" Target="footer4.xml"/><Relationship Id="rId41" Type="http://schemas.openxmlformats.org/officeDocument/2006/relationships/chart" Target="charts/chart2.xml"/><Relationship Id="rId54" Type="http://schemas.openxmlformats.org/officeDocument/2006/relationships/footer" Target="footer14.xml"/><Relationship Id="rId62" Type="http://schemas.openxmlformats.org/officeDocument/2006/relationships/footer" Target="footer18.xml"/><Relationship Id="rId70" Type="http://schemas.openxmlformats.org/officeDocument/2006/relationships/header" Target="header24.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6.png"/><Relationship Id="rId49" Type="http://schemas.openxmlformats.org/officeDocument/2006/relationships/image" Target="media/image10.png"/><Relationship Id="rId57" Type="http://schemas.openxmlformats.org/officeDocument/2006/relationships/header" Target="header17.xml"/><Relationship Id="rId10" Type="http://schemas.openxmlformats.org/officeDocument/2006/relationships/image" Target="media/image5.jpeg"/><Relationship Id="rId31" Type="http://schemas.openxmlformats.org/officeDocument/2006/relationships/header" Target="header12.xml"/><Relationship Id="rId44" Type="http://schemas.openxmlformats.org/officeDocument/2006/relationships/chart" Target="charts/chart5.xml"/><Relationship Id="rId52" Type="http://schemas.openxmlformats.org/officeDocument/2006/relationships/header" Target="header15.xml"/><Relationship Id="rId60" Type="http://schemas.openxmlformats.org/officeDocument/2006/relationships/footer" Target="footer17.xml"/><Relationship Id="rId65" Type="http://schemas.openxmlformats.org/officeDocument/2006/relationships/footer" Target="footer19.xml"/><Relationship Id="rId73" Type="http://schemas.openxmlformats.org/officeDocument/2006/relationships/header" Target="header25.xml"/><Relationship Id="rId78"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chart" Target="charts/chart1.xml"/><Relationship Id="rId34" Type="http://schemas.openxmlformats.org/officeDocument/2006/relationships/header" Target="header13.xml"/><Relationship Id="rId50" Type="http://schemas.openxmlformats.org/officeDocument/2006/relationships/image" Target="media/image11.png"/><Relationship Id="rId55" Type="http://schemas.openxmlformats.org/officeDocument/2006/relationships/header" Target="header16.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22.xml"/><Relationship Id="rId2" Type="http://schemas.openxmlformats.org/officeDocument/2006/relationships/numbering" Target="numbering.xml"/><Relationship Id="rId29" Type="http://schemas.openxmlformats.org/officeDocument/2006/relationships/footer" Target="footer9.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Previous%20template\ACIL%20Allen%20Report.dotm"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orp.acilallen.com.au\aac_data$\03_Projects\JCH00034%20-%20Adult%20Migrant%20English%20Program\9%20-%20Data\AMEP%20data\Stata\Summary_and_charts_AMEP_20141231%20-%20lates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corp.acilallen.com.au\aac_data$\03_Projects\JCH00034%20-%20Adult%20Migrant%20English%20Program\9%20-%20Data\Alignment%20report\Alignment_report_charts_20150108.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2" Type="http://schemas.openxmlformats.org/officeDocument/2006/relationships/oleObject" Target="file:///\\corp.acilallen.com.au\aac_data$\03_Projects\JCH00034%20-%20Adult%20Migrant%20English%20Program\9%20-%20Data\SEE%20data\STATA\SEE%20Program%20-%20Charts%20&amp;%20Data_29.12.14.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orp.acilallen.com.au\aac_data$\03_Projects\JCH00034%20-%20Adult%20Migrant%20English%20Program\9%20-%20Data\AMEP%20data\Stata\Summary_and_charts_AMEP_20150105-%20latest.xlsx" TargetMode="Externa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corp.acilallen.com.au\aac_data$\03_Projects\JCH00034%20-%20Adult%20Migrant%20English%20Program\9%20-%20Data\SEE%20data\STATA\SEE%20Program%20-%20Charts%20&amp;%20Data_29.12.14.xlsx" TargetMode="External"/><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orp.acilallen.com.au\aac_data$\03_Projects\JCH00034%20-%20Adult%20Migrant%20English%20Program\9%20-%20Data\SEE%20data\STATA\SEE%20Program%20-%20Charts%20&amp;%20Data_05.01.201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orp.acilallen.com.au\aac_data$\03_Projects\JCH00034%20-%20Adult%20Migrant%20English%20Program\9%20-%20Data\Alignment%20report\Alignment_report_charts_20150108.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orp.acilallen.com.au\aac_data$\03_Projects\JCH00034%20-%20Adult%20Migrant%20English%20Program\9%20-%20Data\Alignment%20report\Alignment_report_charts_20150108.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orp.acilallen.com.au\aac_data$\03_Projects\JCH00034%20-%20Adult%20Migrant%20English%20Program\9%20-%20Data\Alignment%20report\Alignment_report_charts_2015010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Enrolments!$I$4</c:f>
              <c:strCache>
                <c:ptCount val="1"/>
                <c:pt idx="0">
                  <c:v>Family</c:v>
                </c:pt>
              </c:strCache>
            </c:strRef>
          </c:tx>
          <c:spPr>
            <a:solidFill>
              <a:schemeClr val="accent1"/>
            </a:solidFill>
            <a:ln>
              <a:noFill/>
            </a:ln>
            <a:effectLst/>
          </c:spPr>
          <c:invertIfNegative val="0"/>
          <c:cat>
            <c:strRef>
              <c:f>Enrolments!$H$5:$H$14</c:f>
              <c:strCache>
                <c:ptCount val="10"/>
                <c:pt idx="0">
                  <c:v>2004-05</c:v>
                </c:pt>
                <c:pt idx="1">
                  <c:v>2005-06</c:v>
                </c:pt>
                <c:pt idx="2">
                  <c:v>2006-07</c:v>
                </c:pt>
                <c:pt idx="3">
                  <c:v>2007-08</c:v>
                </c:pt>
                <c:pt idx="4">
                  <c:v>2008-09</c:v>
                </c:pt>
                <c:pt idx="5">
                  <c:v>2009-10</c:v>
                </c:pt>
                <c:pt idx="6">
                  <c:v>2010-11</c:v>
                </c:pt>
                <c:pt idx="7">
                  <c:v>2011-12</c:v>
                </c:pt>
                <c:pt idx="8">
                  <c:v>2012-13</c:v>
                </c:pt>
                <c:pt idx="9">
                  <c:v>2013-14</c:v>
                </c:pt>
              </c:strCache>
            </c:strRef>
          </c:cat>
          <c:val>
            <c:numRef>
              <c:f>Enrolments!$I$5:$I$14</c:f>
              <c:numCache>
                <c:formatCode>#,##0</c:formatCode>
                <c:ptCount val="10"/>
                <c:pt idx="0">
                  <c:v>10977</c:v>
                </c:pt>
                <c:pt idx="1">
                  <c:v>11800</c:v>
                </c:pt>
                <c:pt idx="2">
                  <c:v>12895</c:v>
                </c:pt>
                <c:pt idx="3">
                  <c:v>12968</c:v>
                </c:pt>
                <c:pt idx="4">
                  <c:v>14525</c:v>
                </c:pt>
                <c:pt idx="5">
                  <c:v>15376</c:v>
                </c:pt>
                <c:pt idx="6">
                  <c:v>14669</c:v>
                </c:pt>
                <c:pt idx="7">
                  <c:v>14878</c:v>
                </c:pt>
                <c:pt idx="8">
                  <c:v>16338</c:v>
                </c:pt>
                <c:pt idx="9">
                  <c:v>16457</c:v>
                </c:pt>
              </c:numCache>
            </c:numRef>
          </c:val>
        </c:ser>
        <c:ser>
          <c:idx val="1"/>
          <c:order val="1"/>
          <c:tx>
            <c:strRef>
              <c:f>Enrolments!$J$4</c:f>
              <c:strCache>
                <c:ptCount val="1"/>
                <c:pt idx="0">
                  <c:v>Humanitarian</c:v>
                </c:pt>
              </c:strCache>
            </c:strRef>
          </c:tx>
          <c:spPr>
            <a:solidFill>
              <a:schemeClr val="accent2"/>
            </a:solidFill>
            <a:ln>
              <a:noFill/>
            </a:ln>
            <a:effectLst/>
          </c:spPr>
          <c:invertIfNegative val="0"/>
          <c:cat>
            <c:strRef>
              <c:f>Enrolments!$H$5:$H$14</c:f>
              <c:strCache>
                <c:ptCount val="10"/>
                <c:pt idx="0">
                  <c:v>2004-05</c:v>
                </c:pt>
                <c:pt idx="1">
                  <c:v>2005-06</c:v>
                </c:pt>
                <c:pt idx="2">
                  <c:v>2006-07</c:v>
                </c:pt>
                <c:pt idx="3">
                  <c:v>2007-08</c:v>
                </c:pt>
                <c:pt idx="4">
                  <c:v>2008-09</c:v>
                </c:pt>
                <c:pt idx="5">
                  <c:v>2009-10</c:v>
                </c:pt>
                <c:pt idx="6">
                  <c:v>2010-11</c:v>
                </c:pt>
                <c:pt idx="7">
                  <c:v>2011-12</c:v>
                </c:pt>
                <c:pt idx="8">
                  <c:v>2012-13</c:v>
                </c:pt>
                <c:pt idx="9">
                  <c:v>2013-14</c:v>
                </c:pt>
              </c:strCache>
            </c:strRef>
          </c:cat>
          <c:val>
            <c:numRef>
              <c:f>Enrolments!$J$5:$J$14</c:f>
              <c:numCache>
                <c:formatCode>#,##0</c:formatCode>
                <c:ptCount val="10"/>
                <c:pt idx="0">
                  <c:v>6561</c:v>
                </c:pt>
                <c:pt idx="1">
                  <c:v>6772</c:v>
                </c:pt>
                <c:pt idx="2">
                  <c:v>6447</c:v>
                </c:pt>
                <c:pt idx="3">
                  <c:v>5452</c:v>
                </c:pt>
                <c:pt idx="4">
                  <c:v>5901</c:v>
                </c:pt>
                <c:pt idx="5">
                  <c:v>7787</c:v>
                </c:pt>
                <c:pt idx="6">
                  <c:v>5970</c:v>
                </c:pt>
                <c:pt idx="7">
                  <c:v>8443</c:v>
                </c:pt>
                <c:pt idx="8">
                  <c:v>7548</c:v>
                </c:pt>
                <c:pt idx="9">
                  <c:v>8266</c:v>
                </c:pt>
              </c:numCache>
            </c:numRef>
          </c:val>
        </c:ser>
        <c:ser>
          <c:idx val="2"/>
          <c:order val="2"/>
          <c:tx>
            <c:strRef>
              <c:f>Enrolments!$K$4</c:f>
              <c:strCache>
                <c:ptCount val="1"/>
                <c:pt idx="0">
                  <c:v>Skilled</c:v>
                </c:pt>
              </c:strCache>
            </c:strRef>
          </c:tx>
          <c:spPr>
            <a:solidFill>
              <a:schemeClr val="accent3"/>
            </a:solidFill>
            <a:ln>
              <a:noFill/>
            </a:ln>
            <a:effectLst/>
          </c:spPr>
          <c:invertIfNegative val="0"/>
          <c:cat>
            <c:strRef>
              <c:f>Enrolments!$H$5:$H$14</c:f>
              <c:strCache>
                <c:ptCount val="10"/>
                <c:pt idx="0">
                  <c:v>2004-05</c:v>
                </c:pt>
                <c:pt idx="1">
                  <c:v>2005-06</c:v>
                </c:pt>
                <c:pt idx="2">
                  <c:v>2006-07</c:v>
                </c:pt>
                <c:pt idx="3">
                  <c:v>2007-08</c:v>
                </c:pt>
                <c:pt idx="4">
                  <c:v>2008-09</c:v>
                </c:pt>
                <c:pt idx="5">
                  <c:v>2009-10</c:v>
                </c:pt>
                <c:pt idx="6">
                  <c:v>2010-11</c:v>
                </c:pt>
                <c:pt idx="7">
                  <c:v>2011-12</c:v>
                </c:pt>
                <c:pt idx="8">
                  <c:v>2012-13</c:v>
                </c:pt>
                <c:pt idx="9">
                  <c:v>2013-14</c:v>
                </c:pt>
              </c:strCache>
            </c:strRef>
          </c:cat>
          <c:val>
            <c:numRef>
              <c:f>Enrolments!$K$5:$K$14</c:f>
              <c:numCache>
                <c:formatCode>#,##0</c:formatCode>
                <c:ptCount val="10"/>
                <c:pt idx="0">
                  <c:v>2401</c:v>
                </c:pt>
                <c:pt idx="1">
                  <c:v>2970</c:v>
                </c:pt>
                <c:pt idx="2">
                  <c:v>3691</c:v>
                </c:pt>
                <c:pt idx="3">
                  <c:v>3666</c:v>
                </c:pt>
                <c:pt idx="4">
                  <c:v>4710</c:v>
                </c:pt>
                <c:pt idx="5">
                  <c:v>5065</c:v>
                </c:pt>
                <c:pt idx="6">
                  <c:v>4552</c:v>
                </c:pt>
                <c:pt idx="7">
                  <c:v>4614</c:v>
                </c:pt>
                <c:pt idx="8">
                  <c:v>5114</c:v>
                </c:pt>
                <c:pt idx="9">
                  <c:v>4916</c:v>
                </c:pt>
              </c:numCache>
            </c:numRef>
          </c:val>
        </c:ser>
        <c:dLbls>
          <c:showLegendKey val="0"/>
          <c:showVal val="0"/>
          <c:showCatName val="0"/>
          <c:showSerName val="0"/>
          <c:showPercent val="0"/>
          <c:showBubbleSize val="0"/>
        </c:dLbls>
        <c:gapWidth val="150"/>
        <c:overlap val="100"/>
        <c:axId val="802059336"/>
        <c:axId val="802058552"/>
      </c:barChart>
      <c:catAx>
        <c:axId val="8020593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058552"/>
        <c:crosses val="autoZero"/>
        <c:auto val="1"/>
        <c:lblAlgn val="ctr"/>
        <c:lblOffset val="100"/>
        <c:noMultiLvlLbl val="0"/>
      </c:catAx>
      <c:valAx>
        <c:axId val="802058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900"/>
                  <a:t>AMEP enrolments</a:t>
                </a:r>
              </a:p>
            </c:rich>
          </c:tx>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0593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'Enrolments commencements'!$B$22</c:f>
              <c:strCache>
                <c:ptCount val="1"/>
                <c:pt idx="0">
                  <c:v>AMEP commencements</c:v>
                </c:pt>
              </c:strCache>
            </c:strRef>
          </c:tx>
          <c:spPr>
            <a:ln w="28575" cap="rnd">
              <a:solidFill>
                <a:schemeClr val="accent1"/>
              </a:solidFill>
              <a:round/>
            </a:ln>
            <a:effectLst/>
          </c:spPr>
          <c:marker>
            <c:symbol val="none"/>
          </c:marker>
          <c:cat>
            <c:strRef>
              <c:f>'Enrolments commencements'!$A$29:$A$32</c:f>
              <c:strCache>
                <c:ptCount val="4"/>
                <c:pt idx="0">
                  <c:v>2010-11</c:v>
                </c:pt>
                <c:pt idx="1">
                  <c:v>2011-12</c:v>
                </c:pt>
                <c:pt idx="2">
                  <c:v>2012-13</c:v>
                </c:pt>
                <c:pt idx="3">
                  <c:v>2013-14</c:v>
                </c:pt>
              </c:strCache>
            </c:strRef>
          </c:cat>
          <c:val>
            <c:numRef>
              <c:f>'Enrolments commencements'!$B$29:$B$32</c:f>
              <c:numCache>
                <c:formatCode>#,##0</c:formatCode>
                <c:ptCount val="4"/>
                <c:pt idx="0">
                  <c:v>25191</c:v>
                </c:pt>
                <c:pt idx="1">
                  <c:v>27935</c:v>
                </c:pt>
                <c:pt idx="2">
                  <c:v>29000</c:v>
                </c:pt>
                <c:pt idx="3">
                  <c:v>29639</c:v>
                </c:pt>
              </c:numCache>
            </c:numRef>
          </c:val>
          <c:smooth val="0"/>
        </c:ser>
        <c:ser>
          <c:idx val="1"/>
          <c:order val="1"/>
          <c:tx>
            <c:strRef>
              <c:f>'Enrolments commencements'!$C$22</c:f>
              <c:strCache>
                <c:ptCount val="1"/>
                <c:pt idx="0">
                  <c:v>SEE commencements</c:v>
                </c:pt>
              </c:strCache>
            </c:strRef>
          </c:tx>
          <c:spPr>
            <a:ln w="28575" cap="rnd">
              <a:solidFill>
                <a:schemeClr val="accent2"/>
              </a:solidFill>
              <a:round/>
            </a:ln>
            <a:effectLst/>
          </c:spPr>
          <c:marker>
            <c:symbol val="none"/>
          </c:marker>
          <c:cat>
            <c:strRef>
              <c:f>'Enrolments commencements'!$A$29:$A$32</c:f>
              <c:strCache>
                <c:ptCount val="4"/>
                <c:pt idx="0">
                  <c:v>2010-11</c:v>
                </c:pt>
                <c:pt idx="1">
                  <c:v>2011-12</c:v>
                </c:pt>
                <c:pt idx="2">
                  <c:v>2012-13</c:v>
                </c:pt>
                <c:pt idx="3">
                  <c:v>2013-14</c:v>
                </c:pt>
              </c:strCache>
            </c:strRef>
          </c:cat>
          <c:val>
            <c:numRef>
              <c:f>'Enrolments commencements'!$C$29:$C$32</c:f>
              <c:numCache>
                <c:formatCode>General</c:formatCode>
                <c:ptCount val="4"/>
                <c:pt idx="0">
                  <c:v>24398</c:v>
                </c:pt>
                <c:pt idx="1">
                  <c:v>21185</c:v>
                </c:pt>
                <c:pt idx="2">
                  <c:v>23509</c:v>
                </c:pt>
                <c:pt idx="3">
                  <c:v>26027</c:v>
                </c:pt>
              </c:numCache>
            </c:numRef>
          </c:val>
          <c:smooth val="0"/>
        </c:ser>
        <c:dLbls>
          <c:showLegendKey val="0"/>
          <c:showVal val="0"/>
          <c:showCatName val="0"/>
          <c:showSerName val="0"/>
          <c:showPercent val="0"/>
          <c:showBubbleSize val="0"/>
        </c:dLbls>
        <c:smooth val="0"/>
        <c:axId val="554684048"/>
        <c:axId val="554684832"/>
      </c:lineChart>
      <c:catAx>
        <c:axId val="554684048"/>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684832"/>
        <c:crosses val="autoZero"/>
        <c:auto val="1"/>
        <c:lblAlgn val="ctr"/>
        <c:lblOffset val="100"/>
        <c:noMultiLvlLbl val="0"/>
      </c:catAx>
      <c:valAx>
        <c:axId val="55468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a:t>
                </a:r>
                <a:r>
                  <a:rPr lang="en-AU" baseline="0"/>
                  <a:t> annual enrolments/commencements</a:t>
                </a:r>
                <a:endParaRPr lang="en-A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6840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2319772528433944E-2"/>
          <c:y val="5.0925925925925923E-2"/>
          <c:w val="0.87712467191601051"/>
          <c:h val="0.67762430737824442"/>
        </c:manualLayout>
      </c:layout>
      <c:lineChart>
        <c:grouping val="standard"/>
        <c:varyColors val="0"/>
        <c:ser>
          <c:idx val="1"/>
          <c:order val="0"/>
          <c:tx>
            <c:strRef>
              <c:f>Age!$P$4</c:f>
              <c:strCache>
                <c:ptCount val="1"/>
                <c:pt idx="0">
                  <c:v>Proportion CALD</c:v>
                </c:pt>
              </c:strCache>
            </c:strRef>
          </c:tx>
          <c:spPr>
            <a:ln w="28575" cap="rnd">
              <a:solidFill>
                <a:srgbClr val="9757A6"/>
              </a:solidFill>
              <a:round/>
            </a:ln>
            <a:effectLst/>
          </c:spPr>
          <c:marker>
            <c:symbol val="none"/>
          </c:marker>
          <c:cat>
            <c:strRef>
              <c:f>Age!$N$5:$N$14</c:f>
              <c:strCache>
                <c:ptCount val="10"/>
                <c:pt idx="0">
                  <c:v>15 - 19</c:v>
                </c:pt>
                <c:pt idx="1">
                  <c:v>20 - 24</c:v>
                </c:pt>
                <c:pt idx="2">
                  <c:v>25 - 29</c:v>
                </c:pt>
                <c:pt idx="3">
                  <c:v>30 - 34</c:v>
                </c:pt>
                <c:pt idx="4">
                  <c:v>35 - 39</c:v>
                </c:pt>
                <c:pt idx="5">
                  <c:v>40 - 44</c:v>
                </c:pt>
                <c:pt idx="6">
                  <c:v>45 - 49</c:v>
                </c:pt>
                <c:pt idx="7">
                  <c:v>50 - 54</c:v>
                </c:pt>
                <c:pt idx="8">
                  <c:v>55 - 59</c:v>
                </c:pt>
                <c:pt idx="9">
                  <c:v>60+</c:v>
                </c:pt>
              </c:strCache>
            </c:strRef>
          </c:cat>
          <c:val>
            <c:numRef>
              <c:f>Age!$P$5:$P$14</c:f>
              <c:numCache>
                <c:formatCode>0%</c:formatCode>
                <c:ptCount val="10"/>
                <c:pt idx="0">
                  <c:v>0.12987920535090347</c:v>
                </c:pt>
                <c:pt idx="1">
                  <c:v>0.44017205422314909</c:v>
                </c:pt>
                <c:pt idx="2">
                  <c:v>0.66589662142650885</c:v>
                </c:pt>
                <c:pt idx="3">
                  <c:v>0.75621178613243134</c:v>
                </c:pt>
                <c:pt idx="4">
                  <c:v>0.78809936452917384</c:v>
                </c:pt>
                <c:pt idx="5">
                  <c:v>0.80566294013164763</c:v>
                </c:pt>
                <c:pt idx="6">
                  <c:v>0.82095884599066615</c:v>
                </c:pt>
                <c:pt idx="7">
                  <c:v>0.85177098495875792</c:v>
                </c:pt>
                <c:pt idx="8">
                  <c:v>0.87960074859638182</c:v>
                </c:pt>
                <c:pt idx="9">
                  <c:v>0.90020418580908623</c:v>
                </c:pt>
              </c:numCache>
            </c:numRef>
          </c:val>
          <c:smooth val="1"/>
        </c:ser>
        <c:dLbls>
          <c:showLegendKey val="0"/>
          <c:showVal val="0"/>
          <c:showCatName val="0"/>
          <c:showSerName val="0"/>
          <c:showPercent val="0"/>
          <c:showBubbleSize val="0"/>
        </c:dLbls>
        <c:smooth val="0"/>
        <c:axId val="747923760"/>
        <c:axId val="747922976"/>
      </c:lineChart>
      <c:catAx>
        <c:axId val="747923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900"/>
                  <a:t>Age Group</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22976"/>
        <c:crosses val="autoZero"/>
        <c:auto val="1"/>
        <c:lblAlgn val="ctr"/>
        <c:lblOffset val="100"/>
        <c:noMultiLvlLbl val="0"/>
      </c:catAx>
      <c:valAx>
        <c:axId val="747922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237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19927794604726"/>
          <c:y val="8.3705117308401619E-2"/>
          <c:w val="0.71582083321945122"/>
          <c:h val="0.77000550593090322"/>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59D9116B-A224-4690-B713-BF20AC45F50C}" type="CATEGORYNAME">
                      <a:rPr lang="en-US"/>
                      <a:pPr>
                        <a:defRPr sz="900" b="0" i="0" u="none" strike="noStrike" kern="1200" baseline="0">
                          <a:solidFill>
                            <a:schemeClr val="bg1"/>
                          </a:solidFill>
                          <a:latin typeface="+mn-lt"/>
                          <a:ea typeface="+mn-ea"/>
                          <a:cs typeface="+mn-cs"/>
                        </a:defRPr>
                      </a:pPr>
                      <a:t>[CATEGORY NAME]</a:t>
                    </a:fld>
                    <a:r>
                      <a:rPr lang="en-US" baseline="0"/>
                      <a:t> </a:t>
                    </a:r>
                    <a:fld id="{92980606-EE89-41B7-8894-57E88C865474}" type="VALUE">
                      <a:rPr lang="en-US" baseline="0"/>
                      <a:pPr>
                        <a:defRPr sz="900" b="0" i="0" u="none" strike="noStrike" kern="1200" baseline="0">
                          <a:solidFill>
                            <a:schemeClr val="bg1"/>
                          </a:solidFill>
                          <a:latin typeface="+mn-lt"/>
                          <a:ea typeface="+mn-ea"/>
                          <a:cs typeface="+mn-cs"/>
                        </a:defRPr>
                      </a:pPr>
                      <a:t>[VALUE]</a:t>
                    </a:fld>
                    <a:endParaRPr lang="en-US" baseline="0"/>
                  </a:p>
                </c:rich>
              </c:tx>
              <c:spPr>
                <a:noFill/>
                <a:ln>
                  <a:noFill/>
                </a:ln>
                <a:effectLst/>
              </c:spPr>
              <c:dLblPos val="in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Gender!$G$6:$G$7</c:f>
              <c:strCache>
                <c:ptCount val="2"/>
                <c:pt idx="0">
                  <c:v>Female</c:v>
                </c:pt>
                <c:pt idx="1">
                  <c:v>Male</c:v>
                </c:pt>
              </c:strCache>
            </c:strRef>
          </c:cat>
          <c:val>
            <c:numRef>
              <c:f>Gender!$L$6:$L$7</c:f>
              <c:numCache>
                <c:formatCode>0%</c:formatCode>
                <c:ptCount val="2"/>
                <c:pt idx="0">
                  <c:v>0.6311099181317944</c:v>
                </c:pt>
                <c:pt idx="1">
                  <c:v>0.36887218717845477</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84243177736755"/>
          <c:y val="9.6687529443434977E-2"/>
          <c:w val="0.7143151364452649"/>
          <c:h val="0.76559930008748911"/>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(gender.cald!$A$6,gender.cald!$A$9)</c:f>
              <c:strCache>
                <c:ptCount val="2"/>
                <c:pt idx="0">
                  <c:v>Female</c:v>
                </c:pt>
                <c:pt idx="1">
                  <c:v>Male</c:v>
                </c:pt>
              </c:strCache>
            </c:strRef>
          </c:cat>
          <c:val>
            <c:numRef>
              <c:f>(gender.cald!$C$6,gender.cald!$C$9)</c:f>
              <c:numCache>
                <c:formatCode>#,##0</c:formatCode>
                <c:ptCount val="2"/>
                <c:pt idx="0">
                  <c:v>36050</c:v>
                </c:pt>
                <c:pt idx="1">
                  <c:v>17581</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85940558008282"/>
          <c:y val="7.9403459182986746E-2"/>
          <c:w val="0.7309296598040852"/>
          <c:h val="0.7781589608991184"/>
        </c:manualLayout>
      </c:layout>
      <c:pieChart>
        <c:varyColors val="1"/>
        <c:ser>
          <c:idx val="0"/>
          <c:order val="0"/>
          <c:tx>
            <c:strRef>
              <c:f>gender.cald!$I$7</c:f>
              <c:strCache>
                <c:ptCount val="1"/>
                <c:pt idx="0">
                  <c:v>NonCALD</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gender.cald!$H$8:$H$9</c:f>
              <c:strCache>
                <c:ptCount val="2"/>
                <c:pt idx="0">
                  <c:v>Female</c:v>
                </c:pt>
                <c:pt idx="1">
                  <c:v>Male</c:v>
                </c:pt>
              </c:strCache>
            </c:strRef>
          </c:cat>
          <c:val>
            <c:numRef>
              <c:f>gender.cald!$I$8:$I$9</c:f>
              <c:numCache>
                <c:formatCode>General</c:formatCode>
                <c:ptCount val="2"/>
                <c:pt idx="0">
                  <c:v>0.45206634804610629</c:v>
                </c:pt>
                <c:pt idx="1">
                  <c:v>0.54793365195389376</c:v>
                </c:pt>
              </c:numCache>
            </c:numRef>
          </c:val>
        </c:ser>
        <c:dLbls>
          <c:dLblPos val="in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'AMEP Age'!$E$48</c:f>
              <c:strCache>
                <c:ptCount val="1"/>
                <c:pt idx="0">
                  <c:v>All clients</c:v>
                </c:pt>
              </c:strCache>
            </c:strRef>
          </c:tx>
          <c:spPr>
            <a:ln w="28575" cap="rnd">
              <a:solidFill>
                <a:schemeClr val="accent1"/>
              </a:solidFill>
              <a:round/>
            </a:ln>
            <a:effectLst/>
          </c:spPr>
          <c:marker>
            <c:symbol val="none"/>
          </c:marker>
          <c:cat>
            <c:strRef>
              <c:f>'AMEP Age'!$D$49:$D$59</c:f>
              <c:strCache>
                <c:ptCount val="11"/>
                <c:pt idx="0">
                  <c:v>&lt;19</c:v>
                </c:pt>
                <c:pt idx="1">
                  <c:v>20-24</c:v>
                </c:pt>
                <c:pt idx="2">
                  <c:v>25-29</c:v>
                </c:pt>
                <c:pt idx="3">
                  <c:v>30-34</c:v>
                </c:pt>
                <c:pt idx="4">
                  <c:v>35-39</c:v>
                </c:pt>
                <c:pt idx="5">
                  <c:v>40-44</c:v>
                </c:pt>
                <c:pt idx="6">
                  <c:v>45-49</c:v>
                </c:pt>
                <c:pt idx="7">
                  <c:v>50-54</c:v>
                </c:pt>
                <c:pt idx="8">
                  <c:v>55-59</c:v>
                </c:pt>
                <c:pt idx="9">
                  <c:v>60-64</c:v>
                </c:pt>
                <c:pt idx="10">
                  <c:v>65+</c:v>
                </c:pt>
              </c:strCache>
            </c:strRef>
          </c:cat>
          <c:val>
            <c:numRef>
              <c:f>'AMEP Age'!$E$49:$E$59</c:f>
              <c:numCache>
                <c:formatCode>0%</c:formatCode>
                <c:ptCount val="11"/>
                <c:pt idx="0">
                  <c:v>3.9958842213573119E-2</c:v>
                </c:pt>
                <c:pt idx="1">
                  <c:v>0.13344070147183823</c:v>
                </c:pt>
                <c:pt idx="2">
                  <c:v>0.18773319017581533</c:v>
                </c:pt>
                <c:pt idx="3">
                  <c:v>0.16530219657316692</c:v>
                </c:pt>
                <c:pt idx="4">
                  <c:v>0.12494967118507583</c:v>
                </c:pt>
                <c:pt idx="5">
                  <c:v>0.10301078155057487</c:v>
                </c:pt>
                <c:pt idx="6">
                  <c:v>7.0701919205475777E-2</c:v>
                </c:pt>
                <c:pt idx="7">
                  <c:v>5.1635127275980852E-2</c:v>
                </c:pt>
                <c:pt idx="8">
                  <c:v>5.194828434662014E-2</c:v>
                </c:pt>
                <c:pt idx="9">
                  <c:v>3.689885026618351E-2</c:v>
                </c:pt>
                <c:pt idx="10">
                  <c:v>3.4420435735695434E-2</c:v>
                </c:pt>
              </c:numCache>
            </c:numRef>
          </c:val>
          <c:smooth val="1"/>
        </c:ser>
        <c:dLbls>
          <c:showLegendKey val="0"/>
          <c:showVal val="0"/>
          <c:showCatName val="0"/>
          <c:showSerName val="0"/>
          <c:showPercent val="0"/>
          <c:showBubbleSize val="0"/>
        </c:dLbls>
        <c:smooth val="0"/>
        <c:axId val="792659240"/>
        <c:axId val="792657672"/>
      </c:lineChart>
      <c:catAx>
        <c:axId val="7926592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900"/>
                  <a:t>Age</a:t>
                </a:r>
                <a:r>
                  <a:rPr lang="en-AU" sz="900" baseline="0"/>
                  <a:t> group</a:t>
                </a:r>
                <a:endParaRPr lang="en-AU" sz="900"/>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657672"/>
        <c:crosses val="autoZero"/>
        <c:auto val="1"/>
        <c:lblAlgn val="ctr"/>
        <c:lblOffset val="100"/>
        <c:noMultiLvlLbl val="0"/>
      </c:catAx>
      <c:valAx>
        <c:axId val="792657672"/>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900" baseline="0"/>
                  <a:t>Proportion of enrolments</a:t>
                </a:r>
                <a:endParaRPr lang="en-AU" sz="900"/>
              </a:p>
            </c:rich>
          </c:tx>
          <c:layout/>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6592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71943671964575"/>
          <c:y val="5.1059941520467833E-2"/>
          <c:w val="0.76084308347216856"/>
          <c:h val="0.72421899560605063"/>
        </c:manualLayout>
      </c:layout>
      <c:lineChart>
        <c:grouping val="standard"/>
        <c:varyColors val="0"/>
        <c:ser>
          <c:idx val="0"/>
          <c:order val="0"/>
          <c:tx>
            <c:strRef>
              <c:f>'SEE Age'!$H$3</c:f>
              <c:strCache>
                <c:ptCount val="1"/>
                <c:pt idx="0">
                  <c:v>Non-CALD</c:v>
                </c:pt>
              </c:strCache>
            </c:strRef>
          </c:tx>
          <c:spPr>
            <a:ln w="28575" cap="rnd">
              <a:solidFill>
                <a:schemeClr val="accent3"/>
              </a:solidFill>
              <a:round/>
            </a:ln>
            <a:effectLst/>
          </c:spPr>
          <c:marker>
            <c:symbol val="none"/>
          </c:marker>
          <c:cat>
            <c:strRef>
              <c:f>'SEE Age'!$G$4:$G$14</c:f>
              <c:strCache>
                <c:ptCount val="11"/>
                <c:pt idx="0">
                  <c:v>&lt;19</c:v>
                </c:pt>
                <c:pt idx="1">
                  <c:v>20-24</c:v>
                </c:pt>
                <c:pt idx="2">
                  <c:v>25-29</c:v>
                </c:pt>
                <c:pt idx="3">
                  <c:v>30-34</c:v>
                </c:pt>
                <c:pt idx="4">
                  <c:v>35-39</c:v>
                </c:pt>
                <c:pt idx="5">
                  <c:v>40-44</c:v>
                </c:pt>
                <c:pt idx="6">
                  <c:v>45-49</c:v>
                </c:pt>
                <c:pt idx="7">
                  <c:v>50-54</c:v>
                </c:pt>
                <c:pt idx="8">
                  <c:v>55-59</c:v>
                </c:pt>
                <c:pt idx="9">
                  <c:v>60-64</c:v>
                </c:pt>
                <c:pt idx="10">
                  <c:v>65+</c:v>
                </c:pt>
              </c:strCache>
            </c:strRef>
          </c:cat>
          <c:val>
            <c:numRef>
              <c:f>'SEE Age'!$H$4:$H$14</c:f>
              <c:numCache>
                <c:formatCode>0%</c:formatCode>
                <c:ptCount val="11"/>
                <c:pt idx="0">
                  <c:v>0.34928268013144187</c:v>
                </c:pt>
                <c:pt idx="1">
                  <c:v>0.23473793518063071</c:v>
                </c:pt>
                <c:pt idx="2">
                  <c:v>0.12646882002514073</c:v>
                </c:pt>
                <c:pt idx="3">
                  <c:v>0.1024211619391157</c:v>
                </c:pt>
                <c:pt idx="4">
                  <c:v>0.10023501120402252</c:v>
                </c:pt>
                <c:pt idx="5">
                  <c:v>0.10165600918183308</c:v>
                </c:pt>
                <c:pt idx="6">
                  <c:v>9.2255561020932395E-2</c:v>
                </c:pt>
                <c:pt idx="7">
                  <c:v>6.6786904957096799E-2</c:v>
                </c:pt>
                <c:pt idx="8">
                  <c:v>4.2192709187298463E-2</c:v>
                </c:pt>
                <c:pt idx="9">
                  <c:v>2.0604470678253266E-2</c:v>
                </c:pt>
                <c:pt idx="10">
                  <c:v>8.0147471347278987E-5</c:v>
                </c:pt>
              </c:numCache>
            </c:numRef>
          </c:val>
          <c:smooth val="1"/>
        </c:ser>
        <c:ser>
          <c:idx val="1"/>
          <c:order val="1"/>
          <c:tx>
            <c:strRef>
              <c:f>'SEE Age'!$I$3</c:f>
              <c:strCache>
                <c:ptCount val="1"/>
                <c:pt idx="0">
                  <c:v>CALD</c:v>
                </c:pt>
              </c:strCache>
            </c:strRef>
          </c:tx>
          <c:spPr>
            <a:ln w="28575" cap="rnd">
              <a:solidFill>
                <a:schemeClr val="accent2"/>
              </a:solidFill>
              <a:round/>
            </a:ln>
            <a:effectLst/>
          </c:spPr>
          <c:marker>
            <c:symbol val="none"/>
          </c:marker>
          <c:cat>
            <c:strRef>
              <c:f>'SEE Age'!$G$4:$G$14</c:f>
              <c:strCache>
                <c:ptCount val="11"/>
                <c:pt idx="0">
                  <c:v>&lt;19</c:v>
                </c:pt>
                <c:pt idx="1">
                  <c:v>20-24</c:v>
                </c:pt>
                <c:pt idx="2">
                  <c:v>25-29</c:v>
                </c:pt>
                <c:pt idx="3">
                  <c:v>30-34</c:v>
                </c:pt>
                <c:pt idx="4">
                  <c:v>35-39</c:v>
                </c:pt>
                <c:pt idx="5">
                  <c:v>40-44</c:v>
                </c:pt>
                <c:pt idx="6">
                  <c:v>45-49</c:v>
                </c:pt>
                <c:pt idx="7">
                  <c:v>50-54</c:v>
                </c:pt>
                <c:pt idx="8">
                  <c:v>55-59</c:v>
                </c:pt>
                <c:pt idx="9">
                  <c:v>60-64</c:v>
                </c:pt>
                <c:pt idx="10">
                  <c:v>65+</c:v>
                </c:pt>
              </c:strCache>
            </c:strRef>
          </c:cat>
          <c:val>
            <c:numRef>
              <c:f>'SEE Age'!$I$4:$I$14</c:f>
              <c:numCache>
                <c:formatCode>0%</c:formatCode>
                <c:ptCount val="11"/>
                <c:pt idx="0">
                  <c:v>2.4283261161714201E-2</c:v>
                </c:pt>
                <c:pt idx="1">
                  <c:v>6.3031954606540236E-2</c:v>
                </c:pt>
                <c:pt idx="2">
                  <c:v>8.6083320889950729E-2</c:v>
                </c:pt>
                <c:pt idx="3">
                  <c:v>0.10850007466029565</c:v>
                </c:pt>
                <c:pt idx="4">
                  <c:v>0.1273144691652979</c:v>
                </c:pt>
                <c:pt idx="5">
                  <c:v>0.14392638494848439</c:v>
                </c:pt>
                <c:pt idx="6">
                  <c:v>0.1444676720919815</c:v>
                </c:pt>
                <c:pt idx="7">
                  <c:v>0.13106614902195013</c:v>
                </c:pt>
                <c:pt idx="8">
                  <c:v>0.10527101687322682</c:v>
                </c:pt>
                <c:pt idx="9">
                  <c:v>6.5831715693594153E-2</c:v>
                </c:pt>
                <c:pt idx="10">
                  <c:v>2.2398088696431239E-4</c:v>
                </c:pt>
              </c:numCache>
            </c:numRef>
          </c:val>
          <c:smooth val="1"/>
        </c:ser>
        <c:dLbls>
          <c:showLegendKey val="0"/>
          <c:showVal val="0"/>
          <c:showCatName val="0"/>
          <c:showSerName val="0"/>
          <c:showPercent val="0"/>
          <c:showBubbleSize val="0"/>
        </c:dLbls>
        <c:smooth val="0"/>
        <c:axId val="747924152"/>
        <c:axId val="669265496"/>
      </c:lineChart>
      <c:catAx>
        <c:axId val="74792415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900"/>
                  <a:t>Age</a:t>
                </a:r>
                <a:r>
                  <a:rPr lang="en-AU" sz="900" baseline="0"/>
                  <a:t> group</a:t>
                </a:r>
                <a:endParaRPr lang="en-AU" sz="900"/>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65496"/>
        <c:crosses val="autoZero"/>
        <c:auto val="1"/>
        <c:lblAlgn val="ctr"/>
        <c:lblOffset val="100"/>
        <c:noMultiLvlLbl val="0"/>
      </c:catAx>
      <c:valAx>
        <c:axId val="6692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900" baseline="0"/>
                  <a:t>Proportion of commencements</a:t>
                </a:r>
                <a:endParaRPr lang="en-AU" sz="900"/>
              </a:p>
            </c:rich>
          </c:tx>
          <c:layout/>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24152"/>
        <c:crosses val="autoZero"/>
        <c:crossBetween val="between"/>
      </c:valAx>
      <c:spPr>
        <a:noFill/>
        <a:ln>
          <a:noFill/>
        </a:ln>
        <a:effectLst/>
      </c:spPr>
    </c:plotArea>
    <c:legend>
      <c:legendPos val="r"/>
      <c:layout>
        <c:manualLayout>
          <c:xMode val="edge"/>
          <c:yMode val="edge"/>
          <c:x val="0.63115578078078083"/>
          <c:y val="5.960745614035088E-2"/>
          <c:w val="0.32117154654654656"/>
          <c:h val="0.16594590643274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86796518856196"/>
          <c:y val="4.9052396878483832E-2"/>
          <c:w val="0.8242548418289819"/>
          <c:h val="0.63768361324776601"/>
        </c:manualLayout>
      </c:layout>
      <c:lineChart>
        <c:grouping val="standard"/>
        <c:varyColors val="0"/>
        <c:ser>
          <c:idx val="0"/>
          <c:order val="0"/>
          <c:tx>
            <c:strRef>
              <c:f>'AMEP SEE CALD hours'!$J$20</c:f>
              <c:strCache>
                <c:ptCount val="1"/>
                <c:pt idx="0">
                  <c:v>AMEP</c:v>
                </c:pt>
              </c:strCache>
            </c:strRef>
          </c:tx>
          <c:spPr>
            <a:ln w="28575" cap="rnd">
              <a:solidFill>
                <a:schemeClr val="accent1"/>
              </a:solidFill>
              <a:round/>
            </a:ln>
            <a:effectLst/>
          </c:spPr>
          <c:marker>
            <c:symbol val="none"/>
          </c:marker>
          <c:cat>
            <c:strRef>
              <c:f>'AMEP SEE CALD hours'!$I$21:$I$34</c:f>
              <c:strCache>
                <c:ptCount val="14"/>
                <c:pt idx="0">
                  <c:v>No hours</c:v>
                </c:pt>
                <c:pt idx="1">
                  <c:v>&lt;100</c:v>
                </c:pt>
                <c:pt idx="2">
                  <c:v>100-200</c:v>
                </c:pt>
                <c:pt idx="3">
                  <c:v>200-300</c:v>
                </c:pt>
                <c:pt idx="4">
                  <c:v>300-400</c:v>
                </c:pt>
                <c:pt idx="5">
                  <c:v>400-500</c:v>
                </c:pt>
                <c:pt idx="6">
                  <c:v>500-600</c:v>
                </c:pt>
                <c:pt idx="7">
                  <c:v>600-700</c:v>
                </c:pt>
                <c:pt idx="8">
                  <c:v>700-800</c:v>
                </c:pt>
                <c:pt idx="9">
                  <c:v>800-900</c:v>
                </c:pt>
                <c:pt idx="10">
                  <c:v>900-1000</c:v>
                </c:pt>
                <c:pt idx="11">
                  <c:v>1000-1100</c:v>
                </c:pt>
                <c:pt idx="12">
                  <c:v>1100-1200</c:v>
                </c:pt>
                <c:pt idx="13">
                  <c:v>1200+</c:v>
                </c:pt>
              </c:strCache>
            </c:strRef>
          </c:cat>
          <c:val>
            <c:numRef>
              <c:f>'AMEP SEE CALD hours'!$J$21:$J$34</c:f>
              <c:numCache>
                <c:formatCode>0%</c:formatCode>
                <c:ptCount val="14"/>
                <c:pt idx="0">
                  <c:v>3.0773214563157077E-2</c:v>
                </c:pt>
                <c:pt idx="1">
                  <c:v>0.14069604847480449</c:v>
                </c:pt>
                <c:pt idx="2">
                  <c:v>0.12887254648091565</c:v>
                </c:pt>
                <c:pt idx="3">
                  <c:v>0.1135998757056295</c:v>
                </c:pt>
                <c:pt idx="4">
                  <c:v>0.10836915428038739</c:v>
                </c:pt>
                <c:pt idx="5">
                  <c:v>0.1822517996789062</c:v>
                </c:pt>
                <c:pt idx="6">
                  <c:v>0.2954373608161997</c:v>
                </c:pt>
                <c:pt idx="7">
                  <c:v>0</c:v>
                </c:pt>
                <c:pt idx="8" formatCode="General">
                  <c:v>0</c:v>
                </c:pt>
                <c:pt idx="9" formatCode="General">
                  <c:v>0</c:v>
                </c:pt>
                <c:pt idx="10">
                  <c:v>0</c:v>
                </c:pt>
                <c:pt idx="11">
                  <c:v>0</c:v>
                </c:pt>
                <c:pt idx="12">
                  <c:v>0</c:v>
                </c:pt>
                <c:pt idx="13">
                  <c:v>0</c:v>
                </c:pt>
              </c:numCache>
            </c:numRef>
          </c:val>
          <c:smooth val="1"/>
        </c:ser>
        <c:ser>
          <c:idx val="1"/>
          <c:order val="1"/>
          <c:tx>
            <c:strRef>
              <c:f>'AMEP SEE CALD hours'!$K$20</c:f>
              <c:strCache>
                <c:ptCount val="1"/>
                <c:pt idx="0">
                  <c:v>SEE: CALD only</c:v>
                </c:pt>
              </c:strCache>
            </c:strRef>
          </c:tx>
          <c:spPr>
            <a:ln w="28575" cap="rnd">
              <a:solidFill>
                <a:schemeClr val="accent2"/>
              </a:solidFill>
              <a:round/>
            </a:ln>
            <a:effectLst/>
          </c:spPr>
          <c:marker>
            <c:symbol val="none"/>
          </c:marker>
          <c:cat>
            <c:strRef>
              <c:f>'AMEP SEE CALD hours'!$I$21:$I$34</c:f>
              <c:strCache>
                <c:ptCount val="14"/>
                <c:pt idx="0">
                  <c:v>No hours</c:v>
                </c:pt>
                <c:pt idx="1">
                  <c:v>&lt;100</c:v>
                </c:pt>
                <c:pt idx="2">
                  <c:v>100-200</c:v>
                </c:pt>
                <c:pt idx="3">
                  <c:v>200-300</c:v>
                </c:pt>
                <c:pt idx="4">
                  <c:v>300-400</c:v>
                </c:pt>
                <c:pt idx="5">
                  <c:v>400-500</c:v>
                </c:pt>
                <c:pt idx="6">
                  <c:v>500-600</c:v>
                </c:pt>
                <c:pt idx="7">
                  <c:v>600-700</c:v>
                </c:pt>
                <c:pt idx="8">
                  <c:v>700-800</c:v>
                </c:pt>
                <c:pt idx="9">
                  <c:v>800-900</c:v>
                </c:pt>
                <c:pt idx="10">
                  <c:v>900-1000</c:v>
                </c:pt>
                <c:pt idx="11">
                  <c:v>1000-1100</c:v>
                </c:pt>
                <c:pt idx="12">
                  <c:v>1100-1200</c:v>
                </c:pt>
                <c:pt idx="13">
                  <c:v>1200+</c:v>
                </c:pt>
              </c:strCache>
            </c:strRef>
          </c:cat>
          <c:val>
            <c:numRef>
              <c:f>'AMEP SEE CALD hours'!$K$21:$K$34</c:f>
              <c:numCache>
                <c:formatCode>0.0%</c:formatCode>
                <c:ptCount val="14"/>
                <c:pt idx="0">
                  <c:v>2.7062867040134231E-5</c:v>
                </c:pt>
                <c:pt idx="1">
                  <c:v>0.2125788206002544</c:v>
                </c:pt>
                <c:pt idx="2">
                  <c:v>0.13385294038050391</c:v>
                </c:pt>
                <c:pt idx="3">
                  <c:v>0.11434061324456712</c:v>
                </c:pt>
                <c:pt idx="4">
                  <c:v>7.4801764498931014E-2</c:v>
                </c:pt>
                <c:pt idx="5">
                  <c:v>7.4071067088847392E-2</c:v>
                </c:pt>
                <c:pt idx="6">
                  <c:v>5.3340910936104574E-2</c:v>
                </c:pt>
                <c:pt idx="7">
                  <c:v>6.4734377960001088E-2</c:v>
                </c:pt>
                <c:pt idx="8">
                  <c:v>8.2271115802008063E-2</c:v>
                </c:pt>
                <c:pt idx="9">
                  <c:v>0.13366350031122298</c:v>
                </c:pt>
                <c:pt idx="10">
                  <c:v>9.4178777299667119E-3</c:v>
                </c:pt>
                <c:pt idx="11">
                  <c:v>9.1201861925252359E-3</c:v>
                </c:pt>
                <c:pt idx="12">
                  <c:v>4.9254418013044299E-3</c:v>
                </c:pt>
                <c:pt idx="13">
                  <c:v>3.2854320586722954E-2</c:v>
                </c:pt>
              </c:numCache>
            </c:numRef>
          </c:val>
          <c:smooth val="1"/>
        </c:ser>
        <c:ser>
          <c:idx val="2"/>
          <c:order val="2"/>
          <c:tx>
            <c:strRef>
              <c:f>'AMEP SEE CALD hours'!$L$20</c:f>
              <c:strCache>
                <c:ptCount val="1"/>
                <c:pt idx="0">
                  <c:v>SEE: non-CALD</c:v>
                </c:pt>
              </c:strCache>
            </c:strRef>
          </c:tx>
          <c:spPr>
            <a:ln w="28575" cap="rnd">
              <a:solidFill>
                <a:schemeClr val="accent3"/>
              </a:solidFill>
              <a:round/>
            </a:ln>
            <a:effectLst/>
          </c:spPr>
          <c:marker>
            <c:symbol val="none"/>
          </c:marker>
          <c:cat>
            <c:strRef>
              <c:f>'AMEP SEE CALD hours'!$I$21:$I$34</c:f>
              <c:strCache>
                <c:ptCount val="14"/>
                <c:pt idx="0">
                  <c:v>No hours</c:v>
                </c:pt>
                <c:pt idx="1">
                  <c:v>&lt;100</c:v>
                </c:pt>
                <c:pt idx="2">
                  <c:v>100-200</c:v>
                </c:pt>
                <c:pt idx="3">
                  <c:v>200-300</c:v>
                </c:pt>
                <c:pt idx="4">
                  <c:v>300-400</c:v>
                </c:pt>
                <c:pt idx="5">
                  <c:v>400-500</c:v>
                </c:pt>
                <c:pt idx="6">
                  <c:v>500-600</c:v>
                </c:pt>
                <c:pt idx="7">
                  <c:v>600-700</c:v>
                </c:pt>
                <c:pt idx="8">
                  <c:v>700-800</c:v>
                </c:pt>
                <c:pt idx="9">
                  <c:v>800-900</c:v>
                </c:pt>
                <c:pt idx="10">
                  <c:v>900-1000</c:v>
                </c:pt>
                <c:pt idx="11">
                  <c:v>1000-1100</c:v>
                </c:pt>
                <c:pt idx="12">
                  <c:v>1100-1200</c:v>
                </c:pt>
                <c:pt idx="13">
                  <c:v>1200+</c:v>
                </c:pt>
              </c:strCache>
            </c:strRef>
          </c:cat>
          <c:val>
            <c:numRef>
              <c:f>'AMEP SEE CALD hours'!$L$21:$L$34</c:f>
              <c:numCache>
                <c:formatCode>0.0%</c:formatCode>
                <c:ptCount val="14"/>
                <c:pt idx="0">
                  <c:v>6.8565729601695444E-4</c:v>
                </c:pt>
                <c:pt idx="1">
                  <c:v>0.50906937605186064</c:v>
                </c:pt>
                <c:pt idx="2">
                  <c:v>0.1770865798167425</c:v>
                </c:pt>
                <c:pt idx="3">
                  <c:v>9.5555694072181008E-2</c:v>
                </c:pt>
                <c:pt idx="4">
                  <c:v>6.0524839493860248E-2</c:v>
                </c:pt>
                <c:pt idx="5">
                  <c:v>4.0578445427912488E-2</c:v>
                </c:pt>
                <c:pt idx="6">
                  <c:v>2.4808327619522532E-2</c:v>
                </c:pt>
                <c:pt idx="7">
                  <c:v>2.2689023250015584E-2</c:v>
                </c:pt>
                <c:pt idx="8">
                  <c:v>2.7987284173782958E-2</c:v>
                </c:pt>
                <c:pt idx="9">
                  <c:v>3.0168921024745995E-2</c:v>
                </c:pt>
                <c:pt idx="10">
                  <c:v>2.4932992582434705E-3</c:v>
                </c:pt>
                <c:pt idx="11">
                  <c:v>1.3089821105778221E-3</c:v>
                </c:pt>
                <c:pt idx="12">
                  <c:v>1.1843171476656486E-3</c:v>
                </c:pt>
                <c:pt idx="13">
                  <c:v>5.8592532568721564E-3</c:v>
                </c:pt>
              </c:numCache>
            </c:numRef>
          </c:val>
          <c:smooth val="1"/>
        </c:ser>
        <c:dLbls>
          <c:showLegendKey val="0"/>
          <c:showVal val="0"/>
          <c:showCatName val="0"/>
          <c:showSerName val="0"/>
          <c:showPercent val="0"/>
          <c:showBubbleSize val="0"/>
        </c:dLbls>
        <c:smooth val="0"/>
        <c:axId val="669266672"/>
        <c:axId val="669267064"/>
      </c:lineChart>
      <c:catAx>
        <c:axId val="66926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Hours</a:t>
                </a:r>
              </a:p>
            </c:rich>
          </c:tx>
          <c:layout/>
          <c:overlay val="0"/>
          <c:spPr>
            <a:noFill/>
            <a:ln>
              <a:noFill/>
            </a:ln>
            <a:effectLst/>
          </c:sp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67064"/>
        <c:crosses val="autoZero"/>
        <c:auto val="1"/>
        <c:lblAlgn val="ctr"/>
        <c:lblOffset val="100"/>
        <c:noMultiLvlLbl val="0"/>
      </c:catAx>
      <c:valAx>
        <c:axId val="6692670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900"/>
                  <a:t>Proportion of enrolments/commencements</a:t>
                </a:r>
              </a:p>
            </c:rich>
          </c:tx>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66672"/>
        <c:crosses val="autoZero"/>
        <c:crossBetween val="between"/>
      </c:valAx>
      <c:spPr>
        <a:noFill/>
        <a:ln>
          <a:noFill/>
        </a:ln>
        <a:effectLst/>
      </c:spPr>
    </c:plotArea>
    <c:legend>
      <c:legendPos val="b"/>
      <c:layout>
        <c:manualLayout>
          <c:xMode val="edge"/>
          <c:yMode val="edge"/>
          <c:x val="0.18959922641248791"/>
          <c:y val="0.92474863718958211"/>
          <c:w val="0.6359141317861583"/>
          <c:h val="6.5029356879523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0.00824</cdr:x>
      <cdr:y>0.875</cdr:y>
    </cdr:from>
    <cdr:to>
      <cdr:x>0.98626</cdr:x>
      <cdr:y>0.97917</cdr:y>
    </cdr:to>
    <cdr:sp macro="" textlink="">
      <cdr:nvSpPr>
        <cdr:cNvPr id="2" name="TextBox 1"/>
        <cdr:cNvSpPr txBox="1"/>
      </cdr:nvSpPr>
      <cdr:spPr>
        <a:xfrm xmlns:a="http://schemas.openxmlformats.org/drawingml/2006/main">
          <a:off x="28575" y="2400300"/>
          <a:ext cx="3390900"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endParaRPr lang="en-AU" sz="9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0.86842</cdr:y>
    </cdr:from>
    <cdr:to>
      <cdr:x>1</cdr:x>
      <cdr:y>1</cdr:y>
    </cdr:to>
    <cdr:sp macro="" textlink="">
      <cdr:nvSpPr>
        <cdr:cNvPr id="2" name="Text Box 1"/>
        <cdr:cNvSpPr txBox="1"/>
      </cdr:nvSpPr>
      <cdr:spPr>
        <a:xfrm xmlns:a="http://schemas.openxmlformats.org/drawingml/2006/main">
          <a:off x="50801" y="1663782"/>
          <a:ext cx="1992629" cy="24439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endParaRPr lang="en-AU" sz="900"/>
        </a:p>
      </cdr:txBody>
    </cdr:sp>
  </cdr:relSizeAnchor>
</c:userShapes>
</file>

<file path=word/drawings/drawing3.xml><?xml version="1.0" encoding="utf-8"?>
<c:userShapes xmlns:c="http://schemas.openxmlformats.org/drawingml/2006/chart">
  <cdr:relSizeAnchor xmlns:cdr="http://schemas.openxmlformats.org/drawingml/2006/chartDrawing">
    <cdr:from>
      <cdr:x>0.01875</cdr:x>
      <cdr:y>0.87153</cdr:y>
    </cdr:from>
    <cdr:to>
      <cdr:x>0.97917</cdr:x>
      <cdr:y>0.98264</cdr:y>
    </cdr:to>
    <cdr:sp macro="" textlink="">
      <cdr:nvSpPr>
        <cdr:cNvPr id="2" name="TextBox 1"/>
        <cdr:cNvSpPr txBox="1"/>
      </cdr:nvSpPr>
      <cdr:spPr>
        <a:xfrm xmlns:a="http://schemas.openxmlformats.org/drawingml/2006/main">
          <a:off x="85725" y="2390775"/>
          <a:ext cx="4391025" cy="304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endParaRPr lang="en-AU" sz="900"/>
        </a:p>
      </cdr:txBody>
    </cdr:sp>
  </cdr:relSizeAnchor>
</c:userShapes>
</file>

<file path=word/theme/theme1.xml><?xml version="1.0" encoding="utf-8"?>
<a:theme xmlns:a="http://schemas.openxmlformats.org/drawingml/2006/main" name="Office Theme">
  <a:themeElements>
    <a:clrScheme name="ACIL Allen 1">
      <a:dk1>
        <a:sysClr val="windowText" lastClr="000000"/>
      </a:dk1>
      <a:lt1>
        <a:sysClr val="window" lastClr="FFFFFF"/>
      </a:lt1>
      <a:dk2>
        <a:srgbClr val="9757A6"/>
      </a:dk2>
      <a:lt2>
        <a:srgbClr val="F4E7ED"/>
      </a:lt2>
      <a:accent1>
        <a:srgbClr val="9757A6"/>
      </a:accent1>
      <a:accent2>
        <a:srgbClr val="FFAE3B"/>
      </a:accent2>
      <a:accent3>
        <a:srgbClr val="A5A5A5"/>
      </a:accent3>
      <a:accent4>
        <a:srgbClr val="B689C1"/>
      </a:accent4>
      <a:accent5>
        <a:srgbClr val="EA8B00"/>
      </a:accent5>
      <a:accent6>
        <a:srgbClr val="BFBFBF"/>
      </a:accent6>
      <a:hlink>
        <a:srgbClr val="FFDE66"/>
      </a:hlink>
      <a:folHlink>
        <a:srgbClr val="D490C5"/>
      </a:folHlink>
    </a:clrScheme>
    <a:fontScheme name="Arial with Arial Narrow">
      <a:majorFont>
        <a:latin typeface="Arial"/>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ACIL Allen 1">
    <a:dk1>
      <a:sysClr val="windowText" lastClr="000000"/>
    </a:dk1>
    <a:lt1>
      <a:sysClr val="window" lastClr="FFFFFF"/>
    </a:lt1>
    <a:dk2>
      <a:srgbClr val="9757A6"/>
    </a:dk2>
    <a:lt2>
      <a:srgbClr val="F4E7ED"/>
    </a:lt2>
    <a:accent1>
      <a:srgbClr val="9757A6"/>
    </a:accent1>
    <a:accent2>
      <a:srgbClr val="FFAE3B"/>
    </a:accent2>
    <a:accent3>
      <a:srgbClr val="A5A5A5"/>
    </a:accent3>
    <a:accent4>
      <a:srgbClr val="B689C1"/>
    </a:accent4>
    <a:accent5>
      <a:srgbClr val="EA8B00"/>
    </a:accent5>
    <a:accent6>
      <a:srgbClr val="BFBFBF"/>
    </a:accent6>
    <a:hlink>
      <a:srgbClr val="FFDE66"/>
    </a:hlink>
    <a:folHlink>
      <a:srgbClr val="D490C5"/>
    </a:folHlink>
  </a:clrScheme>
  <a:fontScheme name="Arial with Arial Narrow">
    <a:majorFont>
      <a:latin typeface="Arial"/>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ACIL Allen 1">
    <a:dk1>
      <a:sysClr val="windowText" lastClr="000000"/>
    </a:dk1>
    <a:lt1>
      <a:sysClr val="window" lastClr="FFFFFF"/>
    </a:lt1>
    <a:dk2>
      <a:srgbClr val="9757A6"/>
    </a:dk2>
    <a:lt2>
      <a:srgbClr val="F4E7ED"/>
    </a:lt2>
    <a:accent1>
      <a:srgbClr val="9757A6"/>
    </a:accent1>
    <a:accent2>
      <a:srgbClr val="FFAE3B"/>
    </a:accent2>
    <a:accent3>
      <a:srgbClr val="A5A5A5"/>
    </a:accent3>
    <a:accent4>
      <a:srgbClr val="B689C1"/>
    </a:accent4>
    <a:accent5>
      <a:srgbClr val="EA8B00"/>
    </a:accent5>
    <a:accent6>
      <a:srgbClr val="BFBFBF"/>
    </a:accent6>
    <a:hlink>
      <a:srgbClr val="FFDE66"/>
    </a:hlink>
    <a:folHlink>
      <a:srgbClr val="D490C5"/>
    </a:folHlink>
  </a:clrScheme>
  <a:fontScheme name="Arial with Arial Narrow">
    <a:majorFont>
      <a:latin typeface="Arial"/>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ACIL Allen 1">
    <a:dk1>
      <a:sysClr val="windowText" lastClr="000000"/>
    </a:dk1>
    <a:lt1>
      <a:sysClr val="window" lastClr="FFFFFF"/>
    </a:lt1>
    <a:dk2>
      <a:srgbClr val="9757A6"/>
    </a:dk2>
    <a:lt2>
      <a:srgbClr val="F4E7ED"/>
    </a:lt2>
    <a:accent1>
      <a:srgbClr val="9757A6"/>
    </a:accent1>
    <a:accent2>
      <a:srgbClr val="FFAE3B"/>
    </a:accent2>
    <a:accent3>
      <a:srgbClr val="A5A5A5"/>
    </a:accent3>
    <a:accent4>
      <a:srgbClr val="B689C1"/>
    </a:accent4>
    <a:accent5>
      <a:srgbClr val="EA8B00"/>
    </a:accent5>
    <a:accent6>
      <a:srgbClr val="BFBFBF"/>
    </a:accent6>
    <a:hlink>
      <a:srgbClr val="FFDE66"/>
    </a:hlink>
    <a:folHlink>
      <a:srgbClr val="D490C5"/>
    </a:folHlink>
  </a:clrScheme>
  <a:fontScheme name="Arial with Arial Narrow">
    <a:majorFont>
      <a:latin typeface="Arial"/>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26C48ED572418172509B111E379A" ma:contentTypeVersion="0" ma:contentTypeDescription="Create a new document." ma:contentTypeScope="" ma:versionID="4c3478f626a8d3f800ffa1fd7d8d20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E0957-EF01-452E-9393-0F7C42129BA5}"/>
</file>

<file path=customXml/itemProps2.xml><?xml version="1.0" encoding="utf-8"?>
<ds:datastoreItem xmlns:ds="http://schemas.openxmlformats.org/officeDocument/2006/customXml" ds:itemID="{D7BB5B79-6EFE-435D-90CF-C8348B26552C}"/>
</file>

<file path=customXml/itemProps3.xml><?xml version="1.0" encoding="utf-8"?>
<ds:datastoreItem xmlns:ds="http://schemas.openxmlformats.org/officeDocument/2006/customXml" ds:itemID="{D760362F-ABEA-42EE-82BA-D88922307FA4}"/>
</file>

<file path=customXml/itemProps4.xml><?xml version="1.0" encoding="utf-8"?>
<ds:datastoreItem xmlns:ds="http://schemas.openxmlformats.org/officeDocument/2006/customXml" ds:itemID="{FEE9E26F-A2FC-4D81-85F8-D01A6032B25B}"/>
</file>

<file path=docProps/app.xml><?xml version="1.0" encoding="utf-8"?>
<Properties xmlns="http://schemas.openxmlformats.org/officeDocument/2006/extended-properties" xmlns:vt="http://schemas.openxmlformats.org/officeDocument/2006/docPropsVTypes">
  <Template>ACIL Allen Report.dotm</Template>
  <TotalTime>15</TotalTime>
  <Pages>52</Pages>
  <Words>17213</Words>
  <Characters>100408</Characters>
  <Application>Microsoft Office Word</Application>
  <DocSecurity>0</DocSecurity>
  <Lines>836</Lines>
  <Paragraphs>234</Paragraphs>
  <ScaleCrop>false</ScaleCrop>
  <HeadingPairs>
    <vt:vector size="2" baseType="variant">
      <vt:variant>
        <vt:lpstr>Title</vt:lpstr>
      </vt:variant>
      <vt:variant>
        <vt:i4>1</vt:i4>
      </vt:variant>
    </vt:vector>
  </HeadingPairs>
  <TitlesOfParts>
    <vt:vector size="1" baseType="lpstr">
      <vt:lpstr/>
    </vt:vector>
  </TitlesOfParts>
  <Company>ACIL Allen Consulting Pty Ltd</Company>
  <LinksUpToDate>false</LinksUpToDate>
  <CharactersWithSpaces>117387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Gould</dc:creator>
  <cp:keywords/>
  <dc:description/>
  <cp:lastModifiedBy>Jonathan Chew</cp:lastModifiedBy>
  <cp:revision>4</cp:revision>
  <cp:lastPrinted>2015-05-28T06:00:00Z</cp:lastPrinted>
  <dcterms:created xsi:type="dcterms:W3CDTF">2015-05-28T05:45:00Z</dcterms:created>
  <dcterms:modified xsi:type="dcterms:W3CDTF">2015-05-28T06:15:00Z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quationNumberFormat">
    <vt:lpwstr>EquationNumberOnly</vt:lpwstr>
  </property>
  <property fmtid="{D5CDD505-2E9C-101B-9397-08002B2CF9AE}" pid="3" name="VersionNumber">
    <vt:i4>0</vt:i4>
  </property>
  <property fmtid="{D5CDD505-2E9C-101B-9397-08002B2CF9AE}" pid="4" name="ClassificationPty">
    <vt:lpwstr/>
  </property>
  <property fmtid="{D5CDD505-2E9C-101B-9397-08002B2CF9AE}" pid="5" name="FileNumberPty">
    <vt:lpwstr/>
  </property>
  <property fmtid="{D5CDD505-2E9C-101B-9397-08002B2CF9AE}" pid="6" name="CorporateTmplBased">
    <vt:lpwstr>No</vt:lpwstr>
  </property>
  <property fmtid="{D5CDD505-2E9C-101B-9397-08002B2CF9AE}" pid="7" name="ContentTypeId">
    <vt:lpwstr>0x010100980126C48ED572418172509B111E379A</vt:lpwstr>
  </property>
</Properties>
</file>