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BD9D" w14:textId="77777777" w:rsidR="00984FB8" w:rsidRPr="00C90260" w:rsidRDefault="00984FB8" w:rsidP="00C90260">
      <w:r>
        <w:rPr>
          <w:noProof/>
        </w:rPr>
        <w:drawing>
          <wp:inline distT="0" distB="0" distL="0" distR="0" wp14:anchorId="66DFA27E" wp14:editId="2C69B383">
            <wp:extent cx="2383155" cy="727075"/>
            <wp:effectExtent l="0" t="0" r="0" b="0"/>
            <wp:docPr id="2" name="Picture 3"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7">
                      <a:extLst>
                        <a:ext uri="{96DAC541-7B7A-43D3-8B79-37D633B846F1}">
                          <asvg:svgBlip xmlns:asvg="http://schemas.microsoft.com/office/drawing/2016/SVG/main" r:embed="rId8"/>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6E18661A" wp14:editId="3911F885">
            <wp:simplePos x="0" y="0"/>
            <wp:positionH relativeFrom="column">
              <wp:posOffset>-791972</wp:posOffset>
            </wp:positionH>
            <wp:positionV relativeFrom="page">
              <wp:posOffset>-36576</wp:posOffset>
            </wp:positionV>
            <wp:extent cx="7673234" cy="2450592"/>
            <wp:effectExtent l="0" t="0" r="0" b="0"/>
            <wp:wrapNone/>
            <wp:docPr id="4" name="Picture 4" descr="Background patter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 rectangle&#10;&#10;Description automatically generated with medium confidence"/>
                    <pic:cNvPicPr/>
                  </pic:nvPicPr>
                  <pic:blipFill>
                    <a:blip r:embed="rId9"/>
                    <a:stretch>
                      <a:fillRect/>
                    </a:stretch>
                  </pic:blipFill>
                  <pic:spPr>
                    <a:xfrm>
                      <a:off x="0" y="0"/>
                      <a:ext cx="7717927" cy="2464866"/>
                    </a:xfrm>
                    <a:prstGeom prst="rect">
                      <a:avLst/>
                    </a:prstGeom>
                  </pic:spPr>
                </pic:pic>
              </a:graphicData>
            </a:graphic>
            <wp14:sizeRelH relativeFrom="page">
              <wp14:pctWidth>0</wp14:pctWidth>
            </wp14:sizeRelH>
            <wp14:sizeRelV relativeFrom="page">
              <wp14:pctHeight>0</wp14:pctHeight>
            </wp14:sizeRelV>
          </wp:anchor>
        </w:drawing>
      </w:r>
    </w:p>
    <w:p w14:paraId="1B7A77A2" w14:textId="76BC52B6" w:rsidR="003E7C09" w:rsidRPr="00984FB8" w:rsidRDefault="003E7C09" w:rsidP="003E7C09">
      <w:pPr>
        <w:pStyle w:val="Title"/>
        <w:spacing w:line="240" w:lineRule="auto"/>
        <w:ind w:left="1276"/>
        <w:rPr>
          <w:noProof/>
          <w:color w:val="404246"/>
          <w:lang w:eastAsia="en-AU"/>
        </w:rPr>
      </w:pPr>
      <w:r w:rsidRPr="004B145C">
        <w:rPr>
          <w:noProof/>
          <w:color w:val="404246"/>
          <w:lang w:eastAsia="en-AU"/>
        </w:rPr>
        <w:t>Skills for Education and Employment (SEE) Program 2023</w:t>
      </w:r>
    </w:p>
    <w:p w14:paraId="35EA34C6" w14:textId="1780D181" w:rsidR="008C5FAA" w:rsidRDefault="008C5FAA" w:rsidP="003E7C09">
      <w:pPr>
        <w:ind w:left="1276"/>
        <w:rPr>
          <w:rFonts w:ascii="Calibri" w:eastAsiaTheme="minorEastAsia" w:hAnsi="Calibri"/>
          <w:noProof/>
          <w:color w:val="789B4A"/>
          <w:spacing w:val="15"/>
          <w:sz w:val="40"/>
          <w:lang w:eastAsia="en-AU"/>
        </w:rPr>
      </w:pPr>
      <w:r w:rsidRPr="001A0933">
        <w:rPr>
          <w:rFonts w:ascii="Calibri" w:eastAsiaTheme="minorEastAsia" w:hAnsi="Calibri"/>
          <w:noProof/>
          <w:color w:val="789B4A"/>
          <w:spacing w:val="15"/>
          <w:sz w:val="40"/>
          <w:lang w:eastAsia="en-AU"/>
        </w:rPr>
        <w:t>Delivery of the Skills for Education and Employment (SEE) Program 2023 - Stakeholder responses to consultation</w:t>
      </w:r>
      <w:r w:rsidRPr="00C17BCE" w:rsidDel="008C5FAA">
        <w:rPr>
          <w:rFonts w:ascii="Calibri" w:eastAsiaTheme="minorEastAsia" w:hAnsi="Calibri"/>
          <w:noProof/>
          <w:color w:val="789B4A"/>
          <w:spacing w:val="15"/>
          <w:sz w:val="40"/>
          <w:lang w:eastAsia="en-AU"/>
        </w:rPr>
        <w:t xml:space="preserve"> </w:t>
      </w:r>
    </w:p>
    <w:p w14:paraId="1605A91F" w14:textId="11C79A0C" w:rsidR="00930CDA" w:rsidRPr="0095636C" w:rsidRDefault="003E7C09" w:rsidP="003E7C09">
      <w:pPr>
        <w:ind w:left="1276"/>
      </w:pPr>
      <w:r>
        <w:rPr>
          <w:rFonts w:ascii="Calibri" w:eastAsiaTheme="minorEastAsia" w:hAnsi="Calibri"/>
          <w:noProof/>
          <w:color w:val="789B4A"/>
          <w:spacing w:val="15"/>
          <w:sz w:val="40"/>
          <w:lang w:eastAsia="en-AU"/>
        </w:rPr>
        <w:t>November</w:t>
      </w:r>
      <w:r w:rsidRPr="004B145C">
        <w:rPr>
          <w:rFonts w:ascii="Calibri" w:eastAsiaTheme="minorEastAsia" w:hAnsi="Calibri"/>
          <w:noProof/>
          <w:color w:val="789B4A"/>
          <w:spacing w:val="15"/>
          <w:sz w:val="40"/>
          <w:lang w:eastAsia="en-AU"/>
        </w:rPr>
        <w:t xml:space="preserve"> 2022</w:t>
      </w:r>
      <w:r w:rsidR="00930CDA">
        <w:rPr>
          <w:noProof/>
          <w:lang w:eastAsia="en-AU"/>
        </w:rPr>
        <w:br w:type="page"/>
      </w:r>
    </w:p>
    <w:p w14:paraId="7235D7E2" w14:textId="452DF573" w:rsidR="002B1CE5" w:rsidRDefault="002B1CE5" w:rsidP="002B1CE5">
      <w:pPr>
        <w:pStyle w:val="Title"/>
      </w:pPr>
      <w:r>
        <w:lastRenderedPageBreak/>
        <w:t>Title</w:t>
      </w:r>
    </w:p>
    <w:p w14:paraId="0F2E22E8" w14:textId="77FDE7DC" w:rsidR="001A0933" w:rsidRDefault="001A0933" w:rsidP="001A0933"/>
    <w:p w14:paraId="62B4CAFF" w14:textId="318E0BBA" w:rsidR="001A0933" w:rsidRDefault="001A0933" w:rsidP="001A0933"/>
    <w:p w14:paraId="3164B710" w14:textId="6B6C25D4" w:rsidR="001A0933" w:rsidRDefault="001A0933" w:rsidP="001A0933"/>
    <w:p w14:paraId="2EF4389E" w14:textId="25CC8309" w:rsidR="001A0933" w:rsidRDefault="001A0933" w:rsidP="001A0933"/>
    <w:p w14:paraId="31CBB37B" w14:textId="2C9E2CEE" w:rsidR="001A0933" w:rsidRDefault="001A0933" w:rsidP="001A0933"/>
    <w:p w14:paraId="4B2E7164" w14:textId="05800FE0" w:rsidR="001A0933" w:rsidRDefault="001A0933" w:rsidP="001A0933"/>
    <w:p w14:paraId="1CEDB408" w14:textId="15511429" w:rsidR="001A0933" w:rsidRDefault="001A0933" w:rsidP="001A0933"/>
    <w:p w14:paraId="627F2237" w14:textId="5254FB26" w:rsidR="001A0933" w:rsidRDefault="001A0933" w:rsidP="001A0933"/>
    <w:p w14:paraId="2133B194" w14:textId="2E8C0CA0" w:rsidR="001A0933" w:rsidRDefault="001A0933" w:rsidP="001A0933"/>
    <w:p w14:paraId="4DCD25EC" w14:textId="30DFCA78" w:rsidR="001A0933" w:rsidRDefault="001A0933" w:rsidP="001A0933"/>
    <w:p w14:paraId="14672587" w14:textId="1F3F6841" w:rsidR="001A0933" w:rsidRDefault="001A0933" w:rsidP="001A0933"/>
    <w:p w14:paraId="5E8F4BE5" w14:textId="3FB87283" w:rsidR="001A0933" w:rsidRDefault="001A0933" w:rsidP="001A0933"/>
    <w:p w14:paraId="220DD1E0" w14:textId="77777777" w:rsidR="001A0933" w:rsidRPr="00BB40CE" w:rsidRDefault="001A0933" w:rsidP="00BB40CE"/>
    <w:p w14:paraId="6E16E481" w14:textId="77777777" w:rsidR="008C5FAA" w:rsidRPr="003C539C" w:rsidRDefault="008C5FAA" w:rsidP="008C5FAA">
      <w:bookmarkStart w:id="0" w:name="_Toc30065222"/>
      <w:r w:rsidRPr="00D754FE">
        <w:t>978-1-76114-142-3 [PRINT]</w:t>
      </w:r>
      <w:r w:rsidRPr="00D754FE">
        <w:br/>
        <w:t>978-1-76114-142-3 [PDF]</w:t>
      </w:r>
      <w:r w:rsidRPr="00D754FE">
        <w:br/>
        <w:t>978-1-76114-142-3 [DOCX]</w:t>
      </w:r>
    </w:p>
    <w:p w14:paraId="7F492564" w14:textId="77777777" w:rsidR="008C5FAA" w:rsidRPr="003C539C" w:rsidRDefault="008C5FAA" w:rsidP="008C5FAA">
      <w:pPr>
        <w:pStyle w:val="numberedpara"/>
        <w:numPr>
          <w:ilvl w:val="0"/>
          <w:numId w:val="0"/>
        </w:numPr>
      </w:pPr>
      <w:r w:rsidRPr="003C539C">
        <w:rPr>
          <w:noProof/>
        </w:rPr>
        <w:drawing>
          <wp:inline distT="0" distB="0" distL="0" distR="0" wp14:anchorId="5AA7AAA6" wp14:editId="6D4A7DCA">
            <wp:extent cx="847725" cy="285750"/>
            <wp:effectExtent l="0" t="0" r="9525" b="0"/>
            <wp:docPr id="3"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0" r:link="rId11"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342C6956" w14:textId="3E6DB02A" w:rsidR="008C5FAA" w:rsidRPr="003C539C" w:rsidRDefault="008C5FAA" w:rsidP="008C5FAA">
      <w:r w:rsidRPr="003C539C">
        <w:t xml:space="preserve">With the exception of the Commonwealth Coat of Arms, the </w:t>
      </w:r>
      <w:r w:rsidRPr="008E5686">
        <w:t xml:space="preserve">Department’s </w:t>
      </w:r>
      <w:r w:rsidRPr="003C539C">
        <w:t xml:space="preserve">logo, any material protected by a trade mark and where otherwise noted all material presented in this document is provided under a </w:t>
      </w:r>
      <w:hyperlink r:id="rId12" w:history="1">
        <w:r w:rsidRPr="003C539C">
          <w:rPr>
            <w:rStyle w:val="Hyperlink"/>
            <w:color w:val="002D3F" w:themeColor="text2"/>
          </w:rPr>
          <w:t xml:space="preserve">Creative Commons Attribution </w:t>
        </w:r>
        <w:r w:rsidR="001A0933">
          <w:rPr>
            <w:rStyle w:val="Hyperlink"/>
            <w:color w:val="002D3F" w:themeColor="text2"/>
          </w:rPr>
          <w:t>4</w:t>
        </w:r>
        <w:r w:rsidRPr="003C539C">
          <w:rPr>
            <w:rStyle w:val="Hyperlink"/>
            <w:color w:val="002D3F" w:themeColor="text2"/>
          </w:rPr>
          <w:t>.0 Australia</w:t>
        </w:r>
      </w:hyperlink>
      <w:r>
        <w:t xml:space="preserve"> licence.</w:t>
      </w:r>
      <w:r>
        <w:br/>
      </w:r>
      <w:r w:rsidRPr="003C539C">
        <w:t xml:space="preserve">The details of the relevant licence conditions are available on the Creative Commons website (accessible using the links provided) as is the full legal code for the </w:t>
      </w:r>
      <w:hyperlink r:id="rId13" w:history="1">
        <w:r w:rsidRPr="003C539C">
          <w:rPr>
            <w:rStyle w:val="Hyperlink"/>
            <w:color w:val="002D3F" w:themeColor="text2"/>
          </w:rPr>
          <w:t>CC BY 3.0 AU licence</w:t>
        </w:r>
      </w:hyperlink>
      <w:r>
        <w:t>.</w:t>
      </w:r>
    </w:p>
    <w:p w14:paraId="26D1D366" w14:textId="77777777" w:rsidR="008C5FAA" w:rsidRDefault="008C5FAA" w:rsidP="008C5FAA">
      <w:r w:rsidRPr="00891EA5">
        <w:t xml:space="preserve">The document must be attributed as </w:t>
      </w:r>
      <w:r w:rsidRPr="00814F64">
        <w:rPr>
          <w:i/>
          <w:iCs/>
        </w:rPr>
        <w:t>Summary of Consultations - Delivery of the Skills for Education and Employment (SEE) Program 2023 - Stakeholder responses to consultation - June 2022</w:t>
      </w:r>
      <w:r w:rsidRPr="003C539C">
        <w:t>.</w:t>
      </w:r>
    </w:p>
    <w:p w14:paraId="7E57ECF9" w14:textId="1AB39679" w:rsidR="00EA67FC" w:rsidRDefault="00EA67FC" w:rsidP="00053554">
      <w:r>
        <w:br w:type="page"/>
      </w:r>
    </w:p>
    <w:p w14:paraId="0E2B11FC" w14:textId="77777777" w:rsidR="007855CC" w:rsidRDefault="007855CC" w:rsidP="007855CC">
      <w:pPr>
        <w:sectPr w:rsidR="007855CC" w:rsidSect="00EA67FC">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8" w:right="1440" w:bottom="1560" w:left="1276" w:header="708" w:footer="708" w:gutter="0"/>
          <w:cols w:space="708"/>
          <w:titlePg/>
          <w:docGrid w:linePitch="360"/>
        </w:sectPr>
      </w:pPr>
    </w:p>
    <w:sdt>
      <w:sdtPr>
        <w:rPr>
          <w:rFonts w:asciiTheme="minorHAnsi" w:eastAsiaTheme="minorEastAsia" w:hAnsiTheme="minorHAnsi" w:cstheme="minorBidi"/>
          <w:b w:val="0"/>
          <w:bCs/>
          <w:color w:val="000000" w:themeColor="text1"/>
          <w:sz w:val="22"/>
          <w:szCs w:val="22"/>
        </w:rPr>
        <w:id w:val="-139263470"/>
        <w:docPartObj>
          <w:docPartGallery w:val="Table of Contents"/>
          <w:docPartUnique/>
        </w:docPartObj>
      </w:sdtPr>
      <w:sdtEndPr>
        <w:rPr>
          <w:rFonts w:eastAsiaTheme="minorHAnsi"/>
          <w:bCs w:val="0"/>
          <w:color w:val="auto"/>
        </w:rPr>
      </w:sdtEndPr>
      <w:sdtContent>
        <w:p w14:paraId="255D9809" w14:textId="77777777" w:rsidR="007855CC" w:rsidRPr="003C539C" w:rsidRDefault="007855CC" w:rsidP="007855CC">
          <w:pPr>
            <w:pStyle w:val="TOCHeading"/>
          </w:pPr>
          <w:r w:rsidRPr="00D84395">
            <w:t>Contents</w:t>
          </w:r>
        </w:p>
        <w:p w14:paraId="32B4AD4D" w14:textId="5F370188" w:rsidR="006B71B2" w:rsidRDefault="0095636C">
          <w:pPr>
            <w:pStyle w:val="TOC1"/>
            <w:tabs>
              <w:tab w:val="right" w:leader="dot" w:pos="9060"/>
            </w:tabs>
            <w:rPr>
              <w:rFonts w:eastAsiaTheme="minorEastAsia"/>
              <w:b w:val="0"/>
              <w:noProof/>
              <w:lang w:eastAsia="en-AU"/>
            </w:rPr>
          </w:pPr>
          <w:r>
            <w:rPr>
              <w:rFonts w:ascii="Calibri" w:eastAsiaTheme="majorEastAsia" w:hAnsi="Calibri" w:cstheme="majorBidi"/>
              <w:b w:val="0"/>
              <w:color w:val="343741"/>
              <w:sz w:val="32"/>
              <w:szCs w:val="32"/>
            </w:rPr>
            <w:fldChar w:fldCharType="begin"/>
          </w:r>
          <w:r>
            <w:rPr>
              <w:rFonts w:ascii="Calibri" w:eastAsiaTheme="majorEastAsia" w:hAnsi="Calibri" w:cstheme="majorBidi"/>
              <w:b w:val="0"/>
              <w:color w:val="343741"/>
              <w:sz w:val="32"/>
              <w:szCs w:val="32"/>
            </w:rPr>
            <w:instrText xml:space="preserve"> TOC \o "1-3" \h \z \u </w:instrText>
          </w:r>
          <w:r>
            <w:rPr>
              <w:rFonts w:ascii="Calibri" w:eastAsiaTheme="majorEastAsia" w:hAnsi="Calibri" w:cstheme="majorBidi"/>
              <w:b w:val="0"/>
              <w:color w:val="343741"/>
              <w:sz w:val="32"/>
              <w:szCs w:val="32"/>
            </w:rPr>
            <w:fldChar w:fldCharType="separate"/>
          </w:r>
          <w:hyperlink w:anchor="_Toc119482134" w:history="1">
            <w:r w:rsidR="006B71B2" w:rsidRPr="004A125A">
              <w:rPr>
                <w:rStyle w:val="Hyperlink"/>
                <w:noProof/>
              </w:rPr>
              <w:t>Context and consultations</w:t>
            </w:r>
            <w:r w:rsidR="006B71B2">
              <w:rPr>
                <w:noProof/>
                <w:webHidden/>
              </w:rPr>
              <w:tab/>
            </w:r>
            <w:r w:rsidR="006B71B2">
              <w:rPr>
                <w:noProof/>
                <w:webHidden/>
              </w:rPr>
              <w:fldChar w:fldCharType="begin"/>
            </w:r>
            <w:r w:rsidR="006B71B2">
              <w:rPr>
                <w:noProof/>
                <w:webHidden/>
              </w:rPr>
              <w:instrText xml:space="preserve"> PAGEREF _Toc119482134 \h </w:instrText>
            </w:r>
            <w:r w:rsidR="006B71B2">
              <w:rPr>
                <w:noProof/>
                <w:webHidden/>
              </w:rPr>
            </w:r>
            <w:r w:rsidR="006B71B2">
              <w:rPr>
                <w:noProof/>
                <w:webHidden/>
              </w:rPr>
              <w:fldChar w:fldCharType="separate"/>
            </w:r>
            <w:r w:rsidR="006B71B2">
              <w:rPr>
                <w:noProof/>
                <w:webHidden/>
              </w:rPr>
              <w:t>4</w:t>
            </w:r>
            <w:r w:rsidR="006B71B2">
              <w:rPr>
                <w:noProof/>
                <w:webHidden/>
              </w:rPr>
              <w:fldChar w:fldCharType="end"/>
            </w:r>
          </w:hyperlink>
        </w:p>
        <w:p w14:paraId="58691FBD" w14:textId="18E1F89B" w:rsidR="006B71B2" w:rsidRDefault="00F20AC4">
          <w:pPr>
            <w:pStyle w:val="TOC2"/>
            <w:tabs>
              <w:tab w:val="right" w:leader="dot" w:pos="9060"/>
            </w:tabs>
            <w:rPr>
              <w:rFonts w:eastAsiaTheme="minorEastAsia"/>
              <w:noProof/>
              <w:lang w:eastAsia="en-AU"/>
            </w:rPr>
          </w:pPr>
          <w:hyperlink w:anchor="_Toc119482135" w:history="1">
            <w:r w:rsidR="006B71B2" w:rsidRPr="004A125A">
              <w:rPr>
                <w:rStyle w:val="Hyperlink"/>
                <w:noProof/>
              </w:rPr>
              <w:t>Project rationale</w:t>
            </w:r>
            <w:r w:rsidR="006B71B2">
              <w:rPr>
                <w:noProof/>
                <w:webHidden/>
              </w:rPr>
              <w:tab/>
            </w:r>
            <w:r w:rsidR="006B71B2">
              <w:rPr>
                <w:noProof/>
                <w:webHidden/>
              </w:rPr>
              <w:fldChar w:fldCharType="begin"/>
            </w:r>
            <w:r w:rsidR="006B71B2">
              <w:rPr>
                <w:noProof/>
                <w:webHidden/>
              </w:rPr>
              <w:instrText xml:space="preserve"> PAGEREF _Toc119482135 \h </w:instrText>
            </w:r>
            <w:r w:rsidR="006B71B2">
              <w:rPr>
                <w:noProof/>
                <w:webHidden/>
              </w:rPr>
            </w:r>
            <w:r w:rsidR="006B71B2">
              <w:rPr>
                <w:noProof/>
                <w:webHidden/>
              </w:rPr>
              <w:fldChar w:fldCharType="separate"/>
            </w:r>
            <w:r w:rsidR="006B71B2">
              <w:rPr>
                <w:noProof/>
                <w:webHidden/>
              </w:rPr>
              <w:t>4</w:t>
            </w:r>
            <w:r w:rsidR="006B71B2">
              <w:rPr>
                <w:noProof/>
                <w:webHidden/>
              </w:rPr>
              <w:fldChar w:fldCharType="end"/>
            </w:r>
          </w:hyperlink>
        </w:p>
        <w:p w14:paraId="53F37B69" w14:textId="4F38D242" w:rsidR="006B71B2" w:rsidRDefault="00F20AC4">
          <w:pPr>
            <w:pStyle w:val="TOC2"/>
            <w:tabs>
              <w:tab w:val="right" w:leader="dot" w:pos="9060"/>
            </w:tabs>
            <w:rPr>
              <w:rFonts w:eastAsiaTheme="minorEastAsia"/>
              <w:noProof/>
              <w:lang w:eastAsia="en-AU"/>
            </w:rPr>
          </w:pPr>
          <w:hyperlink w:anchor="_Toc119482136" w:history="1">
            <w:r w:rsidR="006B71B2" w:rsidRPr="004A125A">
              <w:rPr>
                <w:rStyle w:val="Hyperlink"/>
                <w:noProof/>
              </w:rPr>
              <w:t>Consultation approach</w:t>
            </w:r>
            <w:r w:rsidR="006B71B2">
              <w:rPr>
                <w:noProof/>
                <w:webHidden/>
              </w:rPr>
              <w:tab/>
            </w:r>
            <w:r w:rsidR="006B71B2">
              <w:rPr>
                <w:noProof/>
                <w:webHidden/>
              </w:rPr>
              <w:fldChar w:fldCharType="begin"/>
            </w:r>
            <w:r w:rsidR="006B71B2">
              <w:rPr>
                <w:noProof/>
                <w:webHidden/>
              </w:rPr>
              <w:instrText xml:space="preserve"> PAGEREF _Toc119482136 \h </w:instrText>
            </w:r>
            <w:r w:rsidR="006B71B2">
              <w:rPr>
                <w:noProof/>
                <w:webHidden/>
              </w:rPr>
            </w:r>
            <w:r w:rsidR="006B71B2">
              <w:rPr>
                <w:noProof/>
                <w:webHidden/>
              </w:rPr>
              <w:fldChar w:fldCharType="separate"/>
            </w:r>
            <w:r w:rsidR="006B71B2">
              <w:rPr>
                <w:noProof/>
                <w:webHidden/>
              </w:rPr>
              <w:t>4</w:t>
            </w:r>
            <w:r w:rsidR="006B71B2">
              <w:rPr>
                <w:noProof/>
                <w:webHidden/>
              </w:rPr>
              <w:fldChar w:fldCharType="end"/>
            </w:r>
          </w:hyperlink>
        </w:p>
        <w:p w14:paraId="3ED25E9C" w14:textId="6C69F0F1" w:rsidR="006B71B2" w:rsidRDefault="00F20AC4">
          <w:pPr>
            <w:pStyle w:val="TOC1"/>
            <w:tabs>
              <w:tab w:val="right" w:leader="dot" w:pos="9060"/>
            </w:tabs>
            <w:rPr>
              <w:rFonts w:eastAsiaTheme="minorEastAsia"/>
              <w:b w:val="0"/>
              <w:noProof/>
              <w:lang w:eastAsia="en-AU"/>
            </w:rPr>
          </w:pPr>
          <w:hyperlink w:anchor="_Toc119482137" w:history="1">
            <w:r w:rsidR="006B71B2" w:rsidRPr="004A125A">
              <w:rPr>
                <w:rStyle w:val="Hyperlink"/>
                <w:noProof/>
              </w:rPr>
              <w:t>Summary of key themes</w:t>
            </w:r>
            <w:r w:rsidR="006B71B2">
              <w:rPr>
                <w:noProof/>
                <w:webHidden/>
              </w:rPr>
              <w:tab/>
            </w:r>
            <w:r w:rsidR="006B71B2">
              <w:rPr>
                <w:noProof/>
                <w:webHidden/>
              </w:rPr>
              <w:fldChar w:fldCharType="begin"/>
            </w:r>
            <w:r w:rsidR="006B71B2">
              <w:rPr>
                <w:noProof/>
                <w:webHidden/>
              </w:rPr>
              <w:instrText xml:space="preserve"> PAGEREF _Toc119482137 \h </w:instrText>
            </w:r>
            <w:r w:rsidR="006B71B2">
              <w:rPr>
                <w:noProof/>
                <w:webHidden/>
              </w:rPr>
            </w:r>
            <w:r w:rsidR="006B71B2">
              <w:rPr>
                <w:noProof/>
                <w:webHidden/>
              </w:rPr>
              <w:fldChar w:fldCharType="separate"/>
            </w:r>
            <w:r w:rsidR="006B71B2">
              <w:rPr>
                <w:noProof/>
                <w:webHidden/>
              </w:rPr>
              <w:t>4</w:t>
            </w:r>
            <w:r w:rsidR="006B71B2">
              <w:rPr>
                <w:noProof/>
                <w:webHidden/>
              </w:rPr>
              <w:fldChar w:fldCharType="end"/>
            </w:r>
          </w:hyperlink>
        </w:p>
        <w:p w14:paraId="27845CFE" w14:textId="401A0942" w:rsidR="006B71B2" w:rsidRDefault="00F20AC4">
          <w:pPr>
            <w:pStyle w:val="TOC2"/>
            <w:tabs>
              <w:tab w:val="right" w:leader="dot" w:pos="9060"/>
            </w:tabs>
            <w:rPr>
              <w:rFonts w:eastAsiaTheme="minorEastAsia"/>
              <w:noProof/>
              <w:lang w:eastAsia="en-AU"/>
            </w:rPr>
          </w:pPr>
          <w:hyperlink w:anchor="_Toc119482138" w:history="1">
            <w:r w:rsidR="006B71B2" w:rsidRPr="004A125A">
              <w:rPr>
                <w:rStyle w:val="Hyperlink"/>
                <w:noProof/>
              </w:rPr>
              <w:t>Access and Engagement</w:t>
            </w:r>
            <w:r w:rsidR="006B71B2">
              <w:rPr>
                <w:noProof/>
                <w:webHidden/>
              </w:rPr>
              <w:tab/>
            </w:r>
            <w:r w:rsidR="006B71B2">
              <w:rPr>
                <w:noProof/>
                <w:webHidden/>
              </w:rPr>
              <w:fldChar w:fldCharType="begin"/>
            </w:r>
            <w:r w:rsidR="006B71B2">
              <w:rPr>
                <w:noProof/>
                <w:webHidden/>
              </w:rPr>
              <w:instrText xml:space="preserve"> PAGEREF _Toc119482138 \h </w:instrText>
            </w:r>
            <w:r w:rsidR="006B71B2">
              <w:rPr>
                <w:noProof/>
                <w:webHidden/>
              </w:rPr>
            </w:r>
            <w:r w:rsidR="006B71B2">
              <w:rPr>
                <w:noProof/>
                <w:webHidden/>
              </w:rPr>
              <w:fldChar w:fldCharType="separate"/>
            </w:r>
            <w:r w:rsidR="006B71B2">
              <w:rPr>
                <w:noProof/>
                <w:webHidden/>
              </w:rPr>
              <w:t>5</w:t>
            </w:r>
            <w:r w:rsidR="006B71B2">
              <w:rPr>
                <w:noProof/>
                <w:webHidden/>
              </w:rPr>
              <w:fldChar w:fldCharType="end"/>
            </w:r>
          </w:hyperlink>
        </w:p>
        <w:p w14:paraId="1BF03958" w14:textId="3329E6ED" w:rsidR="006B71B2" w:rsidRDefault="00F20AC4">
          <w:pPr>
            <w:pStyle w:val="TOC2"/>
            <w:tabs>
              <w:tab w:val="right" w:leader="dot" w:pos="9060"/>
            </w:tabs>
            <w:rPr>
              <w:rFonts w:eastAsiaTheme="minorEastAsia"/>
              <w:noProof/>
              <w:lang w:eastAsia="en-AU"/>
            </w:rPr>
          </w:pPr>
          <w:hyperlink w:anchor="_Toc119482139" w:history="1">
            <w:r w:rsidR="006B71B2" w:rsidRPr="004A125A">
              <w:rPr>
                <w:rStyle w:val="Hyperlink"/>
                <w:noProof/>
              </w:rPr>
              <w:t>Training delivery</w:t>
            </w:r>
            <w:r w:rsidR="006B71B2">
              <w:rPr>
                <w:noProof/>
                <w:webHidden/>
              </w:rPr>
              <w:tab/>
            </w:r>
            <w:r w:rsidR="006B71B2">
              <w:rPr>
                <w:noProof/>
                <w:webHidden/>
              </w:rPr>
              <w:fldChar w:fldCharType="begin"/>
            </w:r>
            <w:r w:rsidR="006B71B2">
              <w:rPr>
                <w:noProof/>
                <w:webHidden/>
              </w:rPr>
              <w:instrText xml:space="preserve"> PAGEREF _Toc119482139 \h </w:instrText>
            </w:r>
            <w:r w:rsidR="006B71B2">
              <w:rPr>
                <w:noProof/>
                <w:webHidden/>
              </w:rPr>
            </w:r>
            <w:r w:rsidR="006B71B2">
              <w:rPr>
                <w:noProof/>
                <w:webHidden/>
              </w:rPr>
              <w:fldChar w:fldCharType="separate"/>
            </w:r>
            <w:r w:rsidR="006B71B2">
              <w:rPr>
                <w:noProof/>
                <w:webHidden/>
              </w:rPr>
              <w:t>6</w:t>
            </w:r>
            <w:r w:rsidR="006B71B2">
              <w:rPr>
                <w:noProof/>
                <w:webHidden/>
              </w:rPr>
              <w:fldChar w:fldCharType="end"/>
            </w:r>
          </w:hyperlink>
        </w:p>
        <w:p w14:paraId="69D499DE" w14:textId="30147927" w:rsidR="006B71B2" w:rsidRDefault="00F20AC4">
          <w:pPr>
            <w:pStyle w:val="TOC3"/>
            <w:tabs>
              <w:tab w:val="right" w:leader="dot" w:pos="9060"/>
            </w:tabs>
            <w:rPr>
              <w:rFonts w:eastAsiaTheme="minorEastAsia"/>
              <w:noProof/>
              <w:lang w:eastAsia="en-AU"/>
            </w:rPr>
          </w:pPr>
          <w:hyperlink w:anchor="_Toc119482140" w:history="1">
            <w:r w:rsidR="006B71B2" w:rsidRPr="004A125A">
              <w:rPr>
                <w:rStyle w:val="Hyperlink"/>
                <w:noProof/>
              </w:rPr>
              <w:t>Training</w:t>
            </w:r>
            <w:r w:rsidR="006B71B2">
              <w:rPr>
                <w:noProof/>
                <w:webHidden/>
              </w:rPr>
              <w:tab/>
            </w:r>
            <w:r w:rsidR="006B71B2">
              <w:rPr>
                <w:noProof/>
                <w:webHidden/>
              </w:rPr>
              <w:fldChar w:fldCharType="begin"/>
            </w:r>
            <w:r w:rsidR="006B71B2">
              <w:rPr>
                <w:noProof/>
                <w:webHidden/>
              </w:rPr>
              <w:instrText xml:space="preserve"> PAGEREF _Toc119482140 \h </w:instrText>
            </w:r>
            <w:r w:rsidR="006B71B2">
              <w:rPr>
                <w:noProof/>
                <w:webHidden/>
              </w:rPr>
            </w:r>
            <w:r w:rsidR="006B71B2">
              <w:rPr>
                <w:noProof/>
                <w:webHidden/>
              </w:rPr>
              <w:fldChar w:fldCharType="separate"/>
            </w:r>
            <w:r w:rsidR="006B71B2">
              <w:rPr>
                <w:noProof/>
                <w:webHidden/>
              </w:rPr>
              <w:t>6</w:t>
            </w:r>
            <w:r w:rsidR="006B71B2">
              <w:rPr>
                <w:noProof/>
                <w:webHidden/>
              </w:rPr>
              <w:fldChar w:fldCharType="end"/>
            </w:r>
          </w:hyperlink>
        </w:p>
        <w:p w14:paraId="1C1FBCA2" w14:textId="6E7591FE" w:rsidR="006B71B2" w:rsidRDefault="00F20AC4">
          <w:pPr>
            <w:pStyle w:val="TOC3"/>
            <w:tabs>
              <w:tab w:val="right" w:leader="dot" w:pos="9060"/>
            </w:tabs>
            <w:rPr>
              <w:rFonts w:eastAsiaTheme="minorEastAsia"/>
              <w:noProof/>
              <w:lang w:eastAsia="en-AU"/>
            </w:rPr>
          </w:pPr>
          <w:hyperlink w:anchor="_Toc119482141" w:history="1">
            <w:r w:rsidR="006B71B2" w:rsidRPr="004A125A">
              <w:rPr>
                <w:rStyle w:val="Hyperlink"/>
                <w:noProof/>
              </w:rPr>
              <w:t>Distance delivery</w:t>
            </w:r>
            <w:r w:rsidR="006B71B2">
              <w:rPr>
                <w:noProof/>
                <w:webHidden/>
              </w:rPr>
              <w:tab/>
            </w:r>
            <w:r w:rsidR="006B71B2">
              <w:rPr>
                <w:noProof/>
                <w:webHidden/>
              </w:rPr>
              <w:fldChar w:fldCharType="begin"/>
            </w:r>
            <w:r w:rsidR="006B71B2">
              <w:rPr>
                <w:noProof/>
                <w:webHidden/>
              </w:rPr>
              <w:instrText xml:space="preserve"> PAGEREF _Toc119482141 \h </w:instrText>
            </w:r>
            <w:r w:rsidR="006B71B2">
              <w:rPr>
                <w:noProof/>
                <w:webHidden/>
              </w:rPr>
            </w:r>
            <w:r w:rsidR="006B71B2">
              <w:rPr>
                <w:noProof/>
                <w:webHidden/>
              </w:rPr>
              <w:fldChar w:fldCharType="separate"/>
            </w:r>
            <w:r w:rsidR="006B71B2">
              <w:rPr>
                <w:noProof/>
                <w:webHidden/>
              </w:rPr>
              <w:t>7</w:t>
            </w:r>
            <w:r w:rsidR="006B71B2">
              <w:rPr>
                <w:noProof/>
                <w:webHidden/>
              </w:rPr>
              <w:fldChar w:fldCharType="end"/>
            </w:r>
          </w:hyperlink>
        </w:p>
        <w:p w14:paraId="0894444F" w14:textId="77746BAE" w:rsidR="006B71B2" w:rsidRDefault="00F20AC4">
          <w:pPr>
            <w:pStyle w:val="TOC3"/>
            <w:tabs>
              <w:tab w:val="right" w:leader="dot" w:pos="9060"/>
            </w:tabs>
            <w:rPr>
              <w:rFonts w:eastAsiaTheme="minorEastAsia"/>
              <w:noProof/>
              <w:lang w:eastAsia="en-AU"/>
            </w:rPr>
          </w:pPr>
          <w:hyperlink w:anchor="_Toc119482142" w:history="1">
            <w:r w:rsidR="006B71B2" w:rsidRPr="004A125A">
              <w:rPr>
                <w:rStyle w:val="Hyperlink"/>
                <w:noProof/>
              </w:rPr>
              <w:t>Project funding</w:t>
            </w:r>
            <w:r w:rsidR="006B71B2">
              <w:rPr>
                <w:noProof/>
                <w:webHidden/>
              </w:rPr>
              <w:tab/>
            </w:r>
            <w:r w:rsidR="006B71B2">
              <w:rPr>
                <w:noProof/>
                <w:webHidden/>
              </w:rPr>
              <w:fldChar w:fldCharType="begin"/>
            </w:r>
            <w:r w:rsidR="006B71B2">
              <w:rPr>
                <w:noProof/>
                <w:webHidden/>
              </w:rPr>
              <w:instrText xml:space="preserve"> PAGEREF _Toc119482142 \h </w:instrText>
            </w:r>
            <w:r w:rsidR="006B71B2">
              <w:rPr>
                <w:noProof/>
                <w:webHidden/>
              </w:rPr>
            </w:r>
            <w:r w:rsidR="006B71B2">
              <w:rPr>
                <w:noProof/>
                <w:webHidden/>
              </w:rPr>
              <w:fldChar w:fldCharType="separate"/>
            </w:r>
            <w:r w:rsidR="006B71B2">
              <w:rPr>
                <w:noProof/>
                <w:webHidden/>
              </w:rPr>
              <w:t>7</w:t>
            </w:r>
            <w:r w:rsidR="006B71B2">
              <w:rPr>
                <w:noProof/>
                <w:webHidden/>
              </w:rPr>
              <w:fldChar w:fldCharType="end"/>
            </w:r>
          </w:hyperlink>
        </w:p>
        <w:p w14:paraId="3B0D39AE" w14:textId="3146AE14" w:rsidR="006B71B2" w:rsidRDefault="00F20AC4">
          <w:pPr>
            <w:pStyle w:val="TOC3"/>
            <w:tabs>
              <w:tab w:val="right" w:leader="dot" w:pos="9060"/>
            </w:tabs>
            <w:rPr>
              <w:rFonts w:eastAsiaTheme="minorEastAsia"/>
              <w:noProof/>
              <w:lang w:eastAsia="en-AU"/>
            </w:rPr>
          </w:pPr>
          <w:hyperlink w:anchor="_Toc119482143" w:history="1">
            <w:r w:rsidR="006B71B2" w:rsidRPr="004A125A">
              <w:rPr>
                <w:rStyle w:val="Hyperlink"/>
                <w:noProof/>
              </w:rPr>
              <w:t>Teacher qualifications</w:t>
            </w:r>
            <w:r w:rsidR="006B71B2">
              <w:rPr>
                <w:noProof/>
                <w:webHidden/>
              </w:rPr>
              <w:tab/>
            </w:r>
            <w:r w:rsidR="006B71B2">
              <w:rPr>
                <w:noProof/>
                <w:webHidden/>
              </w:rPr>
              <w:fldChar w:fldCharType="begin"/>
            </w:r>
            <w:r w:rsidR="006B71B2">
              <w:rPr>
                <w:noProof/>
                <w:webHidden/>
              </w:rPr>
              <w:instrText xml:space="preserve"> PAGEREF _Toc119482143 \h </w:instrText>
            </w:r>
            <w:r w:rsidR="006B71B2">
              <w:rPr>
                <w:noProof/>
                <w:webHidden/>
              </w:rPr>
            </w:r>
            <w:r w:rsidR="006B71B2">
              <w:rPr>
                <w:noProof/>
                <w:webHidden/>
              </w:rPr>
              <w:fldChar w:fldCharType="separate"/>
            </w:r>
            <w:r w:rsidR="006B71B2">
              <w:rPr>
                <w:noProof/>
                <w:webHidden/>
              </w:rPr>
              <w:t>8</w:t>
            </w:r>
            <w:r w:rsidR="006B71B2">
              <w:rPr>
                <w:noProof/>
                <w:webHidden/>
              </w:rPr>
              <w:fldChar w:fldCharType="end"/>
            </w:r>
          </w:hyperlink>
        </w:p>
        <w:p w14:paraId="056A9DC8" w14:textId="425CE2B6" w:rsidR="006B71B2" w:rsidRDefault="00F20AC4">
          <w:pPr>
            <w:pStyle w:val="TOC2"/>
            <w:tabs>
              <w:tab w:val="right" w:leader="dot" w:pos="9060"/>
            </w:tabs>
            <w:rPr>
              <w:rFonts w:eastAsiaTheme="minorEastAsia"/>
              <w:noProof/>
              <w:lang w:eastAsia="en-AU"/>
            </w:rPr>
          </w:pPr>
          <w:hyperlink w:anchor="_Toc119482144" w:history="1">
            <w:r w:rsidR="006B71B2" w:rsidRPr="004A125A">
              <w:rPr>
                <w:rStyle w:val="Hyperlink"/>
                <w:noProof/>
              </w:rPr>
              <w:t>Payment Model</w:t>
            </w:r>
            <w:r w:rsidR="006B71B2">
              <w:rPr>
                <w:noProof/>
                <w:webHidden/>
              </w:rPr>
              <w:tab/>
            </w:r>
            <w:r w:rsidR="006B71B2">
              <w:rPr>
                <w:noProof/>
                <w:webHidden/>
              </w:rPr>
              <w:fldChar w:fldCharType="begin"/>
            </w:r>
            <w:r w:rsidR="006B71B2">
              <w:rPr>
                <w:noProof/>
                <w:webHidden/>
              </w:rPr>
              <w:instrText xml:space="preserve"> PAGEREF _Toc119482144 \h </w:instrText>
            </w:r>
            <w:r w:rsidR="006B71B2">
              <w:rPr>
                <w:noProof/>
                <w:webHidden/>
              </w:rPr>
            </w:r>
            <w:r w:rsidR="006B71B2">
              <w:rPr>
                <w:noProof/>
                <w:webHidden/>
              </w:rPr>
              <w:fldChar w:fldCharType="separate"/>
            </w:r>
            <w:r w:rsidR="006B71B2">
              <w:rPr>
                <w:noProof/>
                <w:webHidden/>
              </w:rPr>
              <w:t>8</w:t>
            </w:r>
            <w:r w:rsidR="006B71B2">
              <w:rPr>
                <w:noProof/>
                <w:webHidden/>
              </w:rPr>
              <w:fldChar w:fldCharType="end"/>
            </w:r>
          </w:hyperlink>
        </w:p>
        <w:p w14:paraId="6633C5C4" w14:textId="132EDB08" w:rsidR="006B71B2" w:rsidRDefault="00F20AC4">
          <w:pPr>
            <w:pStyle w:val="TOC2"/>
            <w:tabs>
              <w:tab w:val="right" w:leader="dot" w:pos="9060"/>
            </w:tabs>
            <w:rPr>
              <w:rFonts w:eastAsiaTheme="minorEastAsia"/>
              <w:noProof/>
              <w:lang w:eastAsia="en-AU"/>
            </w:rPr>
          </w:pPr>
          <w:hyperlink w:anchor="_Toc119482145" w:history="1">
            <w:r w:rsidR="006B71B2" w:rsidRPr="004A125A">
              <w:rPr>
                <w:rStyle w:val="Hyperlink"/>
                <w:noProof/>
              </w:rPr>
              <w:t>Performance</w:t>
            </w:r>
            <w:r w:rsidR="006B71B2">
              <w:rPr>
                <w:noProof/>
                <w:webHidden/>
              </w:rPr>
              <w:tab/>
            </w:r>
            <w:r w:rsidR="006B71B2">
              <w:rPr>
                <w:noProof/>
                <w:webHidden/>
              </w:rPr>
              <w:fldChar w:fldCharType="begin"/>
            </w:r>
            <w:r w:rsidR="006B71B2">
              <w:rPr>
                <w:noProof/>
                <w:webHidden/>
              </w:rPr>
              <w:instrText xml:space="preserve"> PAGEREF _Toc119482145 \h </w:instrText>
            </w:r>
            <w:r w:rsidR="006B71B2">
              <w:rPr>
                <w:noProof/>
                <w:webHidden/>
              </w:rPr>
            </w:r>
            <w:r w:rsidR="006B71B2">
              <w:rPr>
                <w:noProof/>
                <w:webHidden/>
              </w:rPr>
              <w:fldChar w:fldCharType="separate"/>
            </w:r>
            <w:r w:rsidR="006B71B2">
              <w:rPr>
                <w:noProof/>
                <w:webHidden/>
              </w:rPr>
              <w:t>9</w:t>
            </w:r>
            <w:r w:rsidR="006B71B2">
              <w:rPr>
                <w:noProof/>
                <w:webHidden/>
              </w:rPr>
              <w:fldChar w:fldCharType="end"/>
            </w:r>
          </w:hyperlink>
        </w:p>
        <w:p w14:paraId="6B36CE50" w14:textId="3DCD864F" w:rsidR="006B71B2" w:rsidRDefault="00F20AC4">
          <w:pPr>
            <w:pStyle w:val="TOC2"/>
            <w:tabs>
              <w:tab w:val="right" w:leader="dot" w:pos="9060"/>
            </w:tabs>
            <w:rPr>
              <w:rFonts w:eastAsiaTheme="minorEastAsia"/>
              <w:noProof/>
              <w:lang w:eastAsia="en-AU"/>
            </w:rPr>
          </w:pPr>
          <w:hyperlink w:anchor="_Toc119482146" w:history="1">
            <w:r w:rsidR="006B71B2" w:rsidRPr="004A125A">
              <w:rPr>
                <w:rStyle w:val="Hyperlink"/>
                <w:noProof/>
              </w:rPr>
              <w:t>Quality Assurance</w:t>
            </w:r>
            <w:r w:rsidR="006B71B2">
              <w:rPr>
                <w:noProof/>
                <w:webHidden/>
              </w:rPr>
              <w:tab/>
            </w:r>
            <w:r w:rsidR="006B71B2">
              <w:rPr>
                <w:noProof/>
                <w:webHidden/>
              </w:rPr>
              <w:fldChar w:fldCharType="begin"/>
            </w:r>
            <w:r w:rsidR="006B71B2">
              <w:rPr>
                <w:noProof/>
                <w:webHidden/>
              </w:rPr>
              <w:instrText xml:space="preserve"> PAGEREF _Toc119482146 \h </w:instrText>
            </w:r>
            <w:r w:rsidR="006B71B2">
              <w:rPr>
                <w:noProof/>
                <w:webHidden/>
              </w:rPr>
            </w:r>
            <w:r w:rsidR="006B71B2">
              <w:rPr>
                <w:noProof/>
                <w:webHidden/>
              </w:rPr>
              <w:fldChar w:fldCharType="separate"/>
            </w:r>
            <w:r w:rsidR="006B71B2">
              <w:rPr>
                <w:noProof/>
                <w:webHidden/>
              </w:rPr>
              <w:t>10</w:t>
            </w:r>
            <w:r w:rsidR="006B71B2">
              <w:rPr>
                <w:noProof/>
                <w:webHidden/>
              </w:rPr>
              <w:fldChar w:fldCharType="end"/>
            </w:r>
          </w:hyperlink>
        </w:p>
        <w:p w14:paraId="3DFF068F" w14:textId="5A41F383" w:rsidR="007855CC" w:rsidRPr="0095636C" w:rsidRDefault="00F20AC4" w:rsidP="006B71B2">
          <w:pPr>
            <w:pStyle w:val="TOC2"/>
            <w:tabs>
              <w:tab w:val="right" w:leader="dot" w:pos="9060"/>
            </w:tabs>
          </w:pPr>
          <w:hyperlink w:anchor="_Toc119482147" w:history="1">
            <w:r w:rsidR="006B71B2" w:rsidRPr="004A125A">
              <w:rPr>
                <w:rStyle w:val="Hyperlink"/>
                <w:noProof/>
              </w:rPr>
              <w:t>Procurement</w:t>
            </w:r>
            <w:r w:rsidR="006B71B2">
              <w:rPr>
                <w:noProof/>
                <w:webHidden/>
              </w:rPr>
              <w:tab/>
            </w:r>
            <w:r w:rsidR="006B71B2">
              <w:rPr>
                <w:noProof/>
                <w:webHidden/>
              </w:rPr>
              <w:fldChar w:fldCharType="begin"/>
            </w:r>
            <w:r w:rsidR="006B71B2">
              <w:rPr>
                <w:noProof/>
                <w:webHidden/>
              </w:rPr>
              <w:instrText xml:space="preserve"> PAGEREF _Toc119482147 \h </w:instrText>
            </w:r>
            <w:r w:rsidR="006B71B2">
              <w:rPr>
                <w:noProof/>
                <w:webHidden/>
              </w:rPr>
            </w:r>
            <w:r w:rsidR="006B71B2">
              <w:rPr>
                <w:noProof/>
                <w:webHidden/>
              </w:rPr>
              <w:fldChar w:fldCharType="separate"/>
            </w:r>
            <w:r w:rsidR="006B71B2">
              <w:rPr>
                <w:noProof/>
                <w:webHidden/>
              </w:rPr>
              <w:t>11</w:t>
            </w:r>
            <w:r w:rsidR="006B71B2">
              <w:rPr>
                <w:noProof/>
                <w:webHidden/>
              </w:rPr>
              <w:fldChar w:fldCharType="end"/>
            </w:r>
          </w:hyperlink>
          <w:r w:rsidR="0095636C">
            <w:rPr>
              <w:rFonts w:ascii="Calibri" w:eastAsiaTheme="majorEastAsia" w:hAnsi="Calibri" w:cstheme="majorBidi"/>
              <w:b/>
              <w:color w:val="343741"/>
              <w:sz w:val="32"/>
              <w:szCs w:val="32"/>
            </w:rPr>
            <w:fldChar w:fldCharType="end"/>
          </w:r>
        </w:p>
      </w:sdtContent>
    </w:sdt>
    <w:p w14:paraId="7BAB6587" w14:textId="77777777" w:rsidR="007855CC" w:rsidRPr="0095636C" w:rsidRDefault="007855CC" w:rsidP="0095636C">
      <w:r>
        <w:br w:type="page"/>
      </w:r>
    </w:p>
    <w:p w14:paraId="215595D5" w14:textId="348B0482" w:rsidR="009A0401" w:rsidRDefault="009A0401" w:rsidP="003E7C09">
      <w:pPr>
        <w:pStyle w:val="Heading1"/>
      </w:pPr>
      <w:bookmarkStart w:id="1" w:name="_Toc119482134"/>
      <w:r>
        <w:lastRenderedPageBreak/>
        <w:t>Context and consultations</w:t>
      </w:r>
      <w:bookmarkEnd w:id="1"/>
    </w:p>
    <w:p w14:paraId="6EE353D8" w14:textId="231736AC" w:rsidR="003E7C09" w:rsidRPr="000E3DB7" w:rsidRDefault="009A0401" w:rsidP="009A0401">
      <w:pPr>
        <w:pStyle w:val="Heading2"/>
      </w:pPr>
      <w:bookmarkStart w:id="2" w:name="_Toc119482135"/>
      <w:r>
        <w:t>Project rationale</w:t>
      </w:r>
      <w:bookmarkEnd w:id="2"/>
    </w:p>
    <w:p w14:paraId="221482FA" w14:textId="77777777" w:rsidR="003E7C09" w:rsidRDefault="003E7C09" w:rsidP="00D62001">
      <w:pPr>
        <w:spacing w:before="120" w:after="60"/>
      </w:pPr>
      <w:bookmarkStart w:id="3" w:name="_Hlk109038266"/>
      <w:r>
        <w:t xml:space="preserve">The Skills for Education and Employment (SEE) program provides language, literacy, numeracy and digital literacy (LLND) assessment and training to eligible job seekers, with the aim of improving their ability to participate in further training or employment. </w:t>
      </w:r>
    </w:p>
    <w:p w14:paraId="07F16DE4" w14:textId="2DE0E4DA" w:rsidR="003E7C09" w:rsidRPr="007D4F07" w:rsidRDefault="3D63EBED" w:rsidP="00D62001">
      <w:pPr>
        <w:spacing w:before="120" w:after="60"/>
        <w:rPr>
          <w:color w:val="000000" w:themeColor="text1"/>
        </w:rPr>
      </w:pPr>
      <w:r>
        <w:t>In December 2021</w:t>
      </w:r>
      <w:r w:rsidR="45C08A3D">
        <w:t>,</w:t>
      </w:r>
      <w:r>
        <w:t xml:space="preserve"> the </w:t>
      </w:r>
      <w:r w:rsidR="7430AF42">
        <w:t xml:space="preserve">former </w:t>
      </w:r>
      <w:r>
        <w:t>Department of Education, Skills and Employment (the department) released a discussion paper (</w:t>
      </w:r>
      <w:hyperlink r:id="rId20">
        <w:r w:rsidRPr="08CAA0E1">
          <w:rPr>
            <w:rStyle w:val="Hyperlink"/>
          </w:rPr>
          <w:t>Discussion Paper – Delivery of the SEE Program 2023</w:t>
        </w:r>
      </w:hyperlink>
      <w:r w:rsidRPr="08CAA0E1">
        <w:rPr>
          <w:rStyle w:val="Hyperlink"/>
        </w:rPr>
        <w:t>)</w:t>
      </w:r>
      <w:r w:rsidR="51CD4F34" w:rsidRPr="08CAA0E1">
        <w:rPr>
          <w:rStyle w:val="Hyperlink"/>
        </w:rPr>
        <w:t>. This discussion paper</w:t>
      </w:r>
      <w:r w:rsidRPr="08CAA0E1">
        <w:rPr>
          <w:rStyle w:val="Hyperlink"/>
        </w:rPr>
        <w:t xml:space="preserve"> </w:t>
      </w:r>
      <w:r>
        <w:t>s</w:t>
      </w:r>
      <w:r w:rsidR="52C4F42B">
        <w:t>ought</w:t>
      </w:r>
      <w:r>
        <w:t xml:space="preserve"> stakeholder feedback on possible changes to the SEE program </w:t>
      </w:r>
      <w:bookmarkStart w:id="4" w:name="_Hlk84845441"/>
      <w:r>
        <w:t>to inform future procurement, contracting, funding and delivery arrangements for the next contract period, with current contracts being extended to 30</w:t>
      </w:r>
      <w:r w:rsidR="2019F6F7">
        <w:t> </w:t>
      </w:r>
      <w:r>
        <w:t>June 2024.</w:t>
      </w:r>
      <w:bookmarkEnd w:id="4"/>
    </w:p>
    <w:p w14:paraId="541178BA" w14:textId="77777777" w:rsidR="003E7C09" w:rsidRDefault="003E7C09" w:rsidP="00D62001">
      <w:pPr>
        <w:spacing w:before="120" w:after="60"/>
      </w:pPr>
      <w:r>
        <w:t xml:space="preserve">The changes aim to: </w:t>
      </w:r>
    </w:p>
    <w:p w14:paraId="3D515A8D" w14:textId="77777777" w:rsidR="003E7C09" w:rsidRPr="00441A69" w:rsidRDefault="003E7C09" w:rsidP="00D62001">
      <w:pPr>
        <w:pStyle w:val="ListParagraph"/>
        <w:numPr>
          <w:ilvl w:val="0"/>
          <w:numId w:val="18"/>
        </w:numPr>
        <w:spacing w:before="120" w:after="60" w:line="276" w:lineRule="auto"/>
        <w:ind w:left="425" w:hanging="357"/>
        <w:contextualSpacing w:val="0"/>
        <w:rPr>
          <w:rFonts w:ascii="Calibri" w:eastAsia="Calibri" w:hAnsi="Calibri" w:cs="Calibri"/>
        </w:rPr>
      </w:pPr>
      <w:r>
        <w:rPr>
          <w:rFonts w:ascii="Calibri" w:eastAsia="Calibri" w:hAnsi="Calibri" w:cs="Calibri"/>
        </w:rPr>
        <w:t>improve</w:t>
      </w:r>
      <w:r w:rsidRPr="00441A69">
        <w:rPr>
          <w:rFonts w:ascii="Calibri" w:eastAsia="Calibri" w:hAnsi="Calibri" w:cs="Calibri"/>
        </w:rPr>
        <w:t xml:space="preserve"> </w:t>
      </w:r>
      <w:r>
        <w:rPr>
          <w:rFonts w:ascii="Calibri" w:eastAsia="Calibri" w:hAnsi="Calibri" w:cs="Calibri"/>
        </w:rPr>
        <w:t xml:space="preserve">client </w:t>
      </w:r>
      <w:r w:rsidRPr="00441A69">
        <w:rPr>
          <w:rFonts w:ascii="Calibri" w:eastAsia="Calibri" w:hAnsi="Calibri" w:cs="Calibri"/>
        </w:rPr>
        <w:t>access and participation</w:t>
      </w:r>
    </w:p>
    <w:p w14:paraId="750BAB09" w14:textId="77777777" w:rsidR="003E7C09" w:rsidRDefault="003E7C09" w:rsidP="00D62001">
      <w:pPr>
        <w:pStyle w:val="ListParagraph"/>
        <w:numPr>
          <w:ilvl w:val="0"/>
          <w:numId w:val="17"/>
        </w:numPr>
        <w:spacing w:before="120" w:after="60" w:line="276" w:lineRule="auto"/>
        <w:ind w:left="425" w:hanging="357"/>
        <w:contextualSpacing w:val="0"/>
        <w:rPr>
          <w:rFonts w:ascii="Calibri" w:eastAsia="Calibri" w:hAnsi="Calibri" w:cs="Calibri"/>
        </w:rPr>
      </w:pPr>
      <w:r>
        <w:rPr>
          <w:rFonts w:ascii="Calibri" w:eastAsia="Calibri" w:hAnsi="Calibri" w:cs="Calibri"/>
        </w:rPr>
        <w:t xml:space="preserve">increase program outcomes with a greater focus on quality </w:t>
      </w:r>
      <w:r>
        <w:t xml:space="preserve">LLND </w:t>
      </w:r>
      <w:r>
        <w:rPr>
          <w:rFonts w:ascii="Calibri" w:eastAsia="Calibri" w:hAnsi="Calibri" w:cs="Calibri"/>
        </w:rPr>
        <w:t>training</w:t>
      </w:r>
    </w:p>
    <w:p w14:paraId="5BAD73FA" w14:textId="621003FA" w:rsidR="003E7C09" w:rsidRDefault="003E7C09" w:rsidP="00D62001">
      <w:pPr>
        <w:pStyle w:val="ListParagraph"/>
        <w:numPr>
          <w:ilvl w:val="0"/>
          <w:numId w:val="17"/>
        </w:numPr>
        <w:spacing w:before="120" w:after="60" w:line="276" w:lineRule="auto"/>
        <w:ind w:left="425" w:hanging="357"/>
        <w:contextualSpacing w:val="0"/>
        <w:rPr>
          <w:rFonts w:ascii="Calibri" w:eastAsia="Calibri" w:hAnsi="Calibri" w:cs="Calibri"/>
        </w:rPr>
      </w:pPr>
      <w:r>
        <w:rPr>
          <w:rFonts w:ascii="Calibri" w:eastAsia="Calibri" w:hAnsi="Calibri" w:cs="Calibri"/>
        </w:rPr>
        <w:t xml:space="preserve">improve performance reporting while also reducing </w:t>
      </w:r>
      <w:r w:rsidRPr="6A6A17A1">
        <w:rPr>
          <w:rFonts w:ascii="Calibri" w:eastAsia="Calibri" w:hAnsi="Calibri" w:cs="Calibri"/>
        </w:rPr>
        <w:t>administrative and compliance burden on providers</w:t>
      </w:r>
      <w:r>
        <w:rPr>
          <w:rFonts w:ascii="Calibri" w:eastAsia="Calibri" w:hAnsi="Calibri" w:cs="Calibri"/>
        </w:rPr>
        <w:t xml:space="preserve"> where practicable</w:t>
      </w:r>
    </w:p>
    <w:p w14:paraId="28471377" w14:textId="77777777" w:rsidR="003E7C09" w:rsidRPr="00020DCD" w:rsidRDefault="003E7C09" w:rsidP="00D62001">
      <w:pPr>
        <w:pStyle w:val="ListParagraph"/>
        <w:numPr>
          <w:ilvl w:val="0"/>
          <w:numId w:val="17"/>
        </w:numPr>
        <w:spacing w:before="120" w:after="60" w:line="276" w:lineRule="auto"/>
        <w:ind w:left="425" w:hanging="357"/>
        <w:contextualSpacing w:val="0"/>
        <w:rPr>
          <w:rFonts w:ascii="Calibri" w:eastAsia="Calibri" w:hAnsi="Calibri" w:cs="Calibri"/>
        </w:rPr>
      </w:pPr>
      <w:r>
        <w:rPr>
          <w:rFonts w:ascii="Calibri" w:eastAsia="Calibri" w:hAnsi="Calibri" w:cs="Calibri"/>
        </w:rPr>
        <w:t>ensure the program is responsive.</w:t>
      </w:r>
    </w:p>
    <w:p w14:paraId="49C2874F" w14:textId="77777777" w:rsidR="003E7C09" w:rsidRDefault="003E7C09" w:rsidP="009A0401">
      <w:pPr>
        <w:pStyle w:val="Heading2"/>
      </w:pPr>
      <w:bookmarkStart w:id="5" w:name="_Toc119482136"/>
      <w:r>
        <w:t>Consultation approach</w:t>
      </w:r>
      <w:bookmarkEnd w:id="5"/>
    </w:p>
    <w:p w14:paraId="18FF6859" w14:textId="795C292F" w:rsidR="009A0401" w:rsidRDefault="3D63EBED" w:rsidP="08CAA0E1">
      <w:pPr>
        <w:spacing w:before="120" w:after="60"/>
      </w:pPr>
      <w:r>
        <w:t>The discussion paper informed the consultation process</w:t>
      </w:r>
      <w:r w:rsidR="518150AA">
        <w:t xml:space="preserve"> and was</w:t>
      </w:r>
      <w:r>
        <w:t xml:space="preserve"> held between December 2021 and February</w:t>
      </w:r>
      <w:r w:rsidR="2019F6F7">
        <w:t> </w:t>
      </w:r>
      <w:r>
        <w:t xml:space="preserve">2022. The department received </w:t>
      </w:r>
      <w:r w:rsidRPr="00B23680">
        <w:rPr>
          <w:b/>
          <w:bCs/>
        </w:rPr>
        <w:t>28 submissions</w:t>
      </w:r>
      <w:r>
        <w:t xml:space="preserve"> in response to the discussion paper, </w:t>
      </w:r>
      <w:r w:rsidRPr="00B23680">
        <w:rPr>
          <w:b/>
          <w:bCs/>
        </w:rPr>
        <w:t>72</w:t>
      </w:r>
      <w:r w:rsidR="2019F6F7">
        <w:t> </w:t>
      </w:r>
      <w:r>
        <w:t xml:space="preserve">people attended </w:t>
      </w:r>
      <w:r w:rsidRPr="00B23680">
        <w:rPr>
          <w:b/>
          <w:bCs/>
        </w:rPr>
        <w:t>3 workshops</w:t>
      </w:r>
      <w:r>
        <w:t xml:space="preserve"> and </w:t>
      </w:r>
      <w:r w:rsidRPr="00B23680">
        <w:rPr>
          <w:b/>
          <w:bCs/>
        </w:rPr>
        <w:t>872 SEE program participants completed a participant survey</w:t>
      </w:r>
      <w:r>
        <w:t xml:space="preserve">. Current SEE providers submitted feedback on the existing payment model. </w:t>
      </w:r>
      <w:r w:rsidR="6B0CE63F">
        <w:t>Twenty-seven</w:t>
      </w:r>
      <w:r w:rsidR="7300893A">
        <w:t xml:space="preserve"> </w:t>
      </w:r>
      <w:r w:rsidR="7F4758D6">
        <w:t xml:space="preserve">questions were used to guide written submissions. </w:t>
      </w:r>
    </w:p>
    <w:p w14:paraId="198F5C78" w14:textId="057E0059" w:rsidR="009A0401" w:rsidRDefault="009A0401" w:rsidP="003E7C09">
      <w:pPr>
        <w:pStyle w:val="Heading1"/>
      </w:pPr>
      <w:bookmarkStart w:id="6" w:name="_Toc119482137"/>
      <w:r>
        <w:t>Summary of key themes</w:t>
      </w:r>
      <w:bookmarkEnd w:id="6"/>
    </w:p>
    <w:p w14:paraId="58B70145" w14:textId="79F69BCD" w:rsidR="008F57ED" w:rsidRDefault="7300893A" w:rsidP="00D62001">
      <w:pPr>
        <w:spacing w:before="120" w:after="60"/>
      </w:pPr>
      <w:r>
        <w:t xml:space="preserve">Overall, stakeholder responses were positive and highlight the important role the SEE program plays in providing foundation skills training to eligible Australians. Key themes have been identified below and arranged according to the chapters in the discussion paper. The themes </w:t>
      </w:r>
      <w:r w:rsidR="49DB26B6">
        <w:t>include</w:t>
      </w:r>
      <w:r w:rsidR="096C1C8E">
        <w:t>:</w:t>
      </w:r>
      <w:r>
        <w:t xml:space="preserve"> </w:t>
      </w:r>
    </w:p>
    <w:p w14:paraId="13F199D1" w14:textId="04C3EDAE" w:rsidR="008F57ED" w:rsidRDefault="7300893A" w:rsidP="00B23680">
      <w:pPr>
        <w:pStyle w:val="ListParagraph"/>
        <w:numPr>
          <w:ilvl w:val="0"/>
          <w:numId w:val="1"/>
        </w:numPr>
        <w:spacing w:before="120" w:after="60"/>
      </w:pPr>
      <w:r>
        <w:t xml:space="preserve">access and engagement </w:t>
      </w:r>
    </w:p>
    <w:p w14:paraId="072C8DC9" w14:textId="6B81E4C8" w:rsidR="008F57ED" w:rsidRDefault="7300893A" w:rsidP="00B23680">
      <w:pPr>
        <w:pStyle w:val="ListParagraph"/>
        <w:numPr>
          <w:ilvl w:val="0"/>
          <w:numId w:val="1"/>
        </w:numPr>
        <w:spacing w:before="120" w:after="60"/>
      </w:pPr>
      <w:r>
        <w:t xml:space="preserve">training delivery </w:t>
      </w:r>
    </w:p>
    <w:p w14:paraId="14FE1C37" w14:textId="7132ABD0" w:rsidR="008F57ED" w:rsidRDefault="7300893A" w:rsidP="00B23680">
      <w:pPr>
        <w:pStyle w:val="ListParagraph"/>
        <w:numPr>
          <w:ilvl w:val="0"/>
          <w:numId w:val="1"/>
        </w:numPr>
        <w:spacing w:before="120" w:after="60"/>
      </w:pPr>
      <w:r>
        <w:t xml:space="preserve">the payment model </w:t>
      </w:r>
    </w:p>
    <w:p w14:paraId="51192E36" w14:textId="64D327A4" w:rsidR="008F57ED" w:rsidRDefault="2055B769" w:rsidP="00B23680">
      <w:pPr>
        <w:pStyle w:val="ListParagraph"/>
        <w:numPr>
          <w:ilvl w:val="0"/>
          <w:numId w:val="1"/>
        </w:numPr>
        <w:spacing w:before="120" w:after="60"/>
      </w:pPr>
      <w:r>
        <w:t>performance</w:t>
      </w:r>
    </w:p>
    <w:p w14:paraId="5AE95DD0" w14:textId="13A4A622" w:rsidR="008F57ED" w:rsidRDefault="7300893A" w:rsidP="00B23680">
      <w:pPr>
        <w:pStyle w:val="ListParagraph"/>
        <w:numPr>
          <w:ilvl w:val="0"/>
          <w:numId w:val="1"/>
        </w:numPr>
        <w:spacing w:before="120" w:after="60"/>
      </w:pPr>
      <w:r>
        <w:t>quality assurance</w:t>
      </w:r>
      <w:r w:rsidR="1028C0F1">
        <w:t xml:space="preserve"> </w:t>
      </w:r>
    </w:p>
    <w:p w14:paraId="60554260" w14:textId="2E861AE1" w:rsidR="008F57ED" w:rsidRDefault="1028C0F1" w:rsidP="00B23680">
      <w:pPr>
        <w:pStyle w:val="ListParagraph"/>
        <w:numPr>
          <w:ilvl w:val="0"/>
          <w:numId w:val="1"/>
        </w:numPr>
        <w:spacing w:before="120" w:after="60"/>
      </w:pPr>
      <w:r>
        <w:t>challenges and opportunities for future program design</w:t>
      </w:r>
      <w:r w:rsidR="7300893A">
        <w:t>.</w:t>
      </w:r>
    </w:p>
    <w:p w14:paraId="4217B37C" w14:textId="11317B44" w:rsidR="003E7C09" w:rsidRPr="00C03011" w:rsidRDefault="003E7C09" w:rsidP="009A0401">
      <w:pPr>
        <w:pStyle w:val="Heading2"/>
      </w:pPr>
      <w:bookmarkStart w:id="7" w:name="_Toc119482138"/>
      <w:r w:rsidRPr="00C03011">
        <w:t>Access and Engagement</w:t>
      </w:r>
      <w:bookmarkEnd w:id="7"/>
    </w:p>
    <w:p w14:paraId="224D7CC8" w14:textId="33FD277F" w:rsidR="003E7C09" w:rsidRDefault="3D63EBED" w:rsidP="00D62001">
      <w:pPr>
        <w:spacing w:before="120" w:after="60"/>
      </w:pPr>
      <w:r>
        <w:t xml:space="preserve">Approximately 16% (151,000) of job seekers on the employment services caseload self-identify with English language needs or have completed less than </w:t>
      </w:r>
      <w:r w:rsidR="2019F6F7">
        <w:t>Year 10</w:t>
      </w:r>
      <w:r>
        <w:t xml:space="preserve"> schooling</w:t>
      </w:r>
      <w:r w:rsidR="7E77D8B7">
        <w:t>.</w:t>
      </w:r>
      <w:r>
        <w:t xml:space="preserve"> </w:t>
      </w:r>
      <w:r w:rsidR="045A3CFA">
        <w:t xml:space="preserve">This </w:t>
      </w:r>
      <w:r>
        <w:t>indicat</w:t>
      </w:r>
      <w:r w:rsidR="0ADBAA8C">
        <w:t>es</w:t>
      </w:r>
      <w:r>
        <w:t xml:space="preserve"> these job seekers may need LLND training to gain a job or as a pathway to further study. </w:t>
      </w:r>
    </w:p>
    <w:p w14:paraId="11B8CB3E" w14:textId="4231300F" w:rsidR="003E7C09" w:rsidRDefault="27B842CA" w:rsidP="00D62001">
      <w:pPr>
        <w:spacing w:before="120" w:after="60"/>
      </w:pPr>
      <w:r>
        <w:t xml:space="preserve">Participants in the program </w:t>
      </w:r>
      <w:r w:rsidR="3D63EBED">
        <w:t>identified Employment Service Providers (ESPs) as critical to job seekers accessing the program</w:t>
      </w:r>
      <w:r w:rsidR="7E8CDAC7">
        <w:t>, including:</w:t>
      </w:r>
    </w:p>
    <w:p w14:paraId="7959C10B" w14:textId="39CA57FA" w:rsidR="003E7C09" w:rsidRDefault="007D4F07"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67</w:t>
      </w:r>
      <w:r w:rsidR="003D7377">
        <w:rPr>
          <w:rFonts w:ascii="Calibri" w:eastAsia="Calibri" w:hAnsi="Calibri" w:cs="Calibri"/>
        </w:rPr>
        <w:t xml:space="preserve">% </w:t>
      </w:r>
      <w:r w:rsidR="3D63EBED">
        <w:t>found the program through their ESP</w:t>
      </w:r>
    </w:p>
    <w:p w14:paraId="034FB3B1" w14:textId="54840F57" w:rsidR="003E7C09" w:rsidRDefault="007D4F07"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17</w:t>
      </w:r>
      <w:r w:rsidR="003D7377">
        <w:rPr>
          <w:rFonts w:ascii="Calibri" w:eastAsia="Calibri" w:hAnsi="Calibri" w:cs="Calibri"/>
        </w:rPr>
        <w:t>%</w:t>
      </w:r>
      <w:r w:rsidR="2019F6F7" w:rsidRPr="08CAA0E1">
        <w:rPr>
          <w:rFonts w:ascii="Calibri" w:eastAsia="Calibri" w:hAnsi="Calibri" w:cs="Calibri"/>
        </w:rPr>
        <w:t xml:space="preserve"> </w:t>
      </w:r>
      <w:r w:rsidR="3D63EBED" w:rsidRPr="08CAA0E1">
        <w:rPr>
          <w:rFonts w:ascii="Calibri" w:eastAsia="Calibri" w:hAnsi="Calibri" w:cs="Calibri"/>
        </w:rPr>
        <w:t>had support from a SEE program provider</w:t>
      </w:r>
    </w:p>
    <w:p w14:paraId="23AD47F9" w14:textId="694D729E" w:rsidR="003E7C09" w:rsidRDefault="007D4F07"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8</w:t>
      </w:r>
      <w:r w:rsidR="003D7377">
        <w:rPr>
          <w:rFonts w:ascii="Calibri" w:eastAsia="Calibri" w:hAnsi="Calibri" w:cs="Calibri"/>
        </w:rPr>
        <w:t>%</w:t>
      </w:r>
      <w:r w:rsidR="2019F6F7" w:rsidRPr="08CAA0E1">
        <w:rPr>
          <w:rFonts w:ascii="Calibri" w:eastAsia="Calibri" w:hAnsi="Calibri" w:cs="Calibri"/>
        </w:rPr>
        <w:t xml:space="preserve"> </w:t>
      </w:r>
      <w:r w:rsidR="3D63EBED" w:rsidRPr="08CAA0E1">
        <w:rPr>
          <w:rFonts w:ascii="Calibri" w:eastAsia="Calibri" w:hAnsi="Calibri" w:cs="Calibri"/>
        </w:rPr>
        <w:t>found out about the program from friends or family</w:t>
      </w:r>
    </w:p>
    <w:p w14:paraId="49AED78D" w14:textId="5B32F475" w:rsidR="003E7C09" w:rsidRPr="00DB7B41" w:rsidRDefault="007D4F07"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5</w:t>
      </w:r>
      <w:r w:rsidR="003D7377">
        <w:rPr>
          <w:rFonts w:ascii="Calibri" w:eastAsia="Calibri" w:hAnsi="Calibri" w:cs="Calibri"/>
        </w:rPr>
        <w:t>%</w:t>
      </w:r>
      <w:r w:rsidR="2019F6F7" w:rsidRPr="08CAA0E1">
        <w:rPr>
          <w:rFonts w:ascii="Calibri" w:eastAsia="Calibri" w:hAnsi="Calibri" w:cs="Calibri"/>
        </w:rPr>
        <w:t xml:space="preserve"> </w:t>
      </w:r>
      <w:r w:rsidR="3D63EBED" w:rsidRPr="08CAA0E1">
        <w:rPr>
          <w:rFonts w:ascii="Calibri" w:eastAsia="Calibri" w:hAnsi="Calibri" w:cs="Calibri"/>
        </w:rPr>
        <w:t xml:space="preserve">found information about the SEE program on the internet or from SEE program promotional material. </w:t>
      </w:r>
    </w:p>
    <w:p w14:paraId="102A7E77" w14:textId="49424245" w:rsidR="008D5873" w:rsidRDefault="008D5873" w:rsidP="00D62001">
      <w:pPr>
        <w:spacing w:before="120" w:after="60"/>
      </w:pPr>
      <w:bookmarkStart w:id="8" w:name="_Hlk109044496"/>
      <w:r>
        <w:t>The reliance on ESPs to correctly identify job seekers who need LLND training and then refer them to the SEE program was raised as an issue to accessing and engaging with the program.</w:t>
      </w:r>
    </w:p>
    <w:p w14:paraId="539020A0" w14:textId="58D85035" w:rsidR="003E7C09" w:rsidRDefault="008D5873" w:rsidP="00D62001">
      <w:pPr>
        <w:spacing w:before="120" w:after="60"/>
      </w:pPr>
      <w:r>
        <w:t>Suggestions to improve the referral pathway for job seekers included:</w:t>
      </w:r>
      <w:bookmarkEnd w:id="8"/>
      <w:r w:rsidR="003E7C09">
        <w:t xml:space="preserve"> </w:t>
      </w:r>
    </w:p>
    <w:p w14:paraId="272B7F71" w14:textId="7AE031F1" w:rsidR="008D5873" w:rsidRPr="00A3799E" w:rsidRDefault="008D5873" w:rsidP="00D62001">
      <w:pPr>
        <w:pStyle w:val="ListParagraph"/>
        <w:numPr>
          <w:ilvl w:val="0"/>
          <w:numId w:val="18"/>
        </w:numPr>
        <w:spacing w:before="120" w:after="60" w:line="276" w:lineRule="auto"/>
        <w:ind w:left="426" w:hanging="357"/>
        <w:contextualSpacing w:val="0"/>
        <w:rPr>
          <w:rFonts w:ascii="Calibri" w:eastAsia="Calibri" w:hAnsi="Calibri" w:cs="Calibri"/>
        </w:rPr>
      </w:pPr>
      <w:bookmarkStart w:id="9" w:name="_Hlk109044530"/>
      <w:r>
        <w:rPr>
          <w:rFonts w:ascii="Calibri" w:eastAsia="Calibri" w:hAnsi="Calibri" w:cs="Calibri"/>
        </w:rPr>
        <w:t>Making the SEE program the first-choice program for job seekers with LLND needs by incentivising</w:t>
      </w:r>
      <w:r w:rsidRPr="00A3799E">
        <w:rPr>
          <w:rFonts w:ascii="Calibri" w:eastAsia="Calibri" w:hAnsi="Calibri" w:cs="Calibri"/>
        </w:rPr>
        <w:t xml:space="preserve"> or mandat</w:t>
      </w:r>
      <w:r>
        <w:rPr>
          <w:rFonts w:ascii="Calibri" w:eastAsia="Calibri" w:hAnsi="Calibri" w:cs="Calibri"/>
        </w:rPr>
        <w:t>ing</w:t>
      </w:r>
      <w:r w:rsidRPr="00A3799E">
        <w:rPr>
          <w:rFonts w:ascii="Calibri" w:eastAsia="Calibri" w:hAnsi="Calibri" w:cs="Calibri"/>
        </w:rPr>
        <w:t xml:space="preserve"> </w:t>
      </w:r>
      <w:r>
        <w:rPr>
          <w:rFonts w:ascii="Calibri" w:eastAsia="Calibri" w:hAnsi="Calibri" w:cs="Calibri"/>
        </w:rPr>
        <w:t>SEE as an activity.</w:t>
      </w:r>
      <w:r w:rsidRPr="00A3799E">
        <w:rPr>
          <w:rFonts w:ascii="Calibri" w:eastAsia="Calibri" w:hAnsi="Calibri" w:cs="Calibri"/>
        </w:rPr>
        <w:t xml:space="preserve"> </w:t>
      </w:r>
    </w:p>
    <w:p w14:paraId="5B408340" w14:textId="77777777"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Improving ESP understanding of the SEE program through c</w:t>
      </w:r>
      <w:r w:rsidRPr="00A3799E">
        <w:rPr>
          <w:rFonts w:ascii="Calibri" w:eastAsia="Calibri" w:hAnsi="Calibri" w:cs="Calibri"/>
        </w:rPr>
        <w:t xml:space="preserve">lear and explicit marketing </w:t>
      </w:r>
      <w:r>
        <w:rPr>
          <w:rFonts w:ascii="Calibri" w:eastAsia="Calibri" w:hAnsi="Calibri" w:cs="Calibri"/>
        </w:rPr>
        <w:t xml:space="preserve">that </w:t>
      </w:r>
      <w:r w:rsidRPr="00A3799E">
        <w:rPr>
          <w:rFonts w:ascii="Calibri" w:eastAsia="Calibri" w:hAnsi="Calibri" w:cs="Calibri"/>
        </w:rPr>
        <w:t>promote</w:t>
      </w:r>
      <w:r>
        <w:rPr>
          <w:rFonts w:ascii="Calibri" w:eastAsia="Calibri" w:hAnsi="Calibri" w:cs="Calibri"/>
        </w:rPr>
        <w:t>s</w:t>
      </w:r>
      <w:r w:rsidRPr="00A3799E">
        <w:rPr>
          <w:rFonts w:ascii="Calibri" w:eastAsia="Calibri" w:hAnsi="Calibri" w:cs="Calibri"/>
        </w:rPr>
        <w:t xml:space="preserve"> the benefits of the SEE program to ESPs and </w:t>
      </w:r>
      <w:r>
        <w:rPr>
          <w:rFonts w:ascii="Calibri" w:eastAsia="Calibri" w:hAnsi="Calibri" w:cs="Calibri"/>
        </w:rPr>
        <w:t>job seekers.</w:t>
      </w:r>
    </w:p>
    <w:p w14:paraId="541D408C" w14:textId="5FAC567A" w:rsidR="008D5873" w:rsidRDefault="008D5873"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Making referrals less complex and with fewer steps for errors. </w:t>
      </w:r>
    </w:p>
    <w:p w14:paraId="54F80205" w14:textId="1AD6B891" w:rsidR="003E7C09" w:rsidRPr="00A3799E" w:rsidRDefault="008D5873"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Giving providers the ability to refer job seekers. </w:t>
      </w:r>
    </w:p>
    <w:bookmarkEnd w:id="9"/>
    <w:p w14:paraId="7D9A335F" w14:textId="11E0F706" w:rsidR="00F92711" w:rsidRDefault="5663CC8E" w:rsidP="003D569F">
      <w:pPr>
        <w:spacing w:before="120" w:after="60"/>
      </w:pPr>
      <w:r>
        <w:t>Of those job seekers that commence in the program</w:t>
      </w:r>
      <w:r w:rsidR="78F5A425">
        <w:t>,</w:t>
      </w:r>
      <w:r>
        <w:t xml:space="preserve"> approximately 19% leave within the first 50</w:t>
      </w:r>
      <w:r w:rsidR="2019F6F7">
        <w:t> </w:t>
      </w:r>
      <w:r>
        <w:t>hours of training.</w:t>
      </w:r>
      <w:r w:rsidR="77D67213">
        <w:t xml:space="preserve"> According to SEE program data</w:t>
      </w:r>
      <w:r w:rsidR="3C1CD58B">
        <w:t>, since July 2021, 3</w:t>
      </w:r>
      <w:r w:rsidR="2019F6F7">
        <w:t>,</w:t>
      </w:r>
      <w:r w:rsidR="3C1CD58B">
        <w:t xml:space="preserve">521 clients </w:t>
      </w:r>
      <w:r w:rsidR="06F7C8C8">
        <w:t>withdrew from training</w:t>
      </w:r>
      <w:r w:rsidR="3C1CD58B">
        <w:t xml:space="preserve"> within the first 50 hours</w:t>
      </w:r>
      <w:r w:rsidR="492B8A73">
        <w:t xml:space="preserve">. The major reasons </w:t>
      </w:r>
      <w:r w:rsidR="035A549C">
        <w:t>included</w:t>
      </w:r>
      <w:r w:rsidR="492B8A73">
        <w:t xml:space="preserve">: </w:t>
      </w:r>
    </w:p>
    <w:p w14:paraId="711818AF" w14:textId="4CD91D45" w:rsidR="00F92711" w:rsidRPr="003D569F" w:rsidRDefault="00F92711"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26%</w:t>
      </w:r>
      <w:r w:rsidR="3C1CD58B" w:rsidRPr="08CAA0E1">
        <w:rPr>
          <w:rFonts w:ascii="Calibri" w:eastAsia="Calibri" w:hAnsi="Calibri" w:cs="Calibri"/>
        </w:rPr>
        <w:t xml:space="preserve"> </w:t>
      </w:r>
      <w:r w:rsidR="492B8A73" w:rsidRPr="08CAA0E1">
        <w:rPr>
          <w:rFonts w:ascii="Calibri" w:eastAsia="Calibri" w:hAnsi="Calibri" w:cs="Calibri"/>
        </w:rPr>
        <w:t>f</w:t>
      </w:r>
      <w:r w:rsidR="3C1CD58B" w:rsidRPr="08CAA0E1">
        <w:rPr>
          <w:rFonts w:ascii="Calibri" w:eastAsia="Calibri" w:hAnsi="Calibri" w:cs="Calibri"/>
        </w:rPr>
        <w:t>ailed to attend</w:t>
      </w:r>
      <w:r w:rsidR="66746213" w:rsidRPr="08CAA0E1">
        <w:rPr>
          <w:rFonts w:ascii="Calibri" w:eastAsia="Calibri" w:hAnsi="Calibri" w:cs="Calibri"/>
        </w:rPr>
        <w:t xml:space="preserve"> or could not be contacted</w:t>
      </w:r>
    </w:p>
    <w:p w14:paraId="56F3B89A" w14:textId="4044C811" w:rsidR="00F92711" w:rsidRPr="003D569F" w:rsidRDefault="00F92711"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19%</w:t>
      </w:r>
      <w:r w:rsidR="3C1CD58B" w:rsidRPr="08CAA0E1">
        <w:rPr>
          <w:rFonts w:ascii="Calibri" w:eastAsia="Calibri" w:hAnsi="Calibri" w:cs="Calibri"/>
        </w:rPr>
        <w:t xml:space="preserve"> </w:t>
      </w:r>
      <w:r w:rsidR="492B8A73" w:rsidRPr="08CAA0E1">
        <w:rPr>
          <w:rFonts w:ascii="Calibri" w:eastAsia="Calibri" w:hAnsi="Calibri" w:cs="Calibri"/>
        </w:rPr>
        <w:t>f</w:t>
      </w:r>
      <w:r w:rsidR="3C1CD58B" w:rsidRPr="08CAA0E1">
        <w:rPr>
          <w:rFonts w:ascii="Calibri" w:eastAsia="Calibri" w:hAnsi="Calibri" w:cs="Calibri"/>
        </w:rPr>
        <w:t>ound employment</w:t>
      </w:r>
    </w:p>
    <w:p w14:paraId="51F6D287" w14:textId="29BC1283" w:rsidR="00F92711" w:rsidRPr="003D569F" w:rsidRDefault="00F92711"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16%</w:t>
      </w:r>
      <w:r w:rsidR="3C1CD58B" w:rsidRPr="08CAA0E1">
        <w:rPr>
          <w:rFonts w:ascii="Calibri" w:eastAsia="Calibri" w:hAnsi="Calibri" w:cs="Calibri"/>
        </w:rPr>
        <w:t xml:space="preserve"> </w:t>
      </w:r>
      <w:r w:rsidR="4B1C05CE" w:rsidRPr="08CAA0E1">
        <w:rPr>
          <w:rFonts w:ascii="Calibri" w:eastAsia="Calibri" w:hAnsi="Calibri" w:cs="Calibri"/>
        </w:rPr>
        <w:t>reported</w:t>
      </w:r>
      <w:r w:rsidR="0C085AE5" w:rsidRPr="08CAA0E1">
        <w:rPr>
          <w:rFonts w:ascii="Calibri" w:eastAsia="Calibri" w:hAnsi="Calibri" w:cs="Calibri"/>
        </w:rPr>
        <w:t xml:space="preserve"> </w:t>
      </w:r>
      <w:r w:rsidR="492B8A73" w:rsidRPr="08CAA0E1">
        <w:rPr>
          <w:rFonts w:ascii="Calibri" w:eastAsia="Calibri" w:hAnsi="Calibri" w:cs="Calibri"/>
        </w:rPr>
        <w:t>p</w:t>
      </w:r>
      <w:r w:rsidR="3C1CD58B" w:rsidRPr="08CAA0E1">
        <w:rPr>
          <w:rFonts w:ascii="Calibri" w:eastAsia="Calibri" w:hAnsi="Calibri" w:cs="Calibri"/>
        </w:rPr>
        <w:t xml:space="preserve">ersonal </w:t>
      </w:r>
      <w:r w:rsidR="31FE75EC" w:rsidRPr="08CAA0E1">
        <w:rPr>
          <w:rFonts w:ascii="Calibri" w:eastAsia="Calibri" w:hAnsi="Calibri" w:cs="Calibri"/>
        </w:rPr>
        <w:t>challenges</w:t>
      </w:r>
    </w:p>
    <w:p w14:paraId="5550EF69" w14:textId="52515374" w:rsidR="00F92711" w:rsidRPr="003D569F" w:rsidRDefault="00F92711"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 xml:space="preserve">13% </w:t>
      </w:r>
      <w:r w:rsidR="492B8A73" w:rsidRPr="08CAA0E1">
        <w:rPr>
          <w:rFonts w:ascii="Calibri" w:eastAsia="Calibri" w:hAnsi="Calibri" w:cs="Calibri"/>
        </w:rPr>
        <w:t>h</w:t>
      </w:r>
      <w:r w:rsidR="3C1CD58B" w:rsidRPr="08CAA0E1">
        <w:rPr>
          <w:rFonts w:ascii="Calibri" w:eastAsia="Calibri" w:hAnsi="Calibri" w:cs="Calibri"/>
        </w:rPr>
        <w:t>ealth reasons</w:t>
      </w:r>
    </w:p>
    <w:p w14:paraId="3447DEBB" w14:textId="0CB1D61B" w:rsidR="00F92711" w:rsidRPr="003D569F" w:rsidRDefault="00F92711"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 xml:space="preserve">5% </w:t>
      </w:r>
      <w:r w:rsidR="492B8A73" w:rsidRPr="08CAA0E1">
        <w:rPr>
          <w:rFonts w:ascii="Calibri" w:eastAsia="Calibri" w:hAnsi="Calibri" w:cs="Calibri"/>
        </w:rPr>
        <w:t>o</w:t>
      </w:r>
      <w:r w:rsidR="3C1CD58B" w:rsidRPr="08CAA0E1">
        <w:rPr>
          <w:rFonts w:ascii="Calibri" w:eastAsia="Calibri" w:hAnsi="Calibri" w:cs="Calibri"/>
        </w:rPr>
        <w:t>ther training</w:t>
      </w:r>
      <w:r w:rsidR="114B8D4D" w:rsidRPr="08CAA0E1">
        <w:rPr>
          <w:rFonts w:ascii="Calibri" w:eastAsia="Calibri" w:hAnsi="Calibri" w:cs="Calibri"/>
        </w:rPr>
        <w:t>.</w:t>
      </w:r>
    </w:p>
    <w:p w14:paraId="68522F25" w14:textId="47806884" w:rsidR="00E859C6" w:rsidRDefault="77D67213" w:rsidP="003D569F">
      <w:pPr>
        <w:spacing w:before="120" w:after="60"/>
      </w:pPr>
      <w:r>
        <w:t>Stakeholder</w:t>
      </w:r>
      <w:r w:rsidR="66746213">
        <w:t xml:space="preserve"> feedback supports this data </w:t>
      </w:r>
      <w:r w:rsidR="06F7C8C8">
        <w:t xml:space="preserve">and offers </w:t>
      </w:r>
      <w:r w:rsidR="66746213">
        <w:t>some of the</w:t>
      </w:r>
      <w:r w:rsidR="06F7C8C8">
        <w:t xml:space="preserve"> possible</w:t>
      </w:r>
      <w:r w:rsidR="66746213">
        <w:t xml:space="preserve"> reasons </w:t>
      </w:r>
      <w:r w:rsidR="3C1CD58B">
        <w:t xml:space="preserve">for early </w:t>
      </w:r>
      <w:r w:rsidR="06F7C8C8">
        <w:t>withdrawal from the SEE program</w:t>
      </w:r>
      <w:r w:rsidR="66746213">
        <w:t>, including</w:t>
      </w:r>
      <w:r w:rsidR="3C1CD58B">
        <w:t xml:space="preserve">: </w:t>
      </w:r>
    </w:p>
    <w:p w14:paraId="05813734" w14:textId="600B1D32" w:rsidR="00C122FD" w:rsidRPr="00B23680" w:rsidRDefault="002E25F7" w:rsidP="00B23680">
      <w:pPr>
        <w:pStyle w:val="ListParagraph"/>
        <w:numPr>
          <w:ilvl w:val="0"/>
          <w:numId w:val="18"/>
        </w:numPr>
        <w:spacing w:before="120" w:after="60" w:line="276" w:lineRule="auto"/>
        <w:ind w:left="426" w:hanging="357"/>
        <w:contextualSpacing w:val="0"/>
        <w:rPr>
          <w:rFonts w:ascii="Calibri" w:eastAsia="Calibri" w:hAnsi="Calibri" w:cs="Calibri"/>
        </w:rPr>
      </w:pPr>
      <w:r w:rsidRPr="00B23680">
        <w:rPr>
          <w:rFonts w:ascii="Calibri" w:eastAsia="Calibri" w:hAnsi="Calibri" w:cs="Calibri"/>
        </w:rPr>
        <w:t>B</w:t>
      </w:r>
      <w:r w:rsidR="44B56F6A" w:rsidRPr="00B23680">
        <w:rPr>
          <w:rFonts w:ascii="Calibri" w:eastAsia="Calibri" w:hAnsi="Calibri" w:cs="Calibri"/>
        </w:rPr>
        <w:t>arriers that prevent client participation, such as health, mental health, special needs or caring responsibilities</w:t>
      </w:r>
      <w:r w:rsidR="57631C46" w:rsidRPr="00B23680">
        <w:rPr>
          <w:rFonts w:ascii="Calibri" w:eastAsia="Calibri" w:hAnsi="Calibri" w:cs="Calibri"/>
        </w:rPr>
        <w:t>.</w:t>
      </w:r>
    </w:p>
    <w:p w14:paraId="13DCD581" w14:textId="256C0113" w:rsidR="00657102" w:rsidRPr="00B23680" w:rsidRDefault="7F3E96AE" w:rsidP="00B23680">
      <w:pPr>
        <w:pStyle w:val="ListParagraph"/>
        <w:numPr>
          <w:ilvl w:val="0"/>
          <w:numId w:val="18"/>
        </w:numPr>
        <w:spacing w:before="120" w:after="60" w:line="276" w:lineRule="auto"/>
        <w:ind w:left="426" w:hanging="357"/>
        <w:contextualSpacing w:val="0"/>
        <w:rPr>
          <w:rFonts w:ascii="Calibri" w:eastAsia="Calibri" w:hAnsi="Calibri" w:cs="Calibri"/>
        </w:rPr>
      </w:pPr>
      <w:r w:rsidRPr="00B23680">
        <w:rPr>
          <w:rFonts w:ascii="Calibri" w:eastAsia="Calibri" w:hAnsi="Calibri" w:cs="Calibri"/>
        </w:rPr>
        <w:t>L</w:t>
      </w:r>
      <w:r w:rsidR="3624F37A" w:rsidRPr="00B23680">
        <w:rPr>
          <w:rFonts w:ascii="Calibri" w:eastAsia="Calibri" w:hAnsi="Calibri" w:cs="Calibri"/>
        </w:rPr>
        <w:t>ack of support</w:t>
      </w:r>
      <w:r w:rsidR="3EFA7175" w:rsidRPr="00B23680">
        <w:rPr>
          <w:rFonts w:ascii="Calibri" w:eastAsia="Calibri" w:hAnsi="Calibri" w:cs="Calibri"/>
        </w:rPr>
        <w:t xml:space="preserve"> such as counselling or pathway guidance services,</w:t>
      </w:r>
      <w:r w:rsidR="71069DDC" w:rsidRPr="00B23680">
        <w:rPr>
          <w:rFonts w:ascii="Calibri" w:eastAsia="Calibri" w:hAnsi="Calibri" w:cs="Calibri"/>
        </w:rPr>
        <w:t xml:space="preserve"> including from referring agencies,</w:t>
      </w:r>
      <w:r w:rsidR="3EFA7175" w:rsidRPr="00B23680">
        <w:rPr>
          <w:rFonts w:ascii="Calibri" w:eastAsia="Calibri" w:hAnsi="Calibri" w:cs="Calibri"/>
        </w:rPr>
        <w:t xml:space="preserve"> </w:t>
      </w:r>
      <w:r w:rsidR="3624F37A" w:rsidRPr="00B23680">
        <w:rPr>
          <w:rFonts w:ascii="Calibri" w:eastAsia="Calibri" w:hAnsi="Calibri" w:cs="Calibri"/>
        </w:rPr>
        <w:t xml:space="preserve">to help </w:t>
      </w:r>
      <w:r w:rsidR="3EFA7175" w:rsidRPr="00B23680">
        <w:rPr>
          <w:rFonts w:ascii="Calibri" w:eastAsia="Calibri" w:hAnsi="Calibri" w:cs="Calibri"/>
        </w:rPr>
        <w:t xml:space="preserve">providers </w:t>
      </w:r>
      <w:r w:rsidR="3624F37A" w:rsidRPr="00B23680">
        <w:rPr>
          <w:rFonts w:ascii="Calibri" w:eastAsia="Calibri" w:hAnsi="Calibri" w:cs="Calibri"/>
        </w:rPr>
        <w:t xml:space="preserve">manage client barriers </w:t>
      </w:r>
      <w:r w:rsidR="3EFA7175" w:rsidRPr="00B23680">
        <w:rPr>
          <w:rFonts w:ascii="Calibri" w:eastAsia="Calibri" w:hAnsi="Calibri" w:cs="Calibri"/>
        </w:rPr>
        <w:t>and</w:t>
      </w:r>
      <w:r w:rsidR="3624F37A" w:rsidRPr="00B23680">
        <w:rPr>
          <w:rFonts w:ascii="Calibri" w:eastAsia="Calibri" w:hAnsi="Calibri" w:cs="Calibri"/>
        </w:rPr>
        <w:t xml:space="preserve"> </w:t>
      </w:r>
      <w:r w:rsidR="4991D2D7" w:rsidRPr="00B23680">
        <w:rPr>
          <w:rFonts w:ascii="Calibri" w:eastAsia="Calibri" w:hAnsi="Calibri" w:cs="Calibri"/>
        </w:rPr>
        <w:t xml:space="preserve">ensure </w:t>
      </w:r>
      <w:r w:rsidR="3EFA7175" w:rsidRPr="00B23680">
        <w:rPr>
          <w:rFonts w:ascii="Calibri" w:eastAsia="Calibri" w:hAnsi="Calibri" w:cs="Calibri"/>
        </w:rPr>
        <w:t xml:space="preserve">they continue to </w:t>
      </w:r>
      <w:r w:rsidR="4991D2D7" w:rsidRPr="00B23680">
        <w:rPr>
          <w:rFonts w:ascii="Calibri" w:eastAsia="Calibri" w:hAnsi="Calibri" w:cs="Calibri"/>
        </w:rPr>
        <w:t>engage</w:t>
      </w:r>
      <w:r w:rsidR="3EFA7175" w:rsidRPr="00B23680">
        <w:rPr>
          <w:rFonts w:ascii="Calibri" w:eastAsia="Calibri" w:hAnsi="Calibri" w:cs="Calibri"/>
        </w:rPr>
        <w:t xml:space="preserve"> and </w:t>
      </w:r>
      <w:r w:rsidR="4991D2D7" w:rsidRPr="00B23680">
        <w:rPr>
          <w:rFonts w:ascii="Calibri" w:eastAsia="Calibri" w:hAnsi="Calibri" w:cs="Calibri"/>
        </w:rPr>
        <w:t>participate in training</w:t>
      </w:r>
      <w:r w:rsidR="2D24AE04" w:rsidRPr="00B23680">
        <w:rPr>
          <w:rFonts w:ascii="Calibri" w:eastAsia="Calibri" w:hAnsi="Calibri" w:cs="Calibri"/>
        </w:rPr>
        <w:t>.</w:t>
      </w:r>
      <w:r w:rsidR="4991D2D7" w:rsidRPr="00B23680">
        <w:rPr>
          <w:rFonts w:ascii="Calibri" w:eastAsia="Calibri" w:hAnsi="Calibri" w:cs="Calibri"/>
        </w:rPr>
        <w:t xml:space="preserve"> </w:t>
      </w:r>
    </w:p>
    <w:p w14:paraId="0F11BF62" w14:textId="3B71FDAF" w:rsidR="002F73B7" w:rsidRPr="00B23680" w:rsidRDefault="079CF851" w:rsidP="00B23680">
      <w:pPr>
        <w:pStyle w:val="ListParagraph"/>
        <w:numPr>
          <w:ilvl w:val="0"/>
          <w:numId w:val="18"/>
        </w:numPr>
        <w:spacing w:before="120" w:after="60" w:line="276" w:lineRule="auto"/>
        <w:ind w:left="426" w:hanging="357"/>
        <w:contextualSpacing w:val="0"/>
        <w:rPr>
          <w:rFonts w:ascii="Calibri" w:eastAsia="Calibri" w:hAnsi="Calibri" w:cs="Calibri"/>
        </w:rPr>
      </w:pPr>
      <w:r w:rsidRPr="00B23680">
        <w:rPr>
          <w:rFonts w:ascii="Calibri" w:eastAsia="Calibri" w:hAnsi="Calibri" w:cs="Calibri"/>
        </w:rPr>
        <w:t>I</w:t>
      </w:r>
      <w:r w:rsidR="77D67213" w:rsidRPr="00B23680">
        <w:rPr>
          <w:rFonts w:ascii="Calibri" w:eastAsia="Calibri" w:hAnsi="Calibri" w:cs="Calibri"/>
        </w:rPr>
        <w:t>ncorrect referral</w:t>
      </w:r>
      <w:r w:rsidR="44B56F6A" w:rsidRPr="00B23680">
        <w:rPr>
          <w:rFonts w:ascii="Calibri" w:eastAsia="Calibri" w:hAnsi="Calibri" w:cs="Calibri"/>
        </w:rPr>
        <w:t xml:space="preserve"> </w:t>
      </w:r>
      <w:r w:rsidR="6A75D305" w:rsidRPr="00B23680">
        <w:rPr>
          <w:rFonts w:ascii="Calibri" w:eastAsia="Calibri" w:hAnsi="Calibri" w:cs="Calibri"/>
        </w:rPr>
        <w:t>in</w:t>
      </w:r>
      <w:r w:rsidR="44B56F6A" w:rsidRPr="00B23680">
        <w:rPr>
          <w:rFonts w:ascii="Calibri" w:eastAsia="Calibri" w:hAnsi="Calibri" w:cs="Calibri"/>
        </w:rPr>
        <w:t>to the program</w:t>
      </w:r>
      <w:r w:rsidR="04A80A4C" w:rsidRPr="00B23680">
        <w:rPr>
          <w:rFonts w:ascii="Calibri" w:eastAsia="Calibri" w:hAnsi="Calibri" w:cs="Calibri"/>
        </w:rPr>
        <w:t>.</w:t>
      </w:r>
      <w:r w:rsidR="77D67213" w:rsidRPr="00B23680">
        <w:rPr>
          <w:rFonts w:ascii="Calibri" w:eastAsia="Calibri" w:hAnsi="Calibri" w:cs="Calibri"/>
        </w:rPr>
        <w:t xml:space="preserve"> </w:t>
      </w:r>
    </w:p>
    <w:p w14:paraId="1F4DCEEB" w14:textId="1F1DFCDD" w:rsidR="00B8293A" w:rsidRPr="00B23680" w:rsidRDefault="4206BFBA" w:rsidP="00B23680">
      <w:pPr>
        <w:pStyle w:val="ListParagraph"/>
        <w:numPr>
          <w:ilvl w:val="0"/>
          <w:numId w:val="18"/>
        </w:numPr>
        <w:spacing w:before="120" w:after="60" w:line="276" w:lineRule="auto"/>
        <w:ind w:left="426" w:hanging="357"/>
        <w:contextualSpacing w:val="0"/>
        <w:rPr>
          <w:rFonts w:ascii="Calibri" w:eastAsia="Calibri" w:hAnsi="Calibri" w:cs="Calibri"/>
        </w:rPr>
      </w:pPr>
      <w:r w:rsidRPr="00B23680">
        <w:rPr>
          <w:rFonts w:ascii="Calibri" w:eastAsia="Calibri" w:hAnsi="Calibri" w:cs="Calibri"/>
        </w:rPr>
        <w:t>T</w:t>
      </w:r>
      <w:r w:rsidR="44B56F6A" w:rsidRPr="00B23680">
        <w:rPr>
          <w:rFonts w:ascii="Calibri" w:eastAsia="Calibri" w:hAnsi="Calibri" w:cs="Calibri"/>
        </w:rPr>
        <w:t xml:space="preserve">raining options that do not match client goals. </w:t>
      </w:r>
      <w:r w:rsidR="04F932F6" w:rsidRPr="00B23680">
        <w:rPr>
          <w:rFonts w:ascii="Calibri" w:eastAsia="Calibri" w:hAnsi="Calibri" w:cs="Calibri"/>
        </w:rPr>
        <w:t>T</w:t>
      </w:r>
      <w:r w:rsidR="26A6C3F3" w:rsidRPr="00B23680">
        <w:rPr>
          <w:rFonts w:ascii="Calibri" w:eastAsia="Calibri" w:hAnsi="Calibri" w:cs="Calibri"/>
        </w:rPr>
        <w:t xml:space="preserve">raining has a narrow focus on workplace literacy in Vocational Education and Training </w:t>
      </w:r>
      <w:r w:rsidR="04F932F6" w:rsidRPr="00B23680">
        <w:rPr>
          <w:rFonts w:ascii="Calibri" w:eastAsia="Calibri" w:hAnsi="Calibri" w:cs="Calibri"/>
        </w:rPr>
        <w:t xml:space="preserve">for ‘job seekers’ </w:t>
      </w:r>
      <w:r w:rsidR="26A6C3F3" w:rsidRPr="00B23680">
        <w:rPr>
          <w:rFonts w:ascii="Calibri" w:eastAsia="Calibri" w:hAnsi="Calibri" w:cs="Calibri"/>
        </w:rPr>
        <w:t>rather than preparation for different types of training and work</w:t>
      </w:r>
      <w:r w:rsidR="47C096EE" w:rsidRPr="00B23680">
        <w:rPr>
          <w:rFonts w:ascii="Calibri" w:eastAsia="Calibri" w:hAnsi="Calibri" w:cs="Calibri"/>
        </w:rPr>
        <w:t>.</w:t>
      </w:r>
    </w:p>
    <w:p w14:paraId="4DD4675C" w14:textId="5C7A7F67" w:rsidR="00B8293A" w:rsidRPr="00B23680" w:rsidRDefault="540D9229" w:rsidP="00B23680">
      <w:pPr>
        <w:pStyle w:val="ListParagraph"/>
        <w:numPr>
          <w:ilvl w:val="0"/>
          <w:numId w:val="18"/>
        </w:numPr>
        <w:spacing w:before="120" w:after="60" w:line="276" w:lineRule="auto"/>
        <w:ind w:left="426" w:hanging="357"/>
        <w:contextualSpacing w:val="0"/>
        <w:rPr>
          <w:rFonts w:ascii="Calibri" w:eastAsia="Calibri" w:hAnsi="Calibri" w:cs="Calibri"/>
        </w:rPr>
      </w:pPr>
      <w:r w:rsidRPr="00B23680">
        <w:rPr>
          <w:rFonts w:ascii="Calibri" w:eastAsia="Calibri" w:hAnsi="Calibri" w:cs="Calibri"/>
        </w:rPr>
        <w:t>E</w:t>
      </w:r>
      <w:r w:rsidR="3EFA7175" w:rsidRPr="00B23680">
        <w:rPr>
          <w:rFonts w:ascii="Calibri" w:eastAsia="Calibri" w:hAnsi="Calibri" w:cs="Calibri"/>
        </w:rPr>
        <w:t xml:space="preserve">mphasis on assessment in initial stages of delivery, both </w:t>
      </w:r>
      <w:r w:rsidR="2019F6F7" w:rsidRPr="00B23680">
        <w:rPr>
          <w:rFonts w:ascii="Calibri" w:eastAsia="Calibri" w:hAnsi="Calibri" w:cs="Calibri"/>
        </w:rPr>
        <w:t>the Australian Core Skills Framework (</w:t>
      </w:r>
      <w:r w:rsidR="3EFA7175" w:rsidRPr="00B23680">
        <w:rPr>
          <w:rFonts w:ascii="Calibri" w:eastAsia="Calibri" w:hAnsi="Calibri" w:cs="Calibri"/>
        </w:rPr>
        <w:t>ACSF</w:t>
      </w:r>
      <w:r w:rsidR="2019F6F7" w:rsidRPr="00B23680">
        <w:rPr>
          <w:rFonts w:ascii="Calibri" w:eastAsia="Calibri" w:hAnsi="Calibri" w:cs="Calibri"/>
        </w:rPr>
        <w:t>)</w:t>
      </w:r>
      <w:r w:rsidR="3EFA7175" w:rsidRPr="00B23680">
        <w:rPr>
          <w:rFonts w:ascii="Calibri" w:eastAsia="Calibri" w:hAnsi="Calibri" w:cs="Calibri"/>
        </w:rPr>
        <w:t xml:space="preserve"> and unit of competency, which is demotivating for some clients</w:t>
      </w:r>
      <w:r w:rsidR="4D0028C8" w:rsidRPr="00B23680">
        <w:rPr>
          <w:rFonts w:ascii="Calibri" w:eastAsia="Calibri" w:hAnsi="Calibri" w:cs="Calibri"/>
        </w:rPr>
        <w:t>.</w:t>
      </w:r>
      <w:r w:rsidR="3EFA7175" w:rsidRPr="00B23680">
        <w:rPr>
          <w:rFonts w:ascii="Calibri" w:eastAsia="Calibri" w:hAnsi="Calibri" w:cs="Calibri"/>
        </w:rPr>
        <w:t xml:space="preserve"> </w:t>
      </w:r>
    </w:p>
    <w:p w14:paraId="4A78EBA7" w14:textId="2436678C" w:rsidR="007D4F07" w:rsidRPr="00B23680" w:rsidRDefault="67AD6F1D" w:rsidP="00B23680">
      <w:pPr>
        <w:pStyle w:val="ListParagraph"/>
        <w:numPr>
          <w:ilvl w:val="0"/>
          <w:numId w:val="18"/>
        </w:numPr>
        <w:spacing w:before="120" w:after="60" w:line="276" w:lineRule="auto"/>
        <w:ind w:left="426" w:hanging="357"/>
        <w:contextualSpacing w:val="0"/>
        <w:rPr>
          <w:rFonts w:ascii="Calibri" w:eastAsia="Calibri" w:hAnsi="Calibri" w:cs="Calibri"/>
        </w:rPr>
      </w:pPr>
      <w:r w:rsidRPr="00B23680">
        <w:rPr>
          <w:rFonts w:ascii="Calibri" w:eastAsia="Calibri" w:hAnsi="Calibri" w:cs="Calibri"/>
        </w:rPr>
        <w:t>C</w:t>
      </w:r>
      <w:r w:rsidR="49027544" w:rsidRPr="00B23680">
        <w:rPr>
          <w:rFonts w:ascii="Calibri" w:eastAsia="Calibri" w:hAnsi="Calibri" w:cs="Calibri"/>
        </w:rPr>
        <w:t>lients find e</w:t>
      </w:r>
      <w:r w:rsidR="1D158F8B" w:rsidRPr="00B23680">
        <w:rPr>
          <w:rFonts w:ascii="Calibri" w:eastAsia="Calibri" w:hAnsi="Calibri" w:cs="Calibri"/>
        </w:rPr>
        <w:t>mployment</w:t>
      </w:r>
      <w:r w:rsidR="114B8D4D" w:rsidRPr="00B23680">
        <w:rPr>
          <w:rFonts w:ascii="Calibri" w:eastAsia="Calibri" w:hAnsi="Calibri" w:cs="Calibri"/>
        </w:rPr>
        <w:t>.</w:t>
      </w:r>
      <w:r w:rsidR="5188BD5F" w:rsidRPr="00B23680">
        <w:rPr>
          <w:rFonts w:ascii="Calibri" w:eastAsia="Calibri" w:hAnsi="Calibri" w:cs="Calibri"/>
        </w:rPr>
        <w:t xml:space="preserve"> </w:t>
      </w:r>
    </w:p>
    <w:p w14:paraId="426D60CA" w14:textId="642A6BDD" w:rsidR="003E7C09" w:rsidRPr="003E7C09" w:rsidRDefault="003E7C09" w:rsidP="00D62001">
      <w:pPr>
        <w:spacing w:before="120" w:after="60"/>
      </w:pPr>
      <w:r w:rsidRPr="003E7C09">
        <w:t xml:space="preserve">To </w:t>
      </w:r>
      <w:r w:rsidR="0052635D">
        <w:t>better engage participants</w:t>
      </w:r>
      <w:r w:rsidR="00C03011">
        <w:t>,</w:t>
      </w:r>
      <w:r w:rsidR="0052635D">
        <w:t xml:space="preserve"> </w:t>
      </w:r>
      <w:r w:rsidRPr="003E7C09">
        <w:t>stakeholders suggested:</w:t>
      </w:r>
    </w:p>
    <w:p w14:paraId="7926FB9F" w14:textId="562F264C" w:rsidR="003E7C09" w:rsidRDefault="3D63EBED"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 xml:space="preserve">The program should better recognise individual goals and circumstances. Participants reported studying in the SEE program for a range of reasons. Sixty percent of job seekers are seeking to gain skills for work or get a job </w:t>
      </w:r>
      <w:r w:rsidR="003E7C09" w:rsidRPr="08CAA0E1">
        <w:rPr>
          <w:rFonts w:ascii="Calibri" w:eastAsia="Calibri" w:hAnsi="Calibri" w:cs="Calibri"/>
        </w:rPr>
        <w:t>and 40%</w:t>
      </w:r>
      <w:r w:rsidRPr="08CAA0E1">
        <w:rPr>
          <w:rFonts w:ascii="Calibri" w:eastAsia="Calibri" w:hAnsi="Calibri" w:cs="Calibri"/>
        </w:rPr>
        <w:t xml:space="preserve"> to be able to communicate and participate community activities.</w:t>
      </w:r>
    </w:p>
    <w:p w14:paraId="67900596" w14:textId="400C7711"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3E7C09">
        <w:rPr>
          <w:rFonts w:ascii="Calibri" w:eastAsia="Calibri" w:hAnsi="Calibri" w:cs="Calibri"/>
        </w:rPr>
        <w:t>The</w:t>
      </w:r>
      <w:r>
        <w:rPr>
          <w:rFonts w:ascii="Calibri" w:eastAsia="Calibri" w:hAnsi="Calibri" w:cs="Calibri"/>
        </w:rPr>
        <w:t xml:space="preserve"> </w:t>
      </w:r>
      <w:r w:rsidRPr="003E7C09">
        <w:rPr>
          <w:rFonts w:ascii="Calibri" w:eastAsia="Calibri" w:hAnsi="Calibri" w:cs="Calibri"/>
        </w:rPr>
        <w:t>program needs more effective engagement strategies.</w:t>
      </w:r>
      <w:r>
        <w:rPr>
          <w:rFonts w:ascii="Calibri" w:eastAsia="Calibri" w:hAnsi="Calibri" w:cs="Calibri"/>
        </w:rPr>
        <w:t xml:space="preserve"> There was strong support for funding a ‘case manager’ to support clients transition to the SEE program to help manage some of the </w:t>
      </w:r>
      <w:r w:rsidR="00501EF0">
        <w:rPr>
          <w:rFonts w:ascii="Calibri" w:eastAsia="Calibri" w:hAnsi="Calibri" w:cs="Calibri"/>
        </w:rPr>
        <w:t xml:space="preserve">non-vocational </w:t>
      </w:r>
      <w:r>
        <w:rPr>
          <w:rFonts w:ascii="Calibri" w:eastAsia="Calibri" w:hAnsi="Calibri" w:cs="Calibri"/>
        </w:rPr>
        <w:t xml:space="preserve">barriers to training. </w:t>
      </w:r>
    </w:p>
    <w:p w14:paraId="07B0F7BB" w14:textId="1BF554DD" w:rsidR="002D0D62" w:rsidRPr="00A3799E" w:rsidRDefault="007F7EA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F</w:t>
      </w:r>
      <w:r w:rsidRPr="00A3799E">
        <w:rPr>
          <w:rFonts w:ascii="Calibri" w:eastAsia="Calibri" w:hAnsi="Calibri" w:cs="Calibri"/>
        </w:rPr>
        <w:t xml:space="preserve">unding </w:t>
      </w:r>
      <w:r>
        <w:rPr>
          <w:rFonts w:ascii="Calibri" w:eastAsia="Calibri" w:hAnsi="Calibri" w:cs="Calibri"/>
        </w:rPr>
        <w:t xml:space="preserve">be provided to assist </w:t>
      </w:r>
      <w:r w:rsidR="002D0D62" w:rsidRPr="00A3799E">
        <w:rPr>
          <w:rFonts w:ascii="Calibri" w:eastAsia="Calibri" w:hAnsi="Calibri" w:cs="Calibri"/>
        </w:rPr>
        <w:t>client</w:t>
      </w:r>
      <w:r w:rsidR="002D0D62">
        <w:rPr>
          <w:rFonts w:ascii="Calibri" w:eastAsia="Calibri" w:hAnsi="Calibri" w:cs="Calibri"/>
        </w:rPr>
        <w:t xml:space="preserve">s with </w:t>
      </w:r>
      <w:r w:rsidR="002D0D62" w:rsidRPr="00A3799E">
        <w:rPr>
          <w:rFonts w:ascii="Calibri" w:eastAsia="Calibri" w:hAnsi="Calibri" w:cs="Calibri"/>
        </w:rPr>
        <w:t>assistance for childcare, transport, and access to ICT (both access and devices)</w:t>
      </w:r>
      <w:r w:rsidR="007D4F07">
        <w:rPr>
          <w:rFonts w:ascii="Calibri" w:eastAsia="Calibri" w:hAnsi="Calibri" w:cs="Calibri"/>
        </w:rPr>
        <w:t>.</w:t>
      </w:r>
    </w:p>
    <w:p w14:paraId="0F0E2DAD" w14:textId="09A846C9" w:rsidR="003E7C09" w:rsidRPr="00A3799E" w:rsidRDefault="007F7EA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More </w:t>
      </w:r>
      <w:r w:rsidR="002D0D62">
        <w:rPr>
          <w:rFonts w:ascii="Calibri" w:eastAsia="Calibri" w:hAnsi="Calibri" w:cs="Calibri"/>
        </w:rPr>
        <w:t xml:space="preserve">flexible </w:t>
      </w:r>
      <w:r w:rsidR="003E7C09" w:rsidRPr="00A3799E">
        <w:rPr>
          <w:rFonts w:ascii="Calibri" w:eastAsia="Calibri" w:hAnsi="Calibri" w:cs="Calibri"/>
        </w:rPr>
        <w:t>training hours to allow greater access for those who have work or childcare commitments during daytime training hours</w:t>
      </w:r>
      <w:r w:rsidR="007D4F07">
        <w:rPr>
          <w:rFonts w:ascii="Calibri" w:eastAsia="Calibri" w:hAnsi="Calibri" w:cs="Calibri"/>
        </w:rPr>
        <w:t>.</w:t>
      </w:r>
    </w:p>
    <w:p w14:paraId="59863D54" w14:textId="17B052EE" w:rsidR="002D0D62" w:rsidRPr="00A3799E" w:rsidRDefault="007F7EA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Delivery </w:t>
      </w:r>
      <w:r w:rsidR="002D0D62">
        <w:rPr>
          <w:rFonts w:ascii="Calibri" w:eastAsia="Calibri" w:hAnsi="Calibri" w:cs="Calibri"/>
        </w:rPr>
        <w:t xml:space="preserve">of </w:t>
      </w:r>
      <w:r w:rsidR="002D0D62" w:rsidRPr="00A3799E">
        <w:rPr>
          <w:rFonts w:ascii="Calibri" w:eastAsia="Calibri" w:hAnsi="Calibri" w:cs="Calibri"/>
        </w:rPr>
        <w:t>non-accredited training to support the transition of clients into the program</w:t>
      </w:r>
      <w:r w:rsidR="007D4F07">
        <w:rPr>
          <w:rFonts w:ascii="Calibri" w:eastAsia="Calibri" w:hAnsi="Calibri" w:cs="Calibri"/>
        </w:rPr>
        <w:t>.</w:t>
      </w:r>
    </w:p>
    <w:p w14:paraId="2DFAEC23" w14:textId="4001FDD9" w:rsidR="003E7C09" w:rsidRDefault="007F7EA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I</w:t>
      </w:r>
      <w:r w:rsidRPr="00A3799E">
        <w:rPr>
          <w:rFonts w:ascii="Calibri" w:eastAsia="Calibri" w:hAnsi="Calibri" w:cs="Calibri"/>
        </w:rPr>
        <w:t xml:space="preserve">mproved </w:t>
      </w:r>
      <w:r w:rsidR="003E7C09" w:rsidRPr="00A3799E">
        <w:rPr>
          <w:rFonts w:ascii="Calibri" w:eastAsia="Calibri" w:hAnsi="Calibri" w:cs="Calibri"/>
        </w:rPr>
        <w:t>access to work placement/work experience to help engage learners</w:t>
      </w:r>
      <w:r w:rsidR="003E7C09">
        <w:rPr>
          <w:rFonts w:ascii="Calibri" w:eastAsia="Calibri" w:hAnsi="Calibri" w:cs="Calibri"/>
        </w:rPr>
        <w:t>.</w:t>
      </w:r>
    </w:p>
    <w:p w14:paraId="0E41CD97" w14:textId="32529F52" w:rsidR="003E7C09" w:rsidRPr="00635F4B" w:rsidRDefault="003E7C09" w:rsidP="009A0401">
      <w:pPr>
        <w:pStyle w:val="Heading2"/>
      </w:pPr>
      <w:bookmarkStart w:id="10" w:name="_Toc119482139"/>
      <w:r w:rsidRPr="00635F4B">
        <w:t>Training delivery</w:t>
      </w:r>
      <w:bookmarkEnd w:id="10"/>
    </w:p>
    <w:p w14:paraId="0D78C94A" w14:textId="3C55B1F6" w:rsidR="003E7C09" w:rsidRDefault="003E7C09" w:rsidP="00D62001">
      <w:pPr>
        <w:spacing w:before="120" w:after="60"/>
      </w:pPr>
      <w:r>
        <w:t>The SEE program provides job seekers with high quality and relevant LLND training. Critical to its ongoing success is the type of training and how it is delivered. Training is currently provided through accredited courses with client progress measured and reported against the ACSF.</w:t>
      </w:r>
    </w:p>
    <w:p w14:paraId="72833B39" w14:textId="6B586E01" w:rsidR="00FC30EE" w:rsidRDefault="00FC30EE" w:rsidP="00FC30EE">
      <w:pPr>
        <w:pStyle w:val="Heading3"/>
      </w:pPr>
      <w:bookmarkStart w:id="11" w:name="_Toc119482140"/>
      <w:bookmarkStart w:id="12" w:name="_Hlk109044605"/>
      <w:r>
        <w:t>Training</w:t>
      </w:r>
      <w:bookmarkEnd w:id="11"/>
    </w:p>
    <w:bookmarkEnd w:id="12"/>
    <w:p w14:paraId="31D62F84" w14:textId="77FEB0F2" w:rsidR="003E7C09" w:rsidRPr="00A3799E" w:rsidRDefault="003E7C09" w:rsidP="00D62001">
      <w:pPr>
        <w:spacing w:before="120" w:after="60"/>
      </w:pPr>
      <w:r>
        <w:t xml:space="preserve">There was general support for </w:t>
      </w:r>
      <w:r w:rsidRPr="00A3799E">
        <w:t xml:space="preserve">SEE providers </w:t>
      </w:r>
      <w:r>
        <w:t xml:space="preserve">to continue to prescribe courses based on the </w:t>
      </w:r>
      <w:r w:rsidRPr="00A3799E">
        <w:t>need</w:t>
      </w:r>
      <w:r>
        <w:t>s of clients</w:t>
      </w:r>
      <w:r w:rsidR="00B42FF4">
        <w:t xml:space="preserve">, </w:t>
      </w:r>
      <w:r>
        <w:t xml:space="preserve">local </w:t>
      </w:r>
      <w:r w:rsidR="00C20F8C">
        <w:t>community,</w:t>
      </w:r>
      <w:r>
        <w:t xml:space="preserve"> and employment need.</w:t>
      </w:r>
    </w:p>
    <w:p w14:paraId="00E9BB64" w14:textId="69DD138A" w:rsidR="003E7C09" w:rsidRDefault="3D63EBED" w:rsidP="00D62001">
      <w:pPr>
        <w:spacing w:before="120" w:after="60"/>
      </w:pPr>
      <w:r>
        <w:t>Stakeholders supported the inclusion of non-accredited training with 92% of respondents indicating it is beneficial in providing support to vulnerable cohorts, as it:</w:t>
      </w:r>
    </w:p>
    <w:p w14:paraId="21C6960A" w14:textId="771B0427" w:rsidR="003E7C09" w:rsidRP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3E7C09">
        <w:rPr>
          <w:rFonts w:ascii="Calibri" w:eastAsia="Calibri" w:hAnsi="Calibri" w:cs="Calibri"/>
        </w:rPr>
        <w:t>increases engagement for those who have had poor past experiences with formal education</w:t>
      </w:r>
    </w:p>
    <w:p w14:paraId="5A76C5A4" w14:textId="77777777" w:rsidR="003E7C09" w:rsidRP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3E7C09">
        <w:rPr>
          <w:rFonts w:ascii="Calibri" w:eastAsia="Calibri" w:hAnsi="Calibri" w:cs="Calibri"/>
        </w:rPr>
        <w:t>allows for tailored training to address specific barriers, including training to address areas of high LLND need, before enrolling in an accredited training pathway that has a narrower focus and assessment requirements</w:t>
      </w:r>
    </w:p>
    <w:p w14:paraId="1988F8EA" w14:textId="77777777" w:rsidR="003E7C09" w:rsidRP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3E7C09">
        <w:rPr>
          <w:rFonts w:ascii="Calibri" w:eastAsia="Calibri" w:hAnsi="Calibri" w:cs="Calibri"/>
        </w:rPr>
        <w:t xml:space="preserve">provides flexibility to deliver ‘tasters’ or pathway courses to transition clients in and out of training. </w:t>
      </w:r>
    </w:p>
    <w:p w14:paraId="36C1DA03" w14:textId="7B657E2F" w:rsidR="003E7C09" w:rsidRPr="004F7817" w:rsidRDefault="3D63EBED" w:rsidP="00D62001">
      <w:pPr>
        <w:spacing w:before="120" w:after="60"/>
      </w:pPr>
      <w:r>
        <w:t xml:space="preserve">However, feedback also identified the need for strong regulation and quality assurance of </w:t>
      </w:r>
      <w:r w:rsidR="003E7C09">
        <w:br/>
      </w:r>
      <w:r>
        <w:t xml:space="preserve">non-accredited training, including an application process and quality assurance against </w:t>
      </w:r>
      <w:r w:rsidR="7300893A">
        <w:t xml:space="preserve">a quality framework. </w:t>
      </w:r>
    </w:p>
    <w:p w14:paraId="45D576FD" w14:textId="75581D5B" w:rsidR="003E7C09" w:rsidRDefault="3D63EBED" w:rsidP="00D62001">
      <w:pPr>
        <w:spacing w:before="120" w:after="60"/>
      </w:pPr>
      <w:r>
        <w:t>Many stakeholders indicated that VET contextualised delivery (the delivery of LLND supported mainstream VET qualifications) is valuable but raised several challenges with delivery</w:t>
      </w:r>
      <w:r w:rsidR="41050EA3">
        <w:t>.</w:t>
      </w:r>
      <w:r>
        <w:t xml:space="preserve"> </w:t>
      </w:r>
      <w:r w:rsidR="51FB3815">
        <w:t xml:space="preserve">This </w:t>
      </w:r>
      <w:r>
        <w:t>includ</w:t>
      </w:r>
      <w:r w:rsidR="5B813E65">
        <w:t>ed</w:t>
      </w:r>
      <w:r>
        <w:t xml:space="preserve"> that the training:</w:t>
      </w:r>
    </w:p>
    <w:p w14:paraId="29428FD8"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A3799E">
        <w:rPr>
          <w:rFonts w:ascii="Calibri" w:eastAsia="Calibri" w:hAnsi="Calibri" w:cs="Calibri"/>
        </w:rPr>
        <w:t>is not always appropriate for SEE clients as they have low LLND skill levels</w:t>
      </w:r>
    </w:p>
    <w:p w14:paraId="79951354"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A3799E">
        <w:rPr>
          <w:rFonts w:ascii="Calibri" w:eastAsia="Calibri" w:hAnsi="Calibri" w:cs="Calibri"/>
        </w:rPr>
        <w:t>may not match a client’s individual goals</w:t>
      </w:r>
    </w:p>
    <w:p w14:paraId="671370C1" w14:textId="77777777"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costs more to deliver as the model of delivery is </w:t>
      </w:r>
      <w:r w:rsidRPr="00A3799E">
        <w:rPr>
          <w:rFonts w:ascii="Calibri" w:eastAsia="Calibri" w:hAnsi="Calibri" w:cs="Calibri"/>
        </w:rPr>
        <w:t xml:space="preserve">resource heavy requiring both an LLND teacher and a VET trainer, as well as extensive resource </w:t>
      </w:r>
      <w:r>
        <w:rPr>
          <w:rFonts w:ascii="Calibri" w:eastAsia="Calibri" w:hAnsi="Calibri" w:cs="Calibri"/>
        </w:rPr>
        <w:t>adaptation.</w:t>
      </w:r>
    </w:p>
    <w:p w14:paraId="6FD98409" w14:textId="0EB78E8A" w:rsidR="003E7C09" w:rsidRPr="0061654C" w:rsidRDefault="3D63EBED" w:rsidP="00D62001">
      <w:pPr>
        <w:spacing w:before="120" w:after="60"/>
      </w:pPr>
      <w:r>
        <w:t>These observations were also reflected in the participant survey</w:t>
      </w:r>
      <w:r w:rsidR="08C6BFD6">
        <w:t>.</w:t>
      </w:r>
      <w:r>
        <w:t xml:space="preserve"> </w:t>
      </w:r>
      <w:r w:rsidR="77F15328">
        <w:t>P</w:t>
      </w:r>
      <w:r>
        <w:t>articipants report</w:t>
      </w:r>
      <w:r w:rsidR="4A91B318">
        <w:t>ed</w:t>
      </w:r>
      <w:r>
        <w:t xml:space="preserve"> they enrol</w:t>
      </w:r>
      <w:r w:rsidR="0871D7F8">
        <w:t>led</w:t>
      </w:r>
      <w:r>
        <w:t xml:space="preserve"> in the SEE program primarily to improve LLND skills, with small numbers (17%) indicating they would be interested in re-enrolling in a VET contextualised course.</w:t>
      </w:r>
    </w:p>
    <w:p w14:paraId="010A53B6" w14:textId="03405107" w:rsidR="00FC30EE" w:rsidRDefault="00FC30EE" w:rsidP="00FC30EE">
      <w:pPr>
        <w:pStyle w:val="Heading3"/>
      </w:pPr>
      <w:bookmarkStart w:id="13" w:name="_Toc119482141"/>
      <w:bookmarkStart w:id="14" w:name="_Hlk109044676"/>
      <w:r>
        <w:t>Distance delivery</w:t>
      </w:r>
      <w:bookmarkEnd w:id="13"/>
    </w:p>
    <w:p w14:paraId="672FE849" w14:textId="627B3990" w:rsidR="00A11B75" w:rsidRDefault="003E7C09" w:rsidP="00D62001">
      <w:pPr>
        <w:spacing w:before="120" w:after="60"/>
      </w:pPr>
      <w:r>
        <w:t>Distance training delivery is considered a separate delivery model in the current contract and delivered by a single SEE program provider. Stakeholders were asked to consider how distance training could be delivered in the future.</w:t>
      </w:r>
    </w:p>
    <w:p w14:paraId="33EF1595" w14:textId="3C314D6E" w:rsidR="00A11B75" w:rsidRDefault="513222A4" w:rsidP="00A11B75">
      <w:pPr>
        <w:spacing w:before="120" w:after="60"/>
      </w:pPr>
      <w:r>
        <w:t xml:space="preserve">Stakeholders viewed face-to-face as the most appropriate delivery mode for clients in the SEE program. This was corroborated </w:t>
      </w:r>
      <w:r w:rsidR="1C34C70C">
        <w:t>in</w:t>
      </w:r>
      <w:r>
        <w:t xml:space="preserve"> the participant survey with 62% of participants reporting they prefer face</w:t>
      </w:r>
      <w:r w:rsidR="00A11B75">
        <w:t xml:space="preserve"> </w:t>
      </w:r>
      <w:r>
        <w:t>to</w:t>
      </w:r>
      <w:r w:rsidR="00A11B75">
        <w:t xml:space="preserve"> </w:t>
      </w:r>
      <w:r>
        <w:t>face tuition in a classroom</w:t>
      </w:r>
      <w:r w:rsidR="259DB0FF">
        <w:t>, and</w:t>
      </w:r>
      <w:r w:rsidR="1C34C70C">
        <w:t xml:space="preserve"> a further 16% indicat</w:t>
      </w:r>
      <w:r w:rsidR="4837B304">
        <w:t>ed</w:t>
      </w:r>
      <w:r w:rsidR="1C34C70C">
        <w:t xml:space="preserve"> they </w:t>
      </w:r>
      <w:r w:rsidR="3E06011E">
        <w:t>preferred</w:t>
      </w:r>
      <w:r w:rsidR="1C34C70C">
        <w:t xml:space="preserve"> a mixture of online home learning and in class learning.</w:t>
      </w:r>
    </w:p>
    <w:p w14:paraId="06AB4B01" w14:textId="463C260D" w:rsidR="003E7C09" w:rsidRPr="003E7C09" w:rsidRDefault="003E7C09" w:rsidP="00D62001">
      <w:pPr>
        <w:spacing w:before="120" w:after="60"/>
      </w:pPr>
      <w:r>
        <w:t>Eighty per cent of s</w:t>
      </w:r>
      <w:r w:rsidRPr="002F3CEB">
        <w:t>takeholde</w:t>
      </w:r>
      <w:r>
        <w:t>rs felt all SEE providers should be allowed the option of distance delivery as it</w:t>
      </w:r>
      <w:r w:rsidRPr="003E7C09">
        <w:t>:</w:t>
      </w:r>
    </w:p>
    <w:p w14:paraId="7469110B" w14:textId="77777777"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A3799E">
        <w:rPr>
          <w:rFonts w:ascii="Calibri" w:eastAsia="Calibri" w:hAnsi="Calibri" w:cs="Calibri"/>
        </w:rPr>
        <w:t>enables greater access for clients who need LLND support</w:t>
      </w:r>
      <w:r>
        <w:rPr>
          <w:rFonts w:ascii="Calibri" w:eastAsia="Calibri" w:hAnsi="Calibri" w:cs="Calibri"/>
        </w:rPr>
        <w:t xml:space="preserve">, including for those who have caring </w:t>
      </w:r>
      <w:r w:rsidRPr="00A3799E">
        <w:rPr>
          <w:rFonts w:ascii="Calibri" w:eastAsia="Calibri" w:hAnsi="Calibri" w:cs="Calibri"/>
        </w:rPr>
        <w:t>responsibility</w:t>
      </w:r>
      <w:r>
        <w:rPr>
          <w:rFonts w:ascii="Calibri" w:eastAsia="Calibri" w:hAnsi="Calibri" w:cs="Calibri"/>
        </w:rPr>
        <w:t xml:space="preserve"> and/or </w:t>
      </w:r>
      <w:r w:rsidRPr="00A3799E">
        <w:rPr>
          <w:rFonts w:ascii="Calibri" w:eastAsia="Calibri" w:hAnsi="Calibri" w:cs="Calibri"/>
        </w:rPr>
        <w:t xml:space="preserve">work </w:t>
      </w:r>
      <w:r>
        <w:rPr>
          <w:rFonts w:ascii="Calibri" w:eastAsia="Calibri" w:hAnsi="Calibri" w:cs="Calibri"/>
        </w:rPr>
        <w:t>commitments</w:t>
      </w:r>
    </w:p>
    <w:p w14:paraId="7DBFCF39" w14:textId="66DCD3E8"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A3799E">
        <w:rPr>
          <w:rFonts w:ascii="Calibri" w:eastAsia="Calibri" w:hAnsi="Calibri" w:cs="Calibri"/>
        </w:rPr>
        <w:t>allows for more relevant and localised delivery</w:t>
      </w:r>
      <w:r w:rsidRPr="005670EB">
        <w:rPr>
          <w:rFonts w:ascii="Calibri" w:eastAsia="Calibri" w:hAnsi="Calibri" w:cs="Calibri"/>
        </w:rPr>
        <w:t>.</w:t>
      </w:r>
    </w:p>
    <w:p w14:paraId="427DC434" w14:textId="77777777" w:rsidR="003E7C09" w:rsidRPr="003E7C09" w:rsidRDefault="003E7C09" w:rsidP="00D62001">
      <w:pPr>
        <w:spacing w:before="120" w:after="60"/>
      </w:pPr>
      <w:r w:rsidRPr="003E7C09">
        <w:t>Stakeholders also felt that distance delivery should:</w:t>
      </w:r>
    </w:p>
    <w:p w14:paraId="6DDCDA87" w14:textId="77777777"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be supported by strong </w:t>
      </w:r>
      <w:r w:rsidRPr="005670EB">
        <w:rPr>
          <w:rFonts w:ascii="Calibri" w:eastAsia="Calibri" w:hAnsi="Calibri" w:cs="Calibri"/>
        </w:rPr>
        <w:t>quality assurance measures to ensure high quality delivery</w:t>
      </w:r>
    </w:p>
    <w:p w14:paraId="4CB84C80" w14:textId="77777777"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remain </w:t>
      </w:r>
      <w:r w:rsidRPr="00A3799E">
        <w:rPr>
          <w:rFonts w:ascii="Calibri" w:eastAsia="Calibri" w:hAnsi="Calibri" w:cs="Calibri"/>
        </w:rPr>
        <w:t>distinct from ‘Mixed Mode’ (blend of face to face and at home/online learning)</w:t>
      </w:r>
      <w:r w:rsidRPr="005670EB">
        <w:rPr>
          <w:rFonts w:ascii="Calibri" w:eastAsia="Calibri" w:hAnsi="Calibri" w:cs="Calibri"/>
        </w:rPr>
        <w:t xml:space="preserve"> </w:t>
      </w:r>
    </w:p>
    <w:p w14:paraId="555BB439" w14:textId="77777777"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be delivered through paper based as well as online options, ensuring access and equity. </w:t>
      </w:r>
    </w:p>
    <w:p w14:paraId="741210E2" w14:textId="2B39E9DB" w:rsidR="00FC30EE" w:rsidRDefault="00FC30EE" w:rsidP="00FC30EE">
      <w:pPr>
        <w:pStyle w:val="Heading3"/>
      </w:pPr>
      <w:bookmarkStart w:id="15" w:name="_Toc119482142"/>
      <w:bookmarkEnd w:id="14"/>
      <w:r>
        <w:t>Project funding</w:t>
      </w:r>
      <w:bookmarkEnd w:id="15"/>
      <w:r>
        <w:t xml:space="preserve"> </w:t>
      </w:r>
    </w:p>
    <w:p w14:paraId="3A1DD3DC" w14:textId="55713BDB" w:rsidR="003E7C09" w:rsidRPr="003E7C09" w:rsidRDefault="003E7C09" w:rsidP="00D62001">
      <w:pPr>
        <w:spacing w:before="120" w:after="60"/>
      </w:pPr>
      <w:r>
        <w:t xml:space="preserve">Innovative project-based funding was introduced to the SEE program in 2021. Stakeholders support the continued </w:t>
      </w:r>
      <w:r w:rsidRPr="00C16C01">
        <w:t>use of project-based funding</w:t>
      </w:r>
      <w:r>
        <w:t xml:space="preserve"> in the SEE program, with specific suggestions including:</w:t>
      </w:r>
    </w:p>
    <w:p w14:paraId="25558101"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providing </w:t>
      </w:r>
      <w:r w:rsidRPr="00A3799E">
        <w:rPr>
          <w:rFonts w:ascii="Calibri" w:eastAsia="Calibri" w:hAnsi="Calibri" w:cs="Calibri"/>
        </w:rPr>
        <w:t>‘</w:t>
      </w:r>
      <w:r>
        <w:rPr>
          <w:rFonts w:ascii="Calibri" w:eastAsia="Calibri" w:hAnsi="Calibri" w:cs="Calibri"/>
        </w:rPr>
        <w:t>s</w:t>
      </w:r>
      <w:r w:rsidRPr="00A3799E">
        <w:rPr>
          <w:rFonts w:ascii="Calibri" w:eastAsia="Calibri" w:hAnsi="Calibri" w:cs="Calibri"/>
        </w:rPr>
        <w:t>eed’ funding to support providers to set up in new delivery areas or in thin markets</w:t>
      </w:r>
    </w:p>
    <w:p w14:paraId="5C42D449"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introducing t</w:t>
      </w:r>
      <w:r w:rsidRPr="00A3799E">
        <w:rPr>
          <w:rFonts w:ascii="Calibri" w:eastAsia="Calibri" w:hAnsi="Calibri" w:cs="Calibri"/>
        </w:rPr>
        <w:t>ransition style programs (into or out of training) to act as a bridging course into the SEE program or into other training, or to address local employment needs</w:t>
      </w:r>
    </w:p>
    <w:p w14:paraId="0AD6D4F5"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providing funding for r</w:t>
      </w:r>
      <w:r w:rsidRPr="00A3799E">
        <w:rPr>
          <w:rFonts w:ascii="Calibri" w:eastAsia="Calibri" w:hAnsi="Calibri" w:cs="Calibri"/>
        </w:rPr>
        <w:t>esource development, including for teacher professional development</w:t>
      </w:r>
    </w:p>
    <w:p w14:paraId="6EB465B6" w14:textId="70F37E6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s</w:t>
      </w:r>
      <w:r w:rsidRPr="00A3799E">
        <w:rPr>
          <w:rFonts w:ascii="Calibri" w:eastAsia="Calibri" w:hAnsi="Calibri" w:cs="Calibri"/>
        </w:rPr>
        <w:t>upport</w:t>
      </w:r>
      <w:r>
        <w:rPr>
          <w:rFonts w:ascii="Calibri" w:eastAsia="Calibri" w:hAnsi="Calibri" w:cs="Calibri"/>
        </w:rPr>
        <w:t>ing</w:t>
      </w:r>
      <w:r w:rsidRPr="00A3799E">
        <w:rPr>
          <w:rFonts w:ascii="Calibri" w:eastAsia="Calibri" w:hAnsi="Calibri" w:cs="Calibri"/>
        </w:rPr>
        <w:t xml:space="preserve"> VET contextualised delivery and pre-apprenticeship training.</w:t>
      </w:r>
    </w:p>
    <w:p w14:paraId="45DAE10B" w14:textId="08BE2FC9" w:rsidR="00FC30EE" w:rsidRDefault="00FC30EE" w:rsidP="00FC30EE">
      <w:pPr>
        <w:pStyle w:val="Heading3"/>
      </w:pPr>
      <w:bookmarkStart w:id="16" w:name="_Toc119482143"/>
      <w:r>
        <w:t>Teacher qualifications</w:t>
      </w:r>
      <w:bookmarkEnd w:id="16"/>
    </w:p>
    <w:p w14:paraId="07D13EF1" w14:textId="77777777" w:rsidR="00FC30EE" w:rsidRDefault="00FC30EE" w:rsidP="00D62001">
      <w:pPr>
        <w:spacing w:before="120" w:after="60"/>
      </w:pPr>
      <w:r w:rsidRPr="00F76E1E">
        <w:t xml:space="preserve">The SEE program is committed to delivering high quality LLND focused training to its clients and recognises that </w:t>
      </w:r>
      <w:r>
        <w:t xml:space="preserve">appropriately </w:t>
      </w:r>
      <w:r w:rsidRPr="00F76E1E">
        <w:t>skill</w:t>
      </w:r>
      <w:r>
        <w:t>ed</w:t>
      </w:r>
      <w:r w:rsidRPr="00F76E1E">
        <w:t xml:space="preserve"> and experienced teachers and assessors are critical to the success of the program. </w:t>
      </w:r>
    </w:p>
    <w:p w14:paraId="2757FAE6" w14:textId="1DFF565D" w:rsidR="006673FE" w:rsidRDefault="00C122FD" w:rsidP="00D62001">
      <w:pPr>
        <w:spacing w:before="120" w:after="60"/>
      </w:pPr>
      <w:r>
        <w:t>T</w:t>
      </w:r>
      <w:r w:rsidRPr="00F76E1E">
        <w:t xml:space="preserve">eacher </w:t>
      </w:r>
      <w:r w:rsidR="00E067F7" w:rsidRPr="00F76E1E">
        <w:t>qualifications</w:t>
      </w:r>
      <w:r w:rsidR="00E067F7">
        <w:t xml:space="preserve"> are </w:t>
      </w:r>
      <w:r>
        <w:t xml:space="preserve">mandated </w:t>
      </w:r>
      <w:r w:rsidR="00361686">
        <w:t>in</w:t>
      </w:r>
      <w:r>
        <w:t xml:space="preserve"> </w:t>
      </w:r>
      <w:r w:rsidR="00E067F7">
        <w:t xml:space="preserve">the </w:t>
      </w:r>
      <w:r w:rsidR="00361686">
        <w:t>accredited training products</w:t>
      </w:r>
      <w:r w:rsidR="00E067F7">
        <w:t xml:space="preserve"> delivered </w:t>
      </w:r>
      <w:r w:rsidR="00361686">
        <w:t>by SEE providers, and as a registered training organisation (</w:t>
      </w:r>
      <w:r w:rsidR="00E067F7">
        <w:t>RTO</w:t>
      </w:r>
      <w:r w:rsidR="00361686">
        <w:t xml:space="preserve">), providers </w:t>
      </w:r>
      <w:r w:rsidR="00E067F7">
        <w:t xml:space="preserve">must meet these requirements </w:t>
      </w:r>
      <w:r w:rsidR="00361686">
        <w:t xml:space="preserve">in order </w:t>
      </w:r>
      <w:r w:rsidR="00E067F7">
        <w:t xml:space="preserve">to deliver training. </w:t>
      </w:r>
      <w:r w:rsidR="003E7C09">
        <w:t xml:space="preserve">There was strong feedback </w:t>
      </w:r>
      <w:r w:rsidR="003E7C09" w:rsidRPr="00F76E1E">
        <w:t xml:space="preserve">the department should not mandate minimum </w:t>
      </w:r>
      <w:r w:rsidR="003E7C09">
        <w:t xml:space="preserve">teacher </w:t>
      </w:r>
      <w:r w:rsidR="003E7C09" w:rsidRPr="00F76E1E">
        <w:t>qualifications</w:t>
      </w:r>
      <w:r w:rsidR="00E067F7">
        <w:t xml:space="preserve"> which </w:t>
      </w:r>
      <w:r w:rsidR="00361686">
        <w:t>might be</w:t>
      </w:r>
      <w:r w:rsidR="00E067F7">
        <w:t xml:space="preserve"> different</w:t>
      </w:r>
      <w:r w:rsidR="00361686">
        <w:t xml:space="preserve">, and in addition, </w:t>
      </w:r>
      <w:r w:rsidR="00E067F7">
        <w:t xml:space="preserve">to the </w:t>
      </w:r>
      <w:r w:rsidR="00361686">
        <w:t>training product’s requirements.</w:t>
      </w:r>
    </w:p>
    <w:p w14:paraId="01551FA8" w14:textId="4A743AF2" w:rsidR="006673FE" w:rsidRDefault="3D63EBED" w:rsidP="00D62001">
      <w:pPr>
        <w:spacing w:before="120" w:after="60"/>
      </w:pPr>
      <w:r>
        <w:t>It is worth noting many courses delivered in the SEE program have higher qualification requirements than mainstream VET. This is a result of the adult language, literacy and numeracy or Teaching English to Speakers of Other Languages (TESOL) specialisation needed to deliver and assess</w:t>
      </w:r>
      <w:r w:rsidR="3E4787D9">
        <w:t xml:space="preserve"> certain courses. </w:t>
      </w:r>
    </w:p>
    <w:p w14:paraId="65A6B550" w14:textId="42A0009B" w:rsidR="003E7C09" w:rsidRPr="003E7C09" w:rsidRDefault="003E7C09" w:rsidP="00D62001">
      <w:pPr>
        <w:spacing w:before="120" w:after="60"/>
      </w:pPr>
      <w:r w:rsidRPr="00F76E1E">
        <w:t>Mandating teacher qualifications could present challenges to securing teachers in an increasingly thin market where training providers are experiencing difficulty attracting and retaining appropriately qualified staff.</w:t>
      </w:r>
      <w:r w:rsidRPr="003E7C09">
        <w:t xml:space="preserve"> </w:t>
      </w:r>
    </w:p>
    <w:p w14:paraId="4786B426" w14:textId="77777777" w:rsidR="003E7C09" w:rsidRDefault="003E7C09" w:rsidP="00D62001">
      <w:pPr>
        <w:spacing w:before="120" w:after="60"/>
      </w:pPr>
      <w:r>
        <w:t xml:space="preserve">Instead of </w:t>
      </w:r>
      <w:r w:rsidRPr="008D70D3">
        <w:t xml:space="preserve">a minimum qualification </w:t>
      </w:r>
      <w:r>
        <w:t xml:space="preserve">requirement, stakeholders suggested the program could better support the teaching workforce through the provision of professional development opportunities (including scholarships), better resource development, in-class support, and cross provider collaboration. </w:t>
      </w:r>
    </w:p>
    <w:p w14:paraId="15B9F9D6" w14:textId="26B6C86F" w:rsidR="003E7C09" w:rsidRPr="00635F4B" w:rsidRDefault="003E7C09" w:rsidP="009A0401">
      <w:pPr>
        <w:pStyle w:val="Heading2"/>
      </w:pPr>
      <w:bookmarkStart w:id="17" w:name="_Toc119482144"/>
      <w:r w:rsidRPr="00635F4B">
        <w:t>Payment Model</w:t>
      </w:r>
      <w:bookmarkEnd w:id="17"/>
    </w:p>
    <w:p w14:paraId="1AB24D07" w14:textId="151F9D60" w:rsidR="003E7C09" w:rsidRDefault="003E7C09" w:rsidP="00D62001">
      <w:pPr>
        <w:spacing w:before="120" w:after="60"/>
      </w:pPr>
      <w:r>
        <w:t xml:space="preserve">The current </w:t>
      </w:r>
      <w:r w:rsidR="00C03011">
        <w:t xml:space="preserve">payment </w:t>
      </w:r>
      <w:r>
        <w:t xml:space="preserve">model, adopted in 2013, is an input-based model. </w:t>
      </w:r>
    </w:p>
    <w:p w14:paraId="4541C78E" w14:textId="6011120C" w:rsidR="003E7C09" w:rsidRDefault="003E7C09" w:rsidP="00D62001">
      <w:pPr>
        <w:spacing w:before="120" w:after="60"/>
      </w:pPr>
      <w:r>
        <w:t>The majority</w:t>
      </w:r>
      <w:r w:rsidR="00C03011">
        <w:t xml:space="preserve"> of</w:t>
      </w:r>
      <w:r>
        <w:t xml:space="preserve"> stakeholders were concerned about the need for the payment model to </w:t>
      </w:r>
      <w:r w:rsidR="006673FE">
        <w:t xml:space="preserve">provide </w:t>
      </w:r>
      <w:r>
        <w:t>adequate funding for the:</w:t>
      </w:r>
    </w:p>
    <w:p w14:paraId="07916D67" w14:textId="2172FE93" w:rsidR="003E7C09" w:rsidRPr="00A3799E" w:rsidRDefault="3D63EBED"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specific needs of SEE program cohorts</w:t>
      </w:r>
    </w:p>
    <w:p w14:paraId="711EC196" w14:textId="539D182E" w:rsidR="003E7C09" w:rsidRPr="00A3799E" w:rsidRDefault="3D63EBED"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administration of the program</w:t>
      </w:r>
    </w:p>
    <w:p w14:paraId="43F58809" w14:textId="77777777" w:rsidR="003E7C09" w:rsidRPr="00A3799E" w:rsidRDefault="3D63EBED"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activities required to deliver a quality program.</w:t>
      </w:r>
    </w:p>
    <w:p w14:paraId="3D709484" w14:textId="2044894D" w:rsidR="003E7C09" w:rsidRPr="003E7C09" w:rsidRDefault="003E7C09" w:rsidP="00D62001">
      <w:pPr>
        <w:spacing w:before="120" w:after="60"/>
      </w:pPr>
      <w:r w:rsidRPr="003E7C09">
        <w:t xml:space="preserve">Stakeholders indicated: </w:t>
      </w:r>
    </w:p>
    <w:p w14:paraId="22FE5E3A"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the </w:t>
      </w:r>
      <w:r w:rsidRPr="00A3799E">
        <w:rPr>
          <w:rFonts w:ascii="Calibri" w:eastAsia="Calibri" w:hAnsi="Calibri" w:cs="Calibri"/>
        </w:rPr>
        <w:t>future payment model should be straightforward to administer and readily understandable by the department and providers</w:t>
      </w:r>
    </w:p>
    <w:p w14:paraId="13719B7C" w14:textId="6A29FE8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a p</w:t>
      </w:r>
      <w:r w:rsidRPr="00A3799E">
        <w:rPr>
          <w:rFonts w:ascii="Calibri" w:eastAsia="Calibri" w:hAnsi="Calibri" w:cs="Calibri"/>
        </w:rPr>
        <w:t>reference for a simple hourly-based model that includes administrative costs in the price, based on scheduled hours, not attended hours</w:t>
      </w:r>
      <w:r w:rsidR="007D1E7A">
        <w:rPr>
          <w:rFonts w:ascii="Calibri" w:eastAsia="Calibri" w:hAnsi="Calibri" w:cs="Calibri"/>
        </w:rPr>
        <w:t>.</w:t>
      </w:r>
    </w:p>
    <w:p w14:paraId="0866914F" w14:textId="149EA4F7" w:rsidR="003E7C09" w:rsidRPr="00437425" w:rsidRDefault="006673FE" w:rsidP="00D62001">
      <w:pPr>
        <w:spacing w:before="120" w:after="60"/>
        <w:ind w:left="69"/>
      </w:pPr>
      <w:r w:rsidRPr="003E7C09">
        <w:t>Providers were open to a standard price</w:t>
      </w:r>
      <w:r w:rsidR="00C03011">
        <w:t>,</w:t>
      </w:r>
      <w:r w:rsidRPr="003E7C09">
        <w:t xml:space="preserve"> noting that the SEE program has additional administrative and contractual costs that need to be accounted for in the payment model.</w:t>
      </w:r>
      <w:r>
        <w:t xml:space="preserve"> These include:</w:t>
      </w:r>
    </w:p>
    <w:p w14:paraId="7D0EA0BC" w14:textId="6806226A" w:rsidR="003E7C09" w:rsidRPr="00A3799E" w:rsidRDefault="3D63EBED" w:rsidP="08CAA0E1">
      <w:pPr>
        <w:pStyle w:val="ListParagraph"/>
        <w:numPr>
          <w:ilvl w:val="0"/>
          <w:numId w:val="18"/>
        </w:numPr>
        <w:spacing w:before="120" w:after="60" w:line="276" w:lineRule="auto"/>
        <w:ind w:left="426" w:hanging="357"/>
        <w:contextualSpacing w:val="0"/>
        <w:rPr>
          <w:rFonts w:ascii="Calibri" w:eastAsia="Calibri" w:hAnsi="Calibri" w:cs="Calibri"/>
        </w:rPr>
      </w:pPr>
      <w:r w:rsidRPr="08CAA0E1">
        <w:rPr>
          <w:rFonts w:ascii="Calibri" w:eastAsia="Calibri" w:hAnsi="Calibri" w:cs="Calibri"/>
        </w:rPr>
        <w:t xml:space="preserve">liaison with referring agencies </w:t>
      </w:r>
    </w:p>
    <w:p w14:paraId="61E12C15" w14:textId="0D292BF0" w:rsidR="003E7C09" w:rsidRPr="00A3799E" w:rsidRDefault="3D63EBED" w:rsidP="08CAA0E1">
      <w:pPr>
        <w:pStyle w:val="ListParagraph"/>
        <w:numPr>
          <w:ilvl w:val="0"/>
          <w:numId w:val="18"/>
        </w:numPr>
        <w:spacing w:before="120" w:after="60" w:line="276" w:lineRule="auto"/>
        <w:ind w:left="426" w:hanging="357"/>
        <w:contextualSpacing w:val="0"/>
        <w:rPr>
          <w:rFonts w:ascii="Calibri" w:eastAsia="Calibri" w:hAnsi="Calibri" w:cs="Calibri"/>
        </w:rPr>
      </w:pPr>
      <w:r w:rsidRPr="08CAA0E1">
        <w:rPr>
          <w:rFonts w:ascii="Calibri" w:eastAsia="Calibri" w:hAnsi="Calibri" w:cs="Calibri"/>
        </w:rPr>
        <w:t>marketing and promotion</w:t>
      </w:r>
    </w:p>
    <w:p w14:paraId="59768910" w14:textId="4E6327CE" w:rsidR="003E7C09" w:rsidRPr="00A3799E" w:rsidRDefault="3D63EBED" w:rsidP="08CAA0E1">
      <w:pPr>
        <w:pStyle w:val="ListParagraph"/>
        <w:numPr>
          <w:ilvl w:val="0"/>
          <w:numId w:val="18"/>
        </w:numPr>
        <w:spacing w:before="120" w:after="60" w:line="276" w:lineRule="auto"/>
        <w:ind w:left="426" w:hanging="357"/>
        <w:contextualSpacing w:val="0"/>
        <w:rPr>
          <w:rFonts w:ascii="Calibri" w:eastAsia="Calibri" w:hAnsi="Calibri" w:cs="Calibri"/>
        </w:rPr>
      </w:pPr>
      <w:r w:rsidRPr="08CAA0E1">
        <w:rPr>
          <w:rFonts w:ascii="Calibri" w:eastAsia="Calibri" w:hAnsi="Calibri" w:cs="Calibri"/>
        </w:rPr>
        <w:t xml:space="preserve">quality assurance audits </w:t>
      </w:r>
    </w:p>
    <w:p w14:paraId="18C4426F" w14:textId="4CFAE7DF" w:rsidR="003E7C09" w:rsidRPr="00A3799E" w:rsidRDefault="3D63EBED" w:rsidP="08CAA0E1">
      <w:pPr>
        <w:pStyle w:val="ListParagraph"/>
        <w:numPr>
          <w:ilvl w:val="0"/>
          <w:numId w:val="18"/>
        </w:numPr>
        <w:spacing w:before="120" w:after="60" w:line="276" w:lineRule="auto"/>
        <w:ind w:left="426" w:hanging="357"/>
        <w:contextualSpacing w:val="0"/>
        <w:rPr>
          <w:rFonts w:ascii="Calibri" w:eastAsia="Calibri" w:hAnsi="Calibri" w:cs="Calibri"/>
        </w:rPr>
      </w:pPr>
      <w:r w:rsidRPr="08CAA0E1">
        <w:rPr>
          <w:rFonts w:ascii="Calibri" w:eastAsia="Calibri" w:hAnsi="Calibri" w:cs="Calibri"/>
        </w:rPr>
        <w:t xml:space="preserve">contractual reporting requirements </w:t>
      </w:r>
    </w:p>
    <w:p w14:paraId="16651E2A" w14:textId="7B68D1FF" w:rsidR="003E7C09" w:rsidRPr="00A3799E" w:rsidRDefault="3D63EBED" w:rsidP="08CAA0E1">
      <w:pPr>
        <w:pStyle w:val="ListParagraph"/>
        <w:numPr>
          <w:ilvl w:val="0"/>
          <w:numId w:val="18"/>
        </w:numPr>
        <w:spacing w:before="120" w:after="60" w:line="276" w:lineRule="auto"/>
        <w:ind w:left="426" w:hanging="357"/>
        <w:contextualSpacing w:val="0"/>
        <w:rPr>
          <w:rFonts w:ascii="Calibri" w:eastAsia="Calibri" w:hAnsi="Calibri" w:cs="Calibri"/>
        </w:rPr>
      </w:pPr>
      <w:r w:rsidRPr="08CAA0E1">
        <w:rPr>
          <w:rFonts w:ascii="Calibri" w:eastAsia="Calibri" w:hAnsi="Calibri" w:cs="Calibri"/>
        </w:rPr>
        <w:t>file monitoring and assessments</w:t>
      </w:r>
    </w:p>
    <w:p w14:paraId="4042E063"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a</w:t>
      </w:r>
      <w:r w:rsidRPr="00A3799E">
        <w:rPr>
          <w:rFonts w:ascii="Calibri" w:eastAsia="Calibri" w:hAnsi="Calibri" w:cs="Calibri"/>
        </w:rPr>
        <w:t>dministration and management costs including data entry</w:t>
      </w:r>
    </w:p>
    <w:p w14:paraId="60A71978"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c</w:t>
      </w:r>
      <w:r w:rsidRPr="00A3799E">
        <w:rPr>
          <w:rFonts w:ascii="Calibri" w:eastAsia="Calibri" w:hAnsi="Calibri" w:cs="Calibri"/>
        </w:rPr>
        <w:t>ohort-related support costs and low engagement and absenteeism</w:t>
      </w:r>
    </w:p>
    <w:p w14:paraId="0588F2D4" w14:textId="5351498F"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i</w:t>
      </w:r>
      <w:r w:rsidRPr="00A3799E">
        <w:rPr>
          <w:rFonts w:ascii="Calibri" w:eastAsia="Calibri" w:hAnsi="Calibri" w:cs="Calibri"/>
        </w:rPr>
        <w:t xml:space="preserve">nfrastructure, IT, </w:t>
      </w:r>
      <w:r w:rsidR="00C20F8C" w:rsidRPr="00A3799E">
        <w:rPr>
          <w:rFonts w:ascii="Calibri" w:eastAsia="Calibri" w:hAnsi="Calibri" w:cs="Calibri"/>
        </w:rPr>
        <w:t>teachers,</w:t>
      </w:r>
      <w:r w:rsidRPr="00A3799E">
        <w:rPr>
          <w:rFonts w:ascii="Calibri" w:eastAsia="Calibri" w:hAnsi="Calibri" w:cs="Calibri"/>
        </w:rPr>
        <w:t xml:space="preserve"> and resource development costs</w:t>
      </w:r>
      <w:r w:rsidR="007D1E7A">
        <w:rPr>
          <w:rFonts w:ascii="Calibri" w:eastAsia="Calibri" w:hAnsi="Calibri" w:cs="Calibri"/>
        </w:rPr>
        <w:t>.</w:t>
      </w:r>
    </w:p>
    <w:p w14:paraId="71D86782" w14:textId="4982A294" w:rsidR="003E7C09" w:rsidRPr="003E7C09" w:rsidRDefault="3D63EBED" w:rsidP="00D62001">
      <w:pPr>
        <w:spacing w:before="120" w:after="60"/>
      </w:pPr>
      <w:r>
        <w:t xml:space="preserve">Stakeholders indicated that payments based on milestones or student outcomes do not represent actual delivery costs and are not appropriate for the SEE program. They suggested that an </w:t>
      </w:r>
      <w:r w:rsidR="003E7C09">
        <w:br/>
      </w:r>
      <w:r>
        <w:t xml:space="preserve">outcomes-based payment model would be unsustainable in terms of its financial viability and cash flow. </w:t>
      </w:r>
    </w:p>
    <w:p w14:paraId="1607E4C9" w14:textId="77777777" w:rsidR="003E7C09" w:rsidRPr="003E7C09" w:rsidRDefault="003E7C09" w:rsidP="00D62001">
      <w:pPr>
        <w:spacing w:before="120" w:after="60"/>
      </w:pPr>
      <w:r w:rsidRPr="003E7C09">
        <w:t xml:space="preserve">Stakeholders raised concerns that an outcomes-based model would incentivise providers to push clients to achieve outcomes before they were ready, as they would only be able to receive payment when clients achieved outcomes. </w:t>
      </w:r>
    </w:p>
    <w:p w14:paraId="47E09E8D" w14:textId="359DD37C" w:rsidR="003E7C09" w:rsidRPr="003E7C09" w:rsidRDefault="00C03011" w:rsidP="00D62001">
      <w:pPr>
        <w:spacing w:before="120" w:after="60"/>
      </w:pPr>
      <w:r>
        <w:t>Stakeholders also identified o</w:t>
      </w:r>
      <w:r w:rsidR="003E7C09" w:rsidRPr="003E7C09">
        <w:t>ther risks of an outcomes-based payment model includ</w:t>
      </w:r>
      <w:r>
        <w:t>ing</w:t>
      </w:r>
      <w:r w:rsidR="003E7C09" w:rsidRPr="003E7C09">
        <w:t xml:space="preserve">: </w:t>
      </w:r>
    </w:p>
    <w:p w14:paraId="0F2F7585" w14:textId="2EA4C9D8" w:rsidR="003E7C09" w:rsidRPr="0014689C" w:rsidRDefault="69750A3B"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M</w:t>
      </w:r>
      <w:r w:rsidR="3D63EBED" w:rsidRPr="08CAA0E1">
        <w:rPr>
          <w:rFonts w:ascii="Calibri" w:eastAsia="Calibri" w:hAnsi="Calibri" w:cs="Calibri"/>
        </w:rPr>
        <w:t>isalignment with the actual program outcomes, as the long-term goal is an increase in a client’s LLND skills as measured against the ACSF, and this is not always captured with</w:t>
      </w:r>
      <w:r w:rsidR="58075A10" w:rsidRPr="08CAA0E1">
        <w:rPr>
          <w:rFonts w:ascii="Calibri" w:eastAsia="Calibri" w:hAnsi="Calibri" w:cs="Calibri"/>
        </w:rPr>
        <w:t xml:space="preserve"> Unit of Competency</w:t>
      </w:r>
      <w:r w:rsidR="3D63EBED" w:rsidRPr="08CAA0E1">
        <w:rPr>
          <w:rFonts w:ascii="Calibri" w:eastAsia="Calibri" w:hAnsi="Calibri" w:cs="Calibri"/>
        </w:rPr>
        <w:t xml:space="preserve"> </w:t>
      </w:r>
      <w:r w:rsidR="7121354D" w:rsidRPr="08CAA0E1">
        <w:rPr>
          <w:rFonts w:ascii="Calibri" w:eastAsia="Calibri" w:hAnsi="Calibri" w:cs="Calibri"/>
        </w:rPr>
        <w:t>(</w:t>
      </w:r>
      <w:r w:rsidR="3D63EBED" w:rsidRPr="08CAA0E1">
        <w:rPr>
          <w:rFonts w:ascii="Calibri" w:eastAsia="Calibri" w:hAnsi="Calibri" w:cs="Calibri"/>
        </w:rPr>
        <w:t>UoC</w:t>
      </w:r>
      <w:r w:rsidR="28C5E52B" w:rsidRPr="08CAA0E1">
        <w:rPr>
          <w:rFonts w:ascii="Calibri" w:eastAsia="Calibri" w:hAnsi="Calibri" w:cs="Calibri"/>
        </w:rPr>
        <w:t>)</w:t>
      </w:r>
      <w:r w:rsidR="3D63EBED" w:rsidRPr="08CAA0E1">
        <w:rPr>
          <w:rFonts w:ascii="Calibri" w:eastAsia="Calibri" w:hAnsi="Calibri" w:cs="Calibri"/>
        </w:rPr>
        <w:t xml:space="preserve"> outcomes.</w:t>
      </w:r>
    </w:p>
    <w:p w14:paraId="2ABC312E" w14:textId="02E0202A" w:rsidR="003E7C09" w:rsidRPr="0014689C" w:rsidRDefault="04F13D86"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A</w:t>
      </w:r>
      <w:r w:rsidR="3D63EBED" w:rsidRPr="08CAA0E1">
        <w:rPr>
          <w:rFonts w:ascii="Calibri" w:eastAsia="Calibri" w:hAnsi="Calibri" w:cs="Calibri"/>
        </w:rPr>
        <w:t>dministrative burden of monitoring and reporting milestones</w:t>
      </w:r>
      <w:r w:rsidR="608358B2" w:rsidRPr="08CAA0E1">
        <w:rPr>
          <w:rFonts w:ascii="Calibri" w:eastAsia="Calibri" w:hAnsi="Calibri" w:cs="Calibri"/>
        </w:rPr>
        <w:t>.</w:t>
      </w:r>
    </w:p>
    <w:p w14:paraId="4D4829AE" w14:textId="77777777" w:rsidR="006673FE" w:rsidRDefault="003E7C09" w:rsidP="00D62001">
      <w:pPr>
        <w:spacing w:before="120" w:after="60"/>
      </w:pPr>
      <w:r w:rsidRPr="003E7C09">
        <w:t>Stakeholder responses to loadings,</w:t>
      </w:r>
      <w:r w:rsidR="006673FE">
        <w:t xml:space="preserve"> based on for</w:t>
      </w:r>
      <w:r w:rsidRPr="003E7C09">
        <w:t xml:space="preserve"> example cohort or location, were mixed. </w:t>
      </w:r>
    </w:p>
    <w:p w14:paraId="10B77E97" w14:textId="1D6F8D19" w:rsidR="003E7C09" w:rsidRPr="006673FE" w:rsidRDefault="003E7C09"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20%</w:t>
      </w:r>
      <w:r w:rsidR="3D63EBED" w:rsidRPr="08CAA0E1">
        <w:rPr>
          <w:rFonts w:ascii="Calibri" w:eastAsia="Calibri" w:hAnsi="Calibri" w:cs="Calibri"/>
        </w:rPr>
        <w:t xml:space="preserve"> of responses indicated that loadings were not appropriate for SEE as clients can have multiple barriers, and some clients do not disclose barriers as they feel a sense of shame or embarrassment about having LLND need.  </w:t>
      </w:r>
    </w:p>
    <w:p w14:paraId="6A802844" w14:textId="6B3EA3AD" w:rsidR="003E7C09" w:rsidRPr="006673FE" w:rsidRDefault="3E4787D9"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 xml:space="preserve">Feedback suggested administering different loadings </w:t>
      </w:r>
      <w:r w:rsidR="3D63EBED" w:rsidRPr="08CAA0E1">
        <w:rPr>
          <w:rFonts w:ascii="Calibri" w:eastAsia="Calibri" w:hAnsi="Calibri" w:cs="Calibri"/>
        </w:rPr>
        <w:t xml:space="preserve">would be administratively burdensome and complex. </w:t>
      </w:r>
      <w:r w:rsidRPr="08CAA0E1">
        <w:rPr>
          <w:rFonts w:ascii="Calibri" w:eastAsia="Calibri" w:hAnsi="Calibri" w:cs="Calibri"/>
        </w:rPr>
        <w:t>I</w:t>
      </w:r>
      <w:r w:rsidR="3D63EBED" w:rsidRPr="08CAA0E1">
        <w:rPr>
          <w:rFonts w:ascii="Calibri" w:eastAsia="Calibri" w:hAnsi="Calibri" w:cs="Calibri"/>
        </w:rPr>
        <w:t xml:space="preserve">t was suggested that a single loading be incorporated into the price of SEE to reflect the needs of the general cohort. </w:t>
      </w:r>
    </w:p>
    <w:p w14:paraId="0AB8D772" w14:textId="77777777" w:rsidR="006673F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6673FE">
        <w:rPr>
          <w:rFonts w:ascii="Calibri" w:eastAsia="Calibri" w:hAnsi="Calibri" w:cs="Calibri"/>
        </w:rPr>
        <w:t xml:space="preserve">Loadings were supported for thin markets, particularly in regional and remote areas which tend to have lower referral numbers and smaller class sizes. </w:t>
      </w:r>
    </w:p>
    <w:p w14:paraId="5195A87F" w14:textId="28CE3AF7" w:rsidR="003E7C09" w:rsidRPr="006673F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6673FE">
        <w:rPr>
          <w:rFonts w:ascii="Calibri" w:eastAsia="Calibri" w:hAnsi="Calibri" w:cs="Calibri"/>
        </w:rPr>
        <w:t xml:space="preserve">Other suggestions included support for loadings for small group training, support staff such as tutors and multilingual staff and for counselling or pathway guidance officers. </w:t>
      </w:r>
    </w:p>
    <w:p w14:paraId="756DEA46" w14:textId="4D341447" w:rsidR="003E7C09" w:rsidRPr="006673FE" w:rsidRDefault="003E7C09" w:rsidP="006673FE">
      <w:pPr>
        <w:pStyle w:val="Heading2"/>
      </w:pPr>
      <w:bookmarkStart w:id="18" w:name="_Toc119482145"/>
      <w:r w:rsidRPr="006673FE">
        <w:t>Performance</w:t>
      </w:r>
      <w:bookmarkEnd w:id="18"/>
    </w:p>
    <w:p w14:paraId="14C16CFA" w14:textId="77777777" w:rsidR="003E7C09" w:rsidRDefault="003E7C09" w:rsidP="00D62001">
      <w:pPr>
        <w:spacing w:before="120" w:after="60"/>
      </w:pPr>
      <w:r>
        <w:t>The department measures the performance of the program and providers.</w:t>
      </w:r>
    </w:p>
    <w:p w14:paraId="5B7E7BE0" w14:textId="5C7F3AD2" w:rsidR="003E7C09" w:rsidRDefault="4E25AEF4" w:rsidP="00D62001">
      <w:pPr>
        <w:spacing w:before="120" w:after="60"/>
      </w:pPr>
      <w:r>
        <w:t xml:space="preserve">The key outcome for the program is that </w:t>
      </w:r>
      <w:r w:rsidR="608358B2">
        <w:t>learners</w:t>
      </w:r>
      <w:r>
        <w:t xml:space="preserve"> show improvements in their LLND skills. The Government measures this by assessing the proportion of </w:t>
      </w:r>
      <w:r w:rsidR="608358B2">
        <w:t>learner</w:t>
      </w:r>
      <w:r>
        <w:t>s in the SEE program who increase one or more levels on the ACSF or the Digital Literacy Skills Framework (DLSF). The target, 80% or higher, and the result rating is reported annually in the Portfolio Budget Statements and the Annual Report. In 2021-22, the 80% target was exceeded, where 96% of all assessed participants progressed one or more levels against the ACSF or DLSF.</w:t>
      </w:r>
      <w:r w:rsidR="3D63EBED">
        <w:t xml:space="preserve"> </w:t>
      </w:r>
    </w:p>
    <w:p w14:paraId="1E631E0A" w14:textId="6A1F008B" w:rsidR="003E7C09" w:rsidRDefault="003E7C09" w:rsidP="00D62001">
      <w:pPr>
        <w:spacing w:before="120" w:after="60"/>
      </w:pPr>
      <w:r>
        <w:t xml:space="preserve">Provider performance is measured through a </w:t>
      </w:r>
      <w:r w:rsidR="0081107B">
        <w:t xml:space="preserve">provider </w:t>
      </w:r>
      <w:r>
        <w:t xml:space="preserve">performance framework that includes key performance indicators and contract compliance. </w:t>
      </w:r>
    </w:p>
    <w:p w14:paraId="5B841B0E" w14:textId="77777777" w:rsidR="003E7C09" w:rsidRDefault="003E7C09" w:rsidP="00D62001">
      <w:pPr>
        <w:spacing w:before="120" w:after="60"/>
      </w:pPr>
      <w:r>
        <w:t>The discussion paper flagged the introduction of a new performance and compliance framework for the next contract. It also proposed a series of new key performance indicators.</w:t>
      </w:r>
    </w:p>
    <w:p w14:paraId="7997780D" w14:textId="77777777" w:rsidR="00D62001" w:rsidRDefault="003E7C09" w:rsidP="00D62001">
      <w:pPr>
        <w:spacing w:before="120" w:after="60"/>
      </w:pPr>
      <w:r w:rsidRPr="0059035C">
        <w:t xml:space="preserve">There was a </w:t>
      </w:r>
      <w:r>
        <w:t xml:space="preserve">strong </w:t>
      </w:r>
      <w:r w:rsidRPr="0059035C">
        <w:t>view from stakeholders that the current model place</w:t>
      </w:r>
      <w:r>
        <w:t xml:space="preserve">s </w:t>
      </w:r>
      <w:r w:rsidRPr="0059035C">
        <w:t>a heavy administrative burden on service delivery providers</w:t>
      </w:r>
      <w:r>
        <w:t xml:space="preserve">. </w:t>
      </w:r>
    </w:p>
    <w:p w14:paraId="54817798" w14:textId="77777777" w:rsidR="00D62001" w:rsidRDefault="003E7C09" w:rsidP="00D62001">
      <w:pPr>
        <w:spacing w:before="120" w:after="60"/>
      </w:pPr>
      <w:r>
        <w:t xml:space="preserve">Feedback suggested </w:t>
      </w:r>
      <w:r w:rsidR="00D62001">
        <w:t>that future KPIs:</w:t>
      </w:r>
    </w:p>
    <w:p w14:paraId="760ED57A" w14:textId="2DF95E41"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D62001">
        <w:rPr>
          <w:rFonts w:ascii="Calibri" w:eastAsia="Calibri" w:hAnsi="Calibri" w:cs="Calibri"/>
        </w:rPr>
        <w:t>consider</w:t>
      </w:r>
      <w:r w:rsidR="00D62001" w:rsidRPr="00D62001">
        <w:rPr>
          <w:rFonts w:ascii="Calibri" w:eastAsia="Calibri" w:hAnsi="Calibri" w:cs="Calibri"/>
        </w:rPr>
        <w:t xml:space="preserve"> </w:t>
      </w:r>
      <w:r w:rsidRPr="00D62001">
        <w:rPr>
          <w:rFonts w:ascii="Calibri" w:eastAsia="Calibri" w:hAnsi="Calibri" w:cs="Calibri"/>
        </w:rPr>
        <w:t xml:space="preserve">the </w:t>
      </w:r>
      <w:r w:rsidR="00D62001" w:rsidRPr="00D62001">
        <w:rPr>
          <w:rFonts w:ascii="Calibri" w:eastAsia="Calibri" w:hAnsi="Calibri" w:cs="Calibri"/>
        </w:rPr>
        <w:t xml:space="preserve">administrative </w:t>
      </w:r>
      <w:r w:rsidRPr="00D62001">
        <w:rPr>
          <w:rFonts w:ascii="Calibri" w:eastAsia="Calibri" w:hAnsi="Calibri" w:cs="Calibri"/>
        </w:rPr>
        <w:t>impact future KPIs</w:t>
      </w:r>
      <w:r w:rsidR="00D62001" w:rsidRPr="00D62001">
        <w:rPr>
          <w:rFonts w:ascii="Calibri" w:eastAsia="Calibri" w:hAnsi="Calibri" w:cs="Calibri"/>
        </w:rPr>
        <w:t xml:space="preserve">, </w:t>
      </w:r>
      <w:r w:rsidRPr="00D62001">
        <w:rPr>
          <w:rFonts w:ascii="Calibri" w:eastAsia="Calibri" w:hAnsi="Calibri" w:cs="Calibri"/>
        </w:rPr>
        <w:t>with a view to reducing this burden</w:t>
      </w:r>
    </w:p>
    <w:p w14:paraId="439D86AB" w14:textId="32B135B1" w:rsidR="00D62001" w:rsidRDefault="00D62001"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measure activities within a provider’s control</w:t>
      </w:r>
    </w:p>
    <w:p w14:paraId="71D65F56" w14:textId="52A1C1F2" w:rsidR="00D62001" w:rsidRPr="00D62001" w:rsidRDefault="00D62001"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 xml:space="preserve">not duplicate the role of the </w:t>
      </w:r>
      <w:r w:rsidRPr="003E7C09">
        <w:t>Australian Skills Quality Authority’s (ASQA)</w:t>
      </w:r>
      <w:r w:rsidR="007D1E7A">
        <w:t>.</w:t>
      </w:r>
    </w:p>
    <w:p w14:paraId="2B33BE7F" w14:textId="72DC8F37" w:rsidR="003E7C09" w:rsidRPr="003E7C09" w:rsidRDefault="003E7C09" w:rsidP="00D62001">
      <w:pPr>
        <w:spacing w:before="120" w:after="60"/>
      </w:pPr>
      <w:r w:rsidRPr="0059035C">
        <w:t xml:space="preserve">Stakeholder feedback indicated that the current measure of performance based on </w:t>
      </w:r>
      <w:r w:rsidR="00C03011">
        <w:t>learner</w:t>
      </w:r>
      <w:r w:rsidRPr="0059035C">
        <w:t xml:space="preserve"> progress against the ACSF is not appropriate</w:t>
      </w:r>
      <w:r>
        <w:t xml:space="preserve"> as a KPI</w:t>
      </w:r>
      <w:r w:rsidRPr="0059035C">
        <w:t xml:space="preserve">. </w:t>
      </w:r>
      <w:bookmarkStart w:id="19" w:name="_Hlk109129858"/>
      <w:r w:rsidRPr="0059035C">
        <w:t>Stakeholders indicated ACSF a</w:t>
      </w:r>
      <w:r w:rsidRPr="003E7C09">
        <w:t xml:space="preserve">ssessment in the program caused undue burden for the program’s teachers and </w:t>
      </w:r>
      <w:r w:rsidR="00C03011">
        <w:t>learners</w:t>
      </w:r>
      <w:r w:rsidRPr="003E7C09">
        <w:t xml:space="preserve"> </w:t>
      </w:r>
      <w:r w:rsidRPr="0059035C">
        <w:t>and that an indicator to measure a program’s ‘quality’ should be more holistic</w:t>
      </w:r>
      <w:bookmarkEnd w:id="19"/>
      <w:r w:rsidRPr="0059035C">
        <w:t xml:space="preserve">. </w:t>
      </w:r>
      <w:r w:rsidRPr="003E7C09">
        <w:t>Stakeholders recommended a number of changes, including:</w:t>
      </w:r>
    </w:p>
    <w:p w14:paraId="7B1FD205" w14:textId="0BAF77F5" w:rsidR="003E7C09" w:rsidRPr="0059035C"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59035C">
        <w:rPr>
          <w:rFonts w:ascii="Calibri" w:eastAsia="Calibri" w:hAnsi="Calibri" w:cs="Calibri"/>
        </w:rPr>
        <w:t>removing the 200-hour rolling ACSF assessment requirement and align</w:t>
      </w:r>
      <w:r>
        <w:rPr>
          <w:rFonts w:ascii="Calibri" w:eastAsia="Calibri" w:hAnsi="Calibri" w:cs="Calibri"/>
        </w:rPr>
        <w:t>ing</w:t>
      </w:r>
      <w:r w:rsidRPr="0059035C">
        <w:rPr>
          <w:rFonts w:ascii="Calibri" w:eastAsia="Calibri" w:hAnsi="Calibri" w:cs="Calibri"/>
        </w:rPr>
        <w:t xml:space="preserve"> ACSF assessment to a provider’s academic schedule, or when </w:t>
      </w:r>
      <w:r w:rsidR="00C03011">
        <w:rPr>
          <w:rFonts w:ascii="Calibri" w:eastAsia="Calibri" w:hAnsi="Calibri" w:cs="Calibri"/>
        </w:rPr>
        <w:t>learners</w:t>
      </w:r>
      <w:r w:rsidRPr="0059035C">
        <w:rPr>
          <w:rFonts w:ascii="Calibri" w:eastAsia="Calibri" w:hAnsi="Calibri" w:cs="Calibri"/>
        </w:rPr>
        <w:t xml:space="preserve"> are ready to progress</w:t>
      </w:r>
    </w:p>
    <w:p w14:paraId="0EC8F963" w14:textId="6933B434" w:rsidR="003E7C09" w:rsidRPr="0059035C"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59035C">
        <w:rPr>
          <w:rFonts w:ascii="Calibri" w:eastAsia="Calibri" w:hAnsi="Calibri" w:cs="Calibri"/>
        </w:rPr>
        <w:t xml:space="preserve">only assessing a </w:t>
      </w:r>
      <w:r w:rsidR="00C03011">
        <w:rPr>
          <w:rFonts w:ascii="Calibri" w:eastAsia="Calibri" w:hAnsi="Calibri" w:cs="Calibri"/>
        </w:rPr>
        <w:t>learner’</w:t>
      </w:r>
      <w:r w:rsidRPr="0059035C">
        <w:rPr>
          <w:rFonts w:ascii="Calibri" w:eastAsia="Calibri" w:hAnsi="Calibri" w:cs="Calibri"/>
        </w:rPr>
        <w:t>s ACSF at the pre-training assessment and at the completion of training</w:t>
      </w:r>
    </w:p>
    <w:p w14:paraId="4F141046" w14:textId="64DCB754" w:rsidR="003E7C09" w:rsidRPr="0059035C" w:rsidRDefault="3D63EBED" w:rsidP="08CAA0E1">
      <w:pPr>
        <w:pStyle w:val="ListParagraph"/>
        <w:numPr>
          <w:ilvl w:val="0"/>
          <w:numId w:val="18"/>
        </w:numPr>
        <w:spacing w:before="120" w:after="60" w:line="276" w:lineRule="auto"/>
        <w:ind w:left="426" w:hanging="357"/>
        <w:rPr>
          <w:rFonts w:ascii="Calibri" w:eastAsia="Calibri" w:hAnsi="Calibri" w:cs="Calibri"/>
        </w:rPr>
      </w:pPr>
      <w:r w:rsidRPr="08CAA0E1">
        <w:rPr>
          <w:rFonts w:ascii="Calibri" w:eastAsia="Calibri" w:hAnsi="Calibri" w:cs="Calibri"/>
        </w:rPr>
        <w:t>measuring student progress by mapping UoC achievement to the ACSF, or through a portfolio or formative approach to measuring LLND increase against the ACSF.</w:t>
      </w:r>
    </w:p>
    <w:p w14:paraId="4FC127F1" w14:textId="259DC1E1" w:rsidR="003E7C09" w:rsidRPr="00A42596" w:rsidRDefault="3D63EBED" w:rsidP="00D62001">
      <w:pPr>
        <w:spacing w:before="120" w:after="60"/>
      </w:pPr>
      <w:bookmarkStart w:id="20" w:name="_Hlk109129882"/>
      <w:r>
        <w:t>Stakeholders suggested measurement of service delivery effectiveness could be achieved through capturing outcomes</w:t>
      </w:r>
      <w:r w:rsidR="02AB2E45">
        <w:t>,</w:t>
      </w:r>
      <w:r>
        <w:t xml:space="preserve"> such as if a </w:t>
      </w:r>
      <w:r w:rsidR="608358B2">
        <w:t>learner</w:t>
      </w:r>
      <w:r>
        <w:t>:</w:t>
      </w:r>
    </w:p>
    <w:p w14:paraId="40263293" w14:textId="77777777" w:rsidR="003E7C09" w:rsidRPr="00E05E10"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A3799E">
        <w:rPr>
          <w:rFonts w:ascii="Calibri" w:eastAsia="Calibri" w:hAnsi="Calibri" w:cs="Calibri"/>
        </w:rPr>
        <w:t>enter</w:t>
      </w:r>
      <w:r>
        <w:rPr>
          <w:rFonts w:ascii="Calibri" w:eastAsia="Calibri" w:hAnsi="Calibri" w:cs="Calibri"/>
        </w:rPr>
        <w:t xml:space="preserve">s </w:t>
      </w:r>
      <w:r w:rsidRPr="00A3799E">
        <w:rPr>
          <w:rFonts w:ascii="Calibri" w:eastAsia="Calibri" w:hAnsi="Calibri" w:cs="Calibri"/>
        </w:rPr>
        <w:t>work or further training</w:t>
      </w:r>
      <w:r>
        <w:rPr>
          <w:rFonts w:ascii="Calibri" w:eastAsia="Calibri" w:hAnsi="Calibri" w:cs="Calibri"/>
        </w:rPr>
        <w:t xml:space="preserve"> (including r</w:t>
      </w:r>
      <w:r w:rsidRPr="00A3799E">
        <w:rPr>
          <w:rFonts w:ascii="Calibri" w:eastAsia="Calibri" w:hAnsi="Calibri" w:cs="Calibri"/>
        </w:rPr>
        <w:t>etur</w:t>
      </w:r>
      <w:r>
        <w:rPr>
          <w:rFonts w:ascii="Calibri" w:eastAsia="Calibri" w:hAnsi="Calibri" w:cs="Calibri"/>
        </w:rPr>
        <w:t>ning</w:t>
      </w:r>
      <w:r w:rsidRPr="00A3799E">
        <w:rPr>
          <w:rFonts w:ascii="Calibri" w:eastAsia="Calibri" w:hAnsi="Calibri" w:cs="Calibri"/>
        </w:rPr>
        <w:t xml:space="preserve"> to SEE</w:t>
      </w:r>
      <w:r>
        <w:rPr>
          <w:rFonts w:ascii="Calibri" w:eastAsia="Calibri" w:hAnsi="Calibri" w:cs="Calibri"/>
        </w:rPr>
        <w:t>)</w:t>
      </w:r>
    </w:p>
    <w:p w14:paraId="146F0C12"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increases employability including capacity to undertake job search</w:t>
      </w:r>
    </w:p>
    <w:p w14:paraId="032EB9C7" w14:textId="77777777" w:rsidR="003E7C09" w:rsidRPr="00E05E10"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E05E10">
        <w:rPr>
          <w:rFonts w:ascii="Calibri" w:eastAsia="Calibri" w:hAnsi="Calibri" w:cs="Calibri"/>
        </w:rPr>
        <w:t>develo</w:t>
      </w:r>
      <w:r w:rsidRPr="005B0C9F">
        <w:rPr>
          <w:rFonts w:ascii="Calibri" w:eastAsia="Calibri" w:hAnsi="Calibri" w:cs="Calibri"/>
        </w:rPr>
        <w:t xml:space="preserve">ps soft skills or </w:t>
      </w:r>
      <w:r>
        <w:rPr>
          <w:rFonts w:ascii="Calibri" w:eastAsia="Calibri" w:hAnsi="Calibri" w:cs="Calibri"/>
        </w:rPr>
        <w:t>s</w:t>
      </w:r>
      <w:r w:rsidRPr="00E05E10">
        <w:rPr>
          <w:rFonts w:ascii="Calibri" w:eastAsia="Calibri" w:hAnsi="Calibri" w:cs="Calibri"/>
        </w:rPr>
        <w:t>ocial</w:t>
      </w:r>
      <w:r w:rsidRPr="005B0C9F">
        <w:rPr>
          <w:rFonts w:ascii="Calibri" w:eastAsia="Calibri" w:hAnsi="Calibri" w:cs="Calibri"/>
        </w:rPr>
        <w:t xml:space="preserve"> and personal indicators</w:t>
      </w:r>
      <w:r>
        <w:rPr>
          <w:rFonts w:ascii="Calibri" w:eastAsia="Calibri" w:hAnsi="Calibri" w:cs="Calibri"/>
        </w:rPr>
        <w:t>, such as</w:t>
      </w:r>
      <w:r w:rsidRPr="005B0C9F">
        <w:rPr>
          <w:rFonts w:ascii="Calibri" w:eastAsia="Calibri" w:hAnsi="Calibri" w:cs="Calibri"/>
        </w:rPr>
        <w:t xml:space="preserve"> confidence</w:t>
      </w:r>
      <w:r>
        <w:rPr>
          <w:rFonts w:ascii="Calibri" w:eastAsia="Calibri" w:hAnsi="Calibri" w:cs="Calibri"/>
        </w:rPr>
        <w:t>.</w:t>
      </w:r>
    </w:p>
    <w:p w14:paraId="3299B35A" w14:textId="61FACC58" w:rsidR="003E7C09" w:rsidRPr="00635F4B" w:rsidRDefault="003E7C09" w:rsidP="009A0401">
      <w:pPr>
        <w:pStyle w:val="Heading2"/>
      </w:pPr>
      <w:bookmarkStart w:id="21" w:name="_Toc119482146"/>
      <w:bookmarkEnd w:id="20"/>
      <w:r w:rsidRPr="00635F4B">
        <w:t>Quality Assurance</w:t>
      </w:r>
      <w:bookmarkEnd w:id="21"/>
      <w:r w:rsidRPr="00635F4B">
        <w:t xml:space="preserve"> </w:t>
      </w:r>
    </w:p>
    <w:p w14:paraId="4D82560B" w14:textId="77777777" w:rsidR="003E7C09" w:rsidRDefault="003E7C09" w:rsidP="00D62001">
      <w:pPr>
        <w:spacing w:before="120" w:after="60"/>
      </w:pPr>
      <w:r>
        <w:t>Quality Assurance (QA) forms part of the department’s performance and program management process. The QA provider performs three roles for the program:</w:t>
      </w:r>
    </w:p>
    <w:p w14:paraId="1C2BC661" w14:textId="77777777" w:rsidR="003E7C09" w:rsidRPr="009A1B78"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9A1B78">
        <w:rPr>
          <w:rFonts w:ascii="Calibri" w:eastAsia="Calibri" w:hAnsi="Calibri" w:cs="Calibri"/>
        </w:rPr>
        <w:t>ensuring quality delivery of the Australian Core Skills Framework (ACSF) and LLN focussed training</w:t>
      </w:r>
    </w:p>
    <w:p w14:paraId="56663DAB" w14:textId="77777777" w:rsidR="003E7C09" w:rsidRPr="009A1B78"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9A1B78">
        <w:rPr>
          <w:rFonts w:ascii="Calibri" w:eastAsia="Calibri" w:hAnsi="Calibri" w:cs="Calibri"/>
        </w:rPr>
        <w:t>professional development – ACSF workshops and resource development for SEE providers and their LLN workforce</w:t>
      </w:r>
    </w:p>
    <w:p w14:paraId="2B58BF6F" w14:textId="15BDC265" w:rsidR="003E7C09" w:rsidRP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9A1B78">
        <w:rPr>
          <w:rFonts w:ascii="Calibri" w:eastAsia="Calibri" w:hAnsi="Calibri" w:cs="Calibri"/>
        </w:rPr>
        <w:t>resource</w:t>
      </w:r>
      <w:r w:rsidRPr="003E7C09">
        <w:rPr>
          <w:rFonts w:ascii="Calibri" w:eastAsia="Calibri" w:hAnsi="Calibri" w:cs="Calibri"/>
        </w:rPr>
        <w:t xml:space="preserve"> development</w:t>
      </w:r>
      <w:r w:rsidR="007D1E7A">
        <w:rPr>
          <w:rFonts w:ascii="Calibri" w:eastAsia="Calibri" w:hAnsi="Calibri" w:cs="Calibri"/>
        </w:rPr>
        <w:t>.</w:t>
      </w:r>
    </w:p>
    <w:p w14:paraId="06B4D7E6" w14:textId="2C5A150A" w:rsidR="003E7C09" w:rsidRPr="003E7C09" w:rsidRDefault="003E7C09" w:rsidP="00D62001">
      <w:pPr>
        <w:spacing w:before="120" w:after="60"/>
      </w:pPr>
      <w:bookmarkStart w:id="22" w:name="_Hlk109129922"/>
      <w:r>
        <w:t>Stakeholder feedback suggested that although the role of the QA provider is valuable</w:t>
      </w:r>
      <w:r w:rsidR="00C03011">
        <w:t>,</w:t>
      </w:r>
      <w:r>
        <w:t xml:space="preserve"> </w:t>
      </w:r>
      <w:r w:rsidRPr="003E7C09">
        <w:t xml:space="preserve">there is a need to reduce the administrative burden associated with QA. </w:t>
      </w:r>
    </w:p>
    <w:p w14:paraId="62CB4C79" w14:textId="77777777" w:rsidR="003E7C09" w:rsidRPr="003E7C09" w:rsidRDefault="003E7C09" w:rsidP="00D62001">
      <w:pPr>
        <w:spacing w:before="120" w:after="60"/>
      </w:pPr>
      <w:r>
        <w:t xml:space="preserve">Stakeholders also suggested that the department can improve the QA process by </w:t>
      </w:r>
      <w:r w:rsidRPr="003E7C09">
        <w:t xml:space="preserve">reducing the number of file verifications that focus on accurate assessment against the ACSF, and to review the way ACSF progress is reported including </w:t>
      </w:r>
      <w:r>
        <w:t xml:space="preserve">the frequency of measuring ACSF progress. </w:t>
      </w:r>
    </w:p>
    <w:p w14:paraId="2C41A775" w14:textId="77777777" w:rsidR="003E7C09" w:rsidRPr="003E7C09" w:rsidRDefault="003E7C09" w:rsidP="00D62001">
      <w:pPr>
        <w:spacing w:before="120" w:after="60"/>
      </w:pPr>
      <w:r w:rsidRPr="003E7C09">
        <w:t xml:space="preserve">Suggested changes that would improve the role and process of the QA provider included: </w:t>
      </w:r>
    </w:p>
    <w:p w14:paraId="6DC203C0" w14:textId="77777777"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taking a risk-based approach to QA to reduce administrative and reporting burden</w:t>
      </w:r>
    </w:p>
    <w:p w14:paraId="4716CB32"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considering a more holistic QA process with the goal of continuous improvement and ‘best practice’ in service delivery</w:t>
      </w:r>
    </w:p>
    <w:p w14:paraId="507E0D1D" w14:textId="77777777" w:rsidR="003E7C0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encouraging a</w:t>
      </w:r>
      <w:r w:rsidRPr="00A3799E">
        <w:rPr>
          <w:rFonts w:ascii="Calibri" w:eastAsia="Calibri" w:hAnsi="Calibri" w:cs="Calibri"/>
        </w:rPr>
        <w:t xml:space="preserve"> more collaborative </w:t>
      </w:r>
      <w:r>
        <w:rPr>
          <w:rFonts w:ascii="Calibri" w:eastAsia="Calibri" w:hAnsi="Calibri" w:cs="Calibri"/>
        </w:rPr>
        <w:t>partnership</w:t>
      </w:r>
      <w:r w:rsidRPr="00A3799E">
        <w:rPr>
          <w:rFonts w:ascii="Calibri" w:eastAsia="Calibri" w:hAnsi="Calibri" w:cs="Calibri"/>
        </w:rPr>
        <w:t xml:space="preserve"> </w:t>
      </w:r>
      <w:r>
        <w:rPr>
          <w:rFonts w:ascii="Calibri" w:eastAsia="Calibri" w:hAnsi="Calibri" w:cs="Calibri"/>
        </w:rPr>
        <w:t>between</w:t>
      </w:r>
      <w:r w:rsidRPr="00A3799E">
        <w:rPr>
          <w:rFonts w:ascii="Calibri" w:eastAsia="Calibri" w:hAnsi="Calibri" w:cs="Calibri"/>
        </w:rPr>
        <w:t xml:space="preserve"> the QA provider and SEE program providers focus</w:t>
      </w:r>
      <w:r>
        <w:rPr>
          <w:rFonts w:ascii="Calibri" w:eastAsia="Calibri" w:hAnsi="Calibri" w:cs="Calibri"/>
        </w:rPr>
        <w:t>ing</w:t>
      </w:r>
      <w:r w:rsidRPr="00A3799E">
        <w:rPr>
          <w:rFonts w:ascii="Calibri" w:eastAsia="Calibri" w:hAnsi="Calibri" w:cs="Calibri"/>
        </w:rPr>
        <w:t xml:space="preserve"> on professional and resource development</w:t>
      </w:r>
    </w:p>
    <w:p w14:paraId="0EC9E41C" w14:textId="2BD75B09" w:rsidR="003E7C09" w:rsidRPr="00E55DF9"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sidRPr="00E55DF9">
        <w:rPr>
          <w:rFonts w:ascii="Calibri" w:eastAsia="Calibri" w:hAnsi="Calibri" w:cs="Calibri"/>
        </w:rPr>
        <w:t>an increased focus on the provision of professional and resource development.</w:t>
      </w:r>
    </w:p>
    <w:p w14:paraId="7240C017" w14:textId="6D7E4307" w:rsidR="003E7C09" w:rsidRPr="00D20A29" w:rsidRDefault="003E7C09" w:rsidP="009A0401">
      <w:pPr>
        <w:pStyle w:val="Heading2"/>
      </w:pPr>
      <w:bookmarkStart w:id="23" w:name="_Toc119482147"/>
      <w:bookmarkEnd w:id="22"/>
      <w:r w:rsidRPr="00D20A29">
        <w:t>Procurement</w:t>
      </w:r>
      <w:bookmarkEnd w:id="23"/>
    </w:p>
    <w:p w14:paraId="39161BDB" w14:textId="3651578B" w:rsidR="003E7C09" w:rsidRPr="003E7C09" w:rsidRDefault="3D63EBED" w:rsidP="00D62001">
      <w:pPr>
        <w:spacing w:before="120" w:after="60"/>
      </w:pPr>
      <w:r>
        <w:t>The department outlined its approach to procurement, through an open tender process</w:t>
      </w:r>
      <w:r w:rsidR="51A0C3AC">
        <w:t>,</w:t>
      </w:r>
      <w:r>
        <w:t xml:space="preserve"> and sought feedback on the length of contracting arrangements and the use of the multi-provider model. </w:t>
      </w:r>
    </w:p>
    <w:p w14:paraId="203770CF" w14:textId="77777777" w:rsidR="003E7C09" w:rsidRPr="003E7C09" w:rsidRDefault="003E7C09" w:rsidP="00D62001">
      <w:pPr>
        <w:spacing w:before="120" w:after="60"/>
      </w:pPr>
      <w:bookmarkStart w:id="24" w:name="_Hlk109129938"/>
      <w:r w:rsidRPr="003E7C09">
        <w:t>Strong support was given for longer contract duration as it provides stability allowing for better management, including resource/staff development, which flows on to the ‘end users’ with specific examples including:</w:t>
      </w:r>
    </w:p>
    <w:p w14:paraId="09EF7D49" w14:textId="7FCC208A"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r</w:t>
      </w:r>
      <w:r w:rsidRPr="00A3799E">
        <w:rPr>
          <w:rFonts w:ascii="Calibri" w:eastAsia="Calibri" w:hAnsi="Calibri" w:cs="Calibri"/>
        </w:rPr>
        <w:t xml:space="preserve">etention and growth of staff through </w:t>
      </w:r>
      <w:r>
        <w:rPr>
          <w:rFonts w:ascii="Calibri" w:eastAsia="Calibri" w:hAnsi="Calibri" w:cs="Calibri"/>
        </w:rPr>
        <w:t>professional development</w:t>
      </w:r>
    </w:p>
    <w:p w14:paraId="43A602F4"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d</w:t>
      </w:r>
      <w:r w:rsidRPr="00A3799E">
        <w:rPr>
          <w:rFonts w:ascii="Calibri" w:eastAsia="Calibri" w:hAnsi="Calibri" w:cs="Calibri"/>
        </w:rPr>
        <w:t>evelopment of resources and delivery</w:t>
      </w:r>
    </w:p>
    <w:p w14:paraId="52CC35A3" w14:textId="77777777"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b</w:t>
      </w:r>
      <w:r w:rsidRPr="00A3799E">
        <w:rPr>
          <w:rFonts w:ascii="Calibri" w:eastAsia="Calibri" w:hAnsi="Calibri" w:cs="Calibri"/>
        </w:rPr>
        <w:t>etter management and promotion of the program</w:t>
      </w:r>
    </w:p>
    <w:p w14:paraId="7F3296BC" w14:textId="5DADD1FD" w:rsidR="003E7C09" w:rsidRPr="00A3799E" w:rsidRDefault="003E7C09" w:rsidP="00D62001">
      <w:pPr>
        <w:pStyle w:val="ListParagraph"/>
        <w:numPr>
          <w:ilvl w:val="0"/>
          <w:numId w:val="18"/>
        </w:numPr>
        <w:spacing w:before="120" w:after="60" w:line="276" w:lineRule="auto"/>
        <w:ind w:left="426" w:hanging="357"/>
        <w:contextualSpacing w:val="0"/>
        <w:rPr>
          <w:rFonts w:ascii="Calibri" w:eastAsia="Calibri" w:hAnsi="Calibri" w:cs="Calibri"/>
        </w:rPr>
      </w:pPr>
      <w:r>
        <w:rPr>
          <w:rFonts w:ascii="Calibri" w:eastAsia="Calibri" w:hAnsi="Calibri" w:cs="Calibri"/>
        </w:rPr>
        <w:t>l</w:t>
      </w:r>
      <w:r w:rsidRPr="00A3799E">
        <w:rPr>
          <w:rFonts w:ascii="Calibri" w:eastAsia="Calibri" w:hAnsi="Calibri" w:cs="Calibri"/>
        </w:rPr>
        <w:t>ong term program benchmarks/outcomes through can be defined by the department through analysis/research</w:t>
      </w:r>
      <w:r w:rsidR="007D1E7A">
        <w:rPr>
          <w:rFonts w:ascii="Calibri" w:eastAsia="Calibri" w:hAnsi="Calibri" w:cs="Calibri"/>
        </w:rPr>
        <w:t>.</w:t>
      </w:r>
    </w:p>
    <w:bookmarkEnd w:id="24"/>
    <w:p w14:paraId="69D2EA9B" w14:textId="6116534B" w:rsidR="003E7C09" w:rsidRDefault="003E7C09" w:rsidP="00C67A61">
      <w:pPr>
        <w:spacing w:before="120" w:after="60"/>
      </w:pPr>
      <w:r w:rsidRPr="003E7C09">
        <w:t xml:space="preserve">Mixed feedback was received about allowing providers, especially smaller niche providers, to tender for specialist service delivery. Some feedback indicated it would be more engaging as it would meet learner need, while other feedback suggested it was already part of SEE delivery, and that SEE providers already provide service to learners from all backgrounds within their contract regions. </w:t>
      </w:r>
      <w:bookmarkEnd w:id="0"/>
      <w:bookmarkEnd w:id="3"/>
    </w:p>
    <w:sectPr w:rsidR="003E7C09" w:rsidSect="009A0401">
      <w:headerReference w:type="default" r:id="rId21"/>
      <w:pgSz w:w="11906" w:h="16838"/>
      <w:pgMar w:top="1418" w:right="1418" w:bottom="1418" w:left="1418"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119A" w14:textId="77777777" w:rsidR="00CA25E6" w:rsidRDefault="00CA25E6" w:rsidP="0051352E">
      <w:pPr>
        <w:spacing w:after="0" w:line="240" w:lineRule="auto"/>
      </w:pPr>
      <w:r>
        <w:separator/>
      </w:r>
    </w:p>
  </w:endnote>
  <w:endnote w:type="continuationSeparator" w:id="0">
    <w:p w14:paraId="56FDCC81" w14:textId="77777777" w:rsidR="00CA25E6" w:rsidRDefault="00CA25E6"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EB164" w14:textId="77777777" w:rsidR="00F20AC4" w:rsidRDefault="00F20A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79539"/>
      <w:docPartObj>
        <w:docPartGallery w:val="Page Numbers (Bottom of Page)"/>
        <w:docPartUnique/>
      </w:docPartObj>
    </w:sdtPr>
    <w:sdtEndPr>
      <w:rPr>
        <w:noProof/>
      </w:rPr>
    </w:sdtEndPr>
    <w:sdtContent>
      <w:p w14:paraId="0F758AFA" w14:textId="50429F90" w:rsidR="00152B3D" w:rsidRDefault="00152B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792E3" w14:textId="77777777" w:rsidR="00EA67FC" w:rsidRDefault="00EA6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94D1E" w14:textId="77777777" w:rsidR="00F20AC4" w:rsidRDefault="00F20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52E1D" w14:textId="77777777" w:rsidR="00CA25E6" w:rsidRDefault="00CA25E6" w:rsidP="0051352E">
      <w:pPr>
        <w:spacing w:after="0" w:line="240" w:lineRule="auto"/>
      </w:pPr>
      <w:r>
        <w:separator/>
      </w:r>
    </w:p>
  </w:footnote>
  <w:footnote w:type="continuationSeparator" w:id="0">
    <w:p w14:paraId="7AD77216" w14:textId="77777777" w:rsidR="00CA25E6" w:rsidRDefault="00CA25E6"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DE3E" w14:textId="77777777" w:rsidR="00F20AC4" w:rsidRDefault="00F20A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28B0" w14:textId="77777777" w:rsidR="00F20AC4" w:rsidRDefault="00F20A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B2BD" w14:textId="77777777" w:rsidR="00F20AC4" w:rsidRDefault="00F20A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CC7" w14:textId="77777777" w:rsidR="009A0401" w:rsidRDefault="009A0401">
    <w:pPr>
      <w:pStyle w:val="Header"/>
    </w:pPr>
  </w:p>
  <w:p w14:paraId="487B18E0" w14:textId="77777777" w:rsidR="009A0401" w:rsidRDefault="009A0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E4B3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CA7F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1027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147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08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D0B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8D3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563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07CDE"/>
    <w:multiLevelType w:val="hybridMultilevel"/>
    <w:tmpl w:val="247C1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542F49"/>
    <w:multiLevelType w:val="hybridMultilevel"/>
    <w:tmpl w:val="60840FF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2" w15:restartNumberingAfterBreak="0">
    <w:nsid w:val="0DA65D49"/>
    <w:multiLevelType w:val="hybridMultilevel"/>
    <w:tmpl w:val="0F9C52F2"/>
    <w:lvl w:ilvl="0" w:tplc="6F245566">
      <w:start w:val="1"/>
      <w:numFmt w:val="bullet"/>
      <w:lvlText w:val="·"/>
      <w:lvlJc w:val="left"/>
      <w:pPr>
        <w:ind w:left="720" w:hanging="360"/>
      </w:pPr>
      <w:rPr>
        <w:rFonts w:ascii="Symbol" w:hAnsi="Symbol" w:hint="default"/>
      </w:rPr>
    </w:lvl>
    <w:lvl w:ilvl="1" w:tplc="C3A085D0">
      <w:start w:val="1"/>
      <w:numFmt w:val="bullet"/>
      <w:lvlText w:val="o"/>
      <w:lvlJc w:val="left"/>
      <w:pPr>
        <w:ind w:left="1440" w:hanging="360"/>
      </w:pPr>
      <w:rPr>
        <w:rFonts w:ascii="Courier New" w:hAnsi="Courier New" w:hint="default"/>
      </w:rPr>
    </w:lvl>
    <w:lvl w:ilvl="2" w:tplc="E3FA767E">
      <w:start w:val="1"/>
      <w:numFmt w:val="bullet"/>
      <w:lvlText w:val=""/>
      <w:lvlJc w:val="left"/>
      <w:pPr>
        <w:ind w:left="2160" w:hanging="360"/>
      </w:pPr>
      <w:rPr>
        <w:rFonts w:ascii="Wingdings" w:hAnsi="Wingdings" w:hint="default"/>
      </w:rPr>
    </w:lvl>
    <w:lvl w:ilvl="3" w:tplc="57863248">
      <w:start w:val="1"/>
      <w:numFmt w:val="bullet"/>
      <w:lvlText w:val=""/>
      <w:lvlJc w:val="left"/>
      <w:pPr>
        <w:ind w:left="2880" w:hanging="360"/>
      </w:pPr>
      <w:rPr>
        <w:rFonts w:ascii="Symbol" w:hAnsi="Symbol" w:hint="default"/>
      </w:rPr>
    </w:lvl>
    <w:lvl w:ilvl="4" w:tplc="8482DFBC">
      <w:start w:val="1"/>
      <w:numFmt w:val="bullet"/>
      <w:lvlText w:val="o"/>
      <w:lvlJc w:val="left"/>
      <w:pPr>
        <w:ind w:left="3600" w:hanging="360"/>
      </w:pPr>
      <w:rPr>
        <w:rFonts w:ascii="Courier New" w:hAnsi="Courier New" w:hint="default"/>
      </w:rPr>
    </w:lvl>
    <w:lvl w:ilvl="5" w:tplc="F364FFE0">
      <w:start w:val="1"/>
      <w:numFmt w:val="bullet"/>
      <w:lvlText w:val=""/>
      <w:lvlJc w:val="left"/>
      <w:pPr>
        <w:ind w:left="4320" w:hanging="360"/>
      </w:pPr>
      <w:rPr>
        <w:rFonts w:ascii="Wingdings" w:hAnsi="Wingdings" w:hint="default"/>
      </w:rPr>
    </w:lvl>
    <w:lvl w:ilvl="6" w:tplc="E70A1FE6">
      <w:start w:val="1"/>
      <w:numFmt w:val="bullet"/>
      <w:lvlText w:val=""/>
      <w:lvlJc w:val="left"/>
      <w:pPr>
        <w:ind w:left="5040" w:hanging="360"/>
      </w:pPr>
      <w:rPr>
        <w:rFonts w:ascii="Symbol" w:hAnsi="Symbol" w:hint="default"/>
      </w:rPr>
    </w:lvl>
    <w:lvl w:ilvl="7" w:tplc="15BACA1C">
      <w:start w:val="1"/>
      <w:numFmt w:val="bullet"/>
      <w:lvlText w:val="o"/>
      <w:lvlJc w:val="left"/>
      <w:pPr>
        <w:ind w:left="5760" w:hanging="360"/>
      </w:pPr>
      <w:rPr>
        <w:rFonts w:ascii="Courier New" w:hAnsi="Courier New" w:hint="default"/>
      </w:rPr>
    </w:lvl>
    <w:lvl w:ilvl="8" w:tplc="3022F1DA">
      <w:start w:val="1"/>
      <w:numFmt w:val="bullet"/>
      <w:lvlText w:val=""/>
      <w:lvlJc w:val="left"/>
      <w:pPr>
        <w:ind w:left="6480" w:hanging="360"/>
      </w:pPr>
      <w:rPr>
        <w:rFonts w:ascii="Wingdings" w:hAnsi="Wingdings" w:hint="default"/>
      </w:rPr>
    </w:lvl>
  </w:abstractNum>
  <w:abstractNum w:abstractNumId="13"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3B53A34"/>
    <w:multiLevelType w:val="hybridMultilevel"/>
    <w:tmpl w:val="0E6A66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6"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D86438"/>
    <w:multiLevelType w:val="hybridMultilevel"/>
    <w:tmpl w:val="6FBE3628"/>
    <w:lvl w:ilvl="0" w:tplc="01BAB00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5B64600"/>
    <w:multiLevelType w:val="hybridMultilevel"/>
    <w:tmpl w:val="D8049CAE"/>
    <w:lvl w:ilvl="0" w:tplc="01BAB002">
      <w:start w:val="1"/>
      <w:numFmt w:val="decimal"/>
      <w:lvlText w:val="%1."/>
      <w:lvlJc w:val="left"/>
      <w:pPr>
        <w:ind w:left="720" w:hanging="360"/>
      </w:pPr>
      <w:rPr>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E47A6E"/>
    <w:multiLevelType w:val="hybridMultilevel"/>
    <w:tmpl w:val="C8CAAAD0"/>
    <w:lvl w:ilvl="0" w:tplc="5C42D49E">
      <w:start w:val="1"/>
      <w:numFmt w:val="bullet"/>
      <w:lvlText w:val=""/>
      <w:lvlJc w:val="left"/>
      <w:pPr>
        <w:ind w:left="360" w:hanging="360"/>
      </w:pPr>
      <w:rPr>
        <w:rFonts w:ascii="Symbol" w:hAnsi="Symbol" w:hint="default"/>
      </w:rPr>
    </w:lvl>
    <w:lvl w:ilvl="1" w:tplc="4650FB3A">
      <w:start w:val="1"/>
      <w:numFmt w:val="bullet"/>
      <w:lvlText w:val="o"/>
      <w:lvlJc w:val="left"/>
      <w:pPr>
        <w:ind w:left="1080" w:hanging="360"/>
      </w:pPr>
      <w:rPr>
        <w:rFonts w:ascii="Courier New" w:hAnsi="Courier New" w:hint="default"/>
      </w:rPr>
    </w:lvl>
    <w:lvl w:ilvl="2" w:tplc="6EFA0038">
      <w:start w:val="1"/>
      <w:numFmt w:val="bullet"/>
      <w:lvlText w:val=""/>
      <w:lvlJc w:val="left"/>
      <w:pPr>
        <w:ind w:left="1800" w:hanging="360"/>
      </w:pPr>
      <w:rPr>
        <w:rFonts w:ascii="Wingdings" w:hAnsi="Wingdings" w:hint="default"/>
      </w:rPr>
    </w:lvl>
    <w:lvl w:ilvl="3" w:tplc="A4141AB0">
      <w:start w:val="1"/>
      <w:numFmt w:val="bullet"/>
      <w:lvlText w:val=""/>
      <w:lvlJc w:val="left"/>
      <w:pPr>
        <w:ind w:left="2520" w:hanging="360"/>
      </w:pPr>
      <w:rPr>
        <w:rFonts w:ascii="Symbol" w:hAnsi="Symbol" w:hint="default"/>
      </w:rPr>
    </w:lvl>
    <w:lvl w:ilvl="4" w:tplc="420E8116">
      <w:start w:val="1"/>
      <w:numFmt w:val="bullet"/>
      <w:lvlText w:val="o"/>
      <w:lvlJc w:val="left"/>
      <w:pPr>
        <w:ind w:left="3240" w:hanging="360"/>
      </w:pPr>
      <w:rPr>
        <w:rFonts w:ascii="Courier New" w:hAnsi="Courier New" w:hint="default"/>
      </w:rPr>
    </w:lvl>
    <w:lvl w:ilvl="5" w:tplc="AAF88E52">
      <w:start w:val="1"/>
      <w:numFmt w:val="bullet"/>
      <w:lvlText w:val=""/>
      <w:lvlJc w:val="left"/>
      <w:pPr>
        <w:ind w:left="3960" w:hanging="360"/>
      </w:pPr>
      <w:rPr>
        <w:rFonts w:ascii="Wingdings" w:hAnsi="Wingdings" w:hint="default"/>
      </w:rPr>
    </w:lvl>
    <w:lvl w:ilvl="6" w:tplc="5DECA708">
      <w:start w:val="1"/>
      <w:numFmt w:val="bullet"/>
      <w:lvlText w:val=""/>
      <w:lvlJc w:val="left"/>
      <w:pPr>
        <w:ind w:left="4680" w:hanging="360"/>
      </w:pPr>
      <w:rPr>
        <w:rFonts w:ascii="Symbol" w:hAnsi="Symbol" w:hint="default"/>
      </w:rPr>
    </w:lvl>
    <w:lvl w:ilvl="7" w:tplc="91F633B0">
      <w:start w:val="1"/>
      <w:numFmt w:val="bullet"/>
      <w:lvlText w:val="o"/>
      <w:lvlJc w:val="left"/>
      <w:pPr>
        <w:ind w:left="5400" w:hanging="360"/>
      </w:pPr>
      <w:rPr>
        <w:rFonts w:ascii="Courier New" w:hAnsi="Courier New" w:hint="default"/>
      </w:rPr>
    </w:lvl>
    <w:lvl w:ilvl="8" w:tplc="4EDCBE90">
      <w:start w:val="1"/>
      <w:numFmt w:val="bullet"/>
      <w:lvlText w:val=""/>
      <w:lvlJc w:val="left"/>
      <w:pPr>
        <w:ind w:left="6120" w:hanging="360"/>
      </w:pPr>
      <w:rPr>
        <w:rFonts w:ascii="Wingdings" w:hAnsi="Wingdings" w:hint="default"/>
      </w:rPr>
    </w:lvl>
  </w:abstractNum>
  <w:abstractNum w:abstractNumId="21" w15:restartNumberingAfterBreak="0">
    <w:nsid w:val="43D65A80"/>
    <w:multiLevelType w:val="hybridMultilevel"/>
    <w:tmpl w:val="4364E124"/>
    <w:lvl w:ilvl="0" w:tplc="E19E153C">
      <w:start w:val="1"/>
      <w:numFmt w:val="bullet"/>
      <w:lvlText w:val=""/>
      <w:lvlJc w:val="left"/>
      <w:pPr>
        <w:ind w:left="720" w:hanging="360"/>
      </w:pPr>
      <w:rPr>
        <w:rFonts w:ascii="Symbol" w:hAnsi="Symbol" w:hint="default"/>
      </w:rPr>
    </w:lvl>
    <w:lvl w:ilvl="1" w:tplc="06F067FA">
      <w:start w:val="1"/>
      <w:numFmt w:val="bullet"/>
      <w:lvlText w:val="o"/>
      <w:lvlJc w:val="left"/>
      <w:pPr>
        <w:ind w:left="1440" w:hanging="360"/>
      </w:pPr>
      <w:rPr>
        <w:rFonts w:ascii="Courier New" w:hAnsi="Courier New" w:hint="default"/>
      </w:rPr>
    </w:lvl>
    <w:lvl w:ilvl="2" w:tplc="7DC0AC40">
      <w:start w:val="1"/>
      <w:numFmt w:val="bullet"/>
      <w:lvlText w:val=""/>
      <w:lvlJc w:val="left"/>
      <w:pPr>
        <w:ind w:left="2160" w:hanging="360"/>
      </w:pPr>
      <w:rPr>
        <w:rFonts w:ascii="Wingdings" w:hAnsi="Wingdings" w:hint="default"/>
      </w:rPr>
    </w:lvl>
    <w:lvl w:ilvl="3" w:tplc="A052F8E4">
      <w:start w:val="1"/>
      <w:numFmt w:val="bullet"/>
      <w:lvlText w:val=""/>
      <w:lvlJc w:val="left"/>
      <w:pPr>
        <w:ind w:left="2880" w:hanging="360"/>
      </w:pPr>
      <w:rPr>
        <w:rFonts w:ascii="Symbol" w:hAnsi="Symbol" w:hint="default"/>
      </w:rPr>
    </w:lvl>
    <w:lvl w:ilvl="4" w:tplc="DF066484">
      <w:start w:val="1"/>
      <w:numFmt w:val="bullet"/>
      <w:lvlText w:val="o"/>
      <w:lvlJc w:val="left"/>
      <w:pPr>
        <w:ind w:left="3600" w:hanging="360"/>
      </w:pPr>
      <w:rPr>
        <w:rFonts w:ascii="Courier New" w:hAnsi="Courier New" w:hint="default"/>
      </w:rPr>
    </w:lvl>
    <w:lvl w:ilvl="5" w:tplc="9EAEF1F6">
      <w:start w:val="1"/>
      <w:numFmt w:val="bullet"/>
      <w:lvlText w:val=""/>
      <w:lvlJc w:val="left"/>
      <w:pPr>
        <w:ind w:left="4320" w:hanging="360"/>
      </w:pPr>
      <w:rPr>
        <w:rFonts w:ascii="Wingdings" w:hAnsi="Wingdings" w:hint="default"/>
      </w:rPr>
    </w:lvl>
    <w:lvl w:ilvl="6" w:tplc="2AAA37E6">
      <w:start w:val="1"/>
      <w:numFmt w:val="bullet"/>
      <w:lvlText w:val=""/>
      <w:lvlJc w:val="left"/>
      <w:pPr>
        <w:ind w:left="5040" w:hanging="360"/>
      </w:pPr>
      <w:rPr>
        <w:rFonts w:ascii="Symbol" w:hAnsi="Symbol" w:hint="default"/>
      </w:rPr>
    </w:lvl>
    <w:lvl w:ilvl="7" w:tplc="EE302A4E">
      <w:start w:val="1"/>
      <w:numFmt w:val="bullet"/>
      <w:lvlText w:val="o"/>
      <w:lvlJc w:val="left"/>
      <w:pPr>
        <w:ind w:left="5760" w:hanging="360"/>
      </w:pPr>
      <w:rPr>
        <w:rFonts w:ascii="Courier New" w:hAnsi="Courier New" w:hint="default"/>
      </w:rPr>
    </w:lvl>
    <w:lvl w:ilvl="8" w:tplc="5A806B84">
      <w:start w:val="1"/>
      <w:numFmt w:val="bullet"/>
      <w:lvlText w:val=""/>
      <w:lvlJc w:val="left"/>
      <w:pPr>
        <w:ind w:left="6480" w:hanging="360"/>
      </w:pPr>
      <w:rPr>
        <w:rFonts w:ascii="Wingdings" w:hAnsi="Wingdings" w:hint="default"/>
      </w:rPr>
    </w:lvl>
  </w:abstractNum>
  <w:abstractNum w:abstractNumId="22" w15:restartNumberingAfterBreak="0">
    <w:nsid w:val="4651670E"/>
    <w:multiLevelType w:val="hybridMultilevel"/>
    <w:tmpl w:val="6C6255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BF01A6"/>
    <w:multiLevelType w:val="hybridMultilevel"/>
    <w:tmpl w:val="C88C4CEC"/>
    <w:lvl w:ilvl="0" w:tplc="0C090001">
      <w:start w:val="1"/>
      <w:numFmt w:val="bullet"/>
      <w:lvlText w:val=""/>
      <w:lvlJc w:val="left"/>
      <w:pPr>
        <w:ind w:left="789" w:hanging="360"/>
      </w:pPr>
      <w:rPr>
        <w:rFonts w:ascii="Symbol" w:hAnsi="Symbol" w:hint="default"/>
      </w:rPr>
    </w:lvl>
    <w:lvl w:ilvl="1" w:tplc="0C090003" w:tentative="1">
      <w:start w:val="1"/>
      <w:numFmt w:val="bullet"/>
      <w:lvlText w:val="o"/>
      <w:lvlJc w:val="left"/>
      <w:pPr>
        <w:ind w:left="1509" w:hanging="360"/>
      </w:pPr>
      <w:rPr>
        <w:rFonts w:ascii="Courier New" w:hAnsi="Courier New" w:cs="Courier New" w:hint="default"/>
      </w:rPr>
    </w:lvl>
    <w:lvl w:ilvl="2" w:tplc="0C090005" w:tentative="1">
      <w:start w:val="1"/>
      <w:numFmt w:val="bullet"/>
      <w:lvlText w:val=""/>
      <w:lvlJc w:val="left"/>
      <w:pPr>
        <w:ind w:left="2229" w:hanging="360"/>
      </w:pPr>
      <w:rPr>
        <w:rFonts w:ascii="Wingdings" w:hAnsi="Wingdings" w:hint="default"/>
      </w:rPr>
    </w:lvl>
    <w:lvl w:ilvl="3" w:tplc="0C090001" w:tentative="1">
      <w:start w:val="1"/>
      <w:numFmt w:val="bullet"/>
      <w:lvlText w:val=""/>
      <w:lvlJc w:val="left"/>
      <w:pPr>
        <w:ind w:left="2949" w:hanging="360"/>
      </w:pPr>
      <w:rPr>
        <w:rFonts w:ascii="Symbol" w:hAnsi="Symbol" w:hint="default"/>
      </w:rPr>
    </w:lvl>
    <w:lvl w:ilvl="4" w:tplc="0C090003" w:tentative="1">
      <w:start w:val="1"/>
      <w:numFmt w:val="bullet"/>
      <w:lvlText w:val="o"/>
      <w:lvlJc w:val="left"/>
      <w:pPr>
        <w:ind w:left="3669" w:hanging="360"/>
      </w:pPr>
      <w:rPr>
        <w:rFonts w:ascii="Courier New" w:hAnsi="Courier New" w:cs="Courier New" w:hint="default"/>
      </w:rPr>
    </w:lvl>
    <w:lvl w:ilvl="5" w:tplc="0C090005" w:tentative="1">
      <w:start w:val="1"/>
      <w:numFmt w:val="bullet"/>
      <w:lvlText w:val=""/>
      <w:lvlJc w:val="left"/>
      <w:pPr>
        <w:ind w:left="4389" w:hanging="360"/>
      </w:pPr>
      <w:rPr>
        <w:rFonts w:ascii="Wingdings" w:hAnsi="Wingdings" w:hint="default"/>
      </w:rPr>
    </w:lvl>
    <w:lvl w:ilvl="6" w:tplc="0C090001" w:tentative="1">
      <w:start w:val="1"/>
      <w:numFmt w:val="bullet"/>
      <w:lvlText w:val=""/>
      <w:lvlJc w:val="left"/>
      <w:pPr>
        <w:ind w:left="5109" w:hanging="360"/>
      </w:pPr>
      <w:rPr>
        <w:rFonts w:ascii="Symbol" w:hAnsi="Symbol" w:hint="default"/>
      </w:rPr>
    </w:lvl>
    <w:lvl w:ilvl="7" w:tplc="0C090003" w:tentative="1">
      <w:start w:val="1"/>
      <w:numFmt w:val="bullet"/>
      <w:lvlText w:val="o"/>
      <w:lvlJc w:val="left"/>
      <w:pPr>
        <w:ind w:left="5829" w:hanging="360"/>
      </w:pPr>
      <w:rPr>
        <w:rFonts w:ascii="Courier New" w:hAnsi="Courier New" w:cs="Courier New" w:hint="default"/>
      </w:rPr>
    </w:lvl>
    <w:lvl w:ilvl="8" w:tplc="0C090005" w:tentative="1">
      <w:start w:val="1"/>
      <w:numFmt w:val="bullet"/>
      <w:lvlText w:val=""/>
      <w:lvlJc w:val="left"/>
      <w:pPr>
        <w:ind w:left="6549" w:hanging="360"/>
      </w:pPr>
      <w:rPr>
        <w:rFonts w:ascii="Wingdings" w:hAnsi="Wingdings" w:hint="default"/>
      </w:rPr>
    </w:lvl>
  </w:abstractNum>
  <w:abstractNum w:abstractNumId="24" w15:restartNumberingAfterBreak="0">
    <w:nsid w:val="64734AB4"/>
    <w:multiLevelType w:val="hybridMultilevel"/>
    <w:tmpl w:val="62E2F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D66B9A"/>
    <w:multiLevelType w:val="hybridMultilevel"/>
    <w:tmpl w:val="83946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6"/>
  </w:num>
  <w:num w:numId="15">
    <w:abstractNumId w:val="1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2"/>
  </w:num>
  <w:num w:numId="19">
    <w:abstractNumId w:val="15"/>
  </w:num>
  <w:num w:numId="20">
    <w:abstractNumId w:val="24"/>
  </w:num>
  <w:num w:numId="21">
    <w:abstractNumId w:val="11"/>
  </w:num>
  <w:num w:numId="22">
    <w:abstractNumId w:val="25"/>
  </w:num>
  <w:num w:numId="23">
    <w:abstractNumId w:val="19"/>
  </w:num>
  <w:num w:numId="24">
    <w:abstractNumId w:val="17"/>
  </w:num>
  <w:num w:numId="25">
    <w:abstractNumId w:val="14"/>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03020"/>
    <w:rsid w:val="00027B67"/>
    <w:rsid w:val="00052BBC"/>
    <w:rsid w:val="00053554"/>
    <w:rsid w:val="000755E9"/>
    <w:rsid w:val="00085075"/>
    <w:rsid w:val="000A453D"/>
    <w:rsid w:val="000A6998"/>
    <w:rsid w:val="000A6A89"/>
    <w:rsid w:val="000B5DB0"/>
    <w:rsid w:val="000D5718"/>
    <w:rsid w:val="000E3D80"/>
    <w:rsid w:val="00152B3D"/>
    <w:rsid w:val="00157F35"/>
    <w:rsid w:val="0016507C"/>
    <w:rsid w:val="00172FFC"/>
    <w:rsid w:val="001819D1"/>
    <w:rsid w:val="001A0933"/>
    <w:rsid w:val="001C0A47"/>
    <w:rsid w:val="00202BB9"/>
    <w:rsid w:val="00217EAB"/>
    <w:rsid w:val="002243C7"/>
    <w:rsid w:val="0022498C"/>
    <w:rsid w:val="0025258F"/>
    <w:rsid w:val="002724D0"/>
    <w:rsid w:val="002B1CE5"/>
    <w:rsid w:val="002D0D62"/>
    <w:rsid w:val="002E25F7"/>
    <w:rsid w:val="002F4DB3"/>
    <w:rsid w:val="002F73B7"/>
    <w:rsid w:val="00305BA4"/>
    <w:rsid w:val="00311EC2"/>
    <w:rsid w:val="00337D19"/>
    <w:rsid w:val="0034620C"/>
    <w:rsid w:val="00350FFA"/>
    <w:rsid w:val="00361686"/>
    <w:rsid w:val="00382F07"/>
    <w:rsid w:val="003B4913"/>
    <w:rsid w:val="003D569F"/>
    <w:rsid w:val="003D7377"/>
    <w:rsid w:val="003E7C09"/>
    <w:rsid w:val="0045385E"/>
    <w:rsid w:val="00453C04"/>
    <w:rsid w:val="004553E8"/>
    <w:rsid w:val="0046301F"/>
    <w:rsid w:val="00470619"/>
    <w:rsid w:val="00473FD2"/>
    <w:rsid w:val="00481CA5"/>
    <w:rsid w:val="00497764"/>
    <w:rsid w:val="004A4B77"/>
    <w:rsid w:val="004A6C7D"/>
    <w:rsid w:val="004F32D8"/>
    <w:rsid w:val="00501EF0"/>
    <w:rsid w:val="0051352E"/>
    <w:rsid w:val="00517DA7"/>
    <w:rsid w:val="00520A33"/>
    <w:rsid w:val="005242E0"/>
    <w:rsid w:val="0052635D"/>
    <w:rsid w:val="00527749"/>
    <w:rsid w:val="00527AE4"/>
    <w:rsid w:val="00543C26"/>
    <w:rsid w:val="005710C0"/>
    <w:rsid w:val="005719E9"/>
    <w:rsid w:val="0058535E"/>
    <w:rsid w:val="005C7B27"/>
    <w:rsid w:val="00623DA3"/>
    <w:rsid w:val="00630DDF"/>
    <w:rsid w:val="00641D86"/>
    <w:rsid w:val="00657102"/>
    <w:rsid w:val="006673FE"/>
    <w:rsid w:val="00693EBC"/>
    <w:rsid w:val="00695275"/>
    <w:rsid w:val="00695CEF"/>
    <w:rsid w:val="006B1B32"/>
    <w:rsid w:val="006B71B2"/>
    <w:rsid w:val="006E5D6E"/>
    <w:rsid w:val="006E6A5F"/>
    <w:rsid w:val="00721B03"/>
    <w:rsid w:val="00743053"/>
    <w:rsid w:val="00752868"/>
    <w:rsid w:val="00764F05"/>
    <w:rsid w:val="00776EE4"/>
    <w:rsid w:val="007855CC"/>
    <w:rsid w:val="007B1ABA"/>
    <w:rsid w:val="007B5011"/>
    <w:rsid w:val="007B74C5"/>
    <w:rsid w:val="007C69CC"/>
    <w:rsid w:val="007D1E7A"/>
    <w:rsid w:val="007D2B64"/>
    <w:rsid w:val="007D4F07"/>
    <w:rsid w:val="007E7835"/>
    <w:rsid w:val="007F7EA9"/>
    <w:rsid w:val="0081107B"/>
    <w:rsid w:val="008507C1"/>
    <w:rsid w:val="00850B4E"/>
    <w:rsid w:val="00851743"/>
    <w:rsid w:val="00861934"/>
    <w:rsid w:val="008A1B9A"/>
    <w:rsid w:val="008B2F99"/>
    <w:rsid w:val="008B7468"/>
    <w:rsid w:val="008C5DB2"/>
    <w:rsid w:val="008C5FAA"/>
    <w:rsid w:val="008C712E"/>
    <w:rsid w:val="008D5873"/>
    <w:rsid w:val="008E2854"/>
    <w:rsid w:val="008F0AC9"/>
    <w:rsid w:val="008F57ED"/>
    <w:rsid w:val="00903EA0"/>
    <w:rsid w:val="00907361"/>
    <w:rsid w:val="00930CDA"/>
    <w:rsid w:val="00931ABD"/>
    <w:rsid w:val="0093473D"/>
    <w:rsid w:val="00934E48"/>
    <w:rsid w:val="00947451"/>
    <w:rsid w:val="0095636C"/>
    <w:rsid w:val="00960530"/>
    <w:rsid w:val="00964182"/>
    <w:rsid w:val="00972F57"/>
    <w:rsid w:val="00984FB8"/>
    <w:rsid w:val="009939FD"/>
    <w:rsid w:val="00995280"/>
    <w:rsid w:val="009A0401"/>
    <w:rsid w:val="00A11B75"/>
    <w:rsid w:val="00A22849"/>
    <w:rsid w:val="00A24E6E"/>
    <w:rsid w:val="00A43694"/>
    <w:rsid w:val="00A56FC7"/>
    <w:rsid w:val="00A61D9A"/>
    <w:rsid w:val="00A72575"/>
    <w:rsid w:val="00A74071"/>
    <w:rsid w:val="00AA124A"/>
    <w:rsid w:val="00AA2A96"/>
    <w:rsid w:val="00AC0C27"/>
    <w:rsid w:val="00AF41F7"/>
    <w:rsid w:val="00B04374"/>
    <w:rsid w:val="00B100CC"/>
    <w:rsid w:val="00B14B2B"/>
    <w:rsid w:val="00B2249E"/>
    <w:rsid w:val="00B23680"/>
    <w:rsid w:val="00B42FF4"/>
    <w:rsid w:val="00B518F1"/>
    <w:rsid w:val="00B6689D"/>
    <w:rsid w:val="00B72368"/>
    <w:rsid w:val="00B8293A"/>
    <w:rsid w:val="00BB40CE"/>
    <w:rsid w:val="00BE737E"/>
    <w:rsid w:val="00BF4F72"/>
    <w:rsid w:val="00BF64C9"/>
    <w:rsid w:val="00C03011"/>
    <w:rsid w:val="00C122FD"/>
    <w:rsid w:val="00C17BCE"/>
    <w:rsid w:val="00C20F8C"/>
    <w:rsid w:val="00C46C5C"/>
    <w:rsid w:val="00C54D58"/>
    <w:rsid w:val="00C573E1"/>
    <w:rsid w:val="00C67A61"/>
    <w:rsid w:val="00C77802"/>
    <w:rsid w:val="00C829B6"/>
    <w:rsid w:val="00C90260"/>
    <w:rsid w:val="00C95DF6"/>
    <w:rsid w:val="00CA25E6"/>
    <w:rsid w:val="00CB7204"/>
    <w:rsid w:val="00CC53B9"/>
    <w:rsid w:val="00CF31B2"/>
    <w:rsid w:val="00D1389A"/>
    <w:rsid w:val="00D425CA"/>
    <w:rsid w:val="00D62001"/>
    <w:rsid w:val="00D844D8"/>
    <w:rsid w:val="00D8668A"/>
    <w:rsid w:val="00DA1B0D"/>
    <w:rsid w:val="00DA1B7B"/>
    <w:rsid w:val="00DA7FA7"/>
    <w:rsid w:val="00DB5775"/>
    <w:rsid w:val="00DB79DF"/>
    <w:rsid w:val="00DE4697"/>
    <w:rsid w:val="00DE66A0"/>
    <w:rsid w:val="00DF153F"/>
    <w:rsid w:val="00E067F7"/>
    <w:rsid w:val="00E1738C"/>
    <w:rsid w:val="00E17C3E"/>
    <w:rsid w:val="00E22DA4"/>
    <w:rsid w:val="00E4248D"/>
    <w:rsid w:val="00E6344C"/>
    <w:rsid w:val="00E67F07"/>
    <w:rsid w:val="00E72683"/>
    <w:rsid w:val="00E859C6"/>
    <w:rsid w:val="00E866AC"/>
    <w:rsid w:val="00E87767"/>
    <w:rsid w:val="00EA32F7"/>
    <w:rsid w:val="00EA67FC"/>
    <w:rsid w:val="00EC3468"/>
    <w:rsid w:val="00ED3309"/>
    <w:rsid w:val="00ED6A78"/>
    <w:rsid w:val="00EF03A6"/>
    <w:rsid w:val="00EF7637"/>
    <w:rsid w:val="00F20AC4"/>
    <w:rsid w:val="00F230CD"/>
    <w:rsid w:val="00F51C18"/>
    <w:rsid w:val="00F92711"/>
    <w:rsid w:val="00FA31E2"/>
    <w:rsid w:val="00FC30EE"/>
    <w:rsid w:val="00FF5B70"/>
    <w:rsid w:val="00FF5BB9"/>
    <w:rsid w:val="00FF61BE"/>
    <w:rsid w:val="02AB2E45"/>
    <w:rsid w:val="035A549C"/>
    <w:rsid w:val="042BACA4"/>
    <w:rsid w:val="045A3CFA"/>
    <w:rsid w:val="04A80A4C"/>
    <w:rsid w:val="04F13D86"/>
    <w:rsid w:val="04F932F6"/>
    <w:rsid w:val="05F998D6"/>
    <w:rsid w:val="065C2370"/>
    <w:rsid w:val="06F7C8C8"/>
    <w:rsid w:val="079CF851"/>
    <w:rsid w:val="0871D7F8"/>
    <w:rsid w:val="08C6BFD6"/>
    <w:rsid w:val="08CAA0E1"/>
    <w:rsid w:val="096C1C8E"/>
    <w:rsid w:val="09BFF76B"/>
    <w:rsid w:val="0AC86BDA"/>
    <w:rsid w:val="0ADBAA8C"/>
    <w:rsid w:val="0C085AE5"/>
    <w:rsid w:val="0C93474C"/>
    <w:rsid w:val="0EFE52BE"/>
    <w:rsid w:val="0F0A9812"/>
    <w:rsid w:val="1028C0F1"/>
    <w:rsid w:val="114B8D4D"/>
    <w:rsid w:val="1184FB12"/>
    <w:rsid w:val="152F0AE1"/>
    <w:rsid w:val="1593885C"/>
    <w:rsid w:val="179264A4"/>
    <w:rsid w:val="1A66F97F"/>
    <w:rsid w:val="1A751CFA"/>
    <w:rsid w:val="1C34C70C"/>
    <w:rsid w:val="1CF7459C"/>
    <w:rsid w:val="1D158F8B"/>
    <w:rsid w:val="1D919E66"/>
    <w:rsid w:val="2019F6F7"/>
    <w:rsid w:val="2055B769"/>
    <w:rsid w:val="20D38A8A"/>
    <w:rsid w:val="213946EA"/>
    <w:rsid w:val="2369F828"/>
    <w:rsid w:val="240B2B4C"/>
    <w:rsid w:val="259DB0FF"/>
    <w:rsid w:val="26A6C3F3"/>
    <w:rsid w:val="27B842CA"/>
    <w:rsid w:val="28C5E52B"/>
    <w:rsid w:val="290183E6"/>
    <w:rsid w:val="2A583459"/>
    <w:rsid w:val="2BBAC3C6"/>
    <w:rsid w:val="2D24AE04"/>
    <w:rsid w:val="2D72AC4C"/>
    <w:rsid w:val="2DBCAB91"/>
    <w:rsid w:val="2E30CC2E"/>
    <w:rsid w:val="2EF26488"/>
    <w:rsid w:val="2FCF520E"/>
    <w:rsid w:val="31FE75EC"/>
    <w:rsid w:val="339BBA63"/>
    <w:rsid w:val="33C5D5AB"/>
    <w:rsid w:val="350B8F22"/>
    <w:rsid w:val="35DE74AC"/>
    <w:rsid w:val="361179C2"/>
    <w:rsid w:val="3624F37A"/>
    <w:rsid w:val="3858D7AC"/>
    <w:rsid w:val="398CAFB2"/>
    <w:rsid w:val="3B6B2B30"/>
    <w:rsid w:val="3BD0E790"/>
    <w:rsid w:val="3BF352A6"/>
    <w:rsid w:val="3C1CD58B"/>
    <w:rsid w:val="3D63EBED"/>
    <w:rsid w:val="3E06011E"/>
    <w:rsid w:val="3E4787D9"/>
    <w:rsid w:val="3EFA7175"/>
    <w:rsid w:val="403E9C53"/>
    <w:rsid w:val="40587253"/>
    <w:rsid w:val="41050EA3"/>
    <w:rsid w:val="41FF39CD"/>
    <w:rsid w:val="4206BFBA"/>
    <w:rsid w:val="422592EE"/>
    <w:rsid w:val="4248169A"/>
    <w:rsid w:val="43668934"/>
    <w:rsid w:val="44B56F6A"/>
    <w:rsid w:val="45C08A3D"/>
    <w:rsid w:val="47362CB2"/>
    <w:rsid w:val="47C096EE"/>
    <w:rsid w:val="4837B304"/>
    <w:rsid w:val="49027544"/>
    <w:rsid w:val="492B8A73"/>
    <w:rsid w:val="4991D2D7"/>
    <w:rsid w:val="49DB26B6"/>
    <w:rsid w:val="4A91B318"/>
    <w:rsid w:val="4B1C05CE"/>
    <w:rsid w:val="4BEEF8E0"/>
    <w:rsid w:val="4D0028C8"/>
    <w:rsid w:val="4D6D59AE"/>
    <w:rsid w:val="4E25AEF4"/>
    <w:rsid w:val="4F3019C4"/>
    <w:rsid w:val="512C4D51"/>
    <w:rsid w:val="513222A4"/>
    <w:rsid w:val="518150AA"/>
    <w:rsid w:val="5188BD5F"/>
    <w:rsid w:val="51A0C3AC"/>
    <w:rsid w:val="51CD4F34"/>
    <w:rsid w:val="51FB3815"/>
    <w:rsid w:val="52C4F42B"/>
    <w:rsid w:val="53944E65"/>
    <w:rsid w:val="540D9229"/>
    <w:rsid w:val="5490B61E"/>
    <w:rsid w:val="5663CC8E"/>
    <w:rsid w:val="567075BC"/>
    <w:rsid w:val="57631C46"/>
    <w:rsid w:val="58075A10"/>
    <w:rsid w:val="5B813E65"/>
    <w:rsid w:val="5DC3D875"/>
    <w:rsid w:val="5F460025"/>
    <w:rsid w:val="60175802"/>
    <w:rsid w:val="601CEAB8"/>
    <w:rsid w:val="608358B2"/>
    <w:rsid w:val="6317DB19"/>
    <w:rsid w:val="634EF8C4"/>
    <w:rsid w:val="646A56E1"/>
    <w:rsid w:val="6537B832"/>
    <w:rsid w:val="662E2AC0"/>
    <w:rsid w:val="66746213"/>
    <w:rsid w:val="66869986"/>
    <w:rsid w:val="66B2BEE0"/>
    <w:rsid w:val="671F972C"/>
    <w:rsid w:val="6775BE5A"/>
    <w:rsid w:val="67AD6F1D"/>
    <w:rsid w:val="67DFCA64"/>
    <w:rsid w:val="69750A3B"/>
    <w:rsid w:val="69E45E52"/>
    <w:rsid w:val="6A75D305"/>
    <w:rsid w:val="6B0CE63F"/>
    <w:rsid w:val="6E7FC8D2"/>
    <w:rsid w:val="6FDAA405"/>
    <w:rsid w:val="71069DDC"/>
    <w:rsid w:val="7121354D"/>
    <w:rsid w:val="71ABB6F5"/>
    <w:rsid w:val="7214A7A3"/>
    <w:rsid w:val="7300893A"/>
    <w:rsid w:val="7430AF42"/>
    <w:rsid w:val="743B1905"/>
    <w:rsid w:val="76A60009"/>
    <w:rsid w:val="76EC4C08"/>
    <w:rsid w:val="77A997B6"/>
    <w:rsid w:val="77D67213"/>
    <w:rsid w:val="77F15328"/>
    <w:rsid w:val="78F5A425"/>
    <w:rsid w:val="7B7F49CE"/>
    <w:rsid w:val="7E77D8B7"/>
    <w:rsid w:val="7E8CDAC7"/>
    <w:rsid w:val="7EDA024E"/>
    <w:rsid w:val="7F3E96AE"/>
    <w:rsid w:val="7F4758D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E67B0E"/>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337D19"/>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C90260"/>
    <w:pPr>
      <w:spacing w:before="324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C90260"/>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05BA4"/>
    <w:pPr>
      <w:numPr>
        <w:ilvl w:val="1"/>
      </w:numPr>
      <w:spacing w:after="0"/>
    </w:pPr>
    <w:rPr>
      <w:rFonts w:ascii="Calibri" w:eastAsiaTheme="minorEastAsia" w:hAnsi="Calibri"/>
      <w:color w:val="789B4A"/>
      <w:spacing w:val="15"/>
      <w:sz w:val="40"/>
    </w:rPr>
  </w:style>
  <w:style w:type="character" w:customStyle="1" w:styleId="SubtitleChar">
    <w:name w:val="Subtitle Char"/>
    <w:basedOn w:val="DefaultParagraphFont"/>
    <w:link w:val="Subtitle"/>
    <w:uiPriority w:val="8"/>
    <w:rsid w:val="00305BA4"/>
    <w:rPr>
      <w:rFonts w:ascii="Calibri" w:eastAsiaTheme="minorEastAsia" w:hAnsi="Calibri"/>
      <w:color w:val="789B4A"/>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337D19"/>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305BA4"/>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aliases w:val="Recommendation,List Paragraph1,List Paragraph11,Bullet point,List Paragraph Number,Bullet Point,L,Bullet points,Content descriptions,Use Case List Paragraph,List Paragraph - bullets,standard lewis,Numbered Para 1,Dot pt,No Spacing1,B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3"/>
      </w:numPr>
    </w:pPr>
  </w:style>
  <w:style w:type="paragraph" w:styleId="ListBullet">
    <w:name w:val="List Bullet"/>
    <w:basedOn w:val="ListParagraph"/>
    <w:uiPriority w:val="99"/>
    <w:unhideWhenUsed/>
    <w:qFormat/>
    <w:rsid w:val="00A56FC7"/>
    <w:pPr>
      <w:numPr>
        <w:numId w:val="14"/>
      </w:numPr>
    </w:pPr>
  </w:style>
  <w:style w:type="paragraph" w:styleId="List">
    <w:name w:val="List"/>
    <w:basedOn w:val="ListBullet"/>
    <w:uiPriority w:val="99"/>
    <w:unhideWhenUsed/>
    <w:qFormat/>
    <w:rsid w:val="00A56FC7"/>
    <w:pPr>
      <w:numPr>
        <w:numId w:val="15"/>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16"/>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character" w:customStyle="1" w:styleId="ListParagraphChar">
    <w:name w:val="List Paragraph Char"/>
    <w:aliases w:val="Recommendation Char,List Paragraph1 Char,List Paragraph11 Char,Bullet point Char,List Paragraph Number Char,Bullet Point Char,L Char,Bullet points Char,Content descriptions Char,Use Case List Paragraph Char,standard lewis Char"/>
    <w:basedOn w:val="DefaultParagraphFont"/>
    <w:link w:val="ListParagraph"/>
    <w:uiPriority w:val="34"/>
    <w:qFormat/>
    <w:locked/>
    <w:rsid w:val="003E7C09"/>
  </w:style>
  <w:style w:type="character" w:styleId="CommentReference">
    <w:name w:val="annotation reference"/>
    <w:basedOn w:val="DefaultParagraphFont"/>
    <w:uiPriority w:val="99"/>
    <w:semiHidden/>
    <w:unhideWhenUsed/>
    <w:rsid w:val="003E7C09"/>
    <w:rPr>
      <w:sz w:val="16"/>
      <w:szCs w:val="16"/>
    </w:rPr>
  </w:style>
  <w:style w:type="paragraph" w:styleId="CommentText">
    <w:name w:val="annotation text"/>
    <w:basedOn w:val="Normal"/>
    <w:link w:val="CommentTextChar"/>
    <w:uiPriority w:val="99"/>
    <w:unhideWhenUsed/>
    <w:rsid w:val="003E7C09"/>
    <w:pPr>
      <w:spacing w:after="160" w:line="240" w:lineRule="auto"/>
    </w:pPr>
    <w:rPr>
      <w:sz w:val="20"/>
      <w:szCs w:val="20"/>
    </w:rPr>
  </w:style>
  <w:style w:type="character" w:customStyle="1" w:styleId="CommentTextChar">
    <w:name w:val="Comment Text Char"/>
    <w:basedOn w:val="DefaultParagraphFont"/>
    <w:link w:val="CommentText"/>
    <w:uiPriority w:val="99"/>
    <w:rsid w:val="003E7C09"/>
    <w:rPr>
      <w:sz w:val="20"/>
      <w:szCs w:val="20"/>
    </w:rPr>
  </w:style>
  <w:style w:type="paragraph" w:customStyle="1" w:styleId="ECPoint">
    <w:name w:val="EC Point"/>
    <w:link w:val="ECPointChar"/>
    <w:qFormat/>
    <w:rsid w:val="003E7C09"/>
    <w:pPr>
      <w:spacing w:after="120" w:line="240" w:lineRule="auto"/>
    </w:pPr>
    <w:rPr>
      <w:rFonts w:ascii="Calibri" w:hAnsi="Calibri" w:cs="Times New Roman"/>
    </w:rPr>
  </w:style>
  <w:style w:type="character" w:customStyle="1" w:styleId="ECPointChar">
    <w:name w:val="EC Point Char"/>
    <w:basedOn w:val="DefaultParagraphFont"/>
    <w:link w:val="ECPoint"/>
    <w:rsid w:val="003E7C09"/>
    <w:rPr>
      <w:rFonts w:ascii="Calibri" w:hAnsi="Calibri" w:cs="Times New Roman"/>
    </w:rPr>
  </w:style>
  <w:style w:type="character" w:customStyle="1" w:styleId="normaltextrun">
    <w:name w:val="normaltextrun"/>
    <w:basedOn w:val="DefaultParagraphFont"/>
    <w:rsid w:val="003E7C09"/>
  </w:style>
  <w:style w:type="paragraph" w:styleId="CommentSubject">
    <w:name w:val="annotation subject"/>
    <w:basedOn w:val="CommentText"/>
    <w:next w:val="CommentText"/>
    <w:link w:val="CommentSubjectChar"/>
    <w:uiPriority w:val="99"/>
    <w:semiHidden/>
    <w:unhideWhenUsed/>
    <w:rsid w:val="00B42FF4"/>
    <w:pPr>
      <w:spacing w:after="200"/>
    </w:pPr>
    <w:rPr>
      <w:b/>
      <w:bCs/>
    </w:rPr>
  </w:style>
  <w:style w:type="character" w:customStyle="1" w:styleId="CommentSubjectChar">
    <w:name w:val="Comment Subject Char"/>
    <w:basedOn w:val="CommentTextChar"/>
    <w:link w:val="CommentSubject"/>
    <w:uiPriority w:val="99"/>
    <w:semiHidden/>
    <w:rsid w:val="00B42F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creativecommons.org/licenses/by/3.0/au/legalcod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hyperlink" Target="http://creativecommons.org/licenses/by/3.0/a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www.dese.gov.au/skills-education-and-employment/resources/see-discussion-paper-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1.png@01CC5B5E.C6C84990" TargetMode="Externa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3124</Words>
  <Characters>17811</Characters>
  <Application>Microsoft Office Word</Application>
  <DocSecurity>0</DocSecurity>
  <Lines>148</Lines>
  <Paragraphs>41</Paragraphs>
  <ScaleCrop>false</ScaleCrop>
  <Company/>
  <LinksUpToDate>false</LinksUpToDate>
  <CharactersWithSpaces>20894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SEE DP - Responses to SEE Consultation</dc:title>
  <dc:subject/>
  <dc:creator/>
  <cp:keywords/>
  <dc:description/>
  <cp:lastModifiedBy/>
  <cp:revision>1</cp:revision>
  <dcterms:created xsi:type="dcterms:W3CDTF">2022-11-18T00:51:00Z</dcterms:created>
  <dcterms:modified xsi:type="dcterms:W3CDTF">2022-11-18T00:51:00Z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2022-11-18T00:51:02Z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fc62035c-410c-4434-a157-746b38d9115e</vt:lpwstr>
  </property>
  <property fmtid="{D5CDD505-2E9C-101B-9397-08002B2CF9AE}" pid="8" name="MSIP_Label_79d889eb-932f-4752-8739-64d25806ef64_ContentBits">
    <vt:lpwstr>0</vt:lpwstr>
  </property>
</Properties>
</file>