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23" w:rsidRDefault="00A35435" w:rsidP="00A35435">
      <w:pPr>
        <w:ind w:left="-1440"/>
        <w:sectPr w:rsidR="00130923" w:rsidSect="00A354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0" w:right="1274" w:bottom="1134" w:left="1440" w:header="708" w:footer="708" w:gutter="0"/>
          <w:cols w:space="708"/>
          <w:docGrid w:linePitch="360"/>
        </w:sectPr>
      </w:pPr>
      <w:r>
        <w:rPr>
          <w:noProof/>
          <w:lang w:eastAsia="en-AU"/>
        </w:rPr>
        <w:drawing>
          <wp:inline distT="0" distB="0" distL="0" distR="0" wp14:anchorId="7D98A95B" wp14:editId="64A5F168">
            <wp:extent cx="7581600" cy="2408400"/>
            <wp:effectExtent l="0" t="0" r="635" b="0"/>
            <wp:docPr id="2" name="Picture 2" descr="Image: Australian Government Department of Em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4_0001 EMP Word Template navy_01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6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1F" w:rsidRPr="00F20048" w:rsidRDefault="00F0141F" w:rsidP="00F20048">
      <w:pPr>
        <w:pStyle w:val="Title"/>
      </w:pPr>
      <w:bookmarkStart w:id="0" w:name="_GoBack"/>
      <w:r w:rsidRPr="00F20048">
        <w:t xml:space="preserve">Tasmanian Jobs Programme Evaluation: </w:t>
      </w:r>
      <w:r w:rsidRPr="00F20048">
        <w:br/>
        <w:t>Departmental response to recommendations</w:t>
      </w:r>
      <w:bookmarkEnd w:id="0"/>
    </w:p>
    <w:p w:rsidR="00F0141F" w:rsidRPr="00F0141F" w:rsidRDefault="00F0141F" w:rsidP="00F0141F">
      <w:pPr>
        <w:spacing w:before="120" w:after="0"/>
      </w:pPr>
      <w:r w:rsidRPr="00F0141F">
        <w:t>The Department has used and will continue to use findings from the Tasmanian Jobs Programme Evaluation to inform the policy development and implementation of similar programs.</w:t>
      </w:r>
    </w:p>
    <w:p w:rsidR="00F0141F" w:rsidRPr="00F0141F" w:rsidRDefault="00F0141F" w:rsidP="00B91C66">
      <w:pPr>
        <w:spacing w:before="120" w:after="240"/>
      </w:pPr>
      <w:r w:rsidRPr="00F0141F">
        <w:t xml:space="preserve">In developing the Youth Jobs PaTH Youth Bonus and </w:t>
      </w:r>
      <w:r w:rsidR="00300BE5">
        <w:t xml:space="preserve">other </w:t>
      </w:r>
      <w:r w:rsidRPr="00F0141F">
        <w:t xml:space="preserve">enhancements to wage subsidies, announced in the 2016 </w:t>
      </w:r>
      <w:r w:rsidR="00E2631A">
        <w:t xml:space="preserve">and 2017 </w:t>
      </w:r>
      <w:r w:rsidRPr="00F0141F">
        <w:t>Federal Budget</w:t>
      </w:r>
      <w:r w:rsidR="00E2631A">
        <w:t>s</w:t>
      </w:r>
      <w:r w:rsidRPr="00F0141F">
        <w:t>, the Department drew upon a range of evidence, including from this evaluation. Some examples of this include: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455"/>
        <w:gridCol w:w="4584"/>
      </w:tblGrid>
      <w:tr w:rsidR="00F0141F" w:rsidRPr="00F0141F" w:rsidTr="00A2059F">
        <w:trPr>
          <w:tblHeader/>
        </w:trPr>
        <w:tc>
          <w:tcPr>
            <w:tcW w:w="4455" w:type="dxa"/>
            <w:vAlign w:val="center"/>
          </w:tcPr>
          <w:p w:rsidR="00F0141F" w:rsidRPr="00F0141F" w:rsidRDefault="00F0141F" w:rsidP="00B91C66">
            <w:pPr>
              <w:tabs>
                <w:tab w:val="left" w:pos="1005"/>
              </w:tabs>
              <w:spacing w:before="60" w:after="60"/>
              <w:rPr>
                <w:b/>
              </w:rPr>
            </w:pPr>
            <w:r w:rsidRPr="00F0141F">
              <w:rPr>
                <w:b/>
              </w:rPr>
              <w:t>Recommendation</w:t>
            </w:r>
          </w:p>
        </w:tc>
        <w:tc>
          <w:tcPr>
            <w:tcW w:w="4584" w:type="dxa"/>
            <w:vAlign w:val="center"/>
          </w:tcPr>
          <w:p w:rsidR="00F0141F" w:rsidRPr="00F0141F" w:rsidRDefault="00F0141F" w:rsidP="00F0141F">
            <w:pPr>
              <w:spacing w:before="60" w:after="60"/>
              <w:rPr>
                <w:b/>
              </w:rPr>
            </w:pPr>
            <w:r w:rsidRPr="00F0141F">
              <w:rPr>
                <w:b/>
              </w:rPr>
              <w:t>Policy or program decision</w:t>
            </w:r>
          </w:p>
        </w:tc>
      </w:tr>
      <w:tr w:rsidR="00F0141F" w:rsidRPr="00F0141F" w:rsidTr="00C3297B">
        <w:tc>
          <w:tcPr>
            <w:tcW w:w="4455" w:type="dxa"/>
          </w:tcPr>
          <w:p w:rsidR="00F0141F" w:rsidRPr="00F0141F" w:rsidRDefault="00F0141F" w:rsidP="00F0141F">
            <w:pPr>
              <w:spacing w:before="60" w:after="60"/>
            </w:pPr>
            <w:r w:rsidRPr="00F0141F">
              <w:t>Future initiatives should consider the target population. Programs that are specifically targeted at the most disadvantaged job seekers may be required.</w:t>
            </w:r>
          </w:p>
        </w:tc>
        <w:tc>
          <w:tcPr>
            <w:tcW w:w="4584" w:type="dxa"/>
          </w:tcPr>
          <w:p w:rsidR="00300BE5" w:rsidRDefault="00E83F13" w:rsidP="00C92F38">
            <w:pPr>
              <w:spacing w:before="60" w:after="60"/>
            </w:pPr>
            <w:r>
              <w:t xml:space="preserve">From 1 January 2017, a new </w:t>
            </w:r>
            <w:r w:rsidR="00F0141F" w:rsidRPr="00F0141F">
              <w:t>Youth Bonus</w:t>
            </w:r>
            <w:r>
              <w:t xml:space="preserve"> wage subsidy was introduced to </w:t>
            </w:r>
            <w:r w:rsidR="00F0141F" w:rsidRPr="00F0141F">
              <w:t xml:space="preserve">job seekers under 25 years </w:t>
            </w:r>
            <w:r w:rsidR="00300BE5">
              <w:t xml:space="preserve">of age </w:t>
            </w:r>
            <w:r w:rsidR="00F0141F" w:rsidRPr="00F0141F">
              <w:t xml:space="preserve">who have been in employment services for six months or more. </w:t>
            </w:r>
            <w:r>
              <w:t>J</w:t>
            </w:r>
            <w:r w:rsidR="00F0141F" w:rsidRPr="00F0141F">
              <w:t xml:space="preserve">ob seekers in Streams B and C (less job ready) attract a higher </w:t>
            </w:r>
            <w:r w:rsidR="00300BE5">
              <w:t xml:space="preserve">Youth Bonus </w:t>
            </w:r>
            <w:r w:rsidR="00F0141F" w:rsidRPr="00F0141F">
              <w:t>wage subsidy than those in Stream A</w:t>
            </w:r>
            <w:r>
              <w:t xml:space="preserve"> – up to $10,000 (GST inclusive) compared to $6,500</w:t>
            </w:r>
            <w:r w:rsidR="00F0141F" w:rsidRPr="00F0141F">
              <w:t>.</w:t>
            </w:r>
            <w:r w:rsidR="00E2631A">
              <w:t xml:space="preserve"> </w:t>
            </w:r>
          </w:p>
          <w:p w:rsidR="00F0141F" w:rsidRPr="00F0141F" w:rsidRDefault="00300BE5" w:rsidP="00300BE5">
            <w:pPr>
              <w:spacing w:before="60" w:after="60"/>
            </w:pPr>
            <w:r>
              <w:t>Further to this, as announced in the</w:t>
            </w:r>
            <w:r w:rsidR="00C92F38">
              <w:t xml:space="preserve"> 2017 </w:t>
            </w:r>
            <w:r>
              <w:t>B</w:t>
            </w:r>
            <w:r w:rsidR="00C92F38">
              <w:t>udget</w:t>
            </w:r>
            <w:r w:rsidR="00E83F13">
              <w:t xml:space="preserve"> from 1 January 2018,</w:t>
            </w:r>
            <w:r w:rsidR="00C92F38">
              <w:t xml:space="preserve"> Indigenous job seekers </w:t>
            </w:r>
            <w:r>
              <w:t>will be</w:t>
            </w:r>
            <w:r w:rsidR="00C92F38">
              <w:t xml:space="preserve"> granted immediate access to </w:t>
            </w:r>
            <w:r>
              <w:t xml:space="preserve">a $10,000 (GST inclusive) </w:t>
            </w:r>
            <w:r w:rsidR="00C92F38">
              <w:t>wage subsid</w:t>
            </w:r>
            <w:r>
              <w:t>y</w:t>
            </w:r>
            <w:r w:rsidR="00E83F13">
              <w:t xml:space="preserve"> – reducing the time in employment services by six months and increasing the subsidy from $6,500 to $10,000</w:t>
            </w:r>
            <w:r w:rsidR="00C92F38">
              <w:t>.</w:t>
            </w:r>
          </w:p>
        </w:tc>
      </w:tr>
      <w:tr w:rsidR="00F0141F" w:rsidRPr="00F0141F" w:rsidTr="00C3297B">
        <w:tc>
          <w:tcPr>
            <w:tcW w:w="4455" w:type="dxa"/>
          </w:tcPr>
          <w:p w:rsidR="00F0141F" w:rsidRPr="00F0141F" w:rsidRDefault="00F0141F" w:rsidP="00F0141F">
            <w:pPr>
              <w:spacing w:before="60" w:after="60"/>
            </w:pPr>
            <w:r w:rsidRPr="00F0141F">
              <w:t>Future initiatives should consider the level of subsidy offered and the incentive it creates for employers to hire subsidised staff.</w:t>
            </w:r>
          </w:p>
        </w:tc>
        <w:tc>
          <w:tcPr>
            <w:tcW w:w="4584" w:type="dxa"/>
          </w:tcPr>
          <w:p w:rsidR="00F0141F" w:rsidRPr="00F0141F" w:rsidRDefault="00F0141F" w:rsidP="00A93D99">
            <w:pPr>
              <w:spacing w:before="60" w:after="60"/>
              <w:rPr>
                <w:i/>
              </w:rPr>
            </w:pPr>
            <w:r w:rsidRPr="00F0141F">
              <w:t xml:space="preserve">The Youth Bonus wage subsidy offers up to $10,000 </w:t>
            </w:r>
            <w:r w:rsidR="00E83F13">
              <w:t xml:space="preserve">(GST inclusive) </w:t>
            </w:r>
            <w:r w:rsidRPr="00F0141F">
              <w:t>to employers over six months. This is a larger subsidy over a shorter period compared to that available under the Tasmanian Jobs Programme</w:t>
            </w:r>
            <w:r w:rsidR="00A93D99">
              <w:t>. B</w:t>
            </w:r>
            <w:r w:rsidRPr="00F0141F">
              <w:t>ased on feedback from a range of employers</w:t>
            </w:r>
            <w:r w:rsidR="00E83F13">
              <w:t xml:space="preserve"> and business groups</w:t>
            </w:r>
            <w:r w:rsidR="00E14C4A">
              <w:t xml:space="preserve"> </w:t>
            </w:r>
            <w:r w:rsidR="00A93D99">
              <w:t>t</w:t>
            </w:r>
            <w:r w:rsidR="00E14C4A">
              <w:t xml:space="preserve">he guidelines </w:t>
            </w:r>
            <w:r w:rsidR="00E83F13">
              <w:t>and processes for employers and employment services providers were</w:t>
            </w:r>
            <w:r w:rsidR="00E14C4A">
              <w:t xml:space="preserve"> simplified to</w:t>
            </w:r>
            <w:r w:rsidR="00E83F13">
              <w:t xml:space="preserve"> reduce red-tape and</w:t>
            </w:r>
            <w:r w:rsidR="00E14C4A">
              <w:t xml:space="preserve"> encourage take-up. </w:t>
            </w:r>
          </w:p>
        </w:tc>
      </w:tr>
      <w:tr w:rsidR="00F0141F" w:rsidRPr="00F0141F" w:rsidTr="00C3297B">
        <w:tc>
          <w:tcPr>
            <w:tcW w:w="4455" w:type="dxa"/>
          </w:tcPr>
          <w:p w:rsidR="00F0141F" w:rsidRPr="00F0141F" w:rsidRDefault="00F0141F" w:rsidP="00F0141F">
            <w:pPr>
              <w:spacing w:before="60" w:after="60"/>
            </w:pPr>
            <w:r w:rsidRPr="00F0141F">
              <w:t xml:space="preserve">Paying a portion of the subsidy upfront may </w:t>
            </w:r>
            <w:r w:rsidRPr="00F0141F">
              <w:lastRenderedPageBreak/>
              <w:t>also assist with any upfront costs associated with recruitment and therefore increase employers’ willingness to hire.</w:t>
            </w:r>
          </w:p>
        </w:tc>
        <w:tc>
          <w:tcPr>
            <w:tcW w:w="4584" w:type="dxa"/>
          </w:tcPr>
          <w:p w:rsidR="00F0141F" w:rsidRPr="00F0141F" w:rsidRDefault="00F0141F" w:rsidP="00D9260C">
            <w:pPr>
              <w:spacing w:before="60" w:after="60"/>
            </w:pPr>
            <w:r w:rsidRPr="00F0141F">
              <w:lastRenderedPageBreak/>
              <w:t xml:space="preserve">The payment schedule for </w:t>
            </w:r>
            <w:r w:rsidR="00D9260C">
              <w:t>all</w:t>
            </w:r>
            <w:r w:rsidRPr="00F0141F">
              <w:t xml:space="preserve"> wage subsidies </w:t>
            </w:r>
            <w:r w:rsidR="00D9260C">
              <w:t>is</w:t>
            </w:r>
            <w:r w:rsidRPr="00F0141F">
              <w:t xml:space="preserve"> </w:t>
            </w:r>
            <w:r w:rsidRPr="00F0141F">
              <w:lastRenderedPageBreak/>
              <w:t>negotiated between providers and employers. This includes lump-sum payments upfront or early on in the agreement.</w:t>
            </w:r>
            <w:r w:rsidR="00E2631A">
              <w:t xml:space="preserve"> In January 2017 upfront payments ceased, but </w:t>
            </w:r>
            <w:r w:rsidR="00D9260C">
              <w:t xml:space="preserve">a kickstart payment came into effect that allows 40 per cent of the total wage subsidy to be paid after </w:t>
            </w:r>
            <w:r w:rsidR="00E2631A">
              <w:t>four weeks</w:t>
            </w:r>
            <w:r w:rsidR="00D9260C">
              <w:t xml:space="preserve"> of the employment commencing – again based on feedback from employers and business groups that earlier payments would create employment opportunities by encouraging take up of wage subsidy assistance</w:t>
            </w:r>
            <w:r w:rsidR="00E2631A">
              <w:t>.</w:t>
            </w:r>
          </w:p>
        </w:tc>
      </w:tr>
      <w:tr w:rsidR="00F0141F" w:rsidRPr="00F0141F" w:rsidTr="00C3297B">
        <w:tc>
          <w:tcPr>
            <w:tcW w:w="4455" w:type="dxa"/>
          </w:tcPr>
          <w:p w:rsidR="00F0141F" w:rsidRPr="00F0141F" w:rsidRDefault="00F0141F" w:rsidP="00F0141F">
            <w:pPr>
              <w:spacing w:before="60" w:after="60"/>
            </w:pPr>
            <w:r w:rsidRPr="00F0141F">
              <w:lastRenderedPageBreak/>
              <w:t>To improve program awareness, information about assistance to employers should be more easily available and directly targeted at employers; for instance, through emails, presentations and printed booklets to employers and employer organisations.</w:t>
            </w:r>
          </w:p>
        </w:tc>
        <w:tc>
          <w:tcPr>
            <w:tcW w:w="4584" w:type="dxa"/>
          </w:tcPr>
          <w:p w:rsidR="00F0141F" w:rsidRPr="00F0141F" w:rsidRDefault="00F0141F" w:rsidP="00A93D99">
            <w:pPr>
              <w:spacing w:before="60" w:after="60"/>
            </w:pPr>
            <w:r w:rsidRPr="00F0141F">
              <w:t xml:space="preserve">Comprehensive employer mobilisation and communication strategies will support the implementation of the Youth Employment Package, including </w:t>
            </w:r>
            <w:r w:rsidR="00D9260C">
              <w:t>improvements to all</w:t>
            </w:r>
            <w:r w:rsidRPr="00F0141F">
              <w:t xml:space="preserve"> wage </w:t>
            </w:r>
            <w:r w:rsidR="00A93D99" w:rsidRPr="00F0141F">
              <w:t>subsid</w:t>
            </w:r>
            <w:r w:rsidR="00A93D99">
              <w:t>ies</w:t>
            </w:r>
            <w:r w:rsidRPr="00F0141F">
              <w:t>. Lessons learnt from the Tasmanian Jobs Programme have helped inform these strategies.</w:t>
            </w:r>
            <w:r w:rsidR="00E14C4A">
              <w:t xml:space="preserve"> </w:t>
            </w:r>
          </w:p>
        </w:tc>
      </w:tr>
    </w:tbl>
    <w:p w:rsidR="00F6535B" w:rsidRPr="005B3DAC" w:rsidRDefault="00F6535B" w:rsidP="00B91C66"/>
    <w:sectPr w:rsidR="00F6535B" w:rsidRPr="005B3DAC" w:rsidSect="00A35435">
      <w:headerReference w:type="default" r:id="rId15"/>
      <w:footerReference w:type="default" r:id="rId16"/>
      <w:type w:val="continuous"/>
      <w:pgSz w:w="11906" w:h="16838"/>
      <w:pgMar w:top="1985" w:right="1440" w:bottom="1440" w:left="1588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AD" w:rsidRDefault="00EC4AAD" w:rsidP="00130923">
      <w:pPr>
        <w:spacing w:after="0" w:line="240" w:lineRule="auto"/>
      </w:pPr>
      <w:r>
        <w:separator/>
      </w:r>
    </w:p>
  </w:endnote>
  <w:endnote w:type="continuationSeparator" w:id="0">
    <w:p w:rsidR="00EC4AAD" w:rsidRDefault="00EC4AAD" w:rsidP="0013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DA" w:rsidRDefault="00FA3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2B9" w:rsidRDefault="003242B9" w:rsidP="003242B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DA" w:rsidRDefault="00FA37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2B9" w:rsidRDefault="00FA37DA" w:rsidP="00A73406">
    <w:pPr>
      <w:pStyle w:val="Footer"/>
      <w:tabs>
        <w:tab w:val="clear" w:pos="9026"/>
        <w:tab w:val="right" w:pos="8647"/>
      </w:tabs>
      <w:ind w:firstLine="720"/>
      <w:jc w:val="right"/>
    </w:pPr>
    <w:sdt>
      <w:sdtPr>
        <w:id w:val="6389276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42B9">
          <w:fldChar w:fldCharType="begin"/>
        </w:r>
        <w:r w:rsidR="003242B9">
          <w:instrText xml:space="preserve"> PAGE   \* MERGEFORMAT </w:instrText>
        </w:r>
        <w:r w:rsidR="003242B9">
          <w:fldChar w:fldCharType="separate"/>
        </w:r>
        <w:r>
          <w:rPr>
            <w:noProof/>
          </w:rPr>
          <w:t>2</w:t>
        </w:r>
        <w:r w:rsidR="003242B9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AD" w:rsidRDefault="00EC4AAD" w:rsidP="00130923">
      <w:pPr>
        <w:spacing w:after="0" w:line="240" w:lineRule="auto"/>
      </w:pPr>
      <w:r>
        <w:separator/>
      </w:r>
    </w:p>
  </w:footnote>
  <w:footnote w:type="continuationSeparator" w:id="0">
    <w:p w:rsidR="00EC4AAD" w:rsidRDefault="00EC4AAD" w:rsidP="00130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DA" w:rsidRDefault="00FA3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DA" w:rsidRDefault="00FA37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DA" w:rsidRDefault="00FA37D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CA0" w:rsidRDefault="003D52CD" w:rsidP="00560CA0">
    <w:pPr>
      <w:pStyle w:val="Header"/>
      <w:jc w:val="right"/>
      <w:rPr>
        <w:b/>
      </w:rPr>
    </w:pPr>
    <w:r>
      <w:rPr>
        <w:b/>
      </w:rPr>
      <w:t xml:space="preserve">Departmental Response to recommendations of the </w:t>
    </w:r>
    <w:r w:rsidR="00036C94">
      <w:rPr>
        <w:b/>
      </w:rPr>
      <w:t>Tasmanian Jobs Programme</w:t>
    </w:r>
    <w:r w:rsidR="00E35C5C" w:rsidRPr="00E35C5C">
      <w:rPr>
        <w:b/>
      </w:rPr>
      <w:t xml:space="preserve"> Evaluation</w:t>
    </w:r>
  </w:p>
  <w:p w:rsidR="00E35C5C" w:rsidRDefault="00E35C5C" w:rsidP="00E35C5C">
    <w:pPr>
      <w:pStyle w:val="Header"/>
      <w:jc w:val="center"/>
    </w:pPr>
  </w:p>
  <w:p w:rsidR="00E35C5C" w:rsidRDefault="00E35C5C" w:rsidP="00560C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CE6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2C02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08C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42CF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BA18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868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840E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8468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0016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E69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00D16"/>
    <w:multiLevelType w:val="multilevel"/>
    <w:tmpl w:val="9D9E4B96"/>
    <w:numStyleLink w:val="BulletList"/>
  </w:abstractNum>
  <w:abstractNum w:abstractNumId="11" w15:restartNumberingAfterBreak="0">
    <w:nsid w:val="080F485D"/>
    <w:multiLevelType w:val="hybridMultilevel"/>
    <w:tmpl w:val="5BE4D756"/>
    <w:lvl w:ilvl="0" w:tplc="1A4409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12691"/>
    <w:multiLevelType w:val="hybridMultilevel"/>
    <w:tmpl w:val="87F08D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641DF2"/>
    <w:multiLevelType w:val="hybridMultilevel"/>
    <w:tmpl w:val="F7842D62"/>
    <w:lvl w:ilvl="0" w:tplc="7F847DE4">
      <w:start w:val="1"/>
      <w:numFmt w:val="decimal"/>
      <w:pStyle w:val="numberedpara"/>
      <w:lvlText w:val="%1."/>
      <w:lvlJc w:val="right"/>
      <w:pPr>
        <w:tabs>
          <w:tab w:val="num" w:pos="567"/>
        </w:tabs>
        <w:ind w:left="0" w:hanging="567"/>
      </w:pPr>
      <w:rPr>
        <w:rFonts w:ascii="Calibri" w:hAnsi="Calibri" w:cs="Times New Roman" w:hint="default"/>
        <w:b w:val="0"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A5C77"/>
    <w:multiLevelType w:val="multilevel"/>
    <w:tmpl w:val="91E0A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21775B9"/>
    <w:multiLevelType w:val="hybridMultilevel"/>
    <w:tmpl w:val="857A41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D5840"/>
    <w:multiLevelType w:val="hybridMultilevel"/>
    <w:tmpl w:val="9B06E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732AD"/>
    <w:multiLevelType w:val="multilevel"/>
    <w:tmpl w:val="F6DA8B3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49430C3"/>
    <w:multiLevelType w:val="hybridMultilevel"/>
    <w:tmpl w:val="1FC8C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4061A"/>
    <w:multiLevelType w:val="hybridMultilevel"/>
    <w:tmpl w:val="1A1C1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73210"/>
    <w:multiLevelType w:val="multilevel"/>
    <w:tmpl w:val="1A7C82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F1710"/>
    <w:multiLevelType w:val="multilevel"/>
    <w:tmpl w:val="835A88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D702326"/>
    <w:multiLevelType w:val="hybridMultilevel"/>
    <w:tmpl w:val="3F1ECA3A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70787EC1"/>
    <w:multiLevelType w:val="multilevel"/>
    <w:tmpl w:val="0E88F2A2"/>
    <w:styleLink w:val="Bullets3"/>
    <w:lvl w:ilvl="0">
      <w:numFmt w:val="bullet"/>
      <w:pStyle w:val="bullet"/>
      <w:lvlText w:val="•"/>
      <w:lvlJc w:val="left"/>
      <w:pPr>
        <w:ind w:left="785" w:hanging="360"/>
      </w:pPr>
      <w:rPr>
        <w:rFonts w:ascii="Calibri" w:eastAsia="Times New Roman" w:hAnsi="Calibri" w:cs="Calibri" w:hint="default"/>
        <w:b w:val="0"/>
        <w:i w:val="0"/>
        <w:color w:val="0D0D0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E2999"/>
    <w:multiLevelType w:val="hybridMultilevel"/>
    <w:tmpl w:val="BE9A9BF0"/>
    <w:lvl w:ilvl="0" w:tplc="CC8211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0E53D4"/>
    <w:multiLevelType w:val="multilevel"/>
    <w:tmpl w:val="9D9E4B96"/>
    <w:styleLink w:val="Bullet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345375"/>
    <w:multiLevelType w:val="hybridMultilevel"/>
    <w:tmpl w:val="FF0AD086"/>
    <w:lvl w:ilvl="0" w:tplc="1E866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AD7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322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8A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EF5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9E9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04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AB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C2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4"/>
  </w:num>
  <w:num w:numId="15">
    <w:abstractNumId w:val="12"/>
  </w:num>
  <w:num w:numId="16">
    <w:abstractNumId w:val="20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3"/>
  </w:num>
  <w:num w:numId="21">
    <w:abstractNumId w:val="1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0"/>
  </w:num>
  <w:num w:numId="27">
    <w:abstractNumId w:val="10"/>
  </w:num>
  <w:num w:numId="28">
    <w:abstractNumId w:val="10"/>
  </w:num>
  <w:num w:numId="29">
    <w:abstractNumId w:val="9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5"/>
  </w:num>
  <w:num w:numId="38">
    <w:abstractNumId w:val="16"/>
  </w:num>
  <w:num w:numId="39">
    <w:abstractNumId w:val="18"/>
  </w:num>
  <w:num w:numId="40">
    <w:abstractNumId w:val="17"/>
  </w:num>
  <w:num w:numId="41">
    <w:abstractNumId w:val="17"/>
  </w:num>
  <w:num w:numId="42">
    <w:abstractNumId w:val="19"/>
  </w:num>
  <w:num w:numId="43">
    <w:abstractNumId w:val="23"/>
  </w:num>
  <w:num w:numId="44">
    <w:abstractNumId w:val="23"/>
  </w:num>
  <w:num w:numId="45">
    <w:abstractNumId w:val="23"/>
  </w:num>
  <w:num w:numId="46">
    <w:abstractNumId w:val="22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1b6d4551-2dcb-43a8-badd-f852ddad1b57"/>
    <w:docVar w:name="_AMO_XmlVersion" w:val="Empty"/>
  </w:docVars>
  <w:rsids>
    <w:rsidRoot w:val="00C10C19"/>
    <w:rsid w:val="00002721"/>
    <w:rsid w:val="00024E24"/>
    <w:rsid w:val="00034EAA"/>
    <w:rsid w:val="00036C94"/>
    <w:rsid w:val="00063E40"/>
    <w:rsid w:val="000861A6"/>
    <w:rsid w:val="000B25D6"/>
    <w:rsid w:val="000E7E7B"/>
    <w:rsid w:val="000F3BA2"/>
    <w:rsid w:val="00101BE5"/>
    <w:rsid w:val="00105325"/>
    <w:rsid w:val="001059A7"/>
    <w:rsid w:val="001175BF"/>
    <w:rsid w:val="00130923"/>
    <w:rsid w:val="00134410"/>
    <w:rsid w:val="001414F3"/>
    <w:rsid w:val="00143FCD"/>
    <w:rsid w:val="00160AAE"/>
    <w:rsid w:val="00181E47"/>
    <w:rsid w:val="001B6467"/>
    <w:rsid w:val="001E10B9"/>
    <w:rsid w:val="001E15E1"/>
    <w:rsid w:val="001F1C07"/>
    <w:rsid w:val="00223EB1"/>
    <w:rsid w:val="00236917"/>
    <w:rsid w:val="00236BF4"/>
    <w:rsid w:val="00243D6B"/>
    <w:rsid w:val="002440BA"/>
    <w:rsid w:val="002B06E6"/>
    <w:rsid w:val="002D271F"/>
    <w:rsid w:val="002D5D10"/>
    <w:rsid w:val="002D6386"/>
    <w:rsid w:val="002F5247"/>
    <w:rsid w:val="00300BE5"/>
    <w:rsid w:val="00305B35"/>
    <w:rsid w:val="003166C5"/>
    <w:rsid w:val="003242B9"/>
    <w:rsid w:val="0032782A"/>
    <w:rsid w:val="003D52CD"/>
    <w:rsid w:val="003D67FC"/>
    <w:rsid w:val="00406E5A"/>
    <w:rsid w:val="00435B7B"/>
    <w:rsid w:val="00455B34"/>
    <w:rsid w:val="00476140"/>
    <w:rsid w:val="0048762C"/>
    <w:rsid w:val="004A760F"/>
    <w:rsid w:val="004B256F"/>
    <w:rsid w:val="004D12BF"/>
    <w:rsid w:val="005113B6"/>
    <w:rsid w:val="00531817"/>
    <w:rsid w:val="00560CA0"/>
    <w:rsid w:val="005624F3"/>
    <w:rsid w:val="005811EF"/>
    <w:rsid w:val="005A1BE5"/>
    <w:rsid w:val="005B0878"/>
    <w:rsid w:val="005B3DAC"/>
    <w:rsid w:val="005B4B7F"/>
    <w:rsid w:val="005C15C0"/>
    <w:rsid w:val="005D3E53"/>
    <w:rsid w:val="005E1673"/>
    <w:rsid w:val="00610654"/>
    <w:rsid w:val="006172EB"/>
    <w:rsid w:val="006318B9"/>
    <w:rsid w:val="00635AFE"/>
    <w:rsid w:val="0067026C"/>
    <w:rsid w:val="00686AED"/>
    <w:rsid w:val="00692776"/>
    <w:rsid w:val="006C4962"/>
    <w:rsid w:val="006D27EB"/>
    <w:rsid w:val="006E2D49"/>
    <w:rsid w:val="0070362F"/>
    <w:rsid w:val="00734FF2"/>
    <w:rsid w:val="00740922"/>
    <w:rsid w:val="007468FC"/>
    <w:rsid w:val="00753EB2"/>
    <w:rsid w:val="00756759"/>
    <w:rsid w:val="00792CA3"/>
    <w:rsid w:val="007A67B4"/>
    <w:rsid w:val="007B2FDD"/>
    <w:rsid w:val="007D58FB"/>
    <w:rsid w:val="00804665"/>
    <w:rsid w:val="00814AE4"/>
    <w:rsid w:val="0083468A"/>
    <w:rsid w:val="008412D8"/>
    <w:rsid w:val="00842D43"/>
    <w:rsid w:val="00856D1C"/>
    <w:rsid w:val="00876AC0"/>
    <w:rsid w:val="008A67ED"/>
    <w:rsid w:val="00903408"/>
    <w:rsid w:val="009116EA"/>
    <w:rsid w:val="00926BB5"/>
    <w:rsid w:val="00933671"/>
    <w:rsid w:val="00941BF2"/>
    <w:rsid w:val="0095052E"/>
    <w:rsid w:val="0096483F"/>
    <w:rsid w:val="00972BF7"/>
    <w:rsid w:val="00972DD5"/>
    <w:rsid w:val="00982ADD"/>
    <w:rsid w:val="00984879"/>
    <w:rsid w:val="00985632"/>
    <w:rsid w:val="00991B63"/>
    <w:rsid w:val="00997E16"/>
    <w:rsid w:val="009A602F"/>
    <w:rsid w:val="009B2428"/>
    <w:rsid w:val="009B5CB7"/>
    <w:rsid w:val="009C0607"/>
    <w:rsid w:val="009C0EE2"/>
    <w:rsid w:val="009C4CDF"/>
    <w:rsid w:val="009C5738"/>
    <w:rsid w:val="009C61E7"/>
    <w:rsid w:val="00A03A03"/>
    <w:rsid w:val="00A2059F"/>
    <w:rsid w:val="00A21FB0"/>
    <w:rsid w:val="00A31242"/>
    <w:rsid w:val="00A35435"/>
    <w:rsid w:val="00A52530"/>
    <w:rsid w:val="00A551BF"/>
    <w:rsid w:val="00A70524"/>
    <w:rsid w:val="00A73406"/>
    <w:rsid w:val="00A93D99"/>
    <w:rsid w:val="00A9672C"/>
    <w:rsid w:val="00AC65DA"/>
    <w:rsid w:val="00AF1E73"/>
    <w:rsid w:val="00B2722A"/>
    <w:rsid w:val="00B618BA"/>
    <w:rsid w:val="00B728C6"/>
    <w:rsid w:val="00B83C8E"/>
    <w:rsid w:val="00B91C66"/>
    <w:rsid w:val="00BA282D"/>
    <w:rsid w:val="00BB6260"/>
    <w:rsid w:val="00BF10F4"/>
    <w:rsid w:val="00C00E83"/>
    <w:rsid w:val="00C05E74"/>
    <w:rsid w:val="00C10C19"/>
    <w:rsid w:val="00C143B8"/>
    <w:rsid w:val="00C169F7"/>
    <w:rsid w:val="00C17D02"/>
    <w:rsid w:val="00C5649C"/>
    <w:rsid w:val="00C75486"/>
    <w:rsid w:val="00C8202C"/>
    <w:rsid w:val="00C91ABA"/>
    <w:rsid w:val="00C92A5B"/>
    <w:rsid w:val="00C92F38"/>
    <w:rsid w:val="00C935AD"/>
    <w:rsid w:val="00CA46EC"/>
    <w:rsid w:val="00CE1252"/>
    <w:rsid w:val="00D05B29"/>
    <w:rsid w:val="00D1394D"/>
    <w:rsid w:val="00D4758E"/>
    <w:rsid w:val="00D47740"/>
    <w:rsid w:val="00D812B9"/>
    <w:rsid w:val="00D903FD"/>
    <w:rsid w:val="00D9260C"/>
    <w:rsid w:val="00D94BC5"/>
    <w:rsid w:val="00D96C08"/>
    <w:rsid w:val="00DC3052"/>
    <w:rsid w:val="00DC76D7"/>
    <w:rsid w:val="00DF46C4"/>
    <w:rsid w:val="00E14C4A"/>
    <w:rsid w:val="00E2631A"/>
    <w:rsid w:val="00E35C5C"/>
    <w:rsid w:val="00E44341"/>
    <w:rsid w:val="00E83F13"/>
    <w:rsid w:val="00EB0266"/>
    <w:rsid w:val="00EC024C"/>
    <w:rsid w:val="00EC4AAD"/>
    <w:rsid w:val="00EC64C4"/>
    <w:rsid w:val="00EC78E7"/>
    <w:rsid w:val="00ED43D2"/>
    <w:rsid w:val="00EE3B8C"/>
    <w:rsid w:val="00EF4A38"/>
    <w:rsid w:val="00F0141F"/>
    <w:rsid w:val="00F11B8F"/>
    <w:rsid w:val="00F20048"/>
    <w:rsid w:val="00F4737A"/>
    <w:rsid w:val="00F6535B"/>
    <w:rsid w:val="00F74011"/>
    <w:rsid w:val="00F975AB"/>
    <w:rsid w:val="00FA37DA"/>
    <w:rsid w:val="00FB10CB"/>
    <w:rsid w:val="00FD4A7F"/>
    <w:rsid w:val="00F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5DA"/>
  </w:style>
  <w:style w:type="paragraph" w:styleId="Heading1">
    <w:name w:val="heading 1"/>
    <w:basedOn w:val="Subtitle"/>
    <w:next w:val="Normal"/>
    <w:link w:val="Heading1Char"/>
    <w:uiPriority w:val="9"/>
    <w:qFormat/>
    <w:rsid w:val="00C91ABA"/>
    <w:pPr>
      <w:spacing w:after="360"/>
      <w:outlineLvl w:val="0"/>
    </w:pPr>
    <w:rPr>
      <w:b/>
      <w:iCs w:val="0"/>
      <w:spacing w:val="5"/>
      <w:sz w:val="42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83F"/>
    <w:pPr>
      <w:spacing w:before="200" w:after="0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467"/>
    <w:pPr>
      <w:spacing w:before="200" w:after="0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917"/>
    <w:pPr>
      <w:spacing w:before="200" w:after="0"/>
      <w:outlineLvl w:val="3"/>
    </w:pPr>
    <w:rPr>
      <w:rFonts w:ascii="Calibri" w:eastAsiaTheme="majorEastAsia" w:hAnsi="Calibr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6467"/>
    <w:pPr>
      <w:spacing w:before="200" w:after="0"/>
      <w:outlineLvl w:val="4"/>
    </w:pPr>
    <w:rPr>
      <w:rFonts w:ascii="Calibri" w:eastAsiaTheme="majorEastAsia" w:hAnsi="Calibri" w:cstheme="majorBidi"/>
      <w:b/>
      <w:bCs/>
      <w:color w:val="75757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3671"/>
    <w:pPr>
      <w:spacing w:before="200" w:after="0"/>
      <w:outlineLvl w:val="5"/>
    </w:pPr>
    <w:rPr>
      <w:rFonts w:ascii="Calibri" w:eastAsiaTheme="majorEastAsia" w:hAnsi="Calibri" w:cstheme="majorBidi"/>
      <w:b/>
      <w:bCs/>
      <w:i/>
      <w:iCs/>
      <w:color w:val="75757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C65DA"/>
    <w:rPr>
      <w:b/>
      <w:bCs/>
    </w:rPr>
  </w:style>
  <w:style w:type="character" w:styleId="Emphasis">
    <w:name w:val="Emphasis"/>
    <w:uiPriority w:val="20"/>
    <w:qFormat/>
    <w:rsid w:val="001F1C07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styleId="BookTitle">
    <w:name w:val="Book Title"/>
    <w:uiPriority w:val="33"/>
    <w:qFormat/>
    <w:rsid w:val="009116EA"/>
    <w:rPr>
      <w:i/>
      <w:iCs/>
      <w:caps w:val="0"/>
      <w:smallCaps w:val="0"/>
      <w:spacing w:val="5"/>
    </w:rPr>
  </w:style>
  <w:style w:type="character" w:styleId="Hyperlink">
    <w:name w:val="Hyperlink"/>
    <w:basedOn w:val="DefaultParagraphFont"/>
    <w:uiPriority w:val="99"/>
    <w:unhideWhenUsed/>
    <w:rsid w:val="00C10C19"/>
    <w:rPr>
      <w:color w:val="165788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05E74"/>
    <w:pPr>
      <w:spacing w:after="120"/>
      <w:ind w:left="369" w:right="369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E7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91ABA"/>
    <w:rPr>
      <w:rFonts w:ascii="Calibri" w:eastAsiaTheme="majorEastAsia" w:hAnsi="Calibri" w:cstheme="majorBidi"/>
      <w:b/>
      <w:color w:val="003D6B"/>
      <w:spacing w:val="5"/>
      <w:sz w:val="42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96483F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467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36917"/>
    <w:rPr>
      <w:rFonts w:ascii="Calibri" w:eastAsiaTheme="majorEastAsia" w:hAnsi="Calibr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B6467"/>
    <w:rPr>
      <w:rFonts w:ascii="Calibri" w:eastAsiaTheme="majorEastAsia" w:hAnsi="Calibri" w:cstheme="majorBidi"/>
      <w:b/>
      <w:bCs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933671"/>
    <w:rPr>
      <w:rFonts w:ascii="Calibri" w:eastAsiaTheme="majorEastAsia" w:hAnsi="Calibri" w:cstheme="majorBidi"/>
      <w:b/>
      <w:bCs/>
      <w:i/>
      <w:iCs/>
      <w:color w:val="75757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0048"/>
    <w:pPr>
      <w:spacing w:after="240"/>
      <w:jc w:val="center"/>
      <w:outlineLvl w:val="0"/>
    </w:pPr>
    <w:rPr>
      <w:rFonts w:ascii="Calibri" w:eastAsiaTheme="majorEastAsia" w:hAnsi="Calibri" w:cstheme="majorBidi"/>
      <w:b/>
      <w:color w:val="003D6B"/>
      <w:spacing w:val="5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20048"/>
    <w:rPr>
      <w:rFonts w:ascii="Calibri" w:eastAsiaTheme="majorEastAsia" w:hAnsi="Calibri" w:cstheme="majorBidi"/>
      <w:b/>
      <w:color w:val="003D6B"/>
      <w:spacing w:val="5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665"/>
    <w:pPr>
      <w:spacing w:after="240"/>
    </w:pPr>
    <w:rPr>
      <w:rFonts w:ascii="Calibri" w:eastAsiaTheme="majorEastAsia" w:hAnsi="Calibri" w:cstheme="majorBidi"/>
      <w:iCs/>
      <w:color w:val="003D6B"/>
      <w:spacing w:val="13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04665"/>
    <w:rPr>
      <w:rFonts w:ascii="Calibri" w:eastAsiaTheme="majorEastAsia" w:hAnsi="Calibri" w:cstheme="majorBidi"/>
      <w:iCs/>
      <w:color w:val="003D6B"/>
      <w:spacing w:val="13"/>
      <w:sz w:val="40"/>
      <w:szCs w:val="40"/>
    </w:rPr>
  </w:style>
  <w:style w:type="paragraph" w:styleId="NoSpacing">
    <w:name w:val="No Spacing"/>
    <w:basedOn w:val="Normal"/>
    <w:link w:val="NoSpacingChar"/>
    <w:uiPriority w:val="1"/>
    <w:qFormat/>
    <w:rsid w:val="00AC65DA"/>
    <w:pPr>
      <w:spacing w:after="0" w:line="240" w:lineRule="auto"/>
    </w:pPr>
  </w:style>
  <w:style w:type="paragraph" w:styleId="ListParagraph">
    <w:name w:val="List Paragraph"/>
    <w:aliases w:val="List Paragraph1,Recommendation,List Paragraph11,Bullet Point,L,Bullet points,Content descriptions,Bulletr List Paragraph,FooterText,List Paragraph2,List Paragraph21,Listeafsnit1,NFP GP Bulleted List,Paragraphe de liste1,Body Bullets 1"/>
    <w:basedOn w:val="Normal"/>
    <w:link w:val="ListParagraphChar"/>
    <w:uiPriority w:val="34"/>
    <w:qFormat/>
    <w:rsid w:val="00AC65D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DA"/>
    <w:rPr>
      <w:b/>
      <w:bCs/>
      <w:i/>
      <w:iCs/>
    </w:rPr>
  </w:style>
  <w:style w:type="character" w:styleId="SubtleEmphasis">
    <w:name w:val="Subtle Emphasis"/>
    <w:uiPriority w:val="19"/>
    <w:qFormat/>
    <w:rsid w:val="00AC65DA"/>
    <w:rPr>
      <w:i/>
      <w:iCs/>
    </w:rPr>
  </w:style>
  <w:style w:type="character" w:styleId="IntenseEmphasis">
    <w:name w:val="Intense Emphasis"/>
    <w:uiPriority w:val="21"/>
    <w:qFormat/>
    <w:rsid w:val="001F1C07"/>
    <w:rPr>
      <w:b/>
      <w:bCs/>
      <w:i/>
    </w:rPr>
  </w:style>
  <w:style w:type="character" w:styleId="SubtleReference">
    <w:name w:val="Subtle Reference"/>
    <w:uiPriority w:val="31"/>
    <w:qFormat/>
    <w:rsid w:val="00AC65DA"/>
    <w:rPr>
      <w:smallCaps/>
    </w:rPr>
  </w:style>
  <w:style w:type="character" w:styleId="IntenseReference">
    <w:name w:val="Intense Reference"/>
    <w:uiPriority w:val="32"/>
    <w:qFormat/>
    <w:rsid w:val="00AC65DA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5DA"/>
    <w:pPr>
      <w:outlineLvl w:val="9"/>
    </w:pPr>
    <w:rPr>
      <w:lang w:bidi="en-US"/>
    </w:rPr>
  </w:style>
  <w:style w:type="paragraph" w:styleId="ListNumber">
    <w:name w:val="List Number"/>
    <w:basedOn w:val="Normal"/>
    <w:uiPriority w:val="99"/>
    <w:unhideWhenUsed/>
    <w:rsid w:val="00DC76D7"/>
    <w:pPr>
      <w:numPr>
        <w:numId w:val="21"/>
      </w:numPr>
      <w:spacing w:after="120"/>
      <w:contextualSpacing/>
    </w:pPr>
  </w:style>
  <w:style w:type="paragraph" w:styleId="ListNumber2">
    <w:name w:val="List Number 2"/>
    <w:basedOn w:val="Normal"/>
    <w:uiPriority w:val="99"/>
    <w:unhideWhenUsed/>
    <w:rsid w:val="00DC76D7"/>
    <w:pPr>
      <w:numPr>
        <w:ilvl w:val="1"/>
        <w:numId w:val="21"/>
      </w:numPr>
      <w:tabs>
        <w:tab w:val="left" w:pos="1134"/>
      </w:tabs>
      <w:spacing w:after="120"/>
      <w:contextualSpacing/>
    </w:pPr>
  </w:style>
  <w:style w:type="paragraph" w:styleId="ListNumber3">
    <w:name w:val="List Number 3"/>
    <w:basedOn w:val="Normal"/>
    <w:uiPriority w:val="99"/>
    <w:unhideWhenUsed/>
    <w:rsid w:val="00DC76D7"/>
    <w:pPr>
      <w:numPr>
        <w:ilvl w:val="2"/>
        <w:numId w:val="21"/>
      </w:numPr>
      <w:spacing w:after="120"/>
      <w:contextualSpacing/>
    </w:pPr>
  </w:style>
  <w:style w:type="paragraph" w:styleId="ListNumber4">
    <w:name w:val="List Number 4"/>
    <w:basedOn w:val="Normal"/>
    <w:uiPriority w:val="99"/>
    <w:unhideWhenUsed/>
    <w:rsid w:val="00DC76D7"/>
    <w:pPr>
      <w:numPr>
        <w:ilvl w:val="3"/>
        <w:numId w:val="21"/>
      </w:numPr>
      <w:spacing w:after="120"/>
      <w:contextualSpacing/>
    </w:pPr>
  </w:style>
  <w:style w:type="paragraph" w:styleId="ListBullet">
    <w:name w:val="List Bullet"/>
    <w:basedOn w:val="Normal"/>
    <w:uiPriority w:val="99"/>
    <w:unhideWhenUsed/>
    <w:rsid w:val="00EC64C4"/>
    <w:pPr>
      <w:numPr>
        <w:numId w:val="26"/>
      </w:numPr>
      <w:spacing w:after="120"/>
      <w:contextualSpacing/>
    </w:pPr>
  </w:style>
  <w:style w:type="paragraph" w:styleId="ListBullet2">
    <w:name w:val="List Bullet 2"/>
    <w:basedOn w:val="Normal"/>
    <w:uiPriority w:val="99"/>
    <w:unhideWhenUsed/>
    <w:rsid w:val="00EC64C4"/>
    <w:pPr>
      <w:numPr>
        <w:ilvl w:val="1"/>
        <w:numId w:val="26"/>
      </w:numPr>
      <w:spacing w:after="120"/>
      <w:contextualSpacing/>
    </w:pPr>
  </w:style>
  <w:style w:type="paragraph" w:styleId="ListBullet3">
    <w:name w:val="List Bullet 3"/>
    <w:basedOn w:val="Normal"/>
    <w:uiPriority w:val="99"/>
    <w:unhideWhenUsed/>
    <w:rsid w:val="00EC64C4"/>
    <w:pPr>
      <w:numPr>
        <w:ilvl w:val="2"/>
        <w:numId w:val="26"/>
      </w:numPr>
      <w:spacing w:after="120"/>
      <w:contextualSpacing/>
    </w:pPr>
  </w:style>
  <w:style w:type="paragraph" w:styleId="ListBullet4">
    <w:name w:val="List Bullet 4"/>
    <w:basedOn w:val="Normal"/>
    <w:uiPriority w:val="99"/>
    <w:unhideWhenUsed/>
    <w:rsid w:val="00EC64C4"/>
    <w:pPr>
      <w:numPr>
        <w:ilvl w:val="3"/>
        <w:numId w:val="26"/>
      </w:numPr>
      <w:spacing w:after="120"/>
      <w:contextualSpacing/>
    </w:pPr>
  </w:style>
  <w:style w:type="table" w:styleId="TableGrid">
    <w:name w:val="Table Grid"/>
    <w:basedOn w:val="TableNormal"/>
    <w:uiPriority w:val="59"/>
    <w:rsid w:val="007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EWRTable">
    <w:name w:val="DEEWR Table"/>
    <w:basedOn w:val="TableNormal"/>
    <w:uiPriority w:val="99"/>
    <w:rsid w:val="00903408"/>
    <w:pPr>
      <w:spacing w:after="0" w:line="240" w:lineRule="auto"/>
    </w:pPr>
    <w:rPr>
      <w:color w:val="000000" w:themeColor="text1"/>
      <w:sz w:val="20"/>
    </w:rPr>
    <w:tblPr>
      <w:tblStyleRowBandSize w:val="1"/>
      <w:tblBorders>
        <w:bottom w:val="single" w:sz="4" w:space="0" w:color="auto"/>
      </w:tblBorders>
    </w:tblPr>
    <w:trPr>
      <w:cantSplit/>
    </w:trPr>
    <w:tblStylePr w:type="firstRow">
      <w:pPr>
        <w:wordWrap/>
        <w:ind w:leftChars="0" w:left="0" w:rightChars="0" w:right="0"/>
        <w:jc w:val="left"/>
      </w:pPr>
      <w:rPr>
        <w:rFonts w:asciiTheme="minorHAnsi" w:hAnsiTheme="minorHAnsi"/>
        <w:b/>
        <w:color w:val="FFFFFF" w:themeColor="background2"/>
        <w:sz w:val="20"/>
      </w:rPr>
      <w:tblPr/>
      <w:trPr>
        <w:tblHeader/>
      </w:trPr>
      <w:tcPr>
        <w:shd w:val="clear" w:color="auto" w:fill="000000" w:themeFill="text1"/>
      </w:tcPr>
    </w:tblStylePr>
    <w:tblStylePr w:type="firstCol">
      <w:pPr>
        <w:jc w:val="left"/>
      </w:pPr>
      <w:rPr>
        <w:b/>
      </w:rPr>
    </w:tblStylePr>
  </w:style>
  <w:style w:type="paragraph" w:customStyle="1" w:styleId="Default">
    <w:name w:val="Default"/>
    <w:rsid w:val="0013092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BodyText">
    <w:name w:val="Body Text"/>
    <w:basedOn w:val="Normal"/>
    <w:link w:val="BodyTextChar"/>
    <w:rsid w:val="00130923"/>
    <w:pPr>
      <w:spacing w:after="120" w:line="240" w:lineRule="auto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130923"/>
    <w:rPr>
      <w:rFonts w:eastAsia="Times New Roman" w:cs="Times New Roman"/>
      <w:szCs w:val="24"/>
      <w:lang w:eastAsia="en-AU"/>
    </w:rPr>
  </w:style>
  <w:style w:type="paragraph" w:customStyle="1" w:styleId="numberedpara">
    <w:name w:val="numbered para"/>
    <w:basedOn w:val="Normal"/>
    <w:rsid w:val="00130923"/>
    <w:pPr>
      <w:numPr>
        <w:numId w:val="18"/>
      </w:numPr>
      <w:spacing w:after="0" w:line="240" w:lineRule="auto"/>
    </w:pPr>
    <w:rPr>
      <w:rFonts w:ascii="Calibri" w:eastAsiaTheme="minorHAns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23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130923"/>
  </w:style>
  <w:style w:type="paragraph" w:styleId="Header">
    <w:name w:val="header"/>
    <w:basedOn w:val="Normal"/>
    <w:link w:val="Head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923"/>
  </w:style>
  <w:style w:type="paragraph" w:styleId="Footer">
    <w:name w:val="footer"/>
    <w:basedOn w:val="Normal"/>
    <w:link w:val="FooterChar"/>
    <w:uiPriority w:val="99"/>
    <w:unhideWhenUsed/>
    <w:rsid w:val="00130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923"/>
  </w:style>
  <w:style w:type="paragraph" w:styleId="TOC1">
    <w:name w:val="toc 1"/>
    <w:basedOn w:val="Normal"/>
    <w:next w:val="Normal"/>
    <w:autoRedefine/>
    <w:uiPriority w:val="39"/>
    <w:unhideWhenUsed/>
    <w:rsid w:val="00EF4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A38"/>
    <w:pPr>
      <w:spacing w:after="100"/>
      <w:ind w:left="440"/>
    </w:pPr>
  </w:style>
  <w:style w:type="paragraph" w:styleId="Caption">
    <w:name w:val="caption"/>
    <w:basedOn w:val="Heading4"/>
    <w:next w:val="Normal"/>
    <w:uiPriority w:val="35"/>
    <w:unhideWhenUsed/>
    <w:rsid w:val="00B2722A"/>
    <w:rPr>
      <w:i w:val="0"/>
    </w:rPr>
  </w:style>
  <w:style w:type="paragraph" w:customStyle="1" w:styleId="Source">
    <w:name w:val="Source"/>
    <w:basedOn w:val="Normal"/>
    <w:qFormat/>
    <w:rsid w:val="00B2722A"/>
    <w:rPr>
      <w:rFonts w:cstheme="minorHAnsi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282D"/>
    <w:rPr>
      <w:color w:val="808080"/>
    </w:rPr>
  </w:style>
  <w:style w:type="paragraph" w:customStyle="1" w:styleId="DeleteText">
    <w:name w:val="Delete Text"/>
    <w:basedOn w:val="Normal"/>
    <w:qFormat/>
    <w:rsid w:val="006C4962"/>
    <w:rPr>
      <w:color w:val="00746B"/>
    </w:rPr>
  </w:style>
  <w:style w:type="numbering" w:customStyle="1" w:styleId="NumberedList">
    <w:name w:val="Numbered List"/>
    <w:uiPriority w:val="99"/>
    <w:rsid w:val="00DC76D7"/>
    <w:pPr>
      <w:numPr>
        <w:numId w:val="21"/>
      </w:numPr>
    </w:pPr>
  </w:style>
  <w:style w:type="numbering" w:customStyle="1" w:styleId="BulletList">
    <w:name w:val="Bullet List"/>
    <w:uiPriority w:val="99"/>
    <w:rsid w:val="00EC64C4"/>
    <w:pPr>
      <w:numPr>
        <w:numId w:val="23"/>
      </w:numPr>
    </w:pPr>
  </w:style>
  <w:style w:type="paragraph" w:styleId="ListNumber5">
    <w:name w:val="List Number 5"/>
    <w:basedOn w:val="Normal"/>
    <w:uiPriority w:val="99"/>
    <w:semiHidden/>
    <w:unhideWhenUsed/>
    <w:rsid w:val="00DC76D7"/>
    <w:pPr>
      <w:numPr>
        <w:ilvl w:val="4"/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C64C4"/>
    <w:pPr>
      <w:numPr>
        <w:ilvl w:val="4"/>
        <w:numId w:val="26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5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C5C"/>
    <w:rPr>
      <w:b/>
      <w:bCs/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ullet Point Char,L Char,Bullet points Char,Content descriptions Char,Bulletr List Paragraph Char,FooterText Char,List Paragraph2 Char,List Paragraph21 Char"/>
    <w:basedOn w:val="DefaultParagraphFont"/>
    <w:link w:val="ListParagraph"/>
    <w:uiPriority w:val="34"/>
    <w:locked/>
    <w:rsid w:val="00635AFE"/>
  </w:style>
  <w:style w:type="character" w:styleId="FootnoteReference">
    <w:name w:val="footnote reference"/>
    <w:basedOn w:val="DefaultParagraphFont"/>
    <w:uiPriority w:val="99"/>
    <w:rsid w:val="00AF1E7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F1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1E73"/>
    <w:rPr>
      <w:sz w:val="20"/>
      <w:szCs w:val="20"/>
    </w:rPr>
  </w:style>
  <w:style w:type="paragraph" w:customStyle="1" w:styleId="bullet">
    <w:name w:val="bullet"/>
    <w:basedOn w:val="Normal"/>
    <w:link w:val="bulletChar"/>
    <w:rsid w:val="005D3E53"/>
    <w:pPr>
      <w:numPr>
        <w:numId w:val="43"/>
      </w:numPr>
      <w:suppressAutoHyphens/>
      <w:autoSpaceDE w:val="0"/>
      <w:autoSpaceDN w:val="0"/>
      <w:adjustRightInd w:val="0"/>
      <w:spacing w:before="120" w:after="120" w:line="240" w:lineRule="auto"/>
      <w:textAlignment w:val="center"/>
    </w:pPr>
    <w:rPr>
      <w:rFonts w:eastAsia="Times New Roman" w:cs="Garamond"/>
      <w:color w:val="000000"/>
      <w:szCs w:val="24"/>
      <w:lang w:val="en-GB" w:eastAsia="en-AU"/>
    </w:rPr>
  </w:style>
  <w:style w:type="character" w:customStyle="1" w:styleId="bulletChar">
    <w:name w:val="bullet Char"/>
    <w:basedOn w:val="BodyTextChar"/>
    <w:link w:val="bullet"/>
    <w:rsid w:val="005D3E53"/>
    <w:rPr>
      <w:rFonts w:eastAsia="Times New Roman" w:cs="Garamond"/>
      <w:color w:val="000000"/>
      <w:szCs w:val="24"/>
      <w:lang w:val="en-GB" w:eastAsia="en-AU"/>
    </w:rPr>
  </w:style>
  <w:style w:type="numbering" w:customStyle="1" w:styleId="Bullets3">
    <w:name w:val="Bullets3"/>
    <w:basedOn w:val="NoList"/>
    <w:rsid w:val="005D3E53"/>
    <w:pPr>
      <w:numPr>
        <w:numId w:val="43"/>
      </w:numPr>
    </w:pPr>
  </w:style>
  <w:style w:type="paragraph" w:customStyle="1" w:styleId="Normal6pt">
    <w:name w:val="Normal + 6pt"/>
    <w:basedOn w:val="Normal"/>
    <w:qFormat/>
    <w:rsid w:val="005D3E53"/>
    <w:pPr>
      <w:spacing w:after="120"/>
    </w:pPr>
    <w:rPr>
      <w:sz w:val="12"/>
      <w:szCs w:val="12"/>
    </w:rPr>
  </w:style>
  <w:style w:type="character" w:customStyle="1" w:styleId="FootnoteTextChar1">
    <w:name w:val="Footnote Text Char1"/>
    <w:basedOn w:val="DefaultParagraphFont"/>
    <w:uiPriority w:val="99"/>
    <w:semiHidden/>
    <w:locked/>
    <w:rsid w:val="0032782A"/>
    <w:rPr>
      <w:sz w:val="20"/>
      <w:szCs w:val="20"/>
    </w:rPr>
  </w:style>
  <w:style w:type="numbering" w:customStyle="1" w:styleId="Bullets31">
    <w:name w:val="Bullets31"/>
    <w:basedOn w:val="NoList"/>
    <w:rsid w:val="00CE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DEEWR">
      <a:dk1>
        <a:sysClr val="windowText" lastClr="000000"/>
      </a:dk1>
      <a:lt1>
        <a:srgbClr val="7F7F7F"/>
      </a:lt1>
      <a:dk2>
        <a:srgbClr val="165788"/>
      </a:dk2>
      <a:lt2>
        <a:srgbClr val="FFFFFF"/>
      </a:lt2>
      <a:accent1>
        <a:srgbClr val="165788"/>
      </a:accent1>
      <a:accent2>
        <a:srgbClr val="593674"/>
      </a:accent2>
      <a:accent3>
        <a:srgbClr val="478A57"/>
      </a:accent3>
      <a:accent4>
        <a:srgbClr val="969A52"/>
      </a:accent4>
      <a:accent5>
        <a:srgbClr val="CF9A3E"/>
      </a:accent5>
      <a:accent6>
        <a:srgbClr val="A75534"/>
      </a:accent6>
      <a:hlink>
        <a:srgbClr val="165788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D271F-525D-49D3-B2B7-E0C8E7D3D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B5520722.dotm</Template>
  <TotalTime>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2018-10-15T03:20:00Z</dcterms:created>
  <dcterms:modified xsi:type="dcterms:W3CDTF">2018-10-15T03:20:00Z</dcterms:modified>
</cp:coreProperties>
</file>